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43E0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宝丰县发展和改革委员会</w:t>
      </w:r>
    </w:p>
    <w:p w14:paraId="6CECCA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黑体" w:hAnsi="黑体" w:eastAsia="黑体" w:cs="黑体"/>
          <w:i w:val="0"/>
          <w:iCs w:val="0"/>
          <w:caps w:val="0"/>
          <w:color w:val="333333"/>
          <w:spacing w:val="0"/>
          <w:sz w:val="32"/>
          <w:szCs w:val="32"/>
          <w:shd w:val="clear" w:fill="FFFFFF"/>
        </w:rPr>
      </w:pPr>
      <w:r>
        <w:rPr>
          <w:rFonts w:hint="eastAsia" w:ascii="方正小标宋简体" w:hAnsi="方正小标宋简体" w:eastAsia="方正小标宋简体" w:cs="方正小标宋简体"/>
          <w:sz w:val="44"/>
          <w:szCs w:val="44"/>
          <w:lang w:val="en-US" w:eastAsia="zh-CN"/>
        </w:rPr>
        <w:t>关于2024年法治政府建设情况的报告</w:t>
      </w:r>
    </w:p>
    <w:p w14:paraId="0BE108DA">
      <w:pPr>
        <w:spacing w:line="580" w:lineRule="exact"/>
        <w:ind w:firstLine="640" w:firstLineChars="200"/>
        <w:jc w:val="left"/>
        <w:rPr>
          <w:rFonts w:hint="eastAsia" w:eastAsia="仿宋_GB2312" w:cs="仿宋_GB2312" w:asciiTheme="minorAscii" w:hAnsiTheme="minorAscii"/>
          <w:color w:val="auto"/>
          <w:sz w:val="32"/>
          <w:lang w:val="en-US" w:eastAsia="zh-CN"/>
        </w:rPr>
      </w:pPr>
    </w:p>
    <w:p w14:paraId="5E9549B4">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i w:val="0"/>
          <w:iCs w:val="0"/>
          <w:caps w:val="0"/>
          <w:color w:val="333333"/>
          <w:spacing w:val="0"/>
          <w:sz w:val="32"/>
          <w:szCs w:val="32"/>
          <w:shd w:val="clear" w:fill="FFFFFF"/>
        </w:rPr>
      </w:pPr>
      <w:r>
        <w:rPr>
          <w:rFonts w:hint="eastAsia" w:ascii="仿宋_GB2312" w:hAnsi="仿宋_GB2312" w:eastAsia="仿宋_GB2312" w:cs="仿宋_GB2312"/>
          <w:color w:val="auto"/>
          <w:sz w:val="32"/>
          <w:lang w:val="en-US" w:eastAsia="zh-CN"/>
        </w:rPr>
        <w:t>2024</w:t>
      </w:r>
      <w:r>
        <w:rPr>
          <w:rFonts w:hint="eastAsia" w:eastAsia="仿宋_GB2312" w:cs="仿宋_GB2312" w:asciiTheme="minorAscii" w:hAnsiTheme="minorAscii"/>
          <w:color w:val="auto"/>
          <w:sz w:val="32"/>
          <w:lang w:val="en-US" w:eastAsia="zh-CN"/>
        </w:rPr>
        <w:t>年，我委始终以习近平新时代中国特色社会主义思想为引领，全面贯彻党的二十大和二十届三中全会精神，深入学习习近平法治思想，在县委、县政府的坚强领导下，紧紧围绕法治政府建设奋斗目标，结合省、市、县法治政府建设工作要求，扎实推进法治政府建设各项工作并取得明显成效。现将有关工作情况汇报如下：</w:t>
      </w:r>
    </w:p>
    <w:p w14:paraId="3AF889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一</w:t>
      </w:r>
      <w:r>
        <w:rPr>
          <w:rFonts w:hint="eastAsia" w:ascii="黑体" w:hAnsi="黑体" w:eastAsia="黑体" w:cs="黑体"/>
          <w:i w:val="0"/>
          <w:iCs w:val="0"/>
          <w:caps w:val="0"/>
          <w:color w:val="333333"/>
          <w:spacing w:val="0"/>
          <w:sz w:val="32"/>
          <w:szCs w:val="32"/>
          <w:shd w:val="clear" w:fill="FFFFFF"/>
          <w:lang w:eastAsia="zh-CN"/>
        </w:rPr>
        <w:t>、</w:t>
      </w:r>
      <w:r>
        <w:rPr>
          <w:rFonts w:hint="eastAsia" w:ascii="黑体" w:hAnsi="黑体" w:eastAsia="黑体" w:cs="黑体"/>
          <w:i w:val="0"/>
          <w:iCs w:val="0"/>
          <w:caps w:val="0"/>
          <w:color w:val="333333"/>
          <w:spacing w:val="0"/>
          <w:sz w:val="32"/>
          <w:szCs w:val="32"/>
          <w:shd w:val="clear" w:fill="FFFFFF"/>
          <w:lang w:val="en-US" w:eastAsia="zh-CN"/>
        </w:rPr>
        <w:t>2024年</w:t>
      </w:r>
      <w:r>
        <w:rPr>
          <w:rFonts w:hint="eastAsia" w:ascii="黑体" w:hAnsi="黑体" w:eastAsia="黑体" w:cs="黑体"/>
          <w:i w:val="0"/>
          <w:iCs w:val="0"/>
          <w:caps w:val="0"/>
          <w:color w:val="333333"/>
          <w:spacing w:val="0"/>
          <w:sz w:val="32"/>
          <w:szCs w:val="32"/>
          <w:shd w:val="clear" w:fill="FFFFFF"/>
        </w:rPr>
        <w:t>度党政主要负责人履行推进法治建设第一责任人职责，加强法治政府建设的有关情况</w:t>
      </w:r>
    </w:p>
    <w:p w14:paraId="36DC11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textAlignment w:val="auto"/>
        <w:rPr>
          <w:rFonts w:hint="eastAsia" w:eastAsia="仿宋_GB2312" w:cs="仿宋_GB2312" w:asciiTheme="minorAscii" w:hAnsiTheme="minorAscii"/>
          <w:i w:val="0"/>
          <w:iCs w:val="0"/>
          <w:caps w:val="0"/>
          <w:color w:val="auto"/>
          <w:spacing w:val="0"/>
          <w:kern w:val="2"/>
          <w:sz w:val="32"/>
          <w:szCs w:val="24"/>
          <w:shd w:val="clear" w:fill="FFFFFF"/>
          <w:lang w:val="en-US" w:eastAsia="zh-CN" w:bidi="ar-SA"/>
        </w:rPr>
      </w:pPr>
      <w:r>
        <w:rPr>
          <w:rFonts w:hint="eastAsia" w:eastAsia="仿宋_GB2312" w:cs="仿宋_GB2312" w:asciiTheme="minorAscii" w:hAnsiTheme="minorAscii"/>
          <w:b/>
          <w:bCs/>
          <w:color w:val="auto"/>
          <w:kern w:val="2"/>
          <w:sz w:val="32"/>
          <w:szCs w:val="24"/>
          <w:lang w:val="en-US" w:eastAsia="zh-CN" w:bidi="ar-SA"/>
        </w:rPr>
        <w:t>一是</w:t>
      </w:r>
      <w:r>
        <w:rPr>
          <w:rFonts w:hint="eastAsia" w:eastAsia="仿宋_GB2312" w:cs="仿宋_GB2312" w:asciiTheme="minorAscii" w:hAnsiTheme="minorAscii"/>
          <w:color w:val="auto"/>
          <w:kern w:val="2"/>
          <w:sz w:val="32"/>
          <w:szCs w:val="24"/>
          <w:lang w:val="en-US" w:eastAsia="zh-CN" w:bidi="ar-SA"/>
        </w:rPr>
        <w:t>积极谋划参与推进发改法治政府建设相关工作，按照“党组书记负总责、班子成员联动配合”原则，明确专人负责法治工作，构建起责任明晰、协同配合的法治工作闭环体系。</w:t>
      </w:r>
      <w:r>
        <w:rPr>
          <w:rFonts w:hint="eastAsia" w:eastAsia="仿宋_GB2312" w:cs="仿宋_GB2312" w:asciiTheme="minorAscii" w:hAnsiTheme="minorAscii"/>
          <w:b/>
          <w:bCs/>
          <w:color w:val="auto"/>
          <w:kern w:val="2"/>
          <w:sz w:val="32"/>
          <w:szCs w:val="24"/>
          <w:lang w:val="en-US" w:eastAsia="zh-CN" w:bidi="ar-SA"/>
        </w:rPr>
        <w:t>二是</w:t>
      </w:r>
      <w:r>
        <w:rPr>
          <w:rFonts w:hint="eastAsia" w:eastAsia="仿宋_GB2312" w:cs="仿宋_GB2312" w:asciiTheme="minorAscii" w:hAnsiTheme="minorAscii"/>
          <w:color w:val="auto"/>
          <w:kern w:val="2"/>
          <w:sz w:val="32"/>
          <w:szCs w:val="24"/>
          <w:lang w:val="en-US" w:eastAsia="zh-CN" w:bidi="ar-SA"/>
        </w:rPr>
        <w:t>亲</w:t>
      </w:r>
      <w:bookmarkStart w:id="0" w:name="_GoBack"/>
      <w:bookmarkEnd w:id="0"/>
      <w:r>
        <w:rPr>
          <w:rFonts w:hint="eastAsia" w:eastAsia="仿宋_GB2312" w:cs="仿宋_GB2312" w:asciiTheme="minorAscii" w:hAnsiTheme="minorAscii"/>
          <w:color w:val="auto"/>
          <w:kern w:val="2"/>
          <w:sz w:val="32"/>
          <w:szCs w:val="24"/>
          <w:lang w:val="en-US" w:eastAsia="zh-CN" w:bidi="ar-SA"/>
        </w:rPr>
        <w:t>自参与我委法治政府建设各项工作，定期、不定期牵头研究推进法治政府工作，切实做到将法治工作与发改工作同部署、同安排、同推进，有效推动法治政府工作任务落实落细。</w:t>
      </w:r>
      <w:r>
        <w:rPr>
          <w:rFonts w:hint="eastAsia" w:eastAsia="仿宋_GB2312" w:cs="仿宋_GB2312" w:asciiTheme="minorAscii" w:hAnsiTheme="minorAscii"/>
          <w:b/>
          <w:bCs/>
          <w:color w:val="auto"/>
          <w:kern w:val="2"/>
          <w:sz w:val="32"/>
          <w:szCs w:val="24"/>
          <w:lang w:val="en-US" w:eastAsia="zh-CN" w:bidi="ar-SA"/>
        </w:rPr>
        <w:t>三是</w:t>
      </w:r>
      <w:r>
        <w:rPr>
          <w:rFonts w:hint="eastAsia" w:eastAsia="仿宋_GB2312" w:cs="仿宋_GB2312" w:asciiTheme="minorAscii" w:hAnsiTheme="minorAscii"/>
          <w:color w:val="auto"/>
          <w:kern w:val="2"/>
          <w:sz w:val="32"/>
          <w:szCs w:val="24"/>
          <w:lang w:val="en-US" w:eastAsia="zh-CN" w:bidi="ar-SA"/>
        </w:rPr>
        <w:t>始终坚持学法为先，全面落实领导干部学法制度，全年累计召开集中学法会议</w:t>
      </w:r>
      <w:r>
        <w:rPr>
          <w:rFonts w:hint="eastAsia" w:ascii="仿宋_GB2312" w:hAnsi="仿宋_GB2312" w:eastAsia="仿宋_GB2312" w:cs="仿宋_GB2312"/>
          <w:color w:val="auto"/>
          <w:kern w:val="2"/>
          <w:sz w:val="32"/>
          <w:szCs w:val="24"/>
          <w:lang w:val="en-US" w:eastAsia="zh-CN" w:bidi="ar-SA"/>
        </w:rPr>
        <w:t>6</w:t>
      </w:r>
      <w:r>
        <w:rPr>
          <w:rFonts w:hint="eastAsia" w:eastAsia="仿宋_GB2312" w:cs="仿宋_GB2312" w:asciiTheme="minorAscii" w:hAnsiTheme="minorAscii"/>
          <w:color w:val="auto"/>
          <w:kern w:val="2"/>
          <w:sz w:val="32"/>
          <w:szCs w:val="24"/>
          <w:lang w:val="en-US" w:eastAsia="zh-CN" w:bidi="ar-SA"/>
        </w:rPr>
        <w:t>次。持续加强机关法治文化建设，通过举办讲座、普法考试、观看专题片等形式，组织发改干部集中观看法治类视频、影片</w:t>
      </w:r>
      <w:r>
        <w:rPr>
          <w:rFonts w:hint="eastAsia" w:ascii="仿宋_GB2312" w:hAnsi="仿宋_GB2312" w:eastAsia="仿宋_GB2312" w:cs="仿宋_GB2312"/>
          <w:color w:val="auto"/>
          <w:kern w:val="2"/>
          <w:sz w:val="32"/>
          <w:szCs w:val="24"/>
          <w:lang w:val="en-US" w:eastAsia="zh-CN" w:bidi="ar-SA"/>
        </w:rPr>
        <w:t>5部</w:t>
      </w:r>
      <w:r>
        <w:rPr>
          <w:rFonts w:hint="eastAsia" w:eastAsia="仿宋_GB2312" w:cs="仿宋_GB2312" w:asciiTheme="minorAscii" w:hAnsiTheme="minorAscii"/>
          <w:color w:val="auto"/>
          <w:kern w:val="2"/>
          <w:sz w:val="32"/>
          <w:szCs w:val="24"/>
          <w:lang w:val="en-US" w:eastAsia="zh-CN" w:bidi="ar-SA"/>
        </w:rPr>
        <w:t>，开展法治专题培训</w:t>
      </w:r>
      <w:r>
        <w:rPr>
          <w:rFonts w:hint="eastAsia" w:ascii="仿宋_GB2312" w:hAnsi="仿宋_GB2312" w:eastAsia="仿宋_GB2312" w:cs="仿宋_GB2312"/>
          <w:color w:val="auto"/>
          <w:kern w:val="2"/>
          <w:sz w:val="32"/>
          <w:szCs w:val="24"/>
          <w:lang w:val="en-US" w:eastAsia="zh-CN" w:bidi="ar-SA"/>
        </w:rPr>
        <w:t>3次</w:t>
      </w:r>
      <w:r>
        <w:rPr>
          <w:rFonts w:hint="eastAsia" w:eastAsia="仿宋_GB2312" w:cs="仿宋_GB2312" w:asciiTheme="minorAscii" w:hAnsiTheme="minorAscii"/>
          <w:color w:val="auto"/>
          <w:kern w:val="2"/>
          <w:sz w:val="32"/>
          <w:szCs w:val="24"/>
          <w:lang w:val="en-US" w:eastAsia="zh-CN" w:bidi="ar-SA"/>
        </w:rPr>
        <w:t>。</w:t>
      </w:r>
    </w:p>
    <w:p w14:paraId="2A5757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lang w:val="en-US" w:eastAsia="zh-CN"/>
        </w:rPr>
        <w:t>二、2024</w:t>
      </w:r>
      <w:r>
        <w:rPr>
          <w:rFonts w:hint="eastAsia" w:ascii="黑体" w:hAnsi="黑体" w:eastAsia="黑体" w:cs="黑体"/>
          <w:i w:val="0"/>
          <w:iCs w:val="0"/>
          <w:caps w:val="0"/>
          <w:color w:val="333333"/>
          <w:spacing w:val="0"/>
          <w:sz w:val="32"/>
          <w:szCs w:val="32"/>
          <w:shd w:val="clear" w:fill="FFFFFF"/>
        </w:rPr>
        <w:t>年度推进法治政府建设的主要举措和成效</w:t>
      </w:r>
    </w:p>
    <w:p w14:paraId="5A64318E">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（一）加强领导，发挥统筹协调作用</w:t>
      </w:r>
    </w:p>
    <w:p w14:paraId="29C1B4D5">
      <w:pPr>
        <w:ind w:firstLine="643" w:firstLineChars="200"/>
        <w:rPr>
          <w:rFonts w:hint="eastAsia" w:ascii="楷体_GB2312" w:hAnsi="楷体_GB2312" w:eastAsia="楷体_GB2312" w:cs="楷体_GB2312"/>
          <w:color w:val="auto"/>
          <w:sz w:val="32"/>
          <w:lang w:val="en-US" w:eastAsia="zh-CN"/>
        </w:rPr>
      </w:pPr>
      <w:r>
        <w:rPr>
          <w:rFonts w:hint="eastAsia" w:eastAsia="仿宋_GB2312" w:cs="仿宋_GB2312" w:asciiTheme="minorAscii" w:hAnsiTheme="minorAscii"/>
          <w:b/>
          <w:bCs/>
          <w:color w:val="auto"/>
          <w:sz w:val="32"/>
          <w:lang w:val="en-US" w:eastAsia="zh-CN"/>
        </w:rPr>
        <w:t>一是</w:t>
      </w:r>
      <w:r>
        <w:rPr>
          <w:rFonts w:hint="eastAsia" w:eastAsia="仿宋_GB2312" w:cs="仿宋_GB2312" w:asciiTheme="minorAscii" w:hAnsiTheme="minorAscii"/>
          <w:color w:val="auto"/>
          <w:sz w:val="32"/>
          <w:lang w:val="en-US" w:eastAsia="zh-CN"/>
        </w:rPr>
        <w:t>深入贯彻中央、省、市、县关于法治政府建设的各项决策部署，将法治政府建设视为工作的重中之重。注重运用法治思维和法治方式应对和解决改革发展中遇到的各种问题，确保法治思想贯穿于发改工作的全过程各方面。</w:t>
      </w:r>
      <w:r>
        <w:rPr>
          <w:rFonts w:hint="eastAsia" w:eastAsia="仿宋_GB2312" w:cs="仿宋_GB2312" w:asciiTheme="minorAscii" w:hAnsiTheme="minorAscii"/>
          <w:b/>
          <w:bCs/>
          <w:color w:val="auto"/>
          <w:sz w:val="32"/>
          <w:lang w:val="en-US" w:eastAsia="zh-CN"/>
        </w:rPr>
        <w:t>二是</w:t>
      </w:r>
      <w:r>
        <w:rPr>
          <w:rFonts w:hint="eastAsia" w:eastAsia="仿宋_GB2312" w:cs="仿宋_GB2312" w:asciiTheme="minorAscii" w:hAnsiTheme="minorAscii"/>
          <w:color w:val="auto"/>
          <w:sz w:val="32"/>
          <w:lang w:val="en-US" w:eastAsia="zh-CN"/>
        </w:rPr>
        <w:t>为进一步提升领导干部的法治素养和业务能力，定期组织召开全体领导干部集体学法会议。会议内容涵盖《安全生产法》《政府信息公开条例》《优化营商环境条例》以及《河南省重大行政决策程序规定》等重要法律法规。通过学习，领导干部的业务素质和依法办事能力得到显著提高，为更好地推进法治政府建设奠定基础。</w:t>
      </w:r>
    </w:p>
    <w:p w14:paraId="4D7FB2DB">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（二）优化服务，助推营商环境全面提升</w:t>
      </w:r>
    </w:p>
    <w:p w14:paraId="6E737EC0">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eastAsia="仿宋_GB2312" w:cs="仿宋_GB2312" w:asciiTheme="minorAscii" w:hAnsiTheme="minorAscii"/>
          <w:color w:val="auto"/>
          <w:sz w:val="32"/>
          <w:lang w:val="en-US" w:eastAsia="zh-CN"/>
        </w:rPr>
      </w:pPr>
      <w:r>
        <w:rPr>
          <w:rFonts w:hint="eastAsia" w:eastAsia="仿宋_GB2312" w:cs="仿宋_GB2312" w:asciiTheme="minorAscii" w:hAnsiTheme="minorAscii"/>
          <w:color w:val="auto"/>
          <w:sz w:val="32"/>
          <w:lang w:val="en-US" w:eastAsia="zh-CN"/>
        </w:rPr>
        <w:t>围绕审批最少、流程最优、效率最高、服务最好的市场化、法治化、便利化营商环境目标，打造“宝您满意”的营商品牌。</w:t>
      </w:r>
      <w:r>
        <w:rPr>
          <w:rFonts w:hint="eastAsia" w:eastAsia="仿宋_GB2312" w:cs="仿宋_GB2312" w:asciiTheme="minorAscii" w:hAnsiTheme="minorAscii"/>
          <w:b/>
          <w:bCs/>
          <w:color w:val="auto"/>
          <w:sz w:val="32"/>
          <w:lang w:val="en-US" w:eastAsia="zh-CN"/>
        </w:rPr>
        <w:t>一是</w:t>
      </w:r>
      <w:r>
        <w:rPr>
          <w:rFonts w:hint="eastAsia" w:eastAsia="仿宋_GB2312" w:cs="仿宋_GB2312" w:asciiTheme="minorAscii" w:hAnsiTheme="minorAscii"/>
          <w:color w:val="auto"/>
          <w:sz w:val="32"/>
          <w:lang w:val="en-US" w:eastAsia="zh-CN"/>
        </w:rPr>
        <w:t>构建公平有序的市场环境。推行“一业一证”改革，简化审批程序，围绕“五个零”工作法和四个“一日办”，优化政府采购环境，全县新增市场主体</w:t>
      </w:r>
      <w:r>
        <w:rPr>
          <w:rFonts w:hint="eastAsia" w:ascii="仿宋_GB2312" w:hAnsi="仿宋_GB2312" w:eastAsia="仿宋_GB2312" w:cs="仿宋_GB2312"/>
          <w:color w:val="auto"/>
          <w:sz w:val="32"/>
          <w:lang w:val="en-US" w:eastAsia="zh-CN"/>
        </w:rPr>
        <w:t>5034</w:t>
      </w:r>
      <w:r>
        <w:rPr>
          <w:rFonts w:hint="eastAsia" w:eastAsia="仿宋_GB2312" w:cs="仿宋_GB2312" w:asciiTheme="minorAscii" w:hAnsiTheme="minorAscii"/>
          <w:color w:val="auto"/>
          <w:sz w:val="32"/>
          <w:lang w:val="en-US" w:eastAsia="zh-CN"/>
        </w:rPr>
        <w:t>户，同比增长</w:t>
      </w:r>
      <w:r>
        <w:rPr>
          <w:rFonts w:hint="eastAsia" w:ascii="仿宋_GB2312" w:hAnsi="仿宋_GB2312" w:eastAsia="仿宋_GB2312" w:cs="仿宋_GB2312"/>
          <w:color w:val="auto"/>
          <w:sz w:val="32"/>
          <w:lang w:val="en-US" w:eastAsia="zh-CN"/>
        </w:rPr>
        <w:t>8.17%</w:t>
      </w:r>
      <w:r>
        <w:rPr>
          <w:rFonts w:hint="eastAsia" w:eastAsia="仿宋_GB2312" w:cs="仿宋_GB2312" w:asciiTheme="minorAscii" w:hAnsiTheme="minorAscii"/>
          <w:color w:val="auto"/>
          <w:sz w:val="32"/>
          <w:lang w:val="en-US" w:eastAsia="zh-CN"/>
        </w:rPr>
        <w:t>；</w:t>
      </w:r>
      <w:r>
        <w:rPr>
          <w:rFonts w:hint="eastAsia" w:eastAsia="仿宋_GB2312" w:cs="仿宋_GB2312" w:asciiTheme="minorAscii" w:hAnsiTheme="minorAscii"/>
          <w:b/>
          <w:bCs/>
          <w:color w:val="auto"/>
          <w:sz w:val="32"/>
          <w:lang w:val="en-US" w:eastAsia="zh-CN"/>
        </w:rPr>
        <w:t>二是</w:t>
      </w:r>
      <w:r>
        <w:rPr>
          <w:rFonts w:hint="eastAsia" w:eastAsia="仿宋_GB2312" w:cs="仿宋_GB2312" w:asciiTheme="minorAscii" w:hAnsiTheme="minorAscii"/>
          <w:color w:val="auto"/>
          <w:sz w:val="32"/>
          <w:lang w:val="en-US" w:eastAsia="zh-CN"/>
        </w:rPr>
        <w:t>营造公正高效的法治环境。推动执法部门落实柔性执法措施，实施宽容监管。通过税务清查、法院执行等方式清退失信主体</w:t>
      </w:r>
      <w:r>
        <w:rPr>
          <w:rFonts w:hint="eastAsia" w:ascii="仿宋_GB2312" w:hAnsi="仿宋_GB2312" w:eastAsia="仿宋_GB2312" w:cs="仿宋_GB2312"/>
          <w:color w:val="auto"/>
          <w:sz w:val="32"/>
          <w:lang w:val="en-US" w:eastAsia="zh-CN"/>
        </w:rPr>
        <w:t>52</w:t>
      </w:r>
      <w:r>
        <w:rPr>
          <w:rFonts w:hint="eastAsia" w:eastAsia="仿宋_GB2312" w:cs="仿宋_GB2312" w:asciiTheme="minorAscii" w:hAnsiTheme="minorAscii"/>
          <w:color w:val="auto"/>
          <w:sz w:val="32"/>
          <w:lang w:val="en-US" w:eastAsia="zh-CN"/>
        </w:rPr>
        <w:t>家，帮助</w:t>
      </w:r>
      <w:r>
        <w:rPr>
          <w:rFonts w:hint="eastAsia" w:ascii="仿宋_GB2312" w:hAnsi="仿宋_GB2312" w:eastAsia="仿宋_GB2312" w:cs="仿宋_GB2312"/>
          <w:color w:val="auto"/>
          <w:sz w:val="32"/>
          <w:lang w:val="en-US" w:eastAsia="zh-CN"/>
        </w:rPr>
        <w:t>60</w:t>
      </w:r>
      <w:r>
        <w:rPr>
          <w:rFonts w:hint="eastAsia" w:eastAsia="仿宋_GB2312" w:cs="仿宋_GB2312" w:asciiTheme="minorAscii" w:hAnsiTheme="minorAscii"/>
          <w:color w:val="auto"/>
          <w:sz w:val="32"/>
          <w:lang w:val="en-US" w:eastAsia="zh-CN"/>
        </w:rPr>
        <w:t>余家企业进行信用修复；“信易+不动产”创新应用入选全国优秀信用案例。普法工作受到司法部、全国普法办通报表扬。</w:t>
      </w:r>
      <w:r>
        <w:rPr>
          <w:rFonts w:hint="eastAsia" w:eastAsia="仿宋_GB2312" w:cs="仿宋_GB2312" w:asciiTheme="minorAscii" w:hAnsiTheme="minorAscii"/>
          <w:b/>
          <w:bCs/>
          <w:color w:val="auto"/>
          <w:sz w:val="32"/>
          <w:lang w:val="en-US" w:eastAsia="zh-CN"/>
        </w:rPr>
        <w:t>三是</w:t>
      </w:r>
      <w:r>
        <w:rPr>
          <w:rFonts w:hint="eastAsia" w:eastAsia="仿宋_GB2312" w:cs="仿宋_GB2312" w:asciiTheme="minorAscii" w:hAnsiTheme="minorAscii"/>
          <w:color w:val="auto"/>
          <w:sz w:val="32"/>
          <w:lang w:val="en-US" w:eastAsia="zh-CN"/>
        </w:rPr>
        <w:t>打造便捷高效的政务环境。推行“竣工即备案”新型工作模式，节约</w:t>
      </w:r>
      <w:r>
        <w:rPr>
          <w:rFonts w:hint="eastAsia" w:ascii="仿宋_GB2312" w:hAnsi="仿宋_GB2312" w:eastAsia="仿宋_GB2312" w:cs="仿宋_GB2312"/>
          <w:color w:val="auto"/>
          <w:sz w:val="32"/>
          <w:lang w:val="en-US" w:eastAsia="zh-CN"/>
        </w:rPr>
        <w:t>15</w:t>
      </w:r>
      <w:r>
        <w:rPr>
          <w:rFonts w:hint="eastAsia" w:eastAsia="仿宋_GB2312" w:cs="仿宋_GB2312" w:asciiTheme="minorAscii" w:hAnsiTheme="minorAscii"/>
          <w:color w:val="auto"/>
          <w:sz w:val="32"/>
          <w:lang w:val="en-US" w:eastAsia="zh-CN"/>
        </w:rPr>
        <w:t>个工作日。针对同一阶段的工程审批事项，进行合并办理。深化“高效办成一件事”改革，</w:t>
      </w:r>
      <w:r>
        <w:rPr>
          <w:rFonts w:hint="eastAsia" w:ascii="仿宋_GB2312" w:hAnsi="仿宋_GB2312" w:eastAsia="仿宋_GB2312" w:cs="仿宋_GB2312"/>
          <w:color w:val="auto"/>
          <w:sz w:val="32"/>
          <w:lang w:val="en-US" w:eastAsia="zh-CN"/>
        </w:rPr>
        <w:t>125</w:t>
      </w:r>
      <w:r>
        <w:rPr>
          <w:rFonts w:hint="eastAsia" w:eastAsia="仿宋_GB2312" w:cs="仿宋_GB2312" w:asciiTheme="minorAscii" w:hAnsiTheme="minorAscii"/>
          <w:color w:val="auto"/>
          <w:sz w:val="32"/>
          <w:lang w:val="en-US" w:eastAsia="zh-CN"/>
        </w:rPr>
        <w:t>项政务服务事项实现一次办妥，政务服务更加高效便利。</w:t>
      </w:r>
    </w:p>
    <w:p w14:paraId="4A90DAC5">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hint="eastAsia" w:ascii="楷体_GB2312" w:hAnsi="楷体_GB2312" w:eastAsia="楷体_GB2312" w:cs="楷体_GB2312"/>
          <w:b w:val="0"/>
          <w:bCs/>
          <w:color w:val="000000"/>
          <w:spacing w:val="0"/>
          <w:kern w:val="0"/>
          <w:sz w:val="32"/>
          <w:szCs w:val="32"/>
          <w:highlight w:val="none"/>
          <w:lang w:val="en-US" w:eastAsia="zh-CN" w:bidi="ar"/>
        </w:rPr>
      </w:pPr>
      <w:r>
        <w:rPr>
          <w:rFonts w:hint="eastAsia" w:ascii="楷体_GB2312" w:hAnsi="楷体_GB2312" w:eastAsia="楷体_GB2312" w:cs="楷体_GB2312"/>
          <w:b w:val="0"/>
          <w:bCs/>
          <w:color w:val="000000"/>
          <w:spacing w:val="0"/>
          <w:kern w:val="0"/>
          <w:sz w:val="32"/>
          <w:szCs w:val="32"/>
          <w:highlight w:val="none"/>
          <w:lang w:val="en-US" w:eastAsia="zh-CN" w:bidi="ar"/>
        </w:rPr>
        <w:t>（三）强化组织，筑牢安全生产防线</w:t>
      </w:r>
    </w:p>
    <w:p w14:paraId="02816D23">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left="0" w:leftChars="0" w:firstLine="643" w:firstLineChars="200"/>
        <w:jc w:val="both"/>
        <w:textAlignment w:val="auto"/>
        <w:rPr>
          <w:rFonts w:hint="eastAsia" w:ascii="仿宋_GB2312" w:hAnsi="仿宋_GB2312" w:eastAsia="仿宋_GB2312" w:cs="仿宋_GB2312"/>
          <w:b w:val="0"/>
          <w:bCs/>
          <w:color w:val="000000"/>
          <w:spacing w:val="0"/>
          <w:kern w:val="0"/>
          <w:sz w:val="32"/>
          <w:szCs w:val="32"/>
          <w:highlight w:val="none"/>
          <w:lang w:val="en-US" w:eastAsia="zh-CN" w:bidi="ar"/>
        </w:rPr>
      </w:pPr>
      <w:r>
        <w:rPr>
          <w:rFonts w:hint="eastAsia" w:ascii="仿宋_GB2312" w:hAnsi="仿宋_GB2312" w:eastAsia="仿宋_GB2312" w:cs="仿宋_GB2312"/>
          <w:b/>
          <w:bCs w:val="0"/>
          <w:color w:val="000000"/>
          <w:spacing w:val="0"/>
          <w:kern w:val="0"/>
          <w:sz w:val="32"/>
          <w:szCs w:val="32"/>
          <w:highlight w:val="none"/>
          <w:lang w:val="en-US" w:eastAsia="zh-CN" w:bidi="ar"/>
        </w:rPr>
        <w:t>一是</w:t>
      </w:r>
      <w:r>
        <w:rPr>
          <w:rFonts w:hint="eastAsia" w:ascii="仿宋_GB2312" w:hAnsi="仿宋_GB2312" w:eastAsia="仿宋_GB2312" w:cs="仿宋_GB2312"/>
          <w:b w:val="0"/>
          <w:bCs/>
          <w:color w:val="000000"/>
          <w:spacing w:val="0"/>
          <w:kern w:val="0"/>
          <w:sz w:val="32"/>
          <w:szCs w:val="32"/>
          <w:highlight w:val="none"/>
          <w:lang w:val="en-US" w:eastAsia="zh-CN" w:bidi="ar"/>
        </w:rPr>
        <w:t>印发《</w:t>
      </w:r>
      <w:r>
        <w:rPr>
          <w:rFonts w:hint="eastAsia" w:ascii="仿宋_GB2312" w:hAnsi="仿宋_GB2312" w:eastAsia="仿宋_GB2312" w:cs="仿宋_GB2312"/>
          <w:color w:val="auto"/>
          <w:sz w:val="32"/>
          <w:lang w:val="en-US" w:eastAsia="zh-CN"/>
        </w:rPr>
        <w:t>2024</w:t>
      </w:r>
      <w:r>
        <w:rPr>
          <w:rFonts w:hint="eastAsia" w:ascii="仿宋_GB2312" w:hAnsi="仿宋_GB2312" w:eastAsia="仿宋_GB2312" w:cs="仿宋_GB2312"/>
          <w:b w:val="0"/>
          <w:bCs/>
          <w:color w:val="000000"/>
          <w:spacing w:val="0"/>
          <w:kern w:val="0"/>
          <w:sz w:val="32"/>
          <w:szCs w:val="32"/>
          <w:highlight w:val="none"/>
          <w:lang w:val="en-US" w:eastAsia="zh-CN" w:bidi="ar"/>
        </w:rPr>
        <w:t>年度防汛应急预案》，及时调整防汛工作领导小组和防汛突击队，逐企业落实防汛物资储备情况，时刻做到有备无患，确保储粮安全度夏度汛。</w:t>
      </w:r>
      <w:r>
        <w:rPr>
          <w:rFonts w:hint="eastAsia" w:ascii="仿宋_GB2312" w:hAnsi="仿宋_GB2312" w:eastAsia="仿宋_GB2312" w:cs="仿宋_GB2312"/>
          <w:b/>
          <w:bCs w:val="0"/>
          <w:color w:val="000000"/>
          <w:spacing w:val="0"/>
          <w:kern w:val="0"/>
          <w:sz w:val="32"/>
          <w:szCs w:val="32"/>
          <w:highlight w:val="none"/>
          <w:lang w:val="en-US" w:eastAsia="zh-CN" w:bidi="ar"/>
        </w:rPr>
        <w:t>二是</w:t>
      </w:r>
      <w:r>
        <w:rPr>
          <w:rFonts w:hint="eastAsia" w:ascii="仿宋_GB2312" w:hAnsi="仿宋_GB2312" w:eastAsia="仿宋_GB2312" w:cs="仿宋_GB2312"/>
          <w:b w:val="0"/>
          <w:bCs/>
          <w:color w:val="000000"/>
          <w:spacing w:val="0"/>
          <w:kern w:val="0"/>
          <w:sz w:val="32"/>
          <w:szCs w:val="32"/>
          <w:highlight w:val="none"/>
          <w:lang w:val="en-US" w:eastAsia="zh-CN" w:bidi="ar"/>
        </w:rPr>
        <w:t>深化安全储粮和生产检查，</w:t>
      </w:r>
      <w:r>
        <w:rPr>
          <w:rFonts w:hint="eastAsia" w:ascii="仿宋_GB2312" w:hAnsi="仿宋_GB2312" w:eastAsia="仿宋_GB2312" w:cs="仿宋_GB2312"/>
          <w:b w:val="0"/>
          <w:bCs/>
          <w:spacing w:val="0"/>
          <w:sz w:val="32"/>
          <w:szCs w:val="32"/>
          <w:lang w:val="en-US" w:eastAsia="zh-CN"/>
        </w:rPr>
        <w:t>对</w:t>
      </w:r>
      <w:r>
        <w:rPr>
          <w:rFonts w:hint="eastAsia" w:ascii="仿宋_GB2312" w:hAnsi="仿宋_GB2312" w:eastAsia="仿宋_GB2312" w:cs="仿宋_GB2312"/>
          <w:spacing w:val="0"/>
          <w:sz w:val="32"/>
          <w:szCs w:val="32"/>
          <w:lang w:val="en-US" w:eastAsia="zh-CN"/>
        </w:rPr>
        <w:t>东环库点等9个仓房以及4家承担政策性粮油收储</w:t>
      </w:r>
      <w:r>
        <w:rPr>
          <w:rFonts w:hint="eastAsia" w:ascii="仿宋_GB2312" w:hAnsi="仿宋_GB2312" w:eastAsia="仿宋_GB2312" w:cs="仿宋_GB2312"/>
          <w:spacing w:val="0"/>
          <w:sz w:val="32"/>
          <w:szCs w:val="32"/>
          <w:highlight w:val="none"/>
          <w:lang w:val="en-US" w:eastAsia="zh-CN"/>
        </w:rPr>
        <w:t>及救灾物资储备单位进行全面检查，经核查，27000吨县级储备粮、43004吨政策性粮食，均数量真实，储存安全；</w:t>
      </w:r>
      <w:r>
        <w:rPr>
          <w:rFonts w:hint="default" w:ascii="仿宋_GB2312" w:hAnsi="仿宋_GB2312" w:eastAsia="仿宋_GB2312" w:cs="仿宋_GB2312"/>
          <w:spacing w:val="0"/>
          <w:sz w:val="32"/>
          <w:szCs w:val="32"/>
          <w:highlight w:val="none"/>
          <w:lang w:val="en-US" w:eastAsia="zh-CN"/>
        </w:rPr>
        <w:t>新增8000吨县级储备粮</w:t>
      </w:r>
      <w:r>
        <w:rPr>
          <w:rFonts w:hint="eastAsia" w:ascii="仿宋_GB2312" w:hAnsi="仿宋_GB2312" w:eastAsia="仿宋_GB2312" w:cs="仿宋_GB2312"/>
          <w:spacing w:val="0"/>
          <w:sz w:val="32"/>
          <w:szCs w:val="32"/>
          <w:highlight w:val="none"/>
          <w:lang w:val="en-US" w:eastAsia="zh-CN"/>
        </w:rPr>
        <w:t>收购工作已完成，目前</w:t>
      </w:r>
      <w:r>
        <w:rPr>
          <w:rFonts w:hint="default" w:ascii="仿宋_GB2312" w:hAnsi="仿宋_GB2312" w:eastAsia="仿宋_GB2312" w:cs="仿宋_GB2312"/>
          <w:spacing w:val="0"/>
          <w:sz w:val="32"/>
          <w:szCs w:val="32"/>
          <w:highlight w:val="none"/>
          <w:lang w:val="en-US" w:eastAsia="zh-CN"/>
        </w:rPr>
        <w:t>县级储备粮规模</w:t>
      </w:r>
      <w:r>
        <w:rPr>
          <w:rFonts w:hint="eastAsia" w:ascii="仿宋_GB2312" w:hAnsi="仿宋_GB2312" w:eastAsia="仿宋_GB2312" w:cs="仿宋_GB2312"/>
          <w:spacing w:val="0"/>
          <w:sz w:val="32"/>
          <w:szCs w:val="32"/>
          <w:highlight w:val="none"/>
          <w:lang w:val="en-US" w:eastAsia="zh-CN"/>
        </w:rPr>
        <w:t>已达到</w:t>
      </w:r>
      <w:r>
        <w:rPr>
          <w:rFonts w:hint="default" w:ascii="仿宋_GB2312" w:hAnsi="仿宋_GB2312" w:eastAsia="仿宋_GB2312" w:cs="仿宋_GB2312"/>
          <w:spacing w:val="0"/>
          <w:sz w:val="32"/>
          <w:szCs w:val="32"/>
          <w:highlight w:val="none"/>
          <w:lang w:val="en-US" w:eastAsia="zh-CN"/>
        </w:rPr>
        <w:t>3.5万吨。</w:t>
      </w:r>
      <w:r>
        <w:rPr>
          <w:rFonts w:hint="eastAsia" w:ascii="仿宋_GB2312" w:hAnsi="仿宋_GB2312" w:eastAsia="仿宋_GB2312" w:cs="仿宋_GB2312"/>
          <w:b/>
          <w:bCs/>
          <w:spacing w:val="0"/>
          <w:sz w:val="32"/>
          <w:szCs w:val="32"/>
          <w:highlight w:val="none"/>
          <w:u w:val="none"/>
          <w:lang w:eastAsia="zh-CN"/>
        </w:rPr>
        <w:t>三是</w:t>
      </w:r>
      <w:r>
        <w:rPr>
          <w:rFonts w:ascii="仿宋_GB2312" w:hAnsi="宋体" w:eastAsia="仿宋_GB2312" w:cs="仿宋_GB2312"/>
          <w:b w:val="0"/>
          <w:bCs w:val="0"/>
          <w:i w:val="0"/>
          <w:iCs w:val="0"/>
          <w:caps w:val="0"/>
          <w:spacing w:val="0"/>
          <w:sz w:val="32"/>
          <w:szCs w:val="32"/>
          <w:highlight w:val="none"/>
          <w:u w:val="none"/>
          <w:shd w:val="clear" w:color="auto" w:fill="FFFFFF"/>
        </w:rPr>
        <w:t>对我县油气长输管道</w:t>
      </w:r>
      <w:r>
        <w:rPr>
          <w:rFonts w:hint="eastAsia" w:ascii="仿宋_GB2312" w:hAnsi="宋体" w:eastAsia="仿宋_GB2312" w:cs="仿宋_GB2312"/>
          <w:b w:val="0"/>
          <w:bCs w:val="0"/>
          <w:i w:val="0"/>
          <w:iCs w:val="0"/>
          <w:caps w:val="0"/>
          <w:spacing w:val="0"/>
          <w:sz w:val="32"/>
          <w:szCs w:val="32"/>
          <w:highlight w:val="none"/>
          <w:u w:val="none"/>
          <w:shd w:val="clear" w:color="auto" w:fill="FFFFFF"/>
          <w:lang w:eastAsia="zh-CN"/>
        </w:rPr>
        <w:t>定期</w:t>
      </w:r>
      <w:r>
        <w:rPr>
          <w:rFonts w:ascii="仿宋_GB2312" w:hAnsi="宋体" w:eastAsia="仿宋_GB2312" w:cs="仿宋_GB2312"/>
          <w:b w:val="0"/>
          <w:bCs w:val="0"/>
          <w:i w:val="0"/>
          <w:iCs w:val="0"/>
          <w:caps w:val="0"/>
          <w:spacing w:val="0"/>
          <w:sz w:val="32"/>
          <w:szCs w:val="32"/>
          <w:highlight w:val="none"/>
          <w:u w:val="none"/>
          <w:shd w:val="clear" w:color="auto" w:fill="FFFFFF"/>
        </w:rPr>
        <w:t>进行安全生产专项检查。着重对重点地段、重点区域、关键设施以及防汛物资进行严格评估</w:t>
      </w:r>
      <w:r>
        <w:rPr>
          <w:rFonts w:hint="eastAsia" w:ascii="仿宋_GB2312" w:hAnsi="宋体" w:eastAsia="仿宋_GB2312" w:cs="仿宋_GB2312"/>
          <w:b w:val="0"/>
          <w:bCs w:val="0"/>
          <w:i w:val="0"/>
          <w:iCs w:val="0"/>
          <w:caps w:val="0"/>
          <w:spacing w:val="0"/>
          <w:sz w:val="32"/>
          <w:szCs w:val="32"/>
          <w:highlight w:val="none"/>
          <w:u w:val="none"/>
          <w:shd w:val="clear" w:color="auto" w:fill="FFFFFF"/>
          <w:lang w:eastAsia="zh-CN"/>
        </w:rPr>
        <w:t>，确保从源头上杜绝各类安全生产隐患。</w:t>
      </w:r>
    </w:p>
    <w:p w14:paraId="19FED4F9">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楷体_GB2312" w:hAnsi="楷体_GB2312" w:eastAsia="楷体_GB2312" w:cs="楷体_GB2312"/>
          <w:b w:val="0"/>
          <w:bCs w:val="0"/>
          <w:spacing w:val="0"/>
          <w:sz w:val="32"/>
          <w:szCs w:val="32"/>
          <w:highlight w:val="none"/>
          <w:u w:val="none"/>
          <w:lang w:val="en-US" w:eastAsia="zh-CN"/>
        </w:rPr>
      </w:pPr>
      <w:r>
        <w:rPr>
          <w:rFonts w:hint="eastAsia" w:ascii="楷体_GB2312" w:hAnsi="楷体_GB2312" w:eastAsia="楷体_GB2312" w:cs="楷体_GB2312"/>
          <w:b w:val="0"/>
          <w:bCs w:val="0"/>
          <w:spacing w:val="0"/>
          <w:sz w:val="32"/>
          <w:szCs w:val="32"/>
          <w:highlight w:val="none"/>
          <w:u w:val="none"/>
          <w:lang w:val="en-US" w:eastAsia="zh-CN"/>
        </w:rPr>
        <w:t>（四）严格把控，深入推动绿色低碳发展</w:t>
      </w:r>
    </w:p>
    <w:p w14:paraId="1C68C62B">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val="0"/>
          <w:bCs w:val="0"/>
          <w:color w:val="000000"/>
          <w:spacing w:val="0"/>
          <w:sz w:val="32"/>
          <w:szCs w:val="32"/>
          <w:highlight w:val="none"/>
          <w:u w:val="none"/>
          <w:lang w:val="en-US" w:eastAsia="zh-CN"/>
        </w:rPr>
      </w:pPr>
      <w:r>
        <w:rPr>
          <w:rFonts w:hint="eastAsia" w:ascii="仿宋_GB2312" w:hAnsi="仿宋_GB2312" w:eastAsia="仿宋_GB2312" w:cs="仿宋_GB2312"/>
          <w:b/>
          <w:bCs/>
          <w:spacing w:val="0"/>
          <w:sz w:val="32"/>
          <w:szCs w:val="32"/>
          <w:highlight w:val="none"/>
          <w:u w:val="none"/>
          <w:lang w:eastAsia="zh-CN"/>
        </w:rPr>
        <w:t>一是</w:t>
      </w:r>
      <w:r>
        <w:rPr>
          <w:rFonts w:hint="eastAsia" w:ascii="仿宋_GB2312" w:hAnsi="仿宋_GB2312" w:eastAsia="仿宋_GB2312" w:cs="仿宋_GB2312"/>
          <w:b w:val="0"/>
          <w:bCs w:val="0"/>
          <w:spacing w:val="0"/>
          <w:sz w:val="32"/>
          <w:szCs w:val="32"/>
          <w:highlight w:val="none"/>
          <w:u w:val="none"/>
          <w:lang w:val="en-US" w:eastAsia="zh-CN"/>
        </w:rPr>
        <w:t>以“双碳”为目标，加快招引、实施了一批重大新能源产业项目。截至目前，我县推进实施的新能源项目共14个，总规模1296MW（风电896MW、光电400MW），极大地提高了我县新能源发电量。</w:t>
      </w:r>
      <w:r>
        <w:rPr>
          <w:rFonts w:hint="eastAsia" w:ascii="仿宋_GB2312" w:hAnsi="仿宋_GB2312" w:eastAsia="仿宋_GB2312" w:cs="仿宋_GB2312"/>
          <w:b/>
          <w:bCs/>
          <w:color w:val="auto"/>
          <w:spacing w:val="0"/>
          <w:sz w:val="32"/>
          <w:szCs w:val="32"/>
          <w:highlight w:val="none"/>
          <w:u w:val="none"/>
          <w:lang w:val="en-US" w:eastAsia="zh-CN"/>
        </w:rPr>
        <w:t>二是</w:t>
      </w:r>
      <w:r>
        <w:rPr>
          <w:rFonts w:hint="eastAsia" w:ascii="仿宋_GB2312" w:hAnsi="仿宋_GB2312" w:eastAsia="仿宋_GB2312" w:cs="仿宋_GB2312"/>
          <w:b w:val="0"/>
          <w:bCs w:val="0"/>
          <w:spacing w:val="0"/>
          <w:sz w:val="32"/>
          <w:szCs w:val="32"/>
          <w:highlight w:val="none"/>
          <w:u w:val="none"/>
          <w:lang w:val="en-US" w:eastAsia="zh-CN"/>
        </w:rPr>
        <w:t>严格落实能耗双控制</w:t>
      </w:r>
      <w:r>
        <w:rPr>
          <w:rFonts w:hint="eastAsia" w:ascii="仿宋_GB2312" w:hAnsi="仿宋_GB2312" w:eastAsia="仿宋_GB2312" w:cs="仿宋_GB2312"/>
          <w:b w:val="0"/>
          <w:bCs w:val="0"/>
          <w:spacing w:val="0"/>
          <w:sz w:val="32"/>
          <w:szCs w:val="32"/>
          <w:u w:val="none"/>
          <w:lang w:val="en-US" w:eastAsia="zh-CN"/>
        </w:rPr>
        <w:t>度。</w:t>
      </w:r>
      <w:r>
        <w:rPr>
          <w:rFonts w:hint="eastAsia" w:ascii="仿宋_GB2312" w:hAnsi="仿宋_GB2312" w:eastAsia="仿宋_GB2312" w:cs="仿宋_GB2312"/>
          <w:b w:val="0"/>
          <w:bCs w:val="0"/>
          <w:spacing w:val="0"/>
          <w:sz w:val="32"/>
          <w:szCs w:val="32"/>
          <w:u w:val="none"/>
        </w:rPr>
        <w:t>严把新增</w:t>
      </w:r>
      <w:r>
        <w:rPr>
          <w:rFonts w:hint="eastAsia" w:ascii="仿宋_GB2312" w:hAnsi="仿宋_GB2312" w:eastAsia="仿宋_GB2312" w:cs="仿宋_GB2312"/>
          <w:b w:val="0"/>
          <w:bCs w:val="0"/>
          <w:color w:val="000000"/>
          <w:spacing w:val="0"/>
          <w:sz w:val="32"/>
          <w:szCs w:val="32"/>
          <w:u w:val="none"/>
        </w:rPr>
        <w:t>项目关口</w:t>
      </w:r>
      <w:r>
        <w:rPr>
          <w:rFonts w:hint="eastAsia" w:ascii="仿宋_GB2312" w:hAnsi="仿宋_GB2312" w:eastAsia="仿宋_GB2312" w:cs="仿宋_GB2312"/>
          <w:b w:val="0"/>
          <w:bCs w:val="0"/>
          <w:color w:val="000000"/>
          <w:spacing w:val="0"/>
          <w:sz w:val="32"/>
          <w:szCs w:val="32"/>
          <w:u w:val="none"/>
          <w:lang w:eastAsia="zh-CN"/>
        </w:rPr>
        <w:t>，</w:t>
      </w:r>
      <w:r>
        <w:rPr>
          <w:rFonts w:hint="eastAsia" w:ascii="仿宋_GB2312" w:hAnsi="仿宋_GB2312" w:eastAsia="仿宋_GB2312" w:cs="仿宋_GB2312"/>
          <w:b w:val="0"/>
          <w:bCs w:val="0"/>
          <w:color w:val="000000"/>
          <w:spacing w:val="0"/>
          <w:sz w:val="32"/>
          <w:szCs w:val="32"/>
          <w:u w:val="none"/>
        </w:rPr>
        <w:t>执</w:t>
      </w:r>
      <w:r>
        <w:rPr>
          <w:rFonts w:hint="eastAsia" w:ascii="仿宋_GB2312" w:hAnsi="仿宋_GB2312" w:eastAsia="仿宋_GB2312" w:cs="仿宋_GB2312"/>
          <w:color w:val="000000"/>
          <w:spacing w:val="0"/>
          <w:sz w:val="32"/>
          <w:szCs w:val="32"/>
          <w:u w:val="none"/>
        </w:rPr>
        <w:t>行</w:t>
      </w:r>
      <w:r>
        <w:rPr>
          <w:rFonts w:hint="eastAsia" w:ascii="仿宋_GB2312" w:hAnsi="仿宋_GB2312" w:eastAsia="仿宋_GB2312" w:cs="仿宋_GB2312"/>
          <w:color w:val="000000"/>
          <w:spacing w:val="0"/>
          <w:sz w:val="32"/>
          <w:szCs w:val="32"/>
          <w:u w:val="none"/>
          <w:lang w:eastAsia="zh-CN"/>
        </w:rPr>
        <w:t>“</w:t>
      </w:r>
      <w:r>
        <w:rPr>
          <w:rFonts w:hint="eastAsia" w:ascii="仿宋_GB2312" w:hAnsi="仿宋_GB2312" w:eastAsia="仿宋_GB2312" w:cs="仿宋_GB2312"/>
          <w:color w:val="000000"/>
          <w:spacing w:val="0"/>
          <w:sz w:val="32"/>
          <w:szCs w:val="32"/>
          <w:u w:val="none"/>
          <w:lang w:val="en-US" w:eastAsia="zh-CN"/>
        </w:rPr>
        <w:t>两高</w:t>
      </w:r>
      <w:r>
        <w:rPr>
          <w:rFonts w:hint="eastAsia" w:ascii="仿宋_GB2312" w:hAnsi="仿宋_GB2312" w:eastAsia="仿宋_GB2312" w:cs="仿宋_GB2312"/>
          <w:color w:val="000000"/>
          <w:spacing w:val="0"/>
          <w:sz w:val="32"/>
          <w:szCs w:val="32"/>
          <w:u w:val="none"/>
          <w:lang w:eastAsia="zh-CN"/>
        </w:rPr>
        <w:t>”</w:t>
      </w:r>
      <w:r>
        <w:rPr>
          <w:rFonts w:hint="eastAsia" w:ascii="仿宋_GB2312" w:hAnsi="仿宋_GB2312" w:eastAsia="仿宋_GB2312" w:cs="仿宋_GB2312"/>
          <w:color w:val="000000"/>
          <w:spacing w:val="0"/>
          <w:sz w:val="32"/>
          <w:szCs w:val="32"/>
          <w:u w:val="none"/>
          <w:lang w:val="en-US" w:eastAsia="zh-CN"/>
        </w:rPr>
        <w:t>项目</w:t>
      </w:r>
      <w:r>
        <w:rPr>
          <w:rFonts w:hint="eastAsia" w:ascii="仿宋_GB2312" w:hAnsi="仿宋_GB2312" w:eastAsia="仿宋_GB2312" w:cs="仿宋_GB2312"/>
          <w:color w:val="000000"/>
          <w:spacing w:val="0"/>
          <w:sz w:val="32"/>
          <w:szCs w:val="32"/>
          <w:u w:val="none"/>
        </w:rPr>
        <w:t>联审会商机制，</w:t>
      </w:r>
      <w:r>
        <w:rPr>
          <w:rFonts w:hint="eastAsia" w:ascii="仿宋_GB2312" w:hAnsi="仿宋_GB2312" w:eastAsia="仿宋_GB2312" w:cs="仿宋_GB2312"/>
          <w:color w:val="000000"/>
          <w:spacing w:val="0"/>
          <w:sz w:val="32"/>
          <w:szCs w:val="32"/>
          <w:highlight w:val="none"/>
          <w:u w:val="none"/>
        </w:rPr>
        <w:t>加强源头防控，严控新</w:t>
      </w:r>
      <w:r>
        <w:rPr>
          <w:rFonts w:hint="eastAsia" w:ascii="仿宋_GB2312" w:hAnsi="仿宋_GB2312" w:eastAsia="仿宋_GB2312" w:cs="仿宋_GB2312"/>
          <w:color w:val="000000"/>
          <w:spacing w:val="0"/>
          <w:sz w:val="32"/>
          <w:szCs w:val="32"/>
          <w:highlight w:val="none"/>
          <w:u w:val="none"/>
          <w:lang w:eastAsia="zh-CN"/>
        </w:rPr>
        <w:t>（改、扩）</w:t>
      </w:r>
      <w:r>
        <w:rPr>
          <w:rFonts w:hint="eastAsia" w:ascii="仿宋_GB2312" w:hAnsi="仿宋_GB2312" w:eastAsia="仿宋_GB2312" w:cs="仿宋_GB2312"/>
          <w:color w:val="000000"/>
          <w:spacing w:val="0"/>
          <w:sz w:val="32"/>
          <w:szCs w:val="32"/>
          <w:highlight w:val="none"/>
          <w:u w:val="none"/>
        </w:rPr>
        <w:t>建“两高”项目</w:t>
      </w:r>
      <w:r>
        <w:rPr>
          <w:rFonts w:hint="eastAsia" w:ascii="仿宋_GB2312" w:hAnsi="仿宋_GB2312" w:eastAsia="仿宋_GB2312" w:cs="仿宋_GB2312"/>
          <w:color w:val="000000"/>
          <w:spacing w:val="0"/>
          <w:sz w:val="32"/>
          <w:szCs w:val="32"/>
          <w:highlight w:val="none"/>
          <w:u w:val="none"/>
          <w:lang w:eastAsia="zh-CN"/>
        </w:rPr>
        <w:t>，</w:t>
      </w:r>
      <w:r>
        <w:rPr>
          <w:rFonts w:hint="eastAsia" w:ascii="仿宋_GB2312" w:hAnsi="仿宋_GB2312" w:eastAsia="仿宋_GB2312" w:cs="仿宋_GB2312"/>
          <w:b w:val="0"/>
          <w:bCs w:val="0"/>
          <w:color w:val="000000"/>
          <w:spacing w:val="0"/>
          <w:sz w:val="32"/>
          <w:szCs w:val="32"/>
          <w:highlight w:val="none"/>
          <w:u w:val="none"/>
          <w:lang w:val="en-US" w:eastAsia="zh-CN"/>
        </w:rPr>
        <w:t>遏制高耗能项目盲目发展；严抓能源消费“双控”目标，主动开展节能监察工作，对我县9家省重点用能企业，逐年分批次开展现场监察。</w:t>
      </w:r>
      <w:r>
        <w:rPr>
          <w:rFonts w:hint="eastAsia" w:ascii="仿宋_GB2312" w:hAnsi="仿宋_GB2312" w:eastAsia="仿宋_GB2312" w:cs="仿宋_GB2312"/>
          <w:b/>
          <w:bCs/>
          <w:color w:val="000000"/>
          <w:spacing w:val="0"/>
          <w:sz w:val="32"/>
          <w:szCs w:val="32"/>
          <w:highlight w:val="none"/>
          <w:u w:val="none"/>
          <w:lang w:val="en-US" w:eastAsia="zh-CN"/>
        </w:rPr>
        <w:t>三是</w:t>
      </w:r>
      <w:r>
        <w:rPr>
          <w:rFonts w:hint="eastAsia" w:ascii="仿宋_GB2312" w:hAnsi="仿宋_GB2312" w:eastAsia="仿宋_GB2312" w:cs="仿宋_GB2312"/>
          <w:b w:val="0"/>
          <w:bCs w:val="0"/>
          <w:color w:val="000000"/>
          <w:spacing w:val="0"/>
          <w:sz w:val="32"/>
          <w:szCs w:val="32"/>
          <w:highlight w:val="none"/>
          <w:u w:val="none"/>
          <w:lang w:val="en-US" w:eastAsia="zh-CN"/>
        </w:rPr>
        <w:t>大力推动“双新”工作，积极谋划储备相关领域的设备更新项目和循环回收利用项目。</w:t>
      </w:r>
    </w:p>
    <w:p w14:paraId="7EA9F3A7">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（五）规范程序，全面落实依法决策</w:t>
      </w:r>
    </w:p>
    <w:p w14:paraId="6041B9E9">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default" w:eastAsia="仿宋_GB2312" w:cs="仿宋_GB2312" w:asciiTheme="minorAscii" w:hAnsiTheme="minorAscii"/>
          <w:color w:val="auto"/>
          <w:sz w:val="32"/>
          <w:lang w:val="en-US" w:eastAsia="zh-CN"/>
        </w:rPr>
      </w:pPr>
      <w:r>
        <w:rPr>
          <w:rFonts w:hint="eastAsia" w:ascii="仿宋_GB2312" w:hAnsi="仿宋_GB2312" w:eastAsia="仿宋_GB2312" w:cs="仿宋_GB2312"/>
          <w:b/>
          <w:bCs/>
          <w:color w:val="000000"/>
          <w:spacing w:val="0"/>
          <w:sz w:val="32"/>
          <w:szCs w:val="32"/>
          <w:highlight w:val="none"/>
          <w:u w:val="none"/>
          <w:lang w:val="en-US" w:eastAsia="zh-CN"/>
        </w:rPr>
        <w:t>一是</w:t>
      </w:r>
      <w:r>
        <w:rPr>
          <w:rFonts w:hint="eastAsia" w:ascii="仿宋_GB2312" w:hAnsi="仿宋_GB2312" w:eastAsia="仿宋_GB2312" w:cs="仿宋_GB2312"/>
          <w:b w:val="0"/>
          <w:bCs w:val="0"/>
          <w:color w:val="000000"/>
          <w:spacing w:val="0"/>
          <w:sz w:val="32"/>
          <w:szCs w:val="32"/>
          <w:highlight w:val="none"/>
          <w:u w:val="none"/>
          <w:lang w:val="en-US" w:eastAsia="zh-CN"/>
        </w:rPr>
        <w:t>把征求意见、专家论证、合法性审查、集体讨论作为决策程序的重要环节，所有重大行政决策事项始终严格执行《重大行政决策程序暂行条例》规定，以确保决策的科学性、民主性和合法性。</w:t>
      </w:r>
      <w:r>
        <w:rPr>
          <w:rFonts w:hint="eastAsia" w:ascii="仿宋_GB2312" w:hAnsi="仿宋_GB2312" w:eastAsia="仿宋_GB2312" w:cs="仿宋_GB2312"/>
          <w:b/>
          <w:bCs/>
          <w:color w:val="000000"/>
          <w:spacing w:val="0"/>
          <w:sz w:val="32"/>
          <w:szCs w:val="32"/>
          <w:highlight w:val="none"/>
          <w:u w:val="none"/>
          <w:lang w:val="en-US" w:eastAsia="zh-CN"/>
        </w:rPr>
        <w:t>二是</w:t>
      </w:r>
      <w:r>
        <w:rPr>
          <w:rFonts w:hint="eastAsia" w:ascii="仿宋_GB2312" w:hAnsi="仿宋_GB2312" w:eastAsia="仿宋_GB2312" w:cs="仿宋_GB2312"/>
          <w:b w:val="0"/>
          <w:bCs w:val="0"/>
          <w:color w:val="000000"/>
          <w:spacing w:val="0"/>
          <w:sz w:val="32"/>
          <w:szCs w:val="32"/>
          <w:highlight w:val="none"/>
          <w:u w:val="none"/>
          <w:lang w:val="en-US" w:eastAsia="zh-CN"/>
        </w:rPr>
        <w:t>坚决执行规范性文件和项目批复的法制审核前置程序，任何文件在未经合法性审查之前，均不得印发实施。2024年，审核通过文件及批复350余份。</w:t>
      </w:r>
      <w:r>
        <w:rPr>
          <w:rFonts w:hint="eastAsia" w:ascii="仿宋_GB2312" w:hAnsi="仿宋_GB2312" w:eastAsia="仿宋_GB2312" w:cs="仿宋_GB2312"/>
          <w:b/>
          <w:bCs/>
          <w:color w:val="000000"/>
          <w:spacing w:val="0"/>
          <w:sz w:val="32"/>
          <w:szCs w:val="32"/>
          <w:highlight w:val="none"/>
          <w:u w:val="none"/>
          <w:lang w:val="en-US" w:eastAsia="zh-CN"/>
        </w:rPr>
        <w:t>三是</w:t>
      </w:r>
      <w:r>
        <w:rPr>
          <w:rFonts w:hint="eastAsia" w:ascii="仿宋_GB2312" w:hAnsi="仿宋_GB2312" w:eastAsia="仿宋_GB2312" w:cs="仿宋_GB2312"/>
          <w:b w:val="0"/>
          <w:bCs w:val="0"/>
          <w:color w:val="000000"/>
          <w:spacing w:val="0"/>
          <w:sz w:val="32"/>
          <w:szCs w:val="32"/>
          <w:highlight w:val="none"/>
          <w:u w:val="none"/>
          <w:lang w:val="en-US" w:eastAsia="zh-CN"/>
        </w:rPr>
        <w:t>自觉接受人大监督和民主监督，不断提高依法行政水平。今年，共承办人大代表建议2件和政协委员提案7件，代表和委员满意率100%。</w:t>
      </w:r>
      <w:r>
        <w:rPr>
          <w:rFonts w:hint="eastAsia" w:ascii="仿宋_GB2312" w:hAnsi="仿宋_GB2312" w:eastAsia="仿宋_GB2312" w:cs="仿宋_GB2312"/>
          <w:b/>
          <w:bCs/>
          <w:color w:val="000000"/>
          <w:spacing w:val="0"/>
          <w:sz w:val="32"/>
          <w:szCs w:val="32"/>
          <w:highlight w:val="none"/>
          <w:u w:val="none"/>
          <w:lang w:val="en-US" w:eastAsia="zh-CN"/>
        </w:rPr>
        <w:t>四是</w:t>
      </w:r>
      <w:r>
        <w:rPr>
          <w:rFonts w:hint="eastAsia" w:ascii="仿宋_GB2312" w:hAnsi="仿宋_GB2312" w:eastAsia="仿宋_GB2312" w:cs="仿宋_GB2312"/>
          <w:b w:val="0"/>
          <w:bCs w:val="0"/>
          <w:color w:val="000000"/>
          <w:spacing w:val="0"/>
          <w:sz w:val="32"/>
          <w:szCs w:val="32"/>
          <w:highlight w:val="none"/>
          <w:u w:val="none"/>
          <w:lang w:val="en-US" w:eastAsia="zh-CN"/>
        </w:rPr>
        <w:t>持续落实法律顾问工作。积极邀请法律顾问参与我委重大行政决策，重要行政行为，重要法律文书、合同的起草、审查，重大行政复议、诉讼等事务88次，有效提升我委依法决策水平。</w:t>
      </w:r>
    </w:p>
    <w:p w14:paraId="7561C698">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（六）加强宣传，营造浓厚法治氛围</w:t>
      </w:r>
    </w:p>
    <w:p w14:paraId="28A7D164">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i w:val="0"/>
          <w:iCs w:val="0"/>
          <w:caps w:val="0"/>
          <w:color w:val="333333"/>
          <w:spacing w:val="0"/>
          <w:sz w:val="32"/>
          <w:szCs w:val="32"/>
          <w:shd w:val="clear" w:fill="FFFFFF"/>
        </w:rPr>
      </w:pPr>
      <w:r>
        <w:rPr>
          <w:rFonts w:hint="eastAsia" w:eastAsia="仿宋_GB2312" w:cs="仿宋_GB2312" w:asciiTheme="minorAscii" w:hAnsiTheme="minorAscii"/>
          <w:color w:val="auto"/>
          <w:sz w:val="32"/>
          <w:lang w:val="en-US" w:eastAsia="zh-CN"/>
        </w:rPr>
        <w:t>组织全委干部职工利用“宪法宣传周”“</w:t>
      </w:r>
      <w:r>
        <w:rPr>
          <w:rFonts w:hint="eastAsia" w:ascii="仿宋_GB2312" w:hAnsi="仿宋_GB2312" w:eastAsia="仿宋_GB2312" w:cs="仿宋_GB2312"/>
          <w:color w:val="auto"/>
          <w:kern w:val="2"/>
          <w:sz w:val="32"/>
          <w:szCs w:val="24"/>
          <w:lang w:val="en-US" w:eastAsia="zh-CN" w:bidi="ar-SA"/>
        </w:rPr>
        <w:t>3·15</w:t>
      </w:r>
      <w:r>
        <w:rPr>
          <w:rFonts w:hint="eastAsia" w:eastAsia="仿宋_GB2312" w:cs="仿宋_GB2312" w:asciiTheme="minorAscii" w:hAnsiTheme="minorAscii"/>
          <w:color w:val="auto"/>
          <w:sz w:val="32"/>
          <w:lang w:val="en-US" w:eastAsia="zh-CN"/>
        </w:rPr>
        <w:t>消费者权益日”“节能宣传周”“安全生产月”“</w:t>
      </w:r>
      <w:r>
        <w:rPr>
          <w:rFonts w:hint="eastAsia" w:ascii="仿宋_GB2312" w:hAnsi="仿宋_GB2312" w:eastAsia="仿宋_GB2312" w:cs="仿宋_GB2312"/>
          <w:color w:val="auto"/>
          <w:kern w:val="2"/>
          <w:sz w:val="32"/>
          <w:szCs w:val="24"/>
          <w:lang w:val="en-US" w:eastAsia="zh-CN" w:bidi="ar-SA"/>
        </w:rPr>
        <w:t>6·14</w:t>
      </w:r>
      <w:r>
        <w:rPr>
          <w:rFonts w:hint="eastAsia" w:eastAsia="仿宋_GB2312" w:cs="仿宋_GB2312" w:asciiTheme="minorAscii" w:hAnsiTheme="minorAscii"/>
          <w:color w:val="auto"/>
          <w:sz w:val="32"/>
          <w:lang w:val="en-US" w:eastAsia="zh-CN"/>
        </w:rPr>
        <w:t>信用关爱日”等特殊法治宣传活动节点，结合发改职能对能源、价格、粮食、信用等相关法律法规进行详细解读和广泛宣传。</w:t>
      </w:r>
      <w:r>
        <w:rPr>
          <w:rFonts w:hint="eastAsia" w:ascii="仿宋_GB2312" w:hAnsi="仿宋_GB2312" w:eastAsia="仿宋_GB2312" w:cs="仿宋_GB2312"/>
          <w:color w:val="auto"/>
          <w:kern w:val="2"/>
          <w:sz w:val="32"/>
          <w:szCs w:val="24"/>
          <w:lang w:val="en-US" w:eastAsia="zh-CN" w:bidi="ar-SA"/>
        </w:rPr>
        <w:t>2024</w:t>
      </w:r>
      <w:r>
        <w:rPr>
          <w:rFonts w:hint="eastAsia" w:eastAsia="仿宋_GB2312" w:cs="仿宋_GB2312" w:asciiTheme="minorAscii" w:hAnsiTheme="minorAscii"/>
          <w:color w:val="auto"/>
          <w:sz w:val="32"/>
          <w:lang w:val="en-US" w:eastAsia="zh-CN"/>
        </w:rPr>
        <w:t>年，共开展线上线下普法宣传活动</w:t>
      </w:r>
      <w:r>
        <w:rPr>
          <w:rFonts w:hint="eastAsia" w:ascii="仿宋_GB2312" w:hAnsi="仿宋_GB2312" w:eastAsia="仿宋_GB2312" w:cs="仿宋_GB2312"/>
          <w:color w:val="auto"/>
          <w:kern w:val="2"/>
          <w:sz w:val="32"/>
          <w:szCs w:val="24"/>
          <w:lang w:val="en-US" w:eastAsia="zh-CN" w:bidi="ar-SA"/>
        </w:rPr>
        <w:t>15</w:t>
      </w:r>
      <w:r>
        <w:rPr>
          <w:rFonts w:hint="eastAsia" w:eastAsia="仿宋_GB2312" w:cs="仿宋_GB2312" w:asciiTheme="minorAscii" w:hAnsiTheme="minorAscii"/>
          <w:color w:val="auto"/>
          <w:sz w:val="32"/>
          <w:lang w:val="en-US" w:eastAsia="zh-CN"/>
        </w:rPr>
        <w:t>次，展出法治展板、横幅</w:t>
      </w:r>
      <w:r>
        <w:rPr>
          <w:rFonts w:hint="eastAsia" w:ascii="仿宋_GB2312" w:hAnsi="仿宋_GB2312" w:eastAsia="仿宋_GB2312" w:cs="仿宋_GB2312"/>
          <w:color w:val="auto"/>
          <w:kern w:val="2"/>
          <w:sz w:val="32"/>
          <w:szCs w:val="24"/>
          <w:lang w:val="en-US" w:eastAsia="zh-CN" w:bidi="ar-SA"/>
        </w:rPr>
        <w:t>30</w:t>
      </w:r>
      <w:r>
        <w:rPr>
          <w:rFonts w:hint="eastAsia" w:eastAsia="仿宋_GB2312" w:cs="仿宋_GB2312" w:asciiTheme="minorAscii" w:hAnsiTheme="minorAscii"/>
          <w:color w:val="auto"/>
          <w:sz w:val="32"/>
          <w:lang w:val="en-US" w:eastAsia="zh-CN"/>
        </w:rPr>
        <w:t>余个、发放宣传资料800余份。</w:t>
      </w:r>
    </w:p>
    <w:p w14:paraId="2DF7F1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lang w:val="en-US" w:eastAsia="zh-CN"/>
        </w:rPr>
        <w:t>三、2024</w:t>
      </w:r>
      <w:r>
        <w:rPr>
          <w:rFonts w:hint="eastAsia" w:ascii="黑体" w:hAnsi="黑体" w:eastAsia="黑体" w:cs="黑体"/>
          <w:i w:val="0"/>
          <w:iCs w:val="0"/>
          <w:caps w:val="0"/>
          <w:color w:val="333333"/>
          <w:spacing w:val="0"/>
          <w:sz w:val="32"/>
          <w:szCs w:val="32"/>
          <w:shd w:val="clear" w:fill="FFFFFF"/>
        </w:rPr>
        <w:t>年度推进法治政府建设存在的不足和原因</w:t>
      </w:r>
    </w:p>
    <w:p w14:paraId="2388B199">
      <w:pPr>
        <w:ind w:firstLine="640" w:firstLineChars="200"/>
        <w:rPr>
          <w:rFonts w:hint="eastAsia" w:eastAsia="仿宋_GB2312" w:cs="仿宋_GB2312" w:asciiTheme="minorAscii" w:hAnsiTheme="minorAscii"/>
          <w:color w:val="auto"/>
          <w:sz w:val="32"/>
          <w:lang w:val="en-US" w:eastAsia="zh-CN"/>
        </w:rPr>
      </w:pPr>
      <w:r>
        <w:rPr>
          <w:rFonts w:hint="eastAsia" w:ascii="仿宋_GB2312" w:hAnsi="仿宋_GB2312" w:eastAsia="仿宋_GB2312" w:cs="仿宋_GB2312"/>
          <w:color w:val="auto"/>
          <w:kern w:val="2"/>
          <w:sz w:val="32"/>
          <w:szCs w:val="24"/>
          <w:lang w:val="en-US" w:eastAsia="zh-CN" w:bidi="ar-SA"/>
        </w:rPr>
        <w:t>2024</w:t>
      </w:r>
      <w:r>
        <w:rPr>
          <w:rFonts w:hint="eastAsia" w:eastAsia="仿宋_GB2312" w:cs="仿宋_GB2312" w:asciiTheme="minorAscii" w:hAnsiTheme="minorAscii"/>
          <w:color w:val="auto"/>
          <w:sz w:val="32"/>
          <w:lang w:val="en-US" w:eastAsia="zh-CN"/>
        </w:rPr>
        <w:t>年，我委法治政府建设工作虽</w:t>
      </w:r>
      <w:r>
        <w:rPr>
          <w:rFonts w:hint="default" w:eastAsia="仿宋_GB2312" w:cs="仿宋_GB2312" w:asciiTheme="minorAscii" w:hAnsiTheme="minorAscii"/>
          <w:color w:val="auto"/>
          <w:sz w:val="32"/>
          <w:lang w:eastAsia="zh-CN"/>
        </w:rPr>
        <w:t>取得</w:t>
      </w:r>
      <w:r>
        <w:rPr>
          <w:rFonts w:hint="eastAsia" w:eastAsia="仿宋_GB2312" w:cs="仿宋_GB2312" w:asciiTheme="minorAscii" w:hAnsiTheme="minorAscii"/>
          <w:color w:val="auto"/>
          <w:sz w:val="32"/>
          <w:lang w:val="en-US" w:eastAsia="zh-CN"/>
        </w:rPr>
        <w:t>明显</w:t>
      </w:r>
      <w:r>
        <w:rPr>
          <w:rFonts w:hint="default" w:eastAsia="仿宋_GB2312" w:cs="仿宋_GB2312" w:asciiTheme="minorAscii" w:hAnsiTheme="minorAscii"/>
          <w:color w:val="auto"/>
          <w:sz w:val="32"/>
          <w:lang w:eastAsia="zh-CN"/>
        </w:rPr>
        <w:t>成效</w:t>
      </w:r>
      <w:r>
        <w:rPr>
          <w:rFonts w:hint="eastAsia" w:eastAsia="仿宋_GB2312" w:cs="仿宋_GB2312" w:asciiTheme="minorAscii" w:hAnsiTheme="minorAscii"/>
          <w:color w:val="auto"/>
          <w:sz w:val="32"/>
          <w:lang w:val="en-US" w:eastAsia="zh-CN"/>
        </w:rPr>
        <w:t>，但仍存在一些问题：</w:t>
      </w:r>
      <w:r>
        <w:rPr>
          <w:rFonts w:hint="eastAsia" w:eastAsia="仿宋_GB2312" w:cs="仿宋_GB2312" w:asciiTheme="minorAscii" w:hAnsiTheme="minorAscii"/>
          <w:b/>
          <w:bCs/>
          <w:color w:val="auto"/>
          <w:sz w:val="32"/>
          <w:lang w:val="en-US" w:eastAsia="zh-CN"/>
        </w:rPr>
        <w:t>一是</w:t>
      </w:r>
      <w:r>
        <w:rPr>
          <w:rFonts w:hint="eastAsia" w:eastAsia="仿宋_GB2312" w:cs="仿宋_GB2312" w:asciiTheme="minorAscii" w:hAnsiTheme="minorAscii"/>
          <w:color w:val="auto"/>
          <w:sz w:val="32"/>
          <w:lang w:val="en-US" w:eastAsia="zh-CN"/>
        </w:rPr>
        <w:t>普法宣传手段未能充分适应新形势，未能精准针对人民群众的日常法律需求，提供更为准确且个性化的普法服务。</w:t>
      </w:r>
      <w:r>
        <w:rPr>
          <w:rFonts w:hint="eastAsia" w:eastAsia="仿宋_GB2312" w:cs="仿宋_GB2312" w:asciiTheme="minorAscii" w:hAnsiTheme="minorAscii"/>
          <w:b/>
          <w:bCs/>
          <w:color w:val="auto"/>
          <w:sz w:val="32"/>
          <w:lang w:val="en-US" w:eastAsia="zh-CN"/>
        </w:rPr>
        <w:t>二是</w:t>
      </w:r>
      <w:r>
        <w:rPr>
          <w:rFonts w:hint="eastAsia" w:eastAsia="仿宋_GB2312" w:cs="仿宋_GB2312" w:asciiTheme="minorAscii" w:hAnsiTheme="minorAscii"/>
          <w:color w:val="auto"/>
          <w:sz w:val="32"/>
          <w:lang w:val="en-US" w:eastAsia="zh-CN"/>
        </w:rPr>
        <w:t>学习贯彻习近平法治思想不够全面系统，运用法治思维和法治方式解决发展和改革问题的能力有待进一步提升。</w:t>
      </w:r>
      <w:r>
        <w:rPr>
          <w:rFonts w:hint="eastAsia" w:eastAsia="仿宋_GB2312" w:cs="仿宋_GB2312" w:asciiTheme="minorAscii" w:hAnsiTheme="minorAscii"/>
          <w:b/>
          <w:bCs/>
          <w:color w:val="auto"/>
          <w:sz w:val="32"/>
          <w:lang w:val="en-US" w:eastAsia="zh-CN"/>
        </w:rPr>
        <w:t>三是</w:t>
      </w:r>
      <w:r>
        <w:rPr>
          <w:rFonts w:hint="eastAsia" w:eastAsia="仿宋_GB2312" w:cs="仿宋_GB2312" w:asciiTheme="minorAscii" w:hAnsiTheme="minorAscii"/>
          <w:color w:val="auto"/>
          <w:sz w:val="32"/>
          <w:lang w:val="en-US" w:eastAsia="zh-CN"/>
        </w:rPr>
        <w:t>营商环境工作整体认识不到位。造成协同作战合力不足，改革创新意识不强，解决问题魄力不够。</w:t>
      </w:r>
    </w:p>
    <w:p w14:paraId="5C9E86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宋体" w:hAnsi="宋体" w:eastAsia="宋体" w:cs="宋体"/>
          <w:sz w:val="24"/>
          <w:szCs w:val="24"/>
        </w:rPr>
      </w:pPr>
      <w:r>
        <w:rPr>
          <w:rFonts w:hint="eastAsia" w:ascii="黑体" w:hAnsi="黑体" w:eastAsia="黑体" w:cs="黑体"/>
          <w:i w:val="0"/>
          <w:iCs w:val="0"/>
          <w:caps w:val="0"/>
          <w:color w:val="333333"/>
          <w:spacing w:val="0"/>
          <w:sz w:val="32"/>
          <w:szCs w:val="32"/>
          <w:shd w:val="clear" w:fill="FFFFFF"/>
        </w:rPr>
        <w:t>四</w:t>
      </w:r>
      <w:r>
        <w:rPr>
          <w:rFonts w:hint="eastAsia" w:ascii="黑体" w:hAnsi="黑体" w:eastAsia="黑体" w:cs="黑体"/>
          <w:i w:val="0"/>
          <w:iCs w:val="0"/>
          <w:caps w:val="0"/>
          <w:color w:val="333333"/>
          <w:spacing w:val="0"/>
          <w:sz w:val="32"/>
          <w:szCs w:val="32"/>
          <w:shd w:val="clear" w:fill="FFFFFF"/>
          <w:lang w:eastAsia="zh-CN"/>
        </w:rPr>
        <w:t>、</w:t>
      </w:r>
      <w:r>
        <w:rPr>
          <w:rFonts w:hint="eastAsia" w:ascii="黑体" w:hAnsi="黑体" w:eastAsia="黑体" w:cs="黑体"/>
          <w:i w:val="0"/>
          <w:iCs w:val="0"/>
          <w:caps w:val="0"/>
          <w:color w:val="333333"/>
          <w:spacing w:val="0"/>
          <w:sz w:val="32"/>
          <w:szCs w:val="32"/>
          <w:shd w:val="clear" w:fill="FFFFFF"/>
          <w:lang w:val="en-US" w:eastAsia="zh-CN"/>
        </w:rPr>
        <w:t>2025</w:t>
      </w:r>
      <w:r>
        <w:rPr>
          <w:rFonts w:hint="eastAsia" w:ascii="黑体" w:hAnsi="黑体" w:eastAsia="黑体" w:cs="黑体"/>
          <w:i w:val="0"/>
          <w:iCs w:val="0"/>
          <w:caps w:val="0"/>
          <w:color w:val="333333"/>
          <w:spacing w:val="0"/>
          <w:sz w:val="32"/>
          <w:szCs w:val="32"/>
          <w:shd w:val="clear" w:fill="FFFFFF"/>
        </w:rPr>
        <w:t>年度推进法治政府建设的主要安排</w:t>
      </w:r>
    </w:p>
    <w:p w14:paraId="2995C53A">
      <w:pPr>
        <w:ind w:firstLine="643" w:firstLineChars="200"/>
        <w:rPr>
          <w:rFonts w:hint="eastAsia" w:eastAsia="仿宋_GB2312" w:cs="仿宋_GB2312" w:asciiTheme="minorAscii" w:hAnsiTheme="minorAscii"/>
          <w:color w:val="auto"/>
          <w:sz w:val="32"/>
          <w:lang w:val="en-US" w:eastAsia="zh-CN"/>
        </w:rPr>
      </w:pPr>
      <w:r>
        <w:rPr>
          <w:rFonts w:hint="eastAsia" w:eastAsia="仿宋_GB2312" w:cs="仿宋_GB2312" w:asciiTheme="minorAscii" w:hAnsiTheme="minorAscii"/>
          <w:b/>
          <w:bCs/>
          <w:color w:val="auto"/>
          <w:sz w:val="32"/>
          <w:lang w:val="en-US" w:eastAsia="zh-CN"/>
        </w:rPr>
        <w:t>一是</w:t>
      </w:r>
      <w:r>
        <w:rPr>
          <w:rFonts w:hint="eastAsia" w:eastAsia="仿宋_GB2312" w:cs="仿宋_GB2312" w:asciiTheme="minorAscii" w:hAnsiTheme="minorAscii"/>
          <w:color w:val="auto"/>
          <w:sz w:val="32"/>
          <w:lang w:val="en-US" w:eastAsia="zh-CN"/>
        </w:rPr>
        <w:t>进一步增强干部职工的依法行政意识。深入学习贯彻党的二十大精神和习近平法治思想，充分发挥周例会和主题党日活动作用，依托组织培训、收听讲座、观看视频、开展主题活动等途径有效提高干部职工依法行政的能力和水平，提高运用法治思维和法治方式的办事能力。</w:t>
      </w:r>
    </w:p>
    <w:p w14:paraId="2867549B">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eastAsia="仿宋_GB2312" w:cs="仿宋_GB2312" w:asciiTheme="minorAscii" w:hAnsiTheme="minorAscii"/>
          <w:color w:val="auto"/>
          <w:sz w:val="32"/>
          <w:lang w:val="en-US" w:eastAsia="zh-CN"/>
        </w:rPr>
      </w:pPr>
      <w:r>
        <w:rPr>
          <w:rFonts w:hint="eastAsia" w:eastAsia="仿宋_GB2312" w:cs="仿宋_GB2312" w:asciiTheme="minorAscii" w:hAnsiTheme="minorAscii"/>
          <w:b/>
          <w:bCs/>
          <w:color w:val="auto"/>
          <w:sz w:val="32"/>
          <w:lang w:val="en-US" w:eastAsia="zh-CN"/>
        </w:rPr>
        <w:t>二是</w:t>
      </w:r>
      <w:r>
        <w:rPr>
          <w:rFonts w:hint="eastAsia" w:eastAsia="仿宋_GB2312" w:cs="仿宋_GB2312" w:asciiTheme="minorAscii" w:hAnsiTheme="minorAscii"/>
          <w:color w:val="auto"/>
          <w:sz w:val="32"/>
          <w:lang w:val="en-US" w:eastAsia="zh-CN"/>
        </w:rPr>
        <w:t>全力打造一流营商环境。为提升企业满意度，激发市场活力。首先是找准各指标单位短板弱项，分类施策，实现营商环境各项指标优化提升。其次是全面清理在市场准入负面清单之外违规设立的许可事项，放宽新业态新领域准入。开展招标投标领域专项整治。最后是开展政务失信领域专项治理。在交通运输、招标投标、社会保障、养老服务、医疗卫生等领域探索开展“信用+”创新应用。</w:t>
      </w:r>
    </w:p>
    <w:p w14:paraId="344B8501">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eastAsia="仿宋_GB2312" w:cs="仿宋_GB2312" w:asciiTheme="minorAscii" w:hAnsiTheme="minorAscii"/>
          <w:color w:val="auto"/>
          <w:sz w:val="32"/>
          <w:lang w:val="en-US" w:eastAsia="zh-CN"/>
        </w:rPr>
      </w:pPr>
      <w:r>
        <w:rPr>
          <w:rFonts w:hint="eastAsia" w:eastAsia="仿宋_GB2312" w:cs="仿宋_GB2312" w:asciiTheme="minorAscii" w:hAnsiTheme="minorAscii"/>
          <w:b/>
          <w:bCs/>
          <w:color w:val="auto"/>
          <w:sz w:val="32"/>
          <w:lang w:val="en-US" w:eastAsia="zh-CN"/>
        </w:rPr>
        <w:t>三是</w:t>
      </w:r>
      <w:r>
        <w:rPr>
          <w:rFonts w:hint="eastAsia" w:eastAsia="仿宋_GB2312" w:cs="仿宋_GB2312" w:asciiTheme="minorAscii" w:hAnsiTheme="minorAscii"/>
          <w:color w:val="auto"/>
          <w:sz w:val="32"/>
          <w:lang w:val="en-US" w:eastAsia="zh-CN"/>
        </w:rPr>
        <w:t>筑牢粮食安全底线。健全县级应急体系，加强对全县</w:t>
      </w:r>
      <w:r>
        <w:rPr>
          <w:rFonts w:hint="eastAsia" w:ascii="仿宋_GB2312" w:hAnsi="仿宋_GB2312" w:eastAsia="仿宋_GB2312" w:cs="仿宋_GB2312"/>
          <w:b w:val="0"/>
          <w:bCs w:val="0"/>
          <w:color w:val="auto"/>
          <w:sz w:val="32"/>
          <w:lang w:val="en-US" w:eastAsia="zh-CN"/>
        </w:rPr>
        <w:t>14</w:t>
      </w:r>
      <w:r>
        <w:rPr>
          <w:rFonts w:hint="eastAsia" w:eastAsia="仿宋_GB2312" w:cs="仿宋_GB2312" w:asciiTheme="minorAscii" w:hAnsiTheme="minorAscii"/>
          <w:color w:val="auto"/>
          <w:sz w:val="32"/>
          <w:lang w:val="en-US" w:eastAsia="zh-CN"/>
        </w:rPr>
        <w:t>个粮食应急供应网点、</w:t>
      </w:r>
      <w:r>
        <w:rPr>
          <w:rFonts w:hint="eastAsia" w:ascii="仿宋_GB2312" w:hAnsi="仿宋_GB2312" w:eastAsia="仿宋_GB2312" w:cs="仿宋_GB2312"/>
          <w:b w:val="0"/>
          <w:bCs w:val="0"/>
          <w:color w:val="auto"/>
          <w:sz w:val="32"/>
          <w:lang w:val="en-US" w:eastAsia="zh-CN"/>
        </w:rPr>
        <w:t>8</w:t>
      </w:r>
      <w:r>
        <w:rPr>
          <w:rFonts w:hint="eastAsia" w:eastAsia="仿宋_GB2312" w:cs="仿宋_GB2312" w:asciiTheme="minorAscii" w:hAnsiTheme="minorAscii"/>
          <w:color w:val="auto"/>
          <w:sz w:val="32"/>
          <w:lang w:val="en-US" w:eastAsia="zh-CN"/>
        </w:rPr>
        <w:t>个应急储运企业、</w:t>
      </w:r>
      <w:r>
        <w:rPr>
          <w:rFonts w:hint="eastAsia" w:ascii="仿宋_GB2312" w:hAnsi="仿宋_GB2312" w:eastAsia="仿宋_GB2312" w:cs="仿宋_GB2312"/>
          <w:b w:val="0"/>
          <w:bCs w:val="0"/>
          <w:color w:val="auto"/>
          <w:sz w:val="32"/>
          <w:lang w:val="en-US" w:eastAsia="zh-CN"/>
        </w:rPr>
        <w:t>2</w:t>
      </w:r>
      <w:r>
        <w:rPr>
          <w:rFonts w:hint="eastAsia" w:eastAsia="仿宋_GB2312" w:cs="仿宋_GB2312" w:asciiTheme="minorAscii" w:hAnsiTheme="minorAscii"/>
          <w:color w:val="auto"/>
          <w:sz w:val="32"/>
          <w:lang w:val="en-US" w:eastAsia="zh-CN"/>
        </w:rPr>
        <w:t>个应急配送中心、</w:t>
      </w:r>
      <w:r>
        <w:rPr>
          <w:rFonts w:hint="eastAsia" w:ascii="仿宋_GB2312" w:hAnsi="仿宋_GB2312" w:eastAsia="仿宋_GB2312" w:cs="仿宋_GB2312"/>
          <w:b w:val="0"/>
          <w:bCs w:val="0"/>
          <w:color w:val="auto"/>
          <w:sz w:val="32"/>
          <w:lang w:val="en-US" w:eastAsia="zh-CN"/>
        </w:rPr>
        <w:t>4</w:t>
      </w:r>
      <w:r>
        <w:rPr>
          <w:rFonts w:hint="eastAsia" w:eastAsia="仿宋_GB2312" w:cs="仿宋_GB2312" w:asciiTheme="minorAscii" w:hAnsiTheme="minorAscii"/>
          <w:color w:val="auto"/>
          <w:sz w:val="32"/>
          <w:lang w:val="en-US" w:eastAsia="zh-CN"/>
        </w:rPr>
        <w:t>个应急面粉加工企业的协调监管，常态化开展粮食流通执法监管，防范化解县级储备粮风险隐患。持续深化粮储改革，依托宝丰县储备粮管理有限公司，化解风险隐患。结合宝粮集团和大营桓丰公司破产清算进程，整合资源，推动政策性职能与经营性职能分离。</w:t>
      </w:r>
    </w:p>
    <w:p w14:paraId="6A6D52B4">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eastAsia="仿宋_GB2312" w:cs="仿宋_GB2312" w:asciiTheme="minorAscii" w:hAnsiTheme="minorAscii"/>
          <w:color w:val="auto"/>
          <w:sz w:val="32"/>
          <w:lang w:val="en-US" w:eastAsia="zh-CN"/>
        </w:rPr>
      </w:pPr>
      <w:r>
        <w:rPr>
          <w:rFonts w:hint="eastAsia" w:eastAsia="仿宋_GB2312" w:cs="仿宋_GB2312" w:asciiTheme="minorAscii" w:hAnsiTheme="minorAscii"/>
          <w:b/>
          <w:bCs/>
          <w:color w:val="auto"/>
          <w:sz w:val="32"/>
          <w:lang w:val="en-US" w:eastAsia="zh-CN"/>
        </w:rPr>
        <w:t>四是</w:t>
      </w:r>
      <w:r>
        <w:rPr>
          <w:rFonts w:hint="eastAsia" w:eastAsia="仿宋_GB2312" w:cs="仿宋_GB2312" w:asciiTheme="minorAscii" w:hAnsiTheme="minorAscii"/>
          <w:color w:val="auto"/>
          <w:sz w:val="32"/>
          <w:lang w:val="en-US" w:eastAsia="zh-CN"/>
        </w:rPr>
        <w:t>进一步落实“谁执法谁普法”“以案释法”工作制度。充分发挥自身的职能作用和专业优势，对服务或管理对象以及社会大众积极开展多样化的普法教育活动。通过举办讲座、研讨会、法律知识竞赛等多种形式，深入浅出地传播法律知识，提升公众的法律意识。</w:t>
      </w:r>
    </w:p>
    <w:p w14:paraId="2D15350E">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lang w:val="en-US" w:eastAsia="zh-CN"/>
        </w:rPr>
      </w:pPr>
      <w:r>
        <w:rPr>
          <w:rFonts w:hint="eastAsia" w:eastAsia="仿宋_GB2312" w:cs="仿宋_GB2312" w:asciiTheme="minorAscii" w:hAnsiTheme="minorAscii"/>
          <w:b/>
          <w:bCs/>
          <w:color w:val="auto"/>
          <w:sz w:val="32"/>
          <w:lang w:val="en-US" w:eastAsia="zh-CN"/>
        </w:rPr>
        <w:t>五是</w:t>
      </w:r>
      <w:r>
        <w:rPr>
          <w:rFonts w:hint="eastAsia" w:ascii="Calibri" w:hAnsi="Calibri" w:eastAsia="仿宋_GB2312" w:cs="仿宋_GB2312"/>
          <w:color w:val="auto"/>
          <w:kern w:val="2"/>
          <w:sz w:val="32"/>
          <w:szCs w:val="24"/>
          <w:lang w:val="en-US" w:eastAsia="zh-CN" w:bidi="ar-SA"/>
        </w:rPr>
        <w:t>持续做好合法性审查工作</w:t>
      </w:r>
      <w:r>
        <w:rPr>
          <w:rFonts w:hint="eastAsia" w:eastAsia="仿宋_GB2312" w:cs="仿宋_GB2312" w:asciiTheme="minorAscii" w:hAnsiTheme="minorAscii"/>
          <w:color w:val="auto"/>
          <w:sz w:val="32"/>
          <w:lang w:val="en-US" w:eastAsia="zh-CN"/>
        </w:rPr>
        <w:t>。加大对</w:t>
      </w:r>
      <w:r>
        <w:rPr>
          <w:rFonts w:ascii="Calibri" w:hAnsi="Calibri" w:eastAsia="仿宋_GB2312" w:cs="仿宋_GB2312"/>
          <w:color w:val="auto"/>
          <w:kern w:val="2"/>
          <w:sz w:val="32"/>
          <w:szCs w:val="24"/>
          <w:lang w:bidi="ar-SA"/>
        </w:rPr>
        <w:t>审查人员的培训力度，定期举办案例学习和经验交流活动，以不断提升审查工作的质量和效率。对于审查过程中发现的问题，及时提出整改意见和建议。跟踪整改进展，确保问题得到妥善解决。</w:t>
      </w:r>
    </w:p>
    <w:p w14:paraId="69AB8BFC">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eastAsia="仿宋_GB2312" w:cs="仿宋_GB2312" w:asciiTheme="minorAscii" w:hAnsiTheme="minorAscii"/>
          <w:color w:val="auto"/>
          <w:sz w:val="32"/>
          <w:lang w:val="en-US" w:eastAsia="zh-CN"/>
        </w:rPr>
      </w:pPr>
    </w:p>
    <w:p w14:paraId="00E4914C">
      <w:pPr>
        <w:spacing w:line="580" w:lineRule="exact"/>
        <w:ind w:firstLine="640" w:firstLineChars="200"/>
        <w:jc w:val="left"/>
        <w:rPr>
          <w:rFonts w:hint="eastAsia" w:eastAsia="仿宋_GB2312" w:cs="仿宋_GB2312" w:asciiTheme="minorAscii" w:hAnsiTheme="minorAscii"/>
          <w:color w:val="auto"/>
          <w:sz w:val="32"/>
          <w:lang w:val="en-US" w:eastAsia="zh-CN"/>
        </w:rPr>
      </w:pPr>
    </w:p>
    <w:p w14:paraId="05A2CBDB">
      <w:pPr>
        <w:spacing w:line="580" w:lineRule="exact"/>
        <w:ind w:firstLine="640" w:firstLineChars="200"/>
        <w:jc w:val="left"/>
        <w:rPr>
          <w:rFonts w:hint="eastAsia" w:eastAsia="仿宋_GB2312" w:cs="仿宋_GB2312" w:asciiTheme="minorAscii" w:hAnsiTheme="minorAscii"/>
          <w:color w:val="auto"/>
          <w:sz w:val="32"/>
          <w:lang w:val="en-US" w:eastAsia="zh-CN"/>
        </w:rPr>
      </w:pPr>
    </w:p>
    <w:p w14:paraId="53C0A8F8">
      <w:pPr>
        <w:spacing w:line="580" w:lineRule="exact"/>
        <w:ind w:firstLine="640" w:firstLineChars="200"/>
        <w:jc w:val="left"/>
        <w:rPr>
          <w:rFonts w:hint="default" w:ascii="仿宋_GB2312" w:hAnsi="仿宋_GB2312" w:eastAsia="仿宋_GB2312" w:cs="仿宋_GB2312"/>
          <w:color w:val="auto"/>
          <w:kern w:val="2"/>
          <w:sz w:val="32"/>
          <w:szCs w:val="24"/>
          <w:lang w:val="en-US" w:eastAsia="zh-CN" w:bidi="ar-SA"/>
        </w:rPr>
      </w:pPr>
      <w:r>
        <w:rPr>
          <w:rFonts w:hint="eastAsia" w:eastAsia="仿宋_GB2312" w:cs="仿宋_GB2312" w:asciiTheme="minorAscii" w:hAnsiTheme="minorAscii"/>
          <w:color w:val="auto"/>
          <w:sz w:val="32"/>
          <w:lang w:val="en-US" w:eastAsia="zh-CN"/>
        </w:rPr>
        <w:t xml:space="preserve">                       </w:t>
      </w:r>
      <w:r>
        <w:rPr>
          <w:rFonts w:hint="eastAsia" w:ascii="仿宋_GB2312" w:hAnsi="仿宋_GB2312" w:eastAsia="仿宋_GB2312" w:cs="仿宋_GB2312"/>
          <w:color w:val="auto"/>
          <w:kern w:val="2"/>
          <w:sz w:val="32"/>
          <w:szCs w:val="24"/>
          <w:lang w:val="en-US" w:eastAsia="zh-CN" w:bidi="ar-SA"/>
        </w:rPr>
        <w:t>2025年2月21日</w:t>
      </w:r>
    </w:p>
    <w:p w14:paraId="13414443">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MmRmM2U0NTYzODBmMjAxODI4YzAyNWQ2M2FkNDIifQ=="/>
  </w:docVars>
  <w:rsids>
    <w:rsidRoot w:val="2FEE0C8B"/>
    <w:rsid w:val="002D269B"/>
    <w:rsid w:val="017B7436"/>
    <w:rsid w:val="01D54B64"/>
    <w:rsid w:val="02B7449E"/>
    <w:rsid w:val="04023FE8"/>
    <w:rsid w:val="04B74C29"/>
    <w:rsid w:val="04C66C1A"/>
    <w:rsid w:val="04CE1F73"/>
    <w:rsid w:val="04D05CEB"/>
    <w:rsid w:val="05D830A9"/>
    <w:rsid w:val="067B57E2"/>
    <w:rsid w:val="075C73C2"/>
    <w:rsid w:val="07630750"/>
    <w:rsid w:val="07746E01"/>
    <w:rsid w:val="07F817E1"/>
    <w:rsid w:val="09554A11"/>
    <w:rsid w:val="09A45050"/>
    <w:rsid w:val="0A943317"/>
    <w:rsid w:val="0D6B035F"/>
    <w:rsid w:val="0E201881"/>
    <w:rsid w:val="0E653000"/>
    <w:rsid w:val="0E8611C8"/>
    <w:rsid w:val="0E8D2557"/>
    <w:rsid w:val="0F503CB0"/>
    <w:rsid w:val="0FFF7484"/>
    <w:rsid w:val="10991687"/>
    <w:rsid w:val="10B63FE7"/>
    <w:rsid w:val="119D0D03"/>
    <w:rsid w:val="12A7643B"/>
    <w:rsid w:val="16790FD7"/>
    <w:rsid w:val="16B8213B"/>
    <w:rsid w:val="16CA07EC"/>
    <w:rsid w:val="174D31CB"/>
    <w:rsid w:val="197D7D98"/>
    <w:rsid w:val="1AF8344E"/>
    <w:rsid w:val="1BFB31F6"/>
    <w:rsid w:val="1C280E4B"/>
    <w:rsid w:val="1CA90EA4"/>
    <w:rsid w:val="1E57048B"/>
    <w:rsid w:val="20A519C5"/>
    <w:rsid w:val="20B00A53"/>
    <w:rsid w:val="22FC41D5"/>
    <w:rsid w:val="231150AD"/>
    <w:rsid w:val="23DB2EF8"/>
    <w:rsid w:val="23E6121C"/>
    <w:rsid w:val="24B2466D"/>
    <w:rsid w:val="24F15196"/>
    <w:rsid w:val="25127E4E"/>
    <w:rsid w:val="25E116AE"/>
    <w:rsid w:val="268B161A"/>
    <w:rsid w:val="27133AE9"/>
    <w:rsid w:val="282D0BDB"/>
    <w:rsid w:val="291B0A33"/>
    <w:rsid w:val="295C2DFA"/>
    <w:rsid w:val="2C0954BB"/>
    <w:rsid w:val="2DCC2C44"/>
    <w:rsid w:val="2DDE1FAB"/>
    <w:rsid w:val="2E2760CC"/>
    <w:rsid w:val="2E505623"/>
    <w:rsid w:val="2FEE0C8B"/>
    <w:rsid w:val="302C5C1C"/>
    <w:rsid w:val="32A23F73"/>
    <w:rsid w:val="32BD635F"/>
    <w:rsid w:val="33CF6F60"/>
    <w:rsid w:val="344B7676"/>
    <w:rsid w:val="349A75F8"/>
    <w:rsid w:val="35814314"/>
    <w:rsid w:val="36C30497"/>
    <w:rsid w:val="38E5105E"/>
    <w:rsid w:val="3A396F6B"/>
    <w:rsid w:val="3C2D604D"/>
    <w:rsid w:val="3D0F48FB"/>
    <w:rsid w:val="3D163594"/>
    <w:rsid w:val="3E6B3DB3"/>
    <w:rsid w:val="3F1E7077"/>
    <w:rsid w:val="3F2D00F3"/>
    <w:rsid w:val="3FFF0C57"/>
    <w:rsid w:val="40154CEE"/>
    <w:rsid w:val="408829FA"/>
    <w:rsid w:val="40EB2F89"/>
    <w:rsid w:val="4194717D"/>
    <w:rsid w:val="42AC04F6"/>
    <w:rsid w:val="43E713D4"/>
    <w:rsid w:val="45444E9C"/>
    <w:rsid w:val="45AE2F45"/>
    <w:rsid w:val="46BA7686"/>
    <w:rsid w:val="47573126"/>
    <w:rsid w:val="47CD5197"/>
    <w:rsid w:val="48662FD7"/>
    <w:rsid w:val="49290AF3"/>
    <w:rsid w:val="495913D8"/>
    <w:rsid w:val="4AAC19DB"/>
    <w:rsid w:val="4BA34B8C"/>
    <w:rsid w:val="4C8A5D4C"/>
    <w:rsid w:val="4CB66B41"/>
    <w:rsid w:val="4E697477"/>
    <w:rsid w:val="4ED92673"/>
    <w:rsid w:val="4F03120B"/>
    <w:rsid w:val="4FC155E1"/>
    <w:rsid w:val="50964CC0"/>
    <w:rsid w:val="51283C6C"/>
    <w:rsid w:val="530F0D59"/>
    <w:rsid w:val="537137C2"/>
    <w:rsid w:val="538452A3"/>
    <w:rsid w:val="53FA7313"/>
    <w:rsid w:val="554C1DF1"/>
    <w:rsid w:val="569357FD"/>
    <w:rsid w:val="57B40121"/>
    <w:rsid w:val="58A261CC"/>
    <w:rsid w:val="5A0013FC"/>
    <w:rsid w:val="5AA45748"/>
    <w:rsid w:val="5B150ED7"/>
    <w:rsid w:val="5B1637D0"/>
    <w:rsid w:val="5B9E5921"/>
    <w:rsid w:val="5C0C052C"/>
    <w:rsid w:val="5D0E5BDE"/>
    <w:rsid w:val="5D331AE8"/>
    <w:rsid w:val="5DED7EE9"/>
    <w:rsid w:val="5E015742"/>
    <w:rsid w:val="5EB01642"/>
    <w:rsid w:val="61096DE8"/>
    <w:rsid w:val="62634C1E"/>
    <w:rsid w:val="627B3D15"/>
    <w:rsid w:val="63116428"/>
    <w:rsid w:val="63827325"/>
    <w:rsid w:val="640C1FF4"/>
    <w:rsid w:val="66476B75"/>
    <w:rsid w:val="67B6134C"/>
    <w:rsid w:val="67BC1058"/>
    <w:rsid w:val="684E5A28"/>
    <w:rsid w:val="688B4586"/>
    <w:rsid w:val="68C33D20"/>
    <w:rsid w:val="697A2F79"/>
    <w:rsid w:val="6B655563"/>
    <w:rsid w:val="6BE0108D"/>
    <w:rsid w:val="6BEB1F0C"/>
    <w:rsid w:val="6C891725"/>
    <w:rsid w:val="6D392803"/>
    <w:rsid w:val="6D6D6950"/>
    <w:rsid w:val="6DCA78FF"/>
    <w:rsid w:val="6F0C7DF4"/>
    <w:rsid w:val="717C63BF"/>
    <w:rsid w:val="72135D18"/>
    <w:rsid w:val="7256750B"/>
    <w:rsid w:val="75456F1B"/>
    <w:rsid w:val="75B01AD0"/>
    <w:rsid w:val="76746FA2"/>
    <w:rsid w:val="768216BE"/>
    <w:rsid w:val="76F81981"/>
    <w:rsid w:val="79366790"/>
    <w:rsid w:val="794C5FB4"/>
    <w:rsid w:val="7A266805"/>
    <w:rsid w:val="7A410F49"/>
    <w:rsid w:val="7BAD0F8C"/>
    <w:rsid w:val="7D2C4132"/>
    <w:rsid w:val="7E442F8B"/>
    <w:rsid w:val="7EEB5927"/>
    <w:rsid w:val="7F5D6825"/>
    <w:rsid w:val="7FAF6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spacing w:after="120" w:afterLines="0"/>
      <w:jc w:val="both"/>
    </w:pPr>
    <w:rPr>
      <w:rFonts w:ascii="Times New Roman" w:hAnsi="Times New Roman" w:eastAsia="宋体" w:cs="Times New Roman"/>
      <w:kern w:val="2"/>
      <w:sz w:val="21"/>
      <w:lang w:val="en-US" w:eastAsia="zh-CN"/>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3043</Words>
  <Characters>3129</Characters>
  <Lines>0</Lines>
  <Paragraphs>0</Paragraphs>
  <TotalTime>322</TotalTime>
  <ScaleCrop>false</ScaleCrop>
  <LinksUpToDate>false</LinksUpToDate>
  <CharactersWithSpaces>3152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2023-05-30T02:12:00Z</dcterms:created>
  <dc:creator>黄晓旭</dc:creator>
  <cp:lastModifiedBy>黄晓旭</cp:lastModifiedBy>
  <dcterms:modified xsi:type="dcterms:W3CDTF">2025-04-10T08:04:39Z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1725F9241F1542CB8CD74D2A9B686B33_13</vt:lpwstr>
  </property>
  <property fmtid="{D5CDD505-2E9C-101B-9397-08002B2CF9AE}" pid="4" name="KSOTemplateDocerSaveRecord">
    <vt:lpwstr>eyJoZGlkIjoiOTcxY2Y5OTBlZTlkYjQ0NzljMzEzZmM1N2I2ZDNjYTciLCJ1c2VySWQiOiI1OTk3MDMyMDgifQ==</vt:lpwstr>
  </property>
</Properties>
</file>