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9" o:spid="_x0000_s1029" o:spt="202" type="#_x0000_t202" style="position:absolute;left:0pt;margin-left:-36pt;margin-top:15.6pt;height:76.4pt;width:36.75pt;z-index:2516510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 54 —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240" w:lineRule="exact"/>
        <w:rPr>
          <w:rFonts w:ascii="黑体" w:hAnsi="楷体" w:eastAsia="黑体"/>
          <w:sz w:val="32"/>
          <w:szCs w:val="32"/>
        </w:rPr>
      </w:pPr>
    </w:p>
    <w:p>
      <w:pPr>
        <w:spacing w:afterLines="50"/>
        <w:jc w:val="center"/>
      </w:pPr>
      <w:bookmarkStart w:id="0" w:name="_GoBack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年宝丰县城市黑臭水体清单</w:t>
      </w:r>
    </w:p>
    <w:bookmarkEnd w:id="0"/>
    <w:tbl>
      <w:tblPr>
        <w:tblStyle w:val="8"/>
        <w:tblW w:w="12752" w:type="dxa"/>
        <w:jc w:val="center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109"/>
        <w:gridCol w:w="3429"/>
        <w:gridCol w:w="2870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????"/>
                <w:sz w:val="28"/>
                <w:szCs w:val="28"/>
              </w:rPr>
            </w:pPr>
            <w:r>
              <w:rPr>
                <w:rFonts w:hint="eastAsia" w:ascii="黑体" w:hAnsi="黑体" w:eastAsia="黑体" w:cs="????"/>
                <w:sz w:val="28"/>
                <w:szCs w:val="28"/>
              </w:rPr>
              <w:t>序号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????"/>
                <w:sz w:val="28"/>
                <w:szCs w:val="28"/>
              </w:rPr>
            </w:pPr>
            <w:r>
              <w:rPr>
                <w:rFonts w:hint="eastAsia" w:ascii="黑体" w:hAnsi="黑体" w:eastAsia="黑体" w:cs="????"/>
                <w:sz w:val="28"/>
                <w:szCs w:val="28"/>
              </w:rPr>
              <w:t>县（市、区）</w:t>
            </w:r>
          </w:p>
        </w:tc>
        <w:tc>
          <w:tcPr>
            <w:tcW w:w="342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????"/>
                <w:sz w:val="28"/>
                <w:szCs w:val="28"/>
              </w:rPr>
            </w:pPr>
            <w:r>
              <w:rPr>
                <w:rFonts w:hint="eastAsia" w:ascii="黑体" w:hAnsi="黑体" w:eastAsia="黑体" w:cs="????"/>
                <w:sz w:val="28"/>
                <w:szCs w:val="28"/>
              </w:rPr>
              <w:t>黑臭水体名称</w:t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????"/>
                <w:sz w:val="28"/>
                <w:szCs w:val="28"/>
              </w:rPr>
            </w:pPr>
            <w:r>
              <w:rPr>
                <w:rFonts w:hint="eastAsia" w:ascii="黑体" w:hAnsi="黑体" w:eastAsia="黑体" w:cs="????"/>
                <w:sz w:val="28"/>
                <w:szCs w:val="28"/>
              </w:rPr>
              <w:t>年度任务</w:t>
            </w:r>
          </w:p>
        </w:tc>
        <w:tc>
          <w:tcPr>
            <w:tcW w:w="3027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????"/>
                <w:sz w:val="28"/>
                <w:szCs w:val="28"/>
              </w:rPr>
            </w:pPr>
            <w:r>
              <w:rPr>
                <w:rFonts w:hint="eastAsia" w:ascii="黑体" w:hAnsi="黑体" w:eastAsia="黑体" w:cs="????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ascii="仿宋_GB2312" w:hAnsi="????" w:eastAsia="仿宋_GB2312" w:cs="????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宝丰县</w:t>
            </w:r>
          </w:p>
        </w:tc>
        <w:tc>
          <w:tcPr>
            <w:tcW w:w="342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净肠河</w:t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消除黑臭现象</w:t>
            </w:r>
          </w:p>
        </w:tc>
        <w:tc>
          <w:tcPr>
            <w:tcW w:w="3027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ascii="仿宋_GB2312" w:hAnsi="????" w:eastAsia="仿宋_GB2312" w:cs="????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宝丰县</w:t>
            </w:r>
          </w:p>
        </w:tc>
        <w:tc>
          <w:tcPr>
            <w:tcW w:w="342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玉带河</w:t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消除黑臭现象</w:t>
            </w:r>
          </w:p>
        </w:tc>
        <w:tc>
          <w:tcPr>
            <w:tcW w:w="3027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ascii="仿宋_GB2312" w:hAnsi="????" w:eastAsia="仿宋_GB2312" w:cs="????"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宝丰县</w:t>
            </w:r>
          </w:p>
        </w:tc>
        <w:tc>
          <w:tcPr>
            <w:tcW w:w="3429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迎丰渠</w:t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消除黑臭现象</w:t>
            </w:r>
          </w:p>
        </w:tc>
        <w:tc>
          <w:tcPr>
            <w:tcW w:w="3027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????" w:eastAsia="仿宋_GB2312" w:cs="????"/>
                <w:sz w:val="28"/>
                <w:szCs w:val="28"/>
              </w:rPr>
            </w:pPr>
            <w:r>
              <w:rPr>
                <w:rFonts w:hint="eastAsia" w:ascii="仿宋_GB2312" w:hAnsi="????" w:eastAsia="仿宋_GB2312" w:cs="????"/>
                <w:sz w:val="28"/>
                <w:szCs w:val="28"/>
              </w:rPr>
              <w:t>县住建局</w:t>
            </w:r>
          </w:p>
        </w:tc>
      </w:tr>
    </w:tbl>
    <w:p>
      <w:pPr>
        <w:spacing w:line="540" w:lineRule="exact"/>
        <w:rPr>
          <w:rFonts w:ascii="黑体" w:hAnsi="楷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540" w:lineRule="exact"/>
        <w:ind w:firstLine="420" w:firstLineChars="200"/>
      </w:pPr>
      <w:r>
        <w:pict>
          <v:shape id="_x0000_s1030" o:spid="_x0000_s1030" o:spt="202" type="#_x0000_t202" style="position:absolute;left:0pt;margin-left:-4.7pt;margin-top:26.35pt;height:35.6pt;width:58.7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31" o:spid="_x0000_s1031" o:spt="1" style="position:absolute;left:0pt;margin-left:331.25pt;margin-top:35.5pt;height:39pt;width:94.5pt;z-index:251653120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pict>
          <v:shape id="图片 5" o:spid="_x0000_s1043" o:spt="75" type="#_x0000_t75" style="position:absolute;left:0pt;margin-left:306.7pt;margin-top:31.85pt;height:37.5pt;width:121.4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559" w:gutter="0"/>
      <w:pgNumType w:start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8609" w:y="-27"/>
      <w:ind w:left="210" w:leftChars="100" w:right="210" w:rightChars="1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49" w:y="-27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60"/>
    <w:rsid w:val="00006C4E"/>
    <w:rsid w:val="00026A62"/>
    <w:rsid w:val="00030946"/>
    <w:rsid w:val="000445AF"/>
    <w:rsid w:val="000710E3"/>
    <w:rsid w:val="000A2F26"/>
    <w:rsid w:val="000B0930"/>
    <w:rsid w:val="000D290E"/>
    <w:rsid w:val="00101BB8"/>
    <w:rsid w:val="001368A7"/>
    <w:rsid w:val="0016348B"/>
    <w:rsid w:val="001927AF"/>
    <w:rsid w:val="001A7366"/>
    <w:rsid w:val="001C2DF7"/>
    <w:rsid w:val="001C51F5"/>
    <w:rsid w:val="001E368B"/>
    <w:rsid w:val="0020263A"/>
    <w:rsid w:val="002103F6"/>
    <w:rsid w:val="0029372B"/>
    <w:rsid w:val="002B5F11"/>
    <w:rsid w:val="0033154E"/>
    <w:rsid w:val="00344F02"/>
    <w:rsid w:val="0039363E"/>
    <w:rsid w:val="003A0B1E"/>
    <w:rsid w:val="003C572F"/>
    <w:rsid w:val="003D68D5"/>
    <w:rsid w:val="00450629"/>
    <w:rsid w:val="004715F1"/>
    <w:rsid w:val="004A4C17"/>
    <w:rsid w:val="0050734A"/>
    <w:rsid w:val="00547F1A"/>
    <w:rsid w:val="00567F43"/>
    <w:rsid w:val="005A4C2B"/>
    <w:rsid w:val="005C1EFD"/>
    <w:rsid w:val="005D72D9"/>
    <w:rsid w:val="00643E37"/>
    <w:rsid w:val="0066022B"/>
    <w:rsid w:val="006639C5"/>
    <w:rsid w:val="006873E9"/>
    <w:rsid w:val="006E2961"/>
    <w:rsid w:val="00701AAB"/>
    <w:rsid w:val="007227D9"/>
    <w:rsid w:val="00774B35"/>
    <w:rsid w:val="007B104C"/>
    <w:rsid w:val="007B482E"/>
    <w:rsid w:val="007C1CD8"/>
    <w:rsid w:val="007F1F99"/>
    <w:rsid w:val="00800C87"/>
    <w:rsid w:val="00801F14"/>
    <w:rsid w:val="00852991"/>
    <w:rsid w:val="008726AF"/>
    <w:rsid w:val="008C243E"/>
    <w:rsid w:val="008F1984"/>
    <w:rsid w:val="00927EC8"/>
    <w:rsid w:val="00935ADB"/>
    <w:rsid w:val="009624F7"/>
    <w:rsid w:val="00980A18"/>
    <w:rsid w:val="009A6201"/>
    <w:rsid w:val="009A6762"/>
    <w:rsid w:val="009B5441"/>
    <w:rsid w:val="009C6271"/>
    <w:rsid w:val="009F18E3"/>
    <w:rsid w:val="009F27BE"/>
    <w:rsid w:val="00A31907"/>
    <w:rsid w:val="00A40467"/>
    <w:rsid w:val="00A44283"/>
    <w:rsid w:val="00A509E3"/>
    <w:rsid w:val="00A50E3C"/>
    <w:rsid w:val="00A533B5"/>
    <w:rsid w:val="00A825E1"/>
    <w:rsid w:val="00AD4423"/>
    <w:rsid w:val="00B62ED1"/>
    <w:rsid w:val="00B67E68"/>
    <w:rsid w:val="00B733F1"/>
    <w:rsid w:val="00B946B2"/>
    <w:rsid w:val="00BD146D"/>
    <w:rsid w:val="00BD513A"/>
    <w:rsid w:val="00BF6BCE"/>
    <w:rsid w:val="00C055F8"/>
    <w:rsid w:val="00C0676A"/>
    <w:rsid w:val="00C351D4"/>
    <w:rsid w:val="00C42BF6"/>
    <w:rsid w:val="00C44249"/>
    <w:rsid w:val="00C50B83"/>
    <w:rsid w:val="00C60972"/>
    <w:rsid w:val="00C64C85"/>
    <w:rsid w:val="00CA56E7"/>
    <w:rsid w:val="00CD0296"/>
    <w:rsid w:val="00CE1017"/>
    <w:rsid w:val="00D01406"/>
    <w:rsid w:val="00D11D64"/>
    <w:rsid w:val="00D30A29"/>
    <w:rsid w:val="00DA5427"/>
    <w:rsid w:val="00DD6111"/>
    <w:rsid w:val="00DF78F0"/>
    <w:rsid w:val="00E201D5"/>
    <w:rsid w:val="00E60978"/>
    <w:rsid w:val="00EB3624"/>
    <w:rsid w:val="00EF5AF0"/>
    <w:rsid w:val="00EF6481"/>
    <w:rsid w:val="00F067E7"/>
    <w:rsid w:val="00F07C60"/>
    <w:rsid w:val="00F15768"/>
    <w:rsid w:val="00F17CDE"/>
    <w:rsid w:val="00F26875"/>
    <w:rsid w:val="00F409C2"/>
    <w:rsid w:val="00F97A63"/>
    <w:rsid w:val="00FB1D02"/>
    <w:rsid w:val="00FF6E27"/>
    <w:rsid w:val="1A840150"/>
    <w:rsid w:val="227836FF"/>
    <w:rsid w:val="24C821D2"/>
    <w:rsid w:val="26B205E3"/>
    <w:rsid w:val="2F414020"/>
    <w:rsid w:val="31B91F5A"/>
    <w:rsid w:val="3347287B"/>
    <w:rsid w:val="371B3468"/>
    <w:rsid w:val="3AB64330"/>
    <w:rsid w:val="3FE260B9"/>
    <w:rsid w:val="40E81979"/>
    <w:rsid w:val="45E34436"/>
    <w:rsid w:val="4A1820AB"/>
    <w:rsid w:val="4CEB4BAB"/>
    <w:rsid w:val="512C0E88"/>
    <w:rsid w:val="583451DC"/>
    <w:rsid w:val="5ABC43BD"/>
    <w:rsid w:val="607D4729"/>
    <w:rsid w:val="60883D6B"/>
    <w:rsid w:val="615D09A8"/>
    <w:rsid w:val="62F54F2E"/>
    <w:rsid w:val="6CBA6AE7"/>
    <w:rsid w:val="74014386"/>
    <w:rsid w:val="742D75F7"/>
    <w:rsid w:val="77056122"/>
    <w:rsid w:val="7AA548D9"/>
    <w:rsid w:val="7E6749B2"/>
    <w:rsid w:val="7F4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99"/>
    <w:pPr>
      <w:ind w:left="1260" w:firstLine="2730"/>
      <w:jc w:val="right"/>
    </w:pPr>
    <w:rPr>
      <w:rFonts w:ascii="宋体" w:hAnsi="宋体" w:cs="宋体"/>
      <w:sz w:val="2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1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ody Text Indent 2 Char"/>
    <w:basedOn w:val="9"/>
    <w:link w:val="3"/>
    <w:qFormat/>
    <w:locked/>
    <w:uiPriority w:val="99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Body Text Indent 2 Char1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Subtitle Char"/>
    <w:basedOn w:val="9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72</Pages>
  <Words>4952</Words>
  <Characters>28232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2019-03-29T18:23:00Z</dcterms:created>
  <dc:creator>Administrator</dc:creator>
  <cp:lastModifiedBy>子木</cp:lastModifiedBy>
  <cp:lastPrinted>2019-03-30T03:12:00Z</cp:lastPrinted>
  <dcterms:modified xsi:type="dcterms:W3CDTF">2019-10-23T05:33:53Z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