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9"/>
        <w:rPr>
          <w:rFonts w:hint="eastAsia" w:ascii="宋体" w:hAnsi="宋体" w:eastAsia="宋体" w:cs="宋体"/>
          <w:b/>
          <w:bCs w:val="0"/>
          <w:sz w:val="72"/>
          <w:szCs w:val="72"/>
        </w:rPr>
      </w:pPr>
    </w:p>
    <w:p>
      <w:pPr>
        <w:adjustRightInd w:val="0"/>
        <w:snapToGrid w:val="0"/>
        <w:jc w:val="center"/>
        <w:outlineLvl w:val="9"/>
        <w:rPr>
          <w:rFonts w:hint="eastAsia" w:ascii="宋体" w:hAnsi="宋体" w:eastAsia="宋体" w:cs="宋体"/>
          <w:b/>
          <w:bCs w:val="0"/>
          <w:sz w:val="72"/>
          <w:szCs w:val="72"/>
        </w:rPr>
      </w:pPr>
      <w:r>
        <w:rPr>
          <w:rFonts w:hint="eastAsia" w:ascii="宋体" w:hAnsi="宋体" w:eastAsia="宋体" w:cs="宋体"/>
          <w:b/>
          <w:bCs w:val="0"/>
          <w:sz w:val="72"/>
          <w:szCs w:val="72"/>
        </w:rPr>
        <w:t>建设项目环境影响报告表</w:t>
      </w:r>
    </w:p>
    <w:p>
      <w:pPr>
        <w:adjustRightInd w:val="0"/>
        <w:snapToGrid w:val="0"/>
        <w:spacing w:before="192" w:beforeLines="80"/>
        <w:jc w:val="center"/>
        <w:rPr>
          <w:rFonts w:hint="eastAsia" w:ascii="宋体" w:hAnsi="宋体" w:eastAsia="宋体" w:cs="宋体"/>
          <w:b/>
          <w:bCs w:val="0"/>
          <w:sz w:val="44"/>
          <w:szCs w:val="44"/>
        </w:rPr>
      </w:pPr>
      <w:r>
        <w:rPr>
          <w:rFonts w:hint="eastAsia" w:ascii="宋体" w:hAnsi="宋体" w:eastAsia="宋体" w:cs="宋体"/>
          <w:b/>
          <w:bCs w:val="0"/>
          <w:sz w:val="44"/>
          <w:szCs w:val="44"/>
        </w:rPr>
        <w:t>（污染影响类）</w:t>
      </w:r>
    </w:p>
    <w:p>
      <w:pPr>
        <w:bidi w:val="0"/>
      </w:pPr>
    </w:p>
    <w:p>
      <w:pPr>
        <w:jc w:val="both"/>
        <w:rPr>
          <w:rFonts w:eastAsia="仿宋"/>
          <w:sz w:val="52"/>
          <w:szCs w:val="52"/>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bidi w:val="0"/>
      </w:pPr>
    </w:p>
    <w:p>
      <w:pPr>
        <w:rPr>
          <w:rFonts w:eastAsia="仿宋"/>
          <w:sz w:val="44"/>
          <w:szCs w:val="44"/>
        </w:rPr>
      </w:pPr>
    </w:p>
    <w:tbl>
      <w:tblPr>
        <w:tblStyle w:val="25"/>
        <w:tblW w:w="85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95"/>
        <w:gridCol w:w="5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项目名称：</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仿宋"/>
                <w:sz w:val="44"/>
                <w:szCs w:val="44"/>
                <w:vertAlign w:val="baseline"/>
                <w:lang w:val="en-US"/>
              </w:rPr>
            </w:pPr>
            <w:r>
              <w:rPr>
                <w:rFonts w:hint="eastAsia" w:ascii="宋体" w:hAnsi="宋体" w:cs="宋体"/>
                <w:b/>
                <w:bCs/>
                <w:spacing w:val="-8"/>
                <w:sz w:val="32"/>
                <w:u w:val="single"/>
                <w:lang w:val="en-US" w:eastAsia="zh-CN"/>
              </w:rPr>
              <w:t xml:space="preserve">宝丰县盛祥再生资源有限公司年产10000吨再生资源颗粒项目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建设单位（盖章）：</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仿宋"/>
                <w:sz w:val="44"/>
                <w:szCs w:val="44"/>
                <w:vertAlign w:val="baseline"/>
                <w:lang w:val="en-US"/>
              </w:rPr>
            </w:pPr>
            <w:r>
              <w:rPr>
                <w:rFonts w:hint="eastAsia" w:ascii="宋体" w:hAnsi="宋体" w:cs="宋体"/>
                <w:b/>
                <w:bCs/>
                <w:spacing w:val="-8"/>
                <w:sz w:val="32"/>
                <w:u w:val="single"/>
                <w:lang w:val="en-US" w:eastAsia="zh-CN"/>
              </w:rPr>
              <w:t xml:space="preserve">宝丰县盛祥再生资源有限公司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9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spacing w:val="-8"/>
                <w:sz w:val="32"/>
                <w:lang w:val="en-US" w:eastAsia="zh-CN"/>
              </w:rPr>
            </w:pPr>
            <w:r>
              <w:rPr>
                <w:rFonts w:hint="eastAsia" w:ascii="宋体" w:hAnsi="宋体" w:eastAsia="宋体" w:cs="宋体"/>
                <w:b/>
                <w:bCs/>
                <w:spacing w:val="-8"/>
                <w:sz w:val="32"/>
                <w:lang w:val="en-US" w:eastAsia="zh-CN"/>
              </w:rPr>
              <w:t>编制日期：</w:t>
            </w:r>
          </w:p>
        </w:tc>
        <w:tc>
          <w:tcPr>
            <w:tcW w:w="592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cs="宋体"/>
                <w:b/>
                <w:bCs/>
                <w:spacing w:val="-8"/>
                <w:sz w:val="32"/>
                <w:u w:val="single"/>
                <w:lang w:val="en-US" w:eastAsia="zh-CN"/>
              </w:rPr>
            </w:pPr>
            <w:r>
              <w:rPr>
                <w:rFonts w:hint="eastAsia" w:ascii="宋体" w:hAnsi="宋体" w:cs="宋体"/>
                <w:b/>
                <w:bCs/>
                <w:spacing w:val="-8"/>
                <w:sz w:val="32"/>
                <w:u w:val="single"/>
                <w:lang w:val="en-US" w:eastAsia="zh-CN"/>
              </w:rPr>
              <w:t xml:space="preserve">2023年1月                            </w:t>
            </w:r>
          </w:p>
        </w:tc>
      </w:tr>
    </w:tbl>
    <w:p>
      <w:pPr>
        <w:adjustRightInd w:val="0"/>
        <w:snapToGrid w:val="0"/>
        <w:spacing w:line="288" w:lineRule="auto"/>
        <w:rPr>
          <w:rFonts w:hint="eastAsia" w:ascii="仿宋_GB2312" w:eastAsia="仿宋_GB2312"/>
          <w:sz w:val="36"/>
          <w:szCs w:val="36"/>
        </w:rPr>
      </w:pPr>
      <w:bookmarkStart w:id="0" w:name="_Hlk57884087"/>
    </w:p>
    <w:p>
      <w:pPr>
        <w:adjustRightInd w:val="0"/>
        <w:snapToGrid w:val="0"/>
        <w:spacing w:line="288" w:lineRule="auto"/>
        <w:rPr>
          <w:rFonts w:hint="eastAsia" w:ascii="仿宋_GB2312" w:eastAsia="仿宋_GB2312"/>
          <w:sz w:val="36"/>
          <w:szCs w:val="36"/>
        </w:rPr>
      </w:pPr>
    </w:p>
    <w:bookmarkEnd w:id="0"/>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eastAsia="仿宋_GB2312"/>
          <w:sz w:val="36"/>
          <w:szCs w:val="36"/>
          <w:lang w:eastAsia="zh-CN"/>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宋体" w:hAnsi="宋体" w:eastAsia="宋体" w:cs="宋体"/>
          <w:b/>
          <w:sz w:val="36"/>
          <w:szCs w:val="36"/>
        </w:rPr>
        <w:t>中华人民共和国生态环境部制</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一、建设项目基本情况</w:t>
      </w:r>
    </w:p>
    <w:tbl>
      <w:tblPr>
        <w:tblStyle w:val="24"/>
        <w:tblW w:w="49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1"/>
        <w:gridCol w:w="2201"/>
        <w:gridCol w:w="2207"/>
        <w:gridCol w:w="37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建设项目名称</w:t>
            </w:r>
          </w:p>
        </w:tc>
        <w:tc>
          <w:tcPr>
            <w:tcW w:w="4209" w:type="pct"/>
            <w:gridSpan w:val="3"/>
            <w:noWrap w:val="0"/>
            <w:vAlign w:val="center"/>
          </w:tcPr>
          <w:p>
            <w:pPr>
              <w:adjustRightInd w:val="0"/>
              <w:snapToGrid w:val="0"/>
              <w:jc w:val="center"/>
              <w:rPr>
                <w:rFonts w:hint="eastAsia" w:ascii="Times New Roman" w:hAnsi="Times New Roman" w:eastAsia="宋体" w:cs="Times New Roman"/>
                <w:sz w:val="24"/>
                <w:szCs w:val="24"/>
                <w:lang w:eastAsia="zh-CN"/>
              </w:rPr>
            </w:pPr>
            <w:r>
              <w:rPr>
                <w:rFonts w:hint="eastAsia" w:cs="Times New Roman"/>
                <w:sz w:val="24"/>
                <w:szCs w:val="24"/>
                <w:lang w:eastAsia="zh-CN"/>
              </w:rPr>
              <w:t>宝丰县盛祥再生资源有限公司年产10000吨再生资源颗粒项目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项目代码</w:t>
            </w:r>
          </w:p>
        </w:tc>
        <w:tc>
          <w:tcPr>
            <w:tcW w:w="4209" w:type="pct"/>
            <w:gridSpan w:val="3"/>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2301-410421-04-01-693430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苏道来</w:t>
            </w:r>
          </w:p>
        </w:tc>
        <w:tc>
          <w:tcPr>
            <w:tcW w:w="1139"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13938235889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建设地点</w:t>
            </w:r>
          </w:p>
        </w:tc>
        <w:tc>
          <w:tcPr>
            <w:tcW w:w="4209" w:type="pct"/>
            <w:gridSpan w:val="3"/>
            <w:noWrap w:val="0"/>
            <w:vAlign w:val="center"/>
          </w:tcPr>
          <w:p>
            <w:pPr>
              <w:adjustRightInd w:val="0"/>
              <w:snapToGrid w:val="0"/>
              <w:jc w:val="center"/>
              <w:rPr>
                <w:rFonts w:hint="default" w:ascii="Times New Roman" w:hAnsi="Times New Roman" w:eastAsia="宋体" w:cs="Times New Roman"/>
                <w:sz w:val="24"/>
                <w:szCs w:val="24"/>
                <w:lang w:val="en-US"/>
              </w:rPr>
            </w:pPr>
            <w:r>
              <w:rPr>
                <w:rFonts w:hint="eastAsia" w:cs="Times New Roman"/>
                <w:color w:val="auto"/>
                <w:sz w:val="24"/>
                <w:szCs w:val="24"/>
                <w:lang w:val="en-US" w:eastAsia="zh-CN"/>
              </w:rPr>
              <w:t>平顶山市宝丰县宝丰高新技术产业开发区旭原不锈钢院内8号厂房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地理坐标</w:t>
            </w:r>
          </w:p>
        </w:tc>
        <w:tc>
          <w:tcPr>
            <w:tcW w:w="4209" w:type="pct"/>
            <w:gridSpan w:val="3"/>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u w:val="single"/>
                <w:lang w:val="en-US" w:eastAsia="zh-CN"/>
              </w:rPr>
              <w:t>113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51.160</w:t>
            </w:r>
            <w:r>
              <w:rPr>
                <w:rFonts w:hint="default" w:ascii="Times New Roman" w:hAnsi="Times New Roman" w:eastAsia="宋体" w:cs="Times New Roman"/>
                <w:color w:val="auto"/>
                <w:sz w:val="24"/>
                <w:szCs w:val="24"/>
                <w:highlight w:val="none"/>
              </w:rPr>
              <w:t>秒，</w:t>
            </w:r>
            <w:r>
              <w:rPr>
                <w:rFonts w:hint="eastAsia" w:cs="Times New Roman"/>
                <w:color w:val="auto"/>
                <w:sz w:val="24"/>
                <w:szCs w:val="24"/>
                <w:highlight w:val="none"/>
                <w:u w:val="single"/>
                <w:lang w:val="en-US" w:eastAsia="zh-CN"/>
              </w:rPr>
              <w:t>33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50</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17.930</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国民经济</w:t>
            </w:r>
          </w:p>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行业类别</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非金属废料和碎屑加工处理（C</w:t>
            </w:r>
            <w:r>
              <w:rPr>
                <w:rFonts w:hint="eastAsia" w:cs="Times New Roman"/>
                <w:color w:val="auto"/>
                <w:sz w:val="24"/>
                <w:szCs w:val="24"/>
                <w:lang w:val="en-US" w:eastAsia="zh-CN"/>
              </w:rPr>
              <w:t>4220</w:t>
            </w:r>
            <w:r>
              <w:rPr>
                <w:rFonts w:hint="default" w:ascii="Times New Roman" w:hAnsi="Times New Roman" w:eastAsia="宋体" w:cs="Times New Roman"/>
                <w:color w:val="auto"/>
                <w:sz w:val="24"/>
                <w:szCs w:val="24"/>
              </w:rPr>
              <w:t>）</w:t>
            </w:r>
          </w:p>
        </w:tc>
        <w:tc>
          <w:tcPr>
            <w:tcW w:w="1139" w:type="pct"/>
            <w:noWrap w:val="0"/>
            <w:vAlign w:val="center"/>
          </w:tcPr>
          <w:p>
            <w:pPr>
              <w:adjustRightInd w:val="0"/>
              <w:snapToGrid w:val="0"/>
              <w:jc w:val="center"/>
              <w:rPr>
                <w:rFonts w:hint="default" w:ascii="Times New Roman" w:hAnsi="Times New Roman" w:eastAsia="宋体" w:cs="Times New Roman"/>
                <w:b/>
                <w:bCs/>
                <w:color w:val="auto"/>
                <w:sz w:val="24"/>
                <w:szCs w:val="24"/>
              </w:rPr>
            </w:pPr>
            <w:bookmarkStart w:id="1" w:name="_Hlk49843745"/>
            <w:r>
              <w:rPr>
                <w:rFonts w:hint="default" w:ascii="Times New Roman" w:hAnsi="Times New Roman" w:eastAsia="宋体" w:cs="Times New Roman"/>
                <w:b/>
                <w:bCs/>
                <w:color w:val="auto"/>
                <w:sz w:val="24"/>
                <w:szCs w:val="24"/>
              </w:rPr>
              <w:t>建设项目</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bookmarkEnd w:id="1"/>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rPr>
            </w:pPr>
            <w:r>
              <w:rPr>
                <w:rFonts w:hint="default" w:ascii="Times New Roman" w:hAnsi="Times New Roman" w:cs="Times New Roman"/>
                <w:sz w:val="24"/>
                <w:szCs w:val="24"/>
              </w:rPr>
              <w:t>三十九、废弃资源综合利用业中85</w:t>
            </w:r>
            <w:r>
              <w:rPr>
                <w:rFonts w:hint="eastAsia" w:ascii="Times New Roman" w:hAnsi="Times New Roman" w:cs="Times New Roman"/>
                <w:sz w:val="24"/>
                <w:szCs w:val="24"/>
                <w:lang w:val="en-US" w:eastAsia="zh-CN"/>
              </w:rPr>
              <w:t>非金属废料和碎屑加工处理422</w:t>
            </w:r>
            <w:r>
              <w:rPr>
                <w:rFonts w:hint="eastAsia" w:ascii="Times New Roman" w:hAnsi="Times New Roman" w:cs="Times New Roman"/>
                <w:sz w:val="24"/>
                <w:szCs w:val="24"/>
                <w:lang w:eastAsia="zh-CN"/>
              </w:rPr>
              <w:t>（不含原料为危险废物的，均不含仅分拣、破碎的）</w:t>
            </w:r>
            <w:r>
              <w:rPr>
                <w:rFonts w:hint="default" w:ascii="Times New Roman" w:hAnsi="Times New Roman" w:cs="Times New Roman"/>
                <w:sz w:val="24"/>
                <w:szCs w:val="24"/>
                <w:lang w:val="en-US" w:eastAsia="zh-CN"/>
              </w:rPr>
              <w:t>中的废钢、废铁</w:t>
            </w:r>
            <w:r>
              <w:rPr>
                <w:rFonts w:hint="eastAsia" w:ascii="Times New Roman" w:hAnsi="Times New Roman" w:cs="Times New Roman"/>
                <w:sz w:val="24"/>
                <w:szCs w:val="24"/>
                <w:lang w:val="en-US" w:eastAsia="zh-CN"/>
              </w:rPr>
              <w:t>、有色金属废料与碎屑、废塑料、含水洗工艺的其他废料和碎屑</w:t>
            </w:r>
            <w:r>
              <w:rPr>
                <w:rFonts w:hint="default" w:ascii="Times New Roman" w:hAnsi="Times New Roman" w:cs="Times New Roman"/>
                <w:sz w:val="24"/>
                <w:szCs w:val="24"/>
                <w:lang w:val="en-US" w:eastAsia="zh-CN"/>
              </w:rPr>
              <w:t>等的加工处理</w:t>
            </w:r>
            <w:r>
              <w:rPr>
                <w:rFonts w:hint="eastAsia" w:ascii="Times New Roman" w:hAnsi="Times New Roman" w:cs="Times New Roman"/>
                <w:sz w:val="24"/>
                <w:szCs w:val="24"/>
                <w:lang w:val="en-US" w:eastAsia="zh-CN"/>
              </w:rPr>
              <w:t>（农业生产产生的废旧秧盘、薄膜破碎和清洗工艺的除外）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建设性质</w:t>
            </w:r>
          </w:p>
        </w:tc>
        <w:tc>
          <w:tcPr>
            <w:tcW w:w="1136" w:type="pct"/>
            <w:noWrap w:val="0"/>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FE"/>
            </w:r>
            <w:r>
              <w:rPr>
                <w:rFonts w:hint="default" w:ascii="Times New Roman" w:hAnsi="Times New Roman" w:eastAsia="宋体" w:cs="Times New Roman"/>
                <w:sz w:val="24"/>
                <w:szCs w:val="24"/>
              </w:rPr>
              <w:t>新建（迁建）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改建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扩建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技术改造</w:t>
            </w:r>
          </w:p>
        </w:tc>
        <w:tc>
          <w:tcPr>
            <w:tcW w:w="1139" w:type="pct"/>
            <w:noWrap w:val="0"/>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建设项目</w:t>
            </w:r>
          </w:p>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申报情形</w:t>
            </w:r>
          </w:p>
        </w:tc>
        <w:tc>
          <w:tcPr>
            <w:tcW w:w="1933" w:type="pct"/>
            <w:noWrap w:val="0"/>
            <w:vAlign w:val="center"/>
          </w:tcPr>
          <w:p>
            <w:pPr>
              <w:jc w:val="left"/>
              <w:rPr>
                <w:rFonts w:hint="eastAsia"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sym w:font="Wingdings" w:char="00FE"/>
            </w:r>
            <w:r>
              <w:rPr>
                <w:rFonts w:hint="default" w:ascii="Times New Roman" w:hAnsi="Times New Roman" w:eastAsia="宋体" w:cs="Times New Roman"/>
                <w:b w:val="0"/>
                <w:bCs w:val="0"/>
                <w:sz w:val="24"/>
                <w:szCs w:val="24"/>
              </w:rPr>
              <w:t>首次申报项目</w:t>
            </w:r>
          </w:p>
          <w:p>
            <w:pPr>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不予批准后再次申报项目</w:t>
            </w:r>
          </w:p>
          <w:p>
            <w:pPr>
              <w:jc w:val="left"/>
              <w:rPr>
                <w:rFonts w:hint="eastAsia"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超五年重新审核项目</w:t>
            </w:r>
          </w:p>
          <w:p>
            <w:pPr>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sym w:font="Wingdings" w:char="00A8"/>
            </w:r>
            <w:r>
              <w:rPr>
                <w:rFonts w:hint="default" w:ascii="Times New Roman" w:hAnsi="Times New Roman" w:eastAsia="宋体" w:cs="Times New Roman"/>
                <w:b w:val="0"/>
                <w:bCs w:val="0"/>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项目审批（核准/</w:t>
            </w:r>
          </w:p>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备案）部门（选填）</w:t>
            </w:r>
          </w:p>
        </w:tc>
        <w:tc>
          <w:tcPr>
            <w:tcW w:w="1136" w:type="pct"/>
            <w:noWrap w:val="0"/>
            <w:vAlign w:val="center"/>
          </w:tcPr>
          <w:p>
            <w:pPr>
              <w:adjustRightInd w:val="0"/>
              <w:snapToGrid w:val="0"/>
              <w:jc w:val="center"/>
              <w:rPr>
                <w:rFonts w:hint="default" w:ascii="Times New Roman" w:hAnsi="Times New Roman" w:eastAsia="宋体" w:cs="Times New Roman"/>
                <w:sz w:val="24"/>
                <w:szCs w:val="24"/>
                <w:lang w:val="en-US"/>
              </w:rPr>
            </w:pPr>
            <w:r>
              <w:rPr>
                <w:rFonts w:hint="eastAsia" w:cs="Times New Roman"/>
                <w:color w:val="auto"/>
                <w:sz w:val="24"/>
                <w:szCs w:val="24"/>
                <w:lang w:eastAsia="zh-CN"/>
              </w:rPr>
              <w:t>宝丰</w:t>
            </w:r>
            <w:r>
              <w:rPr>
                <w:rFonts w:hint="eastAsia" w:cs="Times New Roman"/>
                <w:color w:val="auto"/>
                <w:sz w:val="24"/>
                <w:szCs w:val="24"/>
                <w:lang w:val="en-US" w:eastAsia="zh-CN"/>
              </w:rPr>
              <w:t>高新技术产业开发区管理委员会</w:t>
            </w:r>
          </w:p>
        </w:tc>
        <w:tc>
          <w:tcPr>
            <w:tcW w:w="1139" w:type="pct"/>
            <w:noWrap w:val="0"/>
            <w:vAlign w:val="center"/>
          </w:tcPr>
          <w:p>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项目审批（核准/</w:t>
            </w:r>
          </w:p>
          <w:p>
            <w:pPr>
              <w:adjustRightInd w:val="0"/>
              <w:snapToGrid w:val="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bCs/>
                <w:sz w:val="24"/>
                <w:szCs w:val="24"/>
              </w:rPr>
              <w:t>备案）文号（选填）</w:t>
            </w:r>
          </w:p>
        </w:tc>
        <w:tc>
          <w:tcPr>
            <w:tcW w:w="1933" w:type="pct"/>
            <w:noWrap w:val="0"/>
            <w:vAlign w:val="center"/>
          </w:tcPr>
          <w:p>
            <w:pPr>
              <w:adjustRightInd w:val="0"/>
              <w:snapToGrid w:val="0"/>
              <w:jc w:val="center"/>
              <w:rPr>
                <w:rFonts w:hint="eastAsia" w:ascii="Times New Roman" w:hAnsi="Times New Roman" w:eastAsia="宋体" w:cs="Times New Roman"/>
                <w:sz w:val="24"/>
                <w:szCs w:val="24"/>
                <w:lang w:val="en-US" w:eastAsia="zh-CN"/>
              </w:rPr>
            </w:pPr>
            <w:r>
              <w:rPr>
                <w:rFonts w:hint="eastAsia" w:cs="Times New Roman"/>
                <w:color w:val="auto"/>
                <w:sz w:val="24"/>
                <w:szCs w:val="24"/>
                <w:lang w:val="en-US" w:eastAsia="zh-CN"/>
              </w:rPr>
              <w:t>2301-410421-04-01-693430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总投资（万元）</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环保投资（万元）</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环保投资占比（%）</w:t>
            </w:r>
          </w:p>
        </w:tc>
        <w:tc>
          <w:tcPr>
            <w:tcW w:w="1136"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4.1</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0"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6" w:type="pct"/>
            <w:noWrap w:val="0"/>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w:char="00FE"/>
            </w:r>
            <w:r>
              <w:rPr>
                <w:rFonts w:hint="default" w:ascii="Times New Roman" w:hAnsi="Times New Roman" w:eastAsia="宋体" w:cs="Times New Roman"/>
                <w:color w:val="auto"/>
                <w:sz w:val="24"/>
                <w:szCs w:val="24"/>
              </w:rPr>
              <w:t>否</w:t>
            </w:r>
          </w:p>
          <w:p>
            <w:pPr>
              <w:adjustRightInd w:val="0"/>
              <w:snapToGrid w:val="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sym w:font="Wingdings" w:char="00A8"/>
            </w:r>
            <w:r>
              <w:rPr>
                <w:rFonts w:hint="default" w:ascii="Times New Roman" w:hAnsi="Times New Roman" w:eastAsia="宋体" w:cs="Times New Roman"/>
                <w:color w:val="auto"/>
                <w:sz w:val="24"/>
                <w:szCs w:val="24"/>
              </w:rPr>
              <w:t>是：</w:t>
            </w:r>
          </w:p>
        </w:tc>
        <w:tc>
          <w:tcPr>
            <w:tcW w:w="1139" w:type="pct"/>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b/>
                <w:bCs/>
                <w:color w:val="auto"/>
                <w:spacing w:val="-6"/>
                <w:sz w:val="24"/>
                <w:szCs w:val="24"/>
              </w:rPr>
            </w:pPr>
            <w:r>
              <w:rPr>
                <w:rFonts w:hint="default" w:ascii="Times New Roman" w:hAnsi="Times New Roman" w:eastAsia="宋体" w:cs="Times New Roman"/>
                <w:b/>
                <w:bCs/>
                <w:color w:val="auto"/>
                <w:spacing w:val="-6"/>
                <w:sz w:val="24"/>
                <w:szCs w:val="24"/>
              </w:rPr>
              <w:t>用地（用海）</w:t>
            </w:r>
          </w:p>
          <w:p>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pacing w:val="-6"/>
                <w:sz w:val="24"/>
                <w:szCs w:val="24"/>
              </w:rPr>
              <w:t>面积（m</w:t>
            </w:r>
            <w:r>
              <w:rPr>
                <w:rFonts w:hint="default" w:ascii="Times New Roman" w:hAnsi="Times New Roman" w:eastAsia="宋体" w:cs="Times New Roman"/>
                <w:b/>
                <w:bCs/>
                <w:color w:val="auto"/>
                <w:spacing w:val="-6"/>
                <w:sz w:val="24"/>
                <w:szCs w:val="24"/>
                <w:vertAlign w:val="superscript"/>
              </w:rPr>
              <w:t>2</w:t>
            </w:r>
            <w:r>
              <w:rPr>
                <w:rFonts w:hint="default" w:ascii="Times New Roman" w:hAnsi="Times New Roman" w:eastAsia="宋体" w:cs="Times New Roman"/>
                <w:b/>
                <w:bCs/>
                <w:color w:val="auto"/>
                <w:spacing w:val="-6"/>
                <w:sz w:val="24"/>
                <w:szCs w:val="24"/>
              </w:rPr>
              <w:t>）</w:t>
            </w:r>
          </w:p>
        </w:tc>
        <w:tc>
          <w:tcPr>
            <w:tcW w:w="193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专项评价设置情况</w:t>
            </w:r>
          </w:p>
        </w:tc>
        <w:tc>
          <w:tcPr>
            <w:tcW w:w="420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4"/>
                <w:szCs w:val="24"/>
              </w:rPr>
              <w:t>规划情况</w:t>
            </w:r>
          </w:p>
        </w:tc>
        <w:tc>
          <w:tcPr>
            <w:tcW w:w="4209" w:type="pct"/>
            <w:gridSpan w:val="3"/>
            <w:noWrap w:val="0"/>
            <w:vAlign w:val="center"/>
          </w:tcPr>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宝丰县产业集聚区总体发展规划（2016-2020）</w:t>
            </w:r>
            <w:r>
              <w:rPr>
                <w:rFonts w:hint="eastAsia" w:cs="Times New Roman"/>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90" w:type="pct"/>
            <w:noWrap w:val="0"/>
            <w:vAlign w:val="center"/>
          </w:tcPr>
          <w:p>
            <w:pPr>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sz w:val="24"/>
                <w:szCs w:val="24"/>
              </w:rPr>
              <w:t>规划环境影响评价情况</w:t>
            </w:r>
          </w:p>
        </w:tc>
        <w:tc>
          <w:tcPr>
            <w:tcW w:w="4209" w:type="pct"/>
            <w:gridSpan w:val="3"/>
            <w:noWrap w:val="0"/>
            <w:vAlign w:val="center"/>
          </w:tcPr>
          <w:p>
            <w:pPr>
              <w:autoSpaceDE w:val="0"/>
              <w:autoSpaceDN w:val="0"/>
              <w:adjustRightInd w:val="0"/>
              <w:snapToGrid w:val="0"/>
              <w:spacing w:line="360" w:lineRule="auto"/>
              <w:jc w:val="both"/>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《宝丰县产业集聚区总体发展规划（2016-2020）环境影响报告书》已于</w:t>
            </w:r>
            <w:r>
              <w:rPr>
                <w:rFonts w:hint="eastAsia" w:cs="Times New Roman"/>
                <w:kern w:val="0"/>
                <w:sz w:val="24"/>
                <w:szCs w:val="24"/>
                <w:lang w:val="en-US" w:eastAsia="zh-CN"/>
              </w:rPr>
              <w:t>2017</w:t>
            </w:r>
            <w:r>
              <w:rPr>
                <w:rFonts w:hint="default" w:ascii="Times New Roman" w:hAnsi="Times New Roman" w:eastAsia="宋体" w:cs="Times New Roman"/>
                <w:kern w:val="0"/>
                <w:sz w:val="24"/>
                <w:szCs w:val="24"/>
                <w:lang w:val="en-US" w:eastAsia="zh-CN"/>
              </w:rPr>
              <w:t>年</w:t>
            </w:r>
            <w:r>
              <w:rPr>
                <w:rFonts w:hint="eastAsia" w:cs="Times New Roman"/>
                <w:kern w:val="0"/>
                <w:sz w:val="24"/>
                <w:szCs w:val="24"/>
                <w:lang w:val="en-US" w:eastAsia="zh-CN"/>
              </w:rPr>
              <w:t>6月12日</w:t>
            </w:r>
            <w:r>
              <w:rPr>
                <w:rFonts w:hint="default" w:ascii="Times New Roman" w:hAnsi="Times New Roman" w:eastAsia="宋体" w:cs="Times New Roman"/>
                <w:kern w:val="0"/>
                <w:sz w:val="24"/>
                <w:szCs w:val="24"/>
                <w:lang w:val="en-US" w:eastAsia="zh-CN"/>
              </w:rPr>
              <w:t>编制完成并取得了平顶山市环境保护局审查意见的函</w:t>
            </w:r>
            <w:r>
              <w:rPr>
                <w:rFonts w:hint="eastAsia" w:cs="Times New Roman"/>
                <w:kern w:val="0"/>
                <w:sz w:val="24"/>
                <w:szCs w:val="24"/>
                <w:lang w:val="en-US" w:eastAsia="zh-CN"/>
              </w:rPr>
              <w:t>，文号为平环审[2017]9号</w:t>
            </w:r>
            <w:r>
              <w:rPr>
                <w:rFonts w:hint="default" w:ascii="Times New Roman" w:hAnsi="Times New Roman" w:eastAsia="宋体" w:cs="Times New Roman"/>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规划及规划环境影响评价符合性分析</w:t>
            </w:r>
          </w:p>
        </w:tc>
        <w:tc>
          <w:tcPr>
            <w:tcW w:w="4209"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lang w:val="en-US" w:eastAsia="zh-CN"/>
              </w:rPr>
            </w:pPr>
            <w:r>
              <w:rPr>
                <w:rFonts w:hint="eastAsia" w:ascii="Times New Roman" w:hAnsi="Times New Roman" w:eastAsia="宋体" w:cs="Times New Roman"/>
                <w:b/>
                <w:bCs w:val="0"/>
                <w:sz w:val="24"/>
                <w:u w:val="none"/>
                <w:lang w:val="en-US" w:eastAsia="zh-CN"/>
              </w:rPr>
              <w:t>本项目与《宝丰县产业集聚区总体发展规划（2016-2020）》符合性分析</w:t>
            </w:r>
          </w:p>
          <w:p>
            <w:pPr>
              <w:keepNext w:val="0"/>
              <w:keepLines w:val="0"/>
              <w:pageBreakBefore w:val="0"/>
              <w:widowControl w:val="0"/>
              <w:numPr>
                <w:ilvl w:val="0"/>
                <w:numId w:val="0"/>
              </w:numPr>
              <w:kinsoku/>
              <w:wordWrap w:val="0"/>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宝丰县产业集聚区是河南省首批确定的175个重点产业集聚区之一（豫发改工业[2010]2103号</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，批复规划面积7.2平方公里（豫环审[2011]257号）</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2012年</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宝丰县人民政府为强化产业集聚区载体功能</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促进组团式发展进行规划范围调整，新增规划面积4.9平方公里，至此，集聚区规划面积扩大到12.1平方公里。2012年6月，该规划调整方案获省政府同意并由省发改委作出批复豫发改工业[2012]826号</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。由于国家重大基础设施郑万高铁项目</w:t>
            </w:r>
            <w:r>
              <w:rPr>
                <w:rFonts w:hint="eastAsia" w:ascii="Times New Roman" w:hAnsi="Times New Roman" w:cs="Times New Roman"/>
                <w:sz w:val="24"/>
                <w:szCs w:val="24"/>
                <w:lang w:eastAsia="zh-CN"/>
              </w:rPr>
              <w:t>平顶</w:t>
            </w:r>
            <w:r>
              <w:rPr>
                <w:rFonts w:hint="default" w:ascii="Times New Roman" w:hAnsi="Times New Roman" w:cs="Times New Roman"/>
                <w:sz w:val="24"/>
                <w:szCs w:val="24"/>
                <w:lang w:eastAsia="zh-CN"/>
              </w:rPr>
              <w:t>山西站选址在宝丰产业集聚区内</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高铁商务区的建设占用了产业集聚区的土地，使得产业发展空间受限，因此，需要对产业集聚区规划范围进行调整。目前，《宝丰县产业集聚区总体发展规划</w:t>
            </w:r>
            <w:r>
              <w:rPr>
                <w:rFonts w:hint="eastAsia" w:cs="Times New Roman"/>
                <w:sz w:val="24"/>
                <w:szCs w:val="24"/>
                <w:lang w:eastAsia="zh-CN"/>
              </w:rPr>
              <w:t>(</w:t>
            </w:r>
            <w:r>
              <w:rPr>
                <w:rFonts w:hint="default" w:ascii="Times New Roman" w:hAnsi="Times New Roman" w:cs="Times New Roman"/>
                <w:sz w:val="24"/>
                <w:szCs w:val="24"/>
                <w:lang w:eastAsia="zh-CN"/>
              </w:rPr>
              <w:t>2016-2020)》已通过平顶山市环境保护局审批，其主要内容如下：</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kern w:val="0"/>
                <w:sz w:val="24"/>
                <w:szCs w:val="24"/>
                <w:lang w:val="en-US" w:eastAsia="zh-CN"/>
              </w:rPr>
            </w:pPr>
            <w:r>
              <w:rPr>
                <w:rFonts w:hint="eastAsia" w:ascii="Times New Roman" w:hAnsi="Times New Roman" w:cs="Times New Roman"/>
                <w:b/>
                <w:bCs/>
                <w:kern w:val="0"/>
                <w:sz w:val="24"/>
                <w:szCs w:val="24"/>
                <w:lang w:val="en-US" w:eastAsia="zh-CN"/>
              </w:rPr>
              <w:t>（1）规划位置及规划范围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宝丰县产业集聚区规划分为东、西两个片区。东区东至柳沟营村西边界，西至龙兴路，南至应河大道</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豫02线</w:t>
            </w:r>
            <w:r>
              <w:rPr>
                <w:rFonts w:hint="eastAsia" w:ascii="宋体" w:hAnsi="宋体" w:eastAsia="宋体" w:cs="宋体"/>
                <w:kern w:val="0"/>
                <w:sz w:val="24"/>
                <w:szCs w:val="24"/>
                <w:lang w:val="en-US" w:eastAsia="zh-CN"/>
              </w:rPr>
              <w:t>－</w:t>
            </w:r>
            <w:r>
              <w:rPr>
                <w:rFonts w:hint="default" w:ascii="Times New Roman" w:hAnsi="Times New Roman" w:eastAsia="宋体" w:cs="Times New Roman"/>
                <w:kern w:val="0"/>
                <w:sz w:val="24"/>
                <w:szCs w:val="24"/>
                <w:lang w:val="en-US" w:eastAsia="zh-CN"/>
              </w:rPr>
              <w:t>园区三号路，北至孟宝铁路，规划面积4.1平方公里（全部为建成区）；西区东至大地水泥东侧，西至商杨公路，南至平韩铁路，北至宝苗公路，规划面积7.1平方公里。规划总面积为11.2平方公里。</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（2）产业定位及发展定位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宝丰县产业集聚区主导产业为不锈钢、装备制造业。产业集聚区总体发展定位为：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长江以北最大的不锈钢加工基地：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全国重要的不锈钢加工基地、物流中心和配送中心：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中部地区有重要影响的装备制造生产基地。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宝丰县产业集聚区在发展的同时，不锈钢产业应努力发展冷轧等技术以及下游产品的研制，开拓市场，禁止涉及热轧工艺的企业入驻</w:t>
            </w:r>
            <w:r>
              <w:rPr>
                <w:rFonts w:hint="eastAsia"/>
                <w:sz w:val="24"/>
                <w:szCs w:val="24"/>
                <w:lang w:eastAsia="zh-CN"/>
              </w:rPr>
              <w:t>：</w:t>
            </w:r>
            <w:r>
              <w:rPr>
                <w:rFonts w:hint="eastAsia"/>
                <w:sz w:val="24"/>
                <w:szCs w:val="24"/>
              </w:rPr>
              <w:t>装备制造业实行企业差别化、特色化等产业路径发展，禁止涉及电镀工艺的企业入驻：对于建材行业的企业，集聚区不允许其入驻。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空间结构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结合产业集聚区的功能要求和产业布局，本着统筹兼顾、综合协调的原则确定了</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一心、两轴、三组团</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的空间结构。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①</w:t>
            </w:r>
            <w:r>
              <w:rPr>
                <w:rFonts w:hint="default" w:ascii="Times New Roman" w:hAnsi="Times New Roman" w:cs="Times New Roman"/>
                <w:b w:val="0"/>
                <w:bCs w:val="0"/>
                <w:sz w:val="24"/>
                <w:szCs w:val="24"/>
                <w:lang w:eastAsia="zh-CN"/>
              </w:rPr>
              <w:t>一心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袁店水库南侧布置集聚区管委会和企业中心，形成集聚区综合服务中心。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②</w:t>
            </w:r>
            <w:r>
              <w:rPr>
                <w:rFonts w:hint="default" w:ascii="Times New Roman" w:hAnsi="Times New Roman" w:cs="Times New Roman"/>
                <w:b w:val="0"/>
                <w:bCs w:val="0"/>
                <w:sz w:val="24"/>
                <w:szCs w:val="24"/>
                <w:lang w:eastAsia="zh-CN"/>
              </w:rPr>
              <w:t>两轴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主轴：沿长安大道的产业拓展主轴，控制和引导集聚区各功能区协调有序发展，促进产城融合，串联集聚区内的各个产业片区，引导集聚区的快速、有序、健康发展。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次轴：沿人民路的产业拓展次轴，加强与中心城区的联系，促进产城一体化发展。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eastAsia="zh-CN"/>
              </w:rPr>
            </w:pPr>
            <w:r>
              <w:rPr>
                <w:rFonts w:hint="eastAsia" w:ascii="Times New Roman" w:hAnsi="Times New Roman" w:cs="Times New Roman"/>
                <w:b w:val="0"/>
                <w:bCs w:val="0"/>
                <w:sz w:val="24"/>
                <w:szCs w:val="24"/>
                <w:lang w:eastAsia="zh-CN"/>
              </w:rPr>
              <w:t>③</w:t>
            </w:r>
            <w:r>
              <w:rPr>
                <w:rFonts w:hint="default" w:ascii="Times New Roman" w:hAnsi="Times New Roman" w:cs="Times New Roman"/>
                <w:b w:val="0"/>
                <w:bCs w:val="0"/>
                <w:sz w:val="24"/>
                <w:szCs w:val="24"/>
                <w:lang w:eastAsia="zh-CN"/>
              </w:rPr>
              <w:t>三组团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不同的功能需求和工业门类的需求，将产业集聚区划分成三个产业组团。三大产业组团分别为不锈钢产业组团、装备制造产业组团和综合产业组团（保留现状几个大企业，并对其进行产业升级，剩余用地可以用于发展不锈钢产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eastAsia="zh-CN"/>
              </w:rPr>
              <w:t>（</w:t>
            </w:r>
            <w:r>
              <w:rPr>
                <w:rFonts w:hint="eastAsia" w:cs="Times New Roman"/>
                <w:b/>
                <w:bCs/>
                <w:sz w:val="24"/>
                <w:szCs w:val="24"/>
                <w:lang w:val="en-US" w:eastAsia="zh-CN"/>
              </w:rPr>
              <w:t>4</w:t>
            </w:r>
            <w:r>
              <w:rPr>
                <w:rFonts w:hint="eastAsia" w:ascii="Times New Roman" w:hAnsi="Times New Roman" w:cs="Times New Roman"/>
                <w:b/>
                <w:bCs/>
                <w:sz w:val="24"/>
                <w:szCs w:val="24"/>
                <w:lang w:eastAsia="zh-CN"/>
              </w:rPr>
              <w:t>）</w:t>
            </w:r>
            <w:r>
              <w:rPr>
                <w:rFonts w:hint="eastAsia" w:cs="Times New Roman"/>
                <w:b/>
                <w:bCs/>
                <w:sz w:val="24"/>
                <w:szCs w:val="24"/>
                <w:lang w:val="en-US" w:eastAsia="zh-CN"/>
              </w:rPr>
              <w:t>供水工程</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供水水源采用南水北调水源，产业集聚区的供水管网与宝丰县城的供水管树相互连通成环，互为补给，由张八桥镇水厂和南水北调供水厂共同供水。其中，张八桥镇水的规模为5万吨/日。近期沿长安人道、洁石路和西二环敷设给水干管，由张八桥镇水厂向规划产业集聚区西部园区供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lang w:val="en-US" w:eastAsia="zh-CN"/>
              </w:rPr>
            </w:pPr>
            <w:r>
              <w:rPr>
                <w:rFonts w:hint="eastAsia" w:cs="Times New Roman"/>
                <w:b/>
                <w:bCs/>
                <w:sz w:val="24"/>
                <w:szCs w:val="24"/>
                <w:lang w:val="en-US" w:eastAsia="zh-CN"/>
              </w:rPr>
              <w:t>（5）</w:t>
            </w:r>
            <w:r>
              <w:rPr>
                <w:rFonts w:hint="default" w:ascii="Times New Roman" w:hAnsi="Times New Roman" w:cs="Times New Roman"/>
                <w:b/>
                <w:bCs/>
                <w:sz w:val="24"/>
                <w:szCs w:val="24"/>
                <w:lang w:val="en-US" w:eastAsia="zh-CN"/>
              </w:rPr>
              <w:t>排水工程</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根据规划排水采用雨、污分流制。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规划结合现状地形地势和竖向规划，沿主要道路宝苗公路、长安大道、西二环路、商杨公路、洁石路、创业路等布置雨水干管，就近排入附近河流和沟渠。污水排放分区：根据《宝丰县城乡总体规划</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2014-2030)</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张八桥镇总体规划</w:t>
            </w:r>
            <w:r>
              <w:rPr>
                <w:rFonts w:hint="eastAsia" w:cs="Times New Roman"/>
                <w:kern w:val="0"/>
                <w:sz w:val="24"/>
                <w:szCs w:val="24"/>
                <w:lang w:val="en-US" w:eastAsia="zh-CN"/>
              </w:rPr>
              <w:t>(</w:t>
            </w:r>
            <w:r>
              <w:rPr>
                <w:rFonts w:hint="default" w:ascii="Times New Roman" w:hAnsi="Times New Roman" w:eastAsia="宋体" w:cs="Times New Roman"/>
                <w:kern w:val="0"/>
                <w:sz w:val="24"/>
                <w:szCs w:val="24"/>
                <w:lang w:val="en-US" w:eastAsia="zh-CN"/>
              </w:rPr>
              <w:t>2016-2030)》和现状地形地势，规划范围内的东部园区污水经汇入</w:t>
            </w:r>
            <w:r>
              <w:rPr>
                <w:rFonts w:hint="eastAsia" w:cs="Times New Roman"/>
                <w:kern w:val="0"/>
                <w:sz w:val="24"/>
                <w:szCs w:val="24"/>
                <w:lang w:val="en-US" w:eastAsia="zh-CN"/>
              </w:rPr>
              <w:t>宝丰县产业集聚区污水处理厂</w:t>
            </w:r>
            <w:r>
              <w:rPr>
                <w:rFonts w:hint="default" w:ascii="Times New Roman" w:hAnsi="Times New Roman" w:eastAsia="宋体" w:cs="Times New Roman"/>
                <w:kern w:val="0"/>
                <w:sz w:val="24"/>
                <w:szCs w:val="24"/>
                <w:lang w:val="en-US" w:eastAsia="zh-CN"/>
              </w:rPr>
              <w:t>进行处理；产业集聚区西部园区污水汇入产业集聚区</w:t>
            </w:r>
            <w:r>
              <w:rPr>
                <w:rFonts w:hint="eastAsia" w:cs="Times New Roman"/>
                <w:kern w:val="0"/>
                <w:sz w:val="24"/>
                <w:szCs w:val="24"/>
                <w:lang w:val="en-US" w:eastAsia="zh-CN"/>
              </w:rPr>
              <w:t>污水处理厂</w:t>
            </w:r>
            <w:r>
              <w:rPr>
                <w:rFonts w:hint="default" w:ascii="Times New Roman" w:hAnsi="Times New Roman" w:eastAsia="宋体" w:cs="Times New Roman"/>
                <w:kern w:val="0"/>
                <w:sz w:val="24"/>
                <w:szCs w:val="24"/>
                <w:lang w:val="en-US" w:eastAsia="zh-CN"/>
              </w:rPr>
              <w:t>进行处理。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sz w:val="24"/>
                <w:szCs w:val="24"/>
                <w:lang w:val="en-US" w:eastAsia="zh-CN"/>
              </w:rPr>
            </w:pPr>
            <w:r>
              <w:rPr>
                <w:rFonts w:hint="eastAsia" w:cs="Times New Roman"/>
                <w:b/>
                <w:bCs/>
                <w:sz w:val="24"/>
                <w:szCs w:val="24"/>
                <w:lang w:val="en-US" w:eastAsia="zh-CN"/>
              </w:rPr>
              <w:t>（6）</w:t>
            </w:r>
            <w:r>
              <w:rPr>
                <w:rFonts w:hint="default" w:cs="Times New Roman"/>
                <w:b/>
                <w:bCs/>
                <w:sz w:val="24"/>
                <w:szCs w:val="24"/>
                <w:lang w:val="en-US" w:eastAsia="zh-CN"/>
              </w:rPr>
              <w:t>燃气工程规划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气源规划</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宝丰县区目前在用的城市燃气气源主要是西气东输豫南支线管输天然气，并于宝丰规划设有天然气门站。现状宝丰天然气门站位于县城东侧，集聚区北侧1.5公里。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燃气管网规划：根据《宝丰县城市燃气专项规划</w:t>
            </w:r>
            <w:r>
              <w:rPr>
                <w:rFonts w:hint="eastAsia" w:cs="Times New Roman"/>
                <w:sz w:val="24"/>
                <w:szCs w:val="24"/>
                <w:lang w:eastAsia="zh-CN"/>
              </w:rPr>
              <w:t>(</w:t>
            </w:r>
            <w:r>
              <w:rPr>
                <w:rFonts w:hint="default" w:ascii="Times New Roman" w:hAnsi="Times New Roman" w:cs="Times New Roman"/>
                <w:sz w:val="24"/>
                <w:szCs w:val="24"/>
              </w:rPr>
              <w:t>2014-2030)》，</w:t>
            </w:r>
            <w:r>
              <w:rPr>
                <w:rFonts w:hint="eastAsia" w:cs="Times New Roman"/>
                <w:sz w:val="24"/>
                <w:szCs w:val="24"/>
                <w:lang w:eastAsia="zh-CN"/>
              </w:rPr>
              <w:t>规定范围内</w:t>
            </w:r>
            <w:r>
              <w:rPr>
                <w:rFonts w:hint="default" w:ascii="Times New Roman" w:hAnsi="Times New Roman" w:cs="Times New Roman"/>
                <w:sz w:val="24"/>
                <w:szCs w:val="24"/>
              </w:rPr>
              <w:t>管网采用中压一级管网，规划沿长安人道、西二环布置DE200配气干管，保留现状园区三号路和豫02线DE200燃气配气干管，</w:t>
            </w:r>
            <w:r>
              <w:rPr>
                <w:rFonts w:hint="eastAsia" w:cs="Times New Roman"/>
                <w:sz w:val="24"/>
                <w:szCs w:val="24"/>
                <w:lang w:eastAsia="zh-CN"/>
              </w:rPr>
              <w:t>沿其他</w:t>
            </w:r>
            <w:r>
              <w:rPr>
                <w:rFonts w:hint="default" w:ascii="Times New Roman" w:hAnsi="Times New Roman" w:cs="Times New Roman"/>
                <w:sz w:val="24"/>
                <w:szCs w:val="24"/>
              </w:rPr>
              <w:t>道路布置DE160、DE110燃气支管。燃气管道采用直埋敷设，管道埋设在人行道下，尽量避免敷设在车行道下。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sz w:val="24"/>
                <w:szCs w:val="24"/>
                <w:lang w:val="en-US" w:eastAsia="zh-CN"/>
              </w:rPr>
            </w:pPr>
            <w:r>
              <w:rPr>
                <w:rFonts w:hint="eastAsia" w:cs="Times New Roman"/>
                <w:b/>
                <w:bCs/>
                <w:sz w:val="24"/>
                <w:szCs w:val="24"/>
                <w:lang w:val="en-US" w:eastAsia="zh-CN"/>
              </w:rPr>
              <w:t>（7）</w:t>
            </w:r>
            <w:r>
              <w:rPr>
                <w:rFonts w:hint="default" w:cs="Times New Roman"/>
                <w:b/>
                <w:bCs/>
                <w:sz w:val="24"/>
                <w:szCs w:val="24"/>
                <w:lang w:val="en-US" w:eastAsia="zh-CN"/>
              </w:rPr>
              <w:t>电力工程规划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根据《宝丰县城乡总体规划</w:t>
            </w:r>
            <w:r>
              <w:rPr>
                <w:rFonts w:hint="eastAsia" w:cs="Times New Roman"/>
                <w:sz w:val="24"/>
                <w:szCs w:val="24"/>
                <w:lang w:eastAsia="zh-CN"/>
              </w:rPr>
              <w:t>(</w:t>
            </w:r>
            <w:r>
              <w:rPr>
                <w:rFonts w:hint="default" w:ascii="Times New Roman" w:hAnsi="Times New Roman" w:cs="Times New Roman"/>
                <w:sz w:val="24"/>
                <w:szCs w:val="24"/>
              </w:rPr>
              <w:t>2014-2030)》</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产业集聚区内将新建工业110kv变和张八桥镇110kv变等2座110kv变电站，</w:t>
            </w:r>
            <w:r>
              <w:rPr>
                <w:rFonts w:hint="eastAsia" w:ascii="Times New Roman" w:hAnsi="Times New Roman" w:cs="Times New Roman"/>
                <w:sz w:val="24"/>
                <w:szCs w:val="24"/>
                <w:lang w:val="en-US" w:eastAsia="zh-CN"/>
              </w:rPr>
              <w:t>工</w:t>
            </w:r>
            <w:r>
              <w:rPr>
                <w:rFonts w:hint="default" w:ascii="Times New Roman" w:hAnsi="Times New Roman" w:cs="Times New Roman"/>
                <w:sz w:val="24"/>
                <w:szCs w:val="24"/>
              </w:rPr>
              <w:t>业110kv变位于产业集聚区东部园区的园区三号路西段，变电站主变容量为2×50MVA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张八桥镇110kV变</w:t>
            </w:r>
            <w:r>
              <w:rPr>
                <w:rFonts w:hint="eastAsia" w:cs="Times New Roman"/>
                <w:sz w:val="24"/>
                <w:szCs w:val="24"/>
                <w:lang w:eastAsia="zh-CN"/>
              </w:rPr>
              <w:t>位于</w:t>
            </w:r>
            <w:r>
              <w:rPr>
                <w:rFonts w:hint="default" w:ascii="Times New Roman" w:hAnsi="Times New Roman" w:cs="Times New Roman"/>
                <w:sz w:val="24"/>
                <w:szCs w:val="24"/>
              </w:rPr>
              <w:t>产业集聚区西部园区的商杨公路和长安大道南侧，变电站主变容量为3×50MVA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城南110kv变</w:t>
            </w:r>
            <w:r>
              <w:rPr>
                <w:rFonts w:hint="eastAsia" w:cs="Times New Roman"/>
                <w:sz w:val="24"/>
                <w:szCs w:val="24"/>
                <w:lang w:eastAsia="zh-CN"/>
              </w:rPr>
              <w:t>位于</w:t>
            </w:r>
            <w:r>
              <w:rPr>
                <w:rFonts w:hint="default" w:ascii="Times New Roman" w:hAnsi="Times New Roman" w:cs="Times New Roman"/>
                <w:sz w:val="24"/>
                <w:szCs w:val="24"/>
              </w:rPr>
              <w:t>产业集聚区东部南四环路北侧，变电站主变容量为3×50MVA。产业集聚区规划期由堂洼110kv变和西彭庄35kv变电站供电。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sz w:val="24"/>
                <w:szCs w:val="24"/>
                <w:lang w:val="en-US" w:eastAsia="zh-CN"/>
              </w:rPr>
            </w:pPr>
            <w:r>
              <w:rPr>
                <w:rFonts w:hint="eastAsia" w:cs="Times New Roman"/>
                <w:b/>
                <w:bCs/>
                <w:sz w:val="24"/>
                <w:szCs w:val="24"/>
                <w:lang w:val="en-US" w:eastAsia="zh-CN"/>
              </w:rPr>
              <w:t>（8）</w:t>
            </w:r>
            <w:r>
              <w:rPr>
                <w:rFonts w:hint="default" w:cs="Times New Roman"/>
                <w:b/>
                <w:bCs/>
                <w:sz w:val="24"/>
                <w:szCs w:val="24"/>
                <w:lang w:val="en-US" w:eastAsia="zh-CN"/>
              </w:rPr>
              <w:t>环境准入负面清单</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①所有进区企业都必须满足排水量小、污染</w:t>
            </w:r>
            <w:r>
              <w:rPr>
                <w:rFonts w:hint="eastAsia" w:cs="Times New Roman"/>
                <w:kern w:val="0"/>
                <w:sz w:val="24"/>
                <w:szCs w:val="24"/>
                <w:lang w:val="en-US" w:eastAsia="zh-CN"/>
              </w:rPr>
              <w:t>轻</w:t>
            </w:r>
            <w:r>
              <w:rPr>
                <w:rFonts w:hint="default" w:ascii="Times New Roman" w:hAnsi="Times New Roman" w:eastAsia="宋体" w:cs="Times New Roman"/>
                <w:kern w:val="0"/>
                <w:sz w:val="24"/>
                <w:szCs w:val="24"/>
                <w:lang w:val="en-US" w:eastAsia="zh-CN"/>
              </w:rPr>
              <w:t>、单位产品能耗、物耗、污染物排放及资源利用率须达同行业清洁生产国内先进水平或国际先进的要求：所有生产工艺废气必须达标排放：各类固体废物分质安全处置。</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②原辅材料禁止使用有毒有害物质，生产设备应达国内先进水平，确保10年内不淘汰。生产规模必须符合国家产业政策要求。</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③禁止耗水量大的项目，大力发展节水和中水回用</w:t>
            </w:r>
            <w:r>
              <w:rPr>
                <w:rFonts w:hint="eastAsia" w:cs="Times New Roman"/>
                <w:kern w:val="0"/>
                <w:sz w:val="24"/>
                <w:szCs w:val="24"/>
                <w:lang w:val="en-US"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④集聚区西区在污水处理厂建成投产前，入区项目必须做到废水零排放</w:t>
            </w:r>
            <w:r>
              <w:rPr>
                <w:rFonts w:hint="eastAsia" w:cs="Times New Roman"/>
                <w:kern w:val="0"/>
                <w:sz w:val="24"/>
                <w:szCs w:val="24"/>
                <w:lang w:val="en-US"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⑤不得新建大气污染物最大落地浓度位于总干渠范围内的建设项目</w:t>
            </w:r>
            <w:r>
              <w:rPr>
                <w:rFonts w:hint="eastAsia"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lang w:val="en-US" w:eastAsia="zh-CN"/>
              </w:rPr>
              <w:t>位于南水北调干渠二级保护区内用地发展必须满足相关管控要求。</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⑥区内现有项目如需扩建，必须做到增产减污。</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项目营运期废水主要为生活污水</w:t>
            </w:r>
            <w:r>
              <w:rPr>
                <w:rFonts w:hint="eastAsia" w:cs="Times New Roman"/>
                <w:color w:val="auto"/>
                <w:kern w:val="0"/>
                <w:sz w:val="24"/>
                <w:szCs w:val="24"/>
                <w:lang w:val="en-US" w:eastAsia="zh-CN"/>
              </w:rPr>
              <w:t>、清洗废水、车辆冲洗废水以及冷却水。生活污水</w:t>
            </w:r>
            <w:r>
              <w:rPr>
                <w:rFonts w:hint="default" w:ascii="Times New Roman" w:hAnsi="Times New Roman" w:eastAsia="宋体" w:cs="Times New Roman"/>
                <w:color w:val="auto"/>
                <w:kern w:val="0"/>
                <w:sz w:val="24"/>
                <w:szCs w:val="24"/>
                <w:lang w:val="en-US" w:eastAsia="zh-CN"/>
              </w:rPr>
              <w:t>经化粪池收集后可直接进入污水管网，最终进入</w:t>
            </w:r>
            <w:r>
              <w:rPr>
                <w:rFonts w:hint="eastAsia" w:cs="Times New Roman"/>
                <w:color w:val="auto"/>
                <w:kern w:val="0"/>
                <w:sz w:val="24"/>
                <w:szCs w:val="24"/>
                <w:lang w:val="en-US" w:eastAsia="zh-CN"/>
              </w:rPr>
              <w:t>宝丰县产业集聚区污水处理厂</w:t>
            </w:r>
            <w:r>
              <w:rPr>
                <w:rFonts w:hint="default" w:ascii="Times New Roman" w:hAnsi="Times New Roman" w:eastAsia="宋体" w:cs="Times New Roman"/>
                <w:color w:val="auto"/>
                <w:kern w:val="0"/>
                <w:sz w:val="24"/>
                <w:szCs w:val="24"/>
                <w:lang w:val="en-US" w:eastAsia="zh-CN"/>
              </w:rPr>
              <w:t>进行处理</w:t>
            </w:r>
            <w:r>
              <w:rPr>
                <w:rFonts w:hint="eastAsia" w:cs="Times New Roman"/>
                <w:color w:val="auto"/>
                <w:kern w:val="0"/>
                <w:sz w:val="24"/>
                <w:szCs w:val="24"/>
                <w:lang w:val="en-US" w:eastAsia="zh-CN"/>
              </w:rPr>
              <w:t>；清洗废水经一体化环保设施净化处理后循环使用不外排；车辆冲洗废水经沉淀池处理后，循环使用不外排；冷却水定期补充，循环使用不外排。项目运营期间废气主要为破碎工序产生粉尘和熔融挤出工序产生的有机废气（主要为非甲烷总烃、二甲苯）。其中破碎工序产生的粉尘经全密闭负压集气系统+袋式除尘器+20m排气筒处理后达标排放；熔融挤出工序产生的废气（主要为非甲烷总烃、二甲苯）经全密闭负压集气系统+干式过滤除尘（过滤棉）+活性炭吸附浓缩+催化燃烧（RCO）+20m排气筒处理后达标排放。项目生产过程中产生的一般固体废物统一</w:t>
            </w:r>
            <w:r>
              <w:rPr>
                <w:rFonts w:hint="default" w:ascii="Times New Roman" w:hAnsi="Times New Roman" w:eastAsia="宋体" w:cs="Times New Roman"/>
                <w:color w:val="auto"/>
                <w:kern w:val="0"/>
                <w:sz w:val="24"/>
                <w:szCs w:val="24"/>
                <w:lang w:val="en-US" w:eastAsia="zh-CN"/>
              </w:rPr>
              <w:t>收集后交由环卫部门统一处理</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危险废物</w:t>
            </w:r>
            <w:r>
              <w:rPr>
                <w:rFonts w:hint="eastAsia" w:cs="Times New Roman"/>
                <w:color w:val="auto"/>
                <w:kern w:val="0"/>
                <w:sz w:val="24"/>
                <w:szCs w:val="24"/>
                <w:lang w:val="en-US" w:eastAsia="zh-CN"/>
              </w:rPr>
              <w:t>暂存危废暂存间，</w:t>
            </w:r>
            <w:r>
              <w:rPr>
                <w:rFonts w:hint="default" w:ascii="Times New Roman" w:hAnsi="Times New Roman" w:eastAsia="宋体" w:cs="Times New Roman"/>
                <w:color w:val="auto"/>
                <w:kern w:val="0"/>
                <w:sz w:val="24"/>
                <w:szCs w:val="24"/>
                <w:lang w:val="en-US" w:eastAsia="zh-CN"/>
              </w:rPr>
              <w:t>定期交由有相关危险废物处置资质的单位进行处理</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本项目与南水北调工程宝丰段垂直距离2.</w:t>
            </w:r>
            <w:r>
              <w:rPr>
                <w:rFonts w:hint="eastAsia"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k</w:t>
            </w:r>
            <w:r>
              <w:rPr>
                <w:rFonts w:hint="eastAsia" w:cs="Times New Roman"/>
                <w:color w:val="auto"/>
                <w:kern w:val="0"/>
                <w:sz w:val="24"/>
                <w:szCs w:val="24"/>
                <w:lang w:val="en-US" w:eastAsia="zh-CN"/>
              </w:rPr>
              <w:t>m，</w:t>
            </w:r>
            <w:r>
              <w:rPr>
                <w:rFonts w:hint="default" w:ascii="Times New Roman" w:hAnsi="Times New Roman" w:eastAsia="宋体" w:cs="Times New Roman"/>
                <w:color w:val="auto"/>
                <w:kern w:val="0"/>
                <w:sz w:val="24"/>
                <w:szCs w:val="24"/>
                <w:lang w:val="en-US" w:eastAsia="zh-CN"/>
              </w:rPr>
              <w:t>不在南水北调保护区范围内，因此本项目不在环境准入负面清单之列。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sz w:val="24"/>
                <w:szCs w:val="24"/>
                <w:lang w:val="en-US" w:eastAsia="zh-CN"/>
              </w:rPr>
            </w:pPr>
            <w:r>
              <w:rPr>
                <w:rFonts w:hint="eastAsia" w:cs="Times New Roman"/>
                <w:b/>
                <w:bCs/>
                <w:sz w:val="24"/>
                <w:szCs w:val="24"/>
                <w:lang w:val="en-US" w:eastAsia="zh-CN"/>
              </w:rPr>
              <w:t>（9）</w:t>
            </w:r>
            <w:r>
              <w:rPr>
                <w:rFonts w:hint="default" w:cs="Times New Roman"/>
                <w:b/>
                <w:bCs/>
                <w:sz w:val="24"/>
                <w:szCs w:val="24"/>
                <w:lang w:val="en-US" w:eastAsia="zh-CN"/>
              </w:rPr>
              <w:t>本项</w:t>
            </w:r>
            <w:r>
              <w:rPr>
                <w:rFonts w:hint="eastAsia" w:cs="Times New Roman"/>
                <w:b/>
                <w:bCs/>
                <w:sz w:val="24"/>
                <w:szCs w:val="24"/>
                <w:lang w:val="en-US" w:eastAsia="zh-CN"/>
              </w:rPr>
              <w:t>目</w:t>
            </w:r>
            <w:r>
              <w:rPr>
                <w:rFonts w:hint="default" w:cs="Times New Roman"/>
                <w:b/>
                <w:bCs/>
                <w:sz w:val="24"/>
                <w:szCs w:val="24"/>
                <w:lang w:val="en-US" w:eastAsia="zh-CN"/>
              </w:rPr>
              <w:t>与宝丰县产业集聚区规划符合性分析</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本项目不在产业集聚区产业禁止及环境准入负而清单之列，本项目用电</w:t>
            </w:r>
            <w:r>
              <w:rPr>
                <w:rFonts w:hint="eastAsia" w:cs="Times New Roman"/>
                <w:color w:val="auto"/>
                <w:kern w:val="0"/>
                <w:sz w:val="24"/>
                <w:szCs w:val="24"/>
                <w:lang w:val="en-US" w:eastAsia="zh-CN"/>
              </w:rPr>
              <w:t>来</w:t>
            </w:r>
            <w:r>
              <w:rPr>
                <w:rFonts w:hint="default" w:ascii="Times New Roman" w:hAnsi="Times New Roman" w:eastAsia="宋体" w:cs="Times New Roman"/>
                <w:color w:val="auto"/>
                <w:kern w:val="0"/>
                <w:sz w:val="24"/>
                <w:szCs w:val="24"/>
                <w:lang w:val="en-US" w:eastAsia="zh-CN"/>
              </w:rPr>
              <w:t>自产业集聚区电网：用水</w:t>
            </w:r>
            <w:r>
              <w:rPr>
                <w:rFonts w:hint="eastAsia" w:cs="Times New Roman"/>
                <w:color w:val="auto"/>
                <w:kern w:val="0"/>
                <w:sz w:val="24"/>
                <w:szCs w:val="24"/>
                <w:lang w:val="en-US" w:eastAsia="zh-CN"/>
              </w:rPr>
              <w:t>来自</w:t>
            </w:r>
            <w:r>
              <w:rPr>
                <w:rFonts w:hint="default" w:ascii="Times New Roman" w:hAnsi="Times New Roman" w:eastAsia="宋体" w:cs="Times New Roman"/>
                <w:color w:val="auto"/>
                <w:kern w:val="0"/>
                <w:sz w:val="24"/>
                <w:szCs w:val="24"/>
                <w:lang w:val="en-US" w:eastAsia="zh-CN"/>
              </w:rPr>
              <w:t>产业集聚区供水管网</w:t>
            </w:r>
            <w:r>
              <w:rPr>
                <w:rFonts w:hint="eastAsia" w:cs="Times New Roman"/>
                <w:color w:val="auto"/>
                <w:kern w:val="0"/>
                <w:sz w:val="24"/>
                <w:szCs w:val="24"/>
                <w:lang w:val="en-US" w:eastAsia="zh-CN"/>
              </w:rPr>
              <w:t>；宝丰县产业集聚区污水处理厂</w:t>
            </w:r>
            <w:r>
              <w:rPr>
                <w:rFonts w:hint="default" w:ascii="Times New Roman" w:hAnsi="Times New Roman" w:eastAsia="宋体" w:cs="Times New Roman"/>
                <w:color w:val="auto"/>
                <w:kern w:val="0"/>
                <w:sz w:val="24"/>
                <w:szCs w:val="24"/>
                <w:lang w:val="en-US" w:eastAsia="zh-CN"/>
              </w:rPr>
              <w:t>及项</w:t>
            </w:r>
            <w:r>
              <w:rPr>
                <w:rFonts w:hint="eastAsia" w:cs="Times New Roman"/>
                <w:color w:val="auto"/>
                <w:kern w:val="0"/>
                <w:sz w:val="24"/>
                <w:szCs w:val="24"/>
                <w:lang w:val="en-US" w:eastAsia="zh-CN"/>
              </w:rPr>
              <w:t>目</w:t>
            </w:r>
            <w:r>
              <w:rPr>
                <w:rFonts w:hint="default" w:ascii="Times New Roman" w:hAnsi="Times New Roman" w:eastAsia="宋体" w:cs="Times New Roman"/>
                <w:color w:val="auto"/>
                <w:kern w:val="0"/>
                <w:sz w:val="24"/>
                <w:szCs w:val="24"/>
                <w:lang w:val="en-US" w:eastAsia="zh-CN"/>
              </w:rPr>
              <w:t>所在区域管网配套设施已建设</w:t>
            </w:r>
            <w:r>
              <w:rPr>
                <w:rFonts w:hint="eastAsia" w:cs="Times New Roman"/>
                <w:color w:val="auto"/>
                <w:kern w:val="0"/>
                <w:sz w:val="24"/>
                <w:szCs w:val="24"/>
                <w:lang w:val="en-US" w:eastAsia="zh-CN"/>
              </w:rPr>
              <w:t>完</w:t>
            </w:r>
            <w:r>
              <w:rPr>
                <w:rFonts w:hint="default" w:ascii="Times New Roman" w:hAnsi="Times New Roman" w:eastAsia="宋体" w:cs="Times New Roman"/>
                <w:color w:val="auto"/>
                <w:kern w:val="0"/>
                <w:sz w:val="24"/>
                <w:szCs w:val="24"/>
                <w:lang w:val="en-US" w:eastAsia="zh-CN"/>
              </w:rPr>
              <w:t>成，项</w:t>
            </w:r>
            <w:r>
              <w:rPr>
                <w:rFonts w:hint="eastAsia" w:cs="Times New Roman"/>
                <w:color w:val="auto"/>
                <w:kern w:val="0"/>
                <w:sz w:val="24"/>
                <w:szCs w:val="24"/>
                <w:lang w:val="en-US" w:eastAsia="zh-CN"/>
              </w:rPr>
              <w:t>目</w:t>
            </w:r>
            <w:r>
              <w:rPr>
                <w:rFonts w:hint="default" w:ascii="Times New Roman" w:hAnsi="Times New Roman" w:eastAsia="宋体" w:cs="Times New Roman"/>
                <w:color w:val="auto"/>
                <w:kern w:val="0"/>
                <w:sz w:val="24"/>
                <w:szCs w:val="24"/>
                <w:lang w:val="en-US" w:eastAsia="zh-CN"/>
              </w:rPr>
              <w:t>营运期</w:t>
            </w:r>
            <w:r>
              <w:rPr>
                <w:rFonts w:hint="eastAsia"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经</w:t>
            </w:r>
            <w:r>
              <w:rPr>
                <w:rFonts w:hint="eastAsia" w:cs="Times New Roman"/>
                <w:color w:val="auto"/>
                <w:kern w:val="0"/>
                <w:sz w:val="24"/>
                <w:szCs w:val="24"/>
                <w:lang w:val="en-US" w:eastAsia="zh-CN"/>
              </w:rPr>
              <w:t>化粪池预处理后排入园区</w:t>
            </w:r>
            <w:r>
              <w:rPr>
                <w:rFonts w:hint="default" w:ascii="Times New Roman" w:hAnsi="Times New Roman" w:eastAsia="宋体" w:cs="Times New Roman"/>
                <w:color w:val="auto"/>
                <w:kern w:val="0"/>
                <w:sz w:val="24"/>
                <w:szCs w:val="24"/>
                <w:lang w:val="en-US" w:eastAsia="zh-CN"/>
              </w:rPr>
              <w:t>污水管网</w:t>
            </w:r>
            <w:r>
              <w:rPr>
                <w:rFonts w:hint="eastAsia" w:cs="Times New Roman"/>
                <w:color w:val="auto"/>
                <w:kern w:val="0"/>
                <w:sz w:val="24"/>
                <w:szCs w:val="24"/>
                <w:lang w:val="en-US" w:eastAsia="zh-CN"/>
              </w:rPr>
              <w:t>最终进入宝丰县产业集聚区污水处理厂</w:t>
            </w:r>
            <w:r>
              <w:rPr>
                <w:rFonts w:hint="default" w:ascii="Times New Roman" w:hAnsi="Times New Roman" w:eastAsia="宋体" w:cs="Times New Roman"/>
                <w:color w:val="auto"/>
                <w:kern w:val="0"/>
                <w:sz w:val="24"/>
                <w:szCs w:val="24"/>
                <w:lang w:val="en-US" w:eastAsia="zh-CN"/>
              </w:rPr>
              <w:t>进行处理后达标排放。通过分析，产业集聚区基础设施基本能够满足项目建设生产需求，建设符合宝丰县产业集聚区总体规划。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w:t>
            </w:r>
            <w:r>
              <w:rPr>
                <w:rFonts w:hint="default" w:ascii="Times New Roman" w:hAnsi="Times New Roman" w:eastAsia="宋体" w:cs="Times New Roman"/>
                <w:b/>
                <w:bCs/>
                <w:sz w:val="24"/>
                <w:szCs w:val="24"/>
                <w:lang w:val="en-US" w:eastAsia="zh-CN"/>
              </w:rPr>
              <w:t>与宝丰县产业集聚区总体发展规划</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2016-2020</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环境影响报告书的审查意见相符性分析</w:t>
            </w:r>
          </w:p>
          <w:p>
            <w:pPr>
              <w:keepNext w:val="0"/>
              <w:keepLines w:val="0"/>
              <w:pageBreakBefore w:val="0"/>
              <w:widowControl w:val="0"/>
              <w:numPr>
                <w:ilvl w:val="0"/>
                <w:numId w:val="0"/>
              </w:numPr>
              <w:kinsoku/>
              <w:wordWrap w:val="0"/>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本项目位于宝丰县产业集聚区，《宝丰县产业集聚区总体发展规划</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2016-2020</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环境影响报告书》由南京国环科技股份有限公司于2017年编制，</w:t>
            </w:r>
            <w:r>
              <w:rPr>
                <w:rFonts w:hint="eastAsia" w:ascii="Times New Roman" w:hAnsi="Times New Roman" w:cs="Times New Roman"/>
                <w:sz w:val="24"/>
                <w:szCs w:val="24"/>
                <w:lang w:eastAsia="zh-CN"/>
              </w:rPr>
              <w:t>平顶山</w:t>
            </w:r>
            <w:r>
              <w:rPr>
                <w:rFonts w:hint="default" w:ascii="Times New Roman" w:hAnsi="Times New Roman" w:cs="Times New Roman"/>
                <w:sz w:val="24"/>
                <w:szCs w:val="24"/>
                <w:lang w:eastAsia="zh-CN"/>
              </w:rPr>
              <w:t>市环保局针对该环境影响报告书提出了审查意见，本项目与其审查意见的相符性分析如下所示：</w:t>
            </w:r>
          </w:p>
          <w:p>
            <w:pPr>
              <w:pStyle w:val="39"/>
              <w:keepNext w:val="0"/>
              <w:keepLines w:val="0"/>
              <w:pageBreakBefore w:val="0"/>
              <w:widowControl w:val="0"/>
              <w:kinsoku/>
              <w:wordWrap/>
              <w:overflowPunct/>
              <w:topLinePunct w:val="0"/>
              <w:autoSpaceDE/>
              <w:autoSpaceDN/>
              <w:bidi w:val="0"/>
              <w:adjustRightInd/>
              <w:snapToGrid/>
              <w:spacing w:line="240" w:lineRule="auto"/>
              <w:ind w:firstLine="434" w:firstLineChars="18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表1-1本项目与审查意见相符性一览表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4758"/>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序号</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审查内容</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一</w:t>
                  </w:r>
                </w:p>
              </w:tc>
              <w:tc>
                <w:tcPr>
                  <w:tcW w:w="3001" w:type="pct"/>
                  <w:vAlign w:val="center"/>
                </w:tcPr>
                <w:p>
                  <w:pPr>
                    <w:keepNext w:val="0"/>
                    <w:keepLines w:val="0"/>
                    <w:pageBreakBefore w:val="0"/>
                    <w:widowControl w:val="0"/>
                    <w:numPr>
                      <w:ilvl w:val="0"/>
                      <w:numId w:val="0"/>
                    </w:numPr>
                    <w:kinsoku/>
                    <w:wordWrap w:val="0"/>
                    <w:overflowPunct w:val="0"/>
                    <w:topLinePunct w:val="0"/>
                    <w:autoSpaceDE/>
                    <w:autoSpaceDN/>
                    <w:bidi w:val="0"/>
                    <w:adjustRightInd w:val="0"/>
                    <w:snapToGrid w:val="0"/>
                    <w:spacing w:line="360" w:lineRule="exact"/>
                    <w:ind w:firstLine="420" w:firstLineChars="20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2011年，宝丰县产业集聚区规划环评通过省环保厅审查，审查意见文号“豫环审[2011]257号”，2012年，该产业集聚区规划进行了调整，新增规划面积4.9平方千米（总面积12.1平方千米），此后因涉及郑万高铁项目平顶山西站选址位于产业集聚区内部，产业发展空间受限，规划再次调整，调整后宝丰县产业集聚区分为东西两个片区，规划总面积11.2平方千米。在此基础上，宝丰县产业集聚区管理委员会委托编制了《宝丰县产业集聚区总体发展规划（2016-2020）》，并委托南京国环科技股份有限公司编制该规划的环境影响报告书。</w:t>
                  </w:r>
                </w:p>
                <w:p>
                  <w:pPr>
                    <w:keepNext w:val="0"/>
                    <w:keepLines w:val="0"/>
                    <w:pageBreakBefore w:val="0"/>
                    <w:widowControl w:val="0"/>
                    <w:numPr>
                      <w:ilvl w:val="0"/>
                      <w:numId w:val="0"/>
                    </w:numPr>
                    <w:kinsoku/>
                    <w:wordWrap w:val="0"/>
                    <w:overflowPunct w:val="0"/>
                    <w:topLinePunct w:val="0"/>
                    <w:autoSpaceDE/>
                    <w:autoSpaceDN/>
                    <w:bidi w:val="0"/>
                    <w:adjustRightInd w:val="0"/>
                    <w:snapToGrid w:val="0"/>
                    <w:spacing w:line="360" w:lineRule="exact"/>
                    <w:ind w:firstLine="420" w:firstLineChars="200"/>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sz w:val="21"/>
                      <w:szCs w:val="21"/>
                      <w:lang w:eastAsia="zh-CN"/>
                    </w:rPr>
                    <w:t>宝丰县产业集聚区包括东区和西区两个组团，东区东至柳沟营村西边界，西至兴龙路，南至应河大道</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豫02线</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园区三号路，北至孟宝铁路，规划面积4.1km</w:t>
                  </w:r>
                  <w:r>
                    <w:rPr>
                      <w:rFonts w:hint="default" w:ascii="Times New Roman" w:hAnsi="Times New Roman" w:cs="Times New Roman"/>
                      <w:sz w:val="21"/>
                      <w:szCs w:val="21"/>
                      <w:vertAlign w:val="superscript"/>
                      <w:lang w:eastAsia="zh-CN"/>
                    </w:rPr>
                    <w:t>2</w:t>
                  </w:r>
                  <w:r>
                    <w:rPr>
                      <w:rFonts w:hint="default" w:ascii="Times New Roman" w:hAnsi="Times New Roman" w:cs="Times New Roman"/>
                      <w:sz w:val="21"/>
                      <w:szCs w:val="21"/>
                      <w:lang w:eastAsia="zh-CN"/>
                    </w:rPr>
                    <w:t>（全部为建成区）；西区东至大地水泥东侧，西至商杨公路，南至平韩铁路，北至宝苗公路，规划面积7.1km</w:t>
                  </w:r>
                  <w:r>
                    <w:rPr>
                      <w:rFonts w:hint="default" w:ascii="Times New Roman" w:hAnsi="Times New Roman" w:cs="Times New Roman"/>
                      <w:sz w:val="21"/>
                      <w:szCs w:val="21"/>
                      <w:vertAlign w:val="superscript"/>
                      <w:lang w:eastAsia="zh-CN"/>
                    </w:rPr>
                    <w:t>2</w:t>
                  </w:r>
                  <w:r>
                    <w:rPr>
                      <w:rFonts w:hint="default" w:ascii="Times New Roman" w:hAnsi="Times New Roman" w:cs="Times New Roman"/>
                      <w:sz w:val="21"/>
                      <w:szCs w:val="21"/>
                      <w:lang w:eastAsia="zh-CN"/>
                    </w:rPr>
                    <w:t>。产业集聚区主导产业定位为：不锈钢、装备制造业。发展定位为不锈钢加工（不含热轧）、装备制造生产（不含电镀）、物流中心和配送中心。</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本项目位于</w:t>
                  </w:r>
                  <w:r>
                    <w:rPr>
                      <w:rFonts w:hint="default" w:ascii="Times New Roman" w:hAnsi="Times New Roman" w:eastAsia="宋体" w:cs="Times New Roman"/>
                      <w:color w:val="auto"/>
                      <w:kern w:val="0"/>
                      <w:sz w:val="21"/>
                      <w:szCs w:val="21"/>
                      <w:vertAlign w:val="baseline"/>
                      <w:lang w:val="en-US" w:eastAsia="zh-CN"/>
                    </w:rPr>
                    <w:t>平顶山市宝丰县宝丰高新技术产业开发区旭原不锈钢院内8号厂房</w:t>
                  </w:r>
                  <w:r>
                    <w:rPr>
                      <w:rFonts w:hint="eastAsia" w:cs="Times New Roman"/>
                      <w:color w:val="auto"/>
                      <w:kern w:val="0"/>
                      <w:sz w:val="21"/>
                      <w:szCs w:val="21"/>
                      <w:vertAlign w:val="baseline"/>
                      <w:lang w:val="en-US" w:eastAsia="zh-CN"/>
                    </w:rPr>
                    <w:t>，属于宝丰集聚区内。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二</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报告书》从规划选址、主导产业定位、规划布局和区域环境资源承载力等方面，分析了规划实施的环境制约因素；对规划实施可能产生的环境问题进行了预测、分析和评估，提出了规划调整建议，强化了环境保护对策措施。《报告书》采用的基础数据翔实，评价方法正确，提出的环境保护对策和措施可行，对规划方案的调整建议合理，可作为宝丰县产业集聚区空间规划修改以及今后规划实施的环境保护依据。</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三</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宝丰县产业集聚区总体发展规划的规划范围、空间布局和产业发展格局等与《宝丰县城市总体规划（2014-2030）》基本一致；与《宝丰县城乡总体规划（2014-2030）》相符；与《宝丰县环境保护“十三五”规划</w:t>
                  </w:r>
                  <w:r>
                    <w:rPr>
                      <w:rFonts w:hint="eastAsia"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vertAlign w:val="baseline"/>
                      <w:lang w:val="en-US" w:eastAsia="zh-CN"/>
                    </w:rPr>
                    <w:t>南水北调中线一期工程总干渠（河南段）两侧水源保护区划定方案》等规划要求不冲突。在落实《报告书》提出的优化调整建议及环保对策措施的基础上，宝丰县产业集聚区总体发展规划从环保角度可行。</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本项目位于</w:t>
                  </w:r>
                  <w:r>
                    <w:rPr>
                      <w:rFonts w:hint="default" w:ascii="Times New Roman" w:hAnsi="Times New Roman" w:eastAsia="宋体" w:cs="Times New Roman"/>
                      <w:color w:val="auto"/>
                      <w:kern w:val="0"/>
                      <w:sz w:val="21"/>
                      <w:szCs w:val="21"/>
                      <w:vertAlign w:val="baseline"/>
                      <w:lang w:val="en-US" w:eastAsia="zh-CN"/>
                    </w:rPr>
                    <w:t>平顶山市宝丰县宝丰高新技术产业开发区旭原不锈钢院内8号厂房</w:t>
                  </w:r>
                  <w:r>
                    <w:rPr>
                      <w:rFonts w:hint="eastAsia" w:cs="Times New Roman"/>
                      <w:color w:val="auto"/>
                      <w:kern w:val="0"/>
                      <w:sz w:val="21"/>
                      <w:szCs w:val="21"/>
                      <w:vertAlign w:val="baseline"/>
                      <w:lang w:val="en-US" w:eastAsia="zh-CN"/>
                    </w:rPr>
                    <w:t>，属于宝丰集聚区内。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四</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宝丰县产业集聚区应严格按照《报告书》提出的环境保护要求及环境影响减缓措施，根据区域环境敏感性及资源环境承载能力，进一步优化调整该空间规划。</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一）合理用地布局。严格按照功能分区要求进行开发，按规划要求对规划的居民区和防护绿地进行调整。在建设过程中不应随意改变各用地功能区的使用。充分考虑各功能区相互干扰、影响问题，减少各功能区之间的不利影响，工业区与生活居住区之间，工业园区边界应设置绿化隔离带。对规划区内受影响及已建企业卫生防护距离内的现有居民区需尽快搬迁；规划建设的工业区范围内不得新建居住区、学校、医院等环境敏感目标。产业集聚区涉及南水北调水源保护区二级保护区地块应按照水源保护区要求严格项目审批及建设。</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二）优化产业结构。严格落实产业园区环境保护准入条件，加强产业集聚区入驻建设项目的环境管理，入驻项目选址必须符合规划及规划环评的要求，对不符合集聚区规划的建设项目严禁入驻，严格控制新污染。入驻项目应遵循循环经济理念，实施清洁生产，优化产业结构，鼓励发展符合国家产业政策、环保政策和清洁水平高、与主导产业相关产业链条且能延长园区产业链的项目；禁止引进不符合国家产业政策、行业准入条件和集聚区产业定位的项目，禁止建设热轧、电镀等企业。不再引进建材能源类产业项目。</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三）尽快完善环保基础设施。园区禁止开采地下水。按照“清污分流、雨污分流、中水回用”的要求，加强工业废水的治理和综合利用，减少工业废水排放，提高水循环利用率，完善中水回用设施，提高中水回用率，加快配套污水管网建设，确保入区企业外排废水全部经管网收集后进入园区污水处理厂。园区实施集中供热，禁止新增建设自备燃煤锅炉；导热油炉或其他供热设施需要建设的，需选用清洁能源。按照循环经济的要求，提高固体废物的综合利用率，一般固废回收或综合利用，做到妥善处置，严禁企业随意弃置。危险废物按照收集贮存、运输保管的要求做到安全处置，并送有资质的危险废物处置单位处置。</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四）严格控制污染物排放。严格执行污染物排放总量控制制度，区内现有企业改扩建要做到“增产不增污”，新建项目应实现区域“增产减污”，严格控制大气污染物的排放。保证污水处理设施的正常运行，确保污水处理厂稳定达标排放。定期对地下水</w:t>
                  </w:r>
                  <w:r>
                    <w:rPr>
                      <w:rFonts w:hint="eastAsia" w:cs="Times New Roman"/>
                      <w:color w:val="auto"/>
                      <w:kern w:val="0"/>
                      <w:sz w:val="21"/>
                      <w:szCs w:val="21"/>
                      <w:vertAlign w:val="baseline"/>
                      <w:lang w:val="en-US" w:eastAsia="zh-CN"/>
                    </w:rPr>
                    <w:t>水质</w:t>
                  </w:r>
                  <w:r>
                    <w:rPr>
                      <w:rFonts w:hint="default" w:ascii="Times New Roman" w:hAnsi="Times New Roman" w:eastAsia="宋体" w:cs="Times New Roman"/>
                      <w:color w:val="auto"/>
                      <w:kern w:val="0"/>
                      <w:sz w:val="21"/>
                      <w:szCs w:val="21"/>
                      <w:vertAlign w:val="baseline"/>
                      <w:lang w:val="en-US" w:eastAsia="zh-CN"/>
                    </w:rPr>
                    <w:t>进行监测，发现问题，及时采取有效防范措施，避免对地下水造成污染。加强生态保护及防止水土流失措施，加强工业园区绿化。</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（五）建立事故风险防范和应急处置体系。加强园区环境安全管理工作，制定风险防范预案，杜绝发生污染事故。</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（六）妥善安置搬迁居民。根据规划实施的进度，对居民及时搬迁，妥善安置，当地人民政府应加强组织协调，制定搬迁计划和方案，认真组织落实。</w:t>
                  </w:r>
                </w:p>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七）加强园区环境监督管理，完善环境管理机构，制定环境管理目标、管理制度和监测措施，编制环境保护工作规划和实施方案，指导入区项目建设。建立环境管理资料库和档案管理制度，加强环保宣传、教育及培训，实施环境保护动态化管理。</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eastAsia"/>
                      <w:lang w:val="en-US" w:eastAsia="zh-CN"/>
                    </w:rPr>
                  </w:pPr>
                  <w:r>
                    <w:rPr>
                      <w:rFonts w:hint="eastAsia"/>
                      <w:lang w:val="en-US" w:eastAsia="zh-CN"/>
                    </w:rPr>
                    <w:t>（一）本项目位于</w:t>
                  </w:r>
                  <w:r>
                    <w:rPr>
                      <w:rFonts w:hint="default"/>
                      <w:lang w:val="en-US" w:eastAsia="zh-CN"/>
                    </w:rPr>
                    <w:t>平顶山市宝丰县宝丰高新技术产业开发区旭原不锈钢院内8号厂房</w:t>
                  </w:r>
                  <w:r>
                    <w:rPr>
                      <w:rFonts w:hint="eastAsia"/>
                      <w:lang w:val="en-US" w:eastAsia="zh-CN"/>
                    </w:rPr>
                    <w:t>，属于宝丰集聚区内；项目不在南水北调水源保护区范围内。</w:t>
                  </w:r>
                </w:p>
                <w:p>
                  <w:pPr>
                    <w:pStyle w:val="3"/>
                    <w:ind w:left="0" w:leftChars="0" w:firstLine="0" w:firstLineChars="0"/>
                    <w:rPr>
                      <w:rFonts w:hint="default"/>
                      <w:lang w:val="en-US" w:eastAsia="zh-CN"/>
                    </w:rPr>
                  </w:pPr>
                  <w:r>
                    <w:rPr>
                      <w:rFonts w:hint="eastAsia" w:cs="Times New Roman"/>
                      <w:color w:val="auto"/>
                      <w:kern w:val="0"/>
                      <w:sz w:val="21"/>
                      <w:szCs w:val="21"/>
                      <w:vertAlign w:val="baseline"/>
                      <w:lang w:val="en-US" w:eastAsia="zh-CN"/>
                    </w:rPr>
                    <w:t>（二）本项目在宝丰高新技术产业开发区管理委员取得了入驻证明和备案，本项目符合宝丰县产业集聚区规划以及政策。根据《产业结构调整指导目录（2019年本）》，项目属于鼓励类项目，符合产业政策。（三）</w:t>
                  </w:r>
                  <w:r>
                    <w:rPr>
                      <w:rFonts w:hint="default" w:ascii="Times New Roman" w:hAnsi="Times New Roman" w:eastAsia="宋体" w:cs="Times New Roman"/>
                      <w:b w:val="0"/>
                      <w:bCs w:val="0"/>
                      <w:color w:val="000000"/>
                      <w:sz w:val="21"/>
                      <w:szCs w:val="21"/>
                      <w:u w:val="none"/>
                      <w:lang w:val="en-US" w:eastAsia="zh-CN"/>
                    </w:rPr>
                    <w:t>本项目用水来自</w:t>
                  </w:r>
                  <w:r>
                    <w:rPr>
                      <w:rFonts w:hint="eastAsia" w:cs="Times New Roman"/>
                      <w:b w:val="0"/>
                      <w:bCs w:val="0"/>
                      <w:color w:val="000000"/>
                      <w:sz w:val="21"/>
                      <w:szCs w:val="21"/>
                      <w:u w:val="none"/>
                      <w:lang w:val="en-US" w:eastAsia="zh-CN"/>
                    </w:rPr>
                    <w:t>河南旭原不锈钢有限公司现有的集聚区供水管网。本</w:t>
                  </w:r>
                  <w:r>
                    <w:rPr>
                      <w:rFonts w:hint="eastAsia" w:ascii="Times New Roman" w:hAnsi="Times New Roman" w:cs="Times New Roman"/>
                      <w:b w:val="0"/>
                      <w:bCs w:val="0"/>
                      <w:color w:val="auto"/>
                      <w:kern w:val="0"/>
                      <w:sz w:val="21"/>
                      <w:szCs w:val="21"/>
                      <w:u w:val="none"/>
                      <w:lang w:val="en-US" w:eastAsia="zh-CN" w:bidi="ar"/>
                    </w:rPr>
                    <w:t>项目营运期废水主要为生活污水、清洗废水、车辆冲洗废水以及冷却水。生活污水经化粪池收集后可直接进入</w:t>
                  </w:r>
                  <w:r>
                    <w:rPr>
                      <w:rFonts w:hint="eastAsia" w:cs="Times New Roman"/>
                      <w:b w:val="0"/>
                      <w:bCs w:val="0"/>
                      <w:color w:val="auto"/>
                      <w:kern w:val="0"/>
                      <w:sz w:val="21"/>
                      <w:szCs w:val="21"/>
                      <w:u w:val="none"/>
                      <w:lang w:val="en-US" w:eastAsia="zh-CN" w:bidi="ar"/>
                    </w:rPr>
                    <w:t>集聚区</w:t>
                  </w:r>
                  <w:r>
                    <w:rPr>
                      <w:rFonts w:hint="eastAsia" w:ascii="Times New Roman" w:hAnsi="Times New Roman" w:cs="Times New Roman"/>
                      <w:b w:val="0"/>
                      <w:bCs w:val="0"/>
                      <w:color w:val="auto"/>
                      <w:kern w:val="0"/>
                      <w:sz w:val="21"/>
                      <w:szCs w:val="21"/>
                      <w:u w:val="none"/>
                      <w:lang w:val="en-US" w:eastAsia="zh-CN" w:bidi="ar"/>
                    </w:rPr>
                    <w:t>污水管网，最终进入</w:t>
                  </w:r>
                  <w:r>
                    <w:rPr>
                      <w:rFonts w:hint="eastAsia" w:cs="Times New Roman"/>
                      <w:b w:val="0"/>
                      <w:bCs w:val="0"/>
                      <w:color w:val="auto"/>
                      <w:kern w:val="0"/>
                      <w:sz w:val="21"/>
                      <w:szCs w:val="21"/>
                      <w:u w:val="none"/>
                      <w:lang w:val="en-US" w:eastAsia="zh-CN" w:bidi="ar"/>
                    </w:rPr>
                    <w:t>宝丰县产业集聚区污水处理厂</w:t>
                  </w:r>
                  <w:r>
                    <w:rPr>
                      <w:rFonts w:hint="eastAsia" w:ascii="Times New Roman" w:hAnsi="Times New Roman" w:cs="Times New Roman"/>
                      <w:b w:val="0"/>
                      <w:bCs w:val="0"/>
                      <w:color w:val="auto"/>
                      <w:kern w:val="0"/>
                      <w:sz w:val="21"/>
                      <w:szCs w:val="21"/>
                      <w:u w:val="none"/>
                      <w:lang w:val="en-US" w:eastAsia="zh-CN" w:bidi="ar"/>
                    </w:rPr>
                    <w:t>进行</w:t>
                  </w:r>
                  <w:r>
                    <w:rPr>
                      <w:rFonts w:hint="eastAsia" w:cs="Times New Roman"/>
                      <w:b w:val="0"/>
                      <w:bCs w:val="0"/>
                      <w:color w:val="auto"/>
                      <w:kern w:val="0"/>
                      <w:sz w:val="21"/>
                      <w:szCs w:val="21"/>
                      <w:u w:val="none"/>
                      <w:lang w:val="en-US" w:eastAsia="zh-CN" w:bidi="ar"/>
                    </w:rPr>
                    <w:t>深度</w:t>
                  </w:r>
                  <w:r>
                    <w:rPr>
                      <w:rFonts w:hint="eastAsia" w:ascii="Times New Roman" w:hAnsi="Times New Roman" w:cs="Times New Roman"/>
                      <w:b w:val="0"/>
                      <w:bCs w:val="0"/>
                      <w:color w:val="auto"/>
                      <w:kern w:val="0"/>
                      <w:sz w:val="21"/>
                      <w:szCs w:val="21"/>
                      <w:u w:val="none"/>
                      <w:lang w:val="en-US" w:eastAsia="zh-CN" w:bidi="ar"/>
                    </w:rPr>
                    <w:t>处理；清洗废水经</w:t>
                  </w:r>
                  <w:r>
                    <w:rPr>
                      <w:rFonts w:hint="eastAsia" w:cs="Times New Roman"/>
                      <w:b w:val="0"/>
                      <w:bCs w:val="0"/>
                      <w:color w:val="auto"/>
                      <w:kern w:val="0"/>
                      <w:sz w:val="21"/>
                      <w:szCs w:val="21"/>
                      <w:u w:val="none"/>
                      <w:lang w:val="en-US" w:eastAsia="zh-CN" w:bidi="ar"/>
                    </w:rPr>
                    <w:t>一体化环保设施</w:t>
                  </w:r>
                  <w:r>
                    <w:rPr>
                      <w:rFonts w:hint="eastAsia" w:ascii="Times New Roman" w:hAnsi="Times New Roman" w:cs="Times New Roman"/>
                      <w:b w:val="0"/>
                      <w:bCs w:val="0"/>
                      <w:color w:val="auto"/>
                      <w:kern w:val="0"/>
                      <w:sz w:val="21"/>
                      <w:szCs w:val="21"/>
                      <w:u w:val="none"/>
                      <w:lang w:val="en-US" w:eastAsia="zh-CN" w:bidi="ar"/>
                    </w:rPr>
                    <w:t>净化处理后循环使用不外排；车辆冲洗废水经沉淀池处理后，循环使用不外排；冷却水定期补充，循环使用不外排。本项目生产过程中产生的一般固体废物统一收集后交由环卫部门统一处理；危险废物暂存危废暂存间，定期交由有相关危险废物处置资质的单位进行处理。（四）本项目运营期针对各项污染物采取相应的环保措施后能够满足达标排放要求，本项目不在南水北调水源地保护区范围内。（五）本项目纳入园区的环境安全管理工作之中，同时应制定相关的风险防范预案，杜绝发生污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五</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宝丰县产业集聚区在空间规划实施及开发过程中，应严格遵守国家产业政策，严格执行环评和环保“三同时”制度，自觉接受平顶山市生态环境局宝丰分局等环保部门的环境保护检查与监督管理。</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六</w:t>
                  </w:r>
                </w:p>
              </w:tc>
              <w:tc>
                <w:tcPr>
                  <w:tcW w:w="3001"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建议宝丰县产业集聚区总体发展规划尽快按照审查意见进行修改和调整后，报有关部门审批。针对规划实施的不确定性，在规划实施过程中要组织跟踪评价，严格按照环评要求进行开发和建设，确保规划环评环境保护措施落实到位，保证产业集聚区可持续发展。规划建设内容发生重大变化的，应重新进行环境影响评价，并报有关部门审查。</w:t>
                  </w:r>
                </w:p>
              </w:tc>
              <w:tc>
                <w:tcPr>
                  <w:tcW w:w="1577" w:type="pct"/>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r>
          </w:tbl>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本项目位于宝丰县产业集聚区，由以上对比分析可知，本项目的建设与《宝丰县产业集聚区总体发展规划</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2016-2020</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环境影响报告书》的审查意见相符。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noWrap w:val="0"/>
            <w:vAlign w:val="center"/>
          </w:tcPr>
          <w:p>
            <w:pPr>
              <w:autoSpaceDE w:val="0"/>
              <w:autoSpaceDN w:val="0"/>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其他符合性分析</w:t>
            </w:r>
          </w:p>
        </w:tc>
        <w:tc>
          <w:tcPr>
            <w:tcW w:w="4209" w:type="pct"/>
            <w:gridSpan w:val="3"/>
            <w:noWrap w:val="0"/>
            <w:vAlign w:val="center"/>
          </w:tcPr>
          <w:p>
            <w:pPr>
              <w:keepNext w:val="0"/>
              <w:keepLines w:val="0"/>
              <w:pageBreakBefore w:val="0"/>
              <w:widowControl w:val="0"/>
              <w:kinsoku w:val="0"/>
              <w:wordWrap/>
              <w:overflowPunct w:val="0"/>
              <w:topLinePunct w:val="0"/>
              <w:autoSpaceDE/>
              <w:autoSpaceDN/>
              <w:bidi w:val="0"/>
              <w:adjustRightInd w:val="0"/>
              <w:snapToGrid w:val="0"/>
              <w:spacing w:line="360" w:lineRule="auto"/>
              <w:textAlignment w:val="auto"/>
              <w:rPr>
                <w:rFonts w:hint="default" w:ascii="Times New Roman" w:hAnsi="Times New Roman" w:cs="Times New Roman"/>
                <w:b/>
                <w:bCs/>
                <w:sz w:val="24"/>
              </w:rPr>
            </w:pPr>
            <w:r>
              <w:rPr>
                <w:rFonts w:hint="default" w:ascii="Times New Roman" w:hAnsi="Times New Roman" w:cs="Times New Roman"/>
                <w:b/>
                <w:bCs/>
                <w:sz w:val="24"/>
                <w:lang w:val="en-US" w:eastAsia="zh-CN"/>
              </w:rPr>
              <w:t>1、</w:t>
            </w:r>
            <w:r>
              <w:rPr>
                <w:rFonts w:hint="default" w:ascii="Times New Roman" w:hAnsi="Times New Roman" w:cs="Times New Roman"/>
                <w:b/>
                <w:bCs/>
                <w:sz w:val="24"/>
              </w:rPr>
              <w:t>相关政策符合性分析</w:t>
            </w:r>
          </w:p>
          <w:p>
            <w:pPr>
              <w:adjustRightInd w:val="0"/>
              <w:snapToGrid w:val="0"/>
              <w:spacing w:line="360" w:lineRule="auto"/>
              <w:ind w:left="28"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（1）产业政策可行性分析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b w:val="0"/>
                <w:bCs/>
                <w:sz w:val="24"/>
                <w:u w:val="none"/>
                <w:lang w:val="en-US" w:eastAsia="zh-CN"/>
              </w:rPr>
              <w:t>根据《市场准入负面清单</w:t>
            </w:r>
            <w:r>
              <w:rPr>
                <w:rFonts w:hint="eastAsia" w:ascii="Times New Roman" w:hAnsi="Times New Roman" w:eastAsia="宋体" w:cs="Times New Roman"/>
                <w:b w:val="0"/>
                <w:bCs/>
                <w:sz w:val="24"/>
                <w:u w:val="none"/>
                <w:lang w:val="en-US" w:eastAsia="zh-CN"/>
              </w:rPr>
              <w:t>（</w:t>
            </w:r>
            <w:r>
              <w:rPr>
                <w:rFonts w:hint="default" w:ascii="Times New Roman" w:hAnsi="Times New Roman" w:eastAsia="宋体" w:cs="Times New Roman"/>
                <w:b w:val="0"/>
                <w:bCs/>
                <w:sz w:val="24"/>
                <w:u w:val="none"/>
                <w:lang w:val="en-US" w:eastAsia="zh-CN"/>
              </w:rPr>
              <w:t>20</w:t>
            </w:r>
            <w:r>
              <w:rPr>
                <w:rFonts w:hint="eastAsia" w:ascii="Times New Roman" w:hAnsi="Times New Roman" w:eastAsia="宋体" w:cs="Times New Roman"/>
                <w:b w:val="0"/>
                <w:bCs/>
                <w:sz w:val="24"/>
                <w:u w:val="none"/>
                <w:lang w:val="en-US" w:eastAsia="zh-CN"/>
              </w:rPr>
              <w:t>22</w:t>
            </w:r>
            <w:r>
              <w:rPr>
                <w:rFonts w:hint="default" w:ascii="Times New Roman" w:hAnsi="Times New Roman" w:eastAsia="宋体" w:cs="Times New Roman"/>
                <w:b w:val="0"/>
                <w:bCs/>
                <w:sz w:val="24"/>
                <w:u w:val="none"/>
                <w:lang w:val="en-US" w:eastAsia="zh-CN"/>
              </w:rPr>
              <w:t>年版</w:t>
            </w:r>
            <w:r>
              <w:rPr>
                <w:rFonts w:hint="eastAsia" w:ascii="Times New Roman" w:hAnsi="Times New Roman" w:eastAsia="宋体" w:cs="Times New Roman"/>
                <w:b w:val="0"/>
                <w:bCs/>
                <w:sz w:val="24"/>
                <w:u w:val="none"/>
                <w:lang w:val="en-US" w:eastAsia="zh-CN"/>
              </w:rPr>
              <w:t>）</w:t>
            </w:r>
            <w:r>
              <w:rPr>
                <w:rFonts w:hint="default" w:ascii="Times New Roman" w:hAnsi="Times New Roman" w:eastAsia="宋体" w:cs="Times New Roman"/>
                <w:b w:val="0"/>
                <w:bCs/>
                <w:sz w:val="24"/>
                <w:u w:val="none"/>
                <w:lang w:val="en-US" w:eastAsia="zh-CN"/>
              </w:rPr>
              <w:t>》，本项目不在禁止准入类事项之列。</w:t>
            </w:r>
            <w:r>
              <w:rPr>
                <w:rFonts w:hint="eastAsia"/>
                <w:sz w:val="24"/>
                <w:szCs w:val="24"/>
              </w:rPr>
              <w:t>经查阅《产业结构调整指导目录（2019年本）》，本项目属于鼓励类中第</w:t>
            </w:r>
            <w:r>
              <w:rPr>
                <w:rFonts w:hint="eastAsia"/>
                <w:sz w:val="24"/>
                <w:szCs w:val="24"/>
                <w:lang w:val="en-US" w:eastAsia="zh-CN"/>
              </w:rPr>
              <w:t>四十三</w:t>
            </w:r>
            <w:r>
              <w:rPr>
                <w:rFonts w:hint="eastAsia"/>
                <w:sz w:val="24"/>
                <w:szCs w:val="24"/>
              </w:rPr>
              <w:t>款“环境保护与资源节约综合利用”中第</w:t>
            </w:r>
            <w:r>
              <w:rPr>
                <w:rFonts w:hint="eastAsia"/>
                <w:sz w:val="24"/>
                <w:szCs w:val="24"/>
                <w:lang w:val="en-US" w:eastAsia="zh-CN"/>
              </w:rPr>
              <w:t>27</w:t>
            </w:r>
            <w:r>
              <w:rPr>
                <w:rFonts w:hint="eastAsia"/>
                <w:sz w:val="24"/>
                <w:szCs w:val="24"/>
              </w:rPr>
              <w:t>条废旧木材、废旧电器电子产品、废印刷电路板、废旧电池、废旧船舶、废旧农机、废塑料、废旧纺织品及纺织废料和边角料、废（碎）玻璃、废橡胶、废弃油脂等废旧物资等资源循环再利用技术、设备开发及应用，符合国家产业政策的要求。</w:t>
            </w:r>
            <w:r>
              <w:rPr>
                <w:rFonts w:hint="default" w:ascii="Times New Roman" w:hAnsi="Times New Roman" w:eastAsia="宋体" w:cs="Times New Roman"/>
                <w:color w:val="auto"/>
                <w:sz w:val="24"/>
                <w:szCs w:val="24"/>
                <w:lang w:eastAsia="zh-CN"/>
              </w:rPr>
              <w:t>该项目于202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eastAsia="zh-CN"/>
              </w:rPr>
              <w:t>年</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lang w:eastAsia="zh-CN"/>
              </w:rPr>
              <w:t>月</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lang w:eastAsia="zh-CN"/>
              </w:rPr>
              <w:t>日在发展和改革委员会备案，项目代码为</w:t>
            </w:r>
            <w:r>
              <w:rPr>
                <w:rFonts w:hint="eastAsia" w:cs="Times New Roman"/>
                <w:color w:val="auto"/>
                <w:sz w:val="24"/>
                <w:szCs w:val="24"/>
                <w:lang w:val="en-US" w:eastAsia="zh-CN"/>
              </w:rPr>
              <w:t>2301-410421-04-01-693430</w:t>
            </w:r>
            <w:r>
              <w:rPr>
                <w:rFonts w:hint="default" w:ascii="Times New Roman" w:hAnsi="Times New Roman" w:eastAsia="宋体" w:cs="Times New Roman"/>
                <w:color w:val="auto"/>
                <w:sz w:val="24"/>
                <w:szCs w:val="24"/>
                <w:lang w:eastAsia="zh-CN"/>
              </w:rPr>
              <w:t>（备案证明见附件</w:t>
            </w:r>
            <w:r>
              <w:rPr>
                <w:rFonts w:hint="eastAsia" w:cs="Times New Roman"/>
                <w:color w:val="auto"/>
                <w:sz w:val="24"/>
                <w:szCs w:val="24"/>
                <w:lang w:val="en-US" w:eastAsia="zh-CN"/>
              </w:rPr>
              <w:t>二</w:t>
            </w:r>
            <w:r>
              <w:rPr>
                <w:rFonts w:hint="default" w:ascii="Times New Roman" w:hAnsi="Times New Roman" w:eastAsia="宋体" w:cs="Times New Roman"/>
                <w:color w:val="auto"/>
                <w:sz w:val="24"/>
                <w:szCs w:val="24"/>
                <w:lang w:eastAsia="zh-CN"/>
              </w:rPr>
              <w:t>）。因此，项目建设符合国家产业政策要求。</w:t>
            </w:r>
          </w:p>
          <w:p>
            <w:pPr>
              <w:spacing w:line="360" w:lineRule="auto"/>
              <w:ind w:firstLine="482" w:firstLineChars="200"/>
              <w:rPr>
                <w:rFonts w:hint="default" w:ascii="Times New Roman" w:hAnsi="Times New Roman" w:eastAsia="宋体" w:cs="Times New Roman"/>
                <w:b/>
                <w:bCs/>
                <w:sz w:val="24"/>
                <w:lang w:eastAsia="zh-CN"/>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2</w:t>
            </w:r>
            <w:r>
              <w:rPr>
                <w:rFonts w:hint="default" w:ascii="Times New Roman" w:hAnsi="Times New Roman" w:eastAsia="宋体" w:cs="Times New Roman"/>
                <w:b/>
                <w:bCs/>
                <w:sz w:val="24"/>
                <w:lang w:eastAsia="zh-CN"/>
              </w:rPr>
              <w:t>）与备案相符性分析</w:t>
            </w:r>
          </w:p>
          <w:p>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szCs w:val="24"/>
                <w:lang w:val="en-US" w:eastAsia="zh-CN"/>
              </w:rPr>
              <w:t>依据建设单位提供资料，项目拟建设情况与备案相符性分析见表</w:t>
            </w:r>
            <w:r>
              <w:rPr>
                <w:rFonts w:hint="eastAsia" w:ascii="Times New Roman" w:hAnsi="Times New Roman" w:cs="Times New Roman"/>
                <w:sz w:val="24"/>
                <w:szCs w:val="24"/>
                <w:lang w:val="en-US" w:eastAsia="zh-CN"/>
              </w:rPr>
              <w:t>1-</w:t>
            </w:r>
            <w:r>
              <w:rPr>
                <w:rFonts w:hint="eastAsia" w:cs="Times New Roman"/>
                <w:sz w:val="24"/>
                <w:szCs w:val="24"/>
                <w:lang w:val="en-US" w:eastAsia="zh-CN"/>
              </w:rPr>
              <w:t>2</w:t>
            </w:r>
            <w:r>
              <w:rPr>
                <w:rFonts w:hint="eastAsia" w:ascii="Times New Roman" w:hAnsi="Times New Roman" w:cs="Times New Roman"/>
                <w:sz w:val="24"/>
                <w:szCs w:val="24"/>
                <w:lang w:val="en-US"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ind w:firstLine="434" w:firstLineChars="18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w:t>
            </w:r>
            <w:r>
              <w:rPr>
                <w:rFonts w:hint="eastAsia" w:ascii="Times New Roman" w:hAnsi="Times New Roman" w:cs="Times New Roman"/>
                <w:b/>
                <w:bCs/>
                <w:lang w:val="en-US" w:eastAsia="zh-CN"/>
              </w:rPr>
              <w:t>2</w:t>
            </w:r>
            <w:r>
              <w:rPr>
                <w:rFonts w:hint="default" w:ascii="Times New Roman" w:hAnsi="Times New Roman" w:eastAsia="宋体" w:cs="Times New Roman"/>
                <w:b/>
                <w:bCs/>
                <w:lang w:val="en-US" w:eastAsia="zh-CN"/>
              </w:rPr>
              <w:t>项目建设情况与备案相符性一览表</w:t>
            </w:r>
          </w:p>
          <w:tbl>
            <w:tblPr>
              <w:tblStyle w:val="25"/>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8"/>
              <w:gridCol w:w="2403"/>
              <w:gridCol w:w="2730"/>
              <w:gridCol w:w="12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序号</w:t>
                  </w:r>
                </w:p>
              </w:tc>
              <w:tc>
                <w:tcPr>
                  <w:tcW w:w="694" w:type="pct"/>
                  <w:tcBorders>
                    <w:tl2br w:val="nil"/>
                    <w:tr2bl w:val="nil"/>
                  </w:tcBorders>
                  <w:noWrap w:val="0"/>
                  <w:vAlign w:val="center"/>
                </w:tcPr>
                <w:p>
                  <w:pPr>
                    <w:pStyle w:val="3"/>
                    <w:keepNext w:val="0"/>
                    <w:keepLines w:val="0"/>
                    <w:pageBreakBefore w:val="0"/>
                    <w:widowControl w:val="0"/>
                    <w:tabs>
                      <w:tab w:val="left" w:pos="1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类别</w:t>
                  </w:r>
                </w:p>
              </w:tc>
              <w:tc>
                <w:tcPr>
                  <w:tcW w:w="1518"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备案内容</w:t>
                  </w:r>
                </w:p>
              </w:tc>
              <w:tc>
                <w:tcPr>
                  <w:tcW w:w="1725"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项目建设内容</w:t>
                  </w:r>
                </w:p>
              </w:tc>
              <w:tc>
                <w:tcPr>
                  <w:tcW w:w="792"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1</w:t>
                  </w:r>
                </w:p>
              </w:tc>
              <w:tc>
                <w:tcPr>
                  <w:tcW w:w="69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cs="Times New Roman"/>
                      <w:b w:val="0"/>
                      <w:bCs w:val="0"/>
                      <w:i w:val="0"/>
                      <w:iCs w:val="0"/>
                      <w:color w:val="auto"/>
                      <w:spacing w:val="0"/>
                      <w:sz w:val="21"/>
                      <w:szCs w:val="21"/>
                      <w:lang w:val="en-US" w:eastAsia="zh-CN"/>
                    </w:rPr>
                    <w:t>项目名称</w:t>
                  </w:r>
                </w:p>
              </w:tc>
              <w:tc>
                <w:tcPr>
                  <w:tcW w:w="1518"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cs="Times New Roman"/>
                      <w:b w:val="0"/>
                      <w:bCs w:val="0"/>
                      <w:i w:val="0"/>
                      <w:iCs w:val="0"/>
                      <w:color w:val="auto"/>
                      <w:spacing w:val="0"/>
                      <w:sz w:val="21"/>
                      <w:szCs w:val="21"/>
                      <w:lang w:val="en-US" w:eastAsia="zh-CN"/>
                    </w:rPr>
                  </w:pPr>
                  <w:r>
                    <w:rPr>
                      <w:rFonts w:hint="default" w:ascii="Times New Roman" w:hAnsi="Times New Roman" w:cs="Times New Roman"/>
                      <w:b w:val="0"/>
                      <w:bCs w:val="0"/>
                      <w:i w:val="0"/>
                      <w:iCs w:val="0"/>
                      <w:color w:val="auto"/>
                      <w:spacing w:val="0"/>
                      <w:sz w:val="21"/>
                      <w:szCs w:val="21"/>
                      <w:lang w:val="en-US" w:eastAsia="zh-CN"/>
                    </w:rPr>
                    <w:t>宝丰县盛祥再生资源有限公司年产10000吨再生资源颗粒项目</w:t>
                  </w:r>
                </w:p>
              </w:tc>
              <w:tc>
                <w:tcPr>
                  <w:tcW w:w="1725"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cs="Times New Roman"/>
                      <w:b w:val="0"/>
                      <w:bCs w:val="0"/>
                      <w:i w:val="0"/>
                      <w:iCs w:val="0"/>
                      <w:color w:val="auto"/>
                      <w:spacing w:val="0"/>
                      <w:sz w:val="21"/>
                      <w:szCs w:val="21"/>
                      <w:lang w:val="en-US" w:eastAsia="zh-CN"/>
                    </w:rPr>
                  </w:pPr>
                  <w:r>
                    <w:rPr>
                      <w:rFonts w:hint="default" w:ascii="Times New Roman" w:hAnsi="Times New Roman" w:cs="Times New Roman"/>
                      <w:b w:val="0"/>
                      <w:bCs w:val="0"/>
                      <w:i w:val="0"/>
                      <w:iCs w:val="0"/>
                      <w:color w:val="auto"/>
                      <w:spacing w:val="0"/>
                      <w:sz w:val="21"/>
                      <w:szCs w:val="21"/>
                      <w:lang w:val="en-US" w:eastAsia="zh-CN"/>
                    </w:rPr>
                    <w:t>宝丰县盛祥再生资源有限公司年产10000吨再生资源颗粒项目</w:t>
                  </w:r>
                </w:p>
              </w:tc>
              <w:tc>
                <w:tcPr>
                  <w:tcW w:w="792"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2</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cs="Times New Roman"/>
                      <w:b w:val="0"/>
                      <w:bCs w:val="0"/>
                      <w:i w:val="0"/>
                      <w:iCs w:val="0"/>
                      <w:spacing w:val="0"/>
                      <w:sz w:val="21"/>
                      <w:szCs w:val="21"/>
                      <w:lang w:val="en-US" w:eastAsia="zh-CN"/>
                    </w:rPr>
                    <w:t>建设单位</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eastAsia" w:cs="Times New Roman"/>
                      <w:b w:val="0"/>
                      <w:bCs w:val="0"/>
                      <w:i w:val="0"/>
                      <w:iCs w:val="0"/>
                      <w:color w:val="auto"/>
                      <w:spacing w:val="0"/>
                      <w:sz w:val="21"/>
                      <w:szCs w:val="21"/>
                      <w:lang w:val="en-US" w:eastAsia="zh-CN"/>
                    </w:rPr>
                    <w:t>宝丰县盛祥再生资源有限公司</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eastAsia" w:cs="Times New Roman"/>
                      <w:b w:val="0"/>
                      <w:bCs w:val="0"/>
                      <w:i w:val="0"/>
                      <w:iCs w:val="0"/>
                      <w:color w:val="auto"/>
                      <w:spacing w:val="0"/>
                      <w:sz w:val="21"/>
                      <w:szCs w:val="21"/>
                      <w:lang w:val="en-US" w:eastAsia="zh-CN"/>
                    </w:rPr>
                    <w:t>宝丰县盛祥再生资源有限公司</w:t>
                  </w:r>
                </w:p>
              </w:tc>
              <w:tc>
                <w:tcPr>
                  <w:tcW w:w="792"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3</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建设地点</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eastAsia" w:cs="Times New Roman"/>
                      <w:b w:val="0"/>
                      <w:bCs w:val="0"/>
                      <w:i w:val="0"/>
                      <w:iCs w:val="0"/>
                      <w:spacing w:val="0"/>
                      <w:kern w:val="2"/>
                      <w:sz w:val="21"/>
                      <w:szCs w:val="21"/>
                      <w:lang w:val="en-US" w:eastAsia="zh-CN" w:bidi="ar-SA"/>
                    </w:rPr>
                    <w:t>平顶山市宝丰县宝丰高新技术产业开发区旭原不锈钢院内8号厂房</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eastAsia" w:cs="Times New Roman"/>
                      <w:b w:val="0"/>
                      <w:bCs w:val="0"/>
                      <w:i w:val="0"/>
                      <w:iCs w:val="0"/>
                      <w:spacing w:val="0"/>
                      <w:kern w:val="2"/>
                      <w:sz w:val="21"/>
                      <w:szCs w:val="21"/>
                      <w:lang w:val="en-US" w:eastAsia="zh-CN" w:bidi="ar-SA"/>
                    </w:rPr>
                    <w:t>平顶山市宝丰县宝丰高新技术产业开发区旭原不锈钢院内8号厂房</w:t>
                  </w:r>
                </w:p>
              </w:tc>
              <w:tc>
                <w:tcPr>
                  <w:tcW w:w="792"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4</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建设规模</w:t>
                  </w:r>
                </w:p>
              </w:tc>
              <w:tc>
                <w:tcPr>
                  <w:tcW w:w="15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年产10000吨再生资源颗粒项目</w:t>
                  </w:r>
                </w:p>
              </w:tc>
              <w:tc>
                <w:tcPr>
                  <w:tcW w:w="17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ind w:left="0" w:right="0" w:firstLine="0" w:firstLineChars="0"/>
                    <w:jc w:val="center"/>
                    <w:textAlignment w:val="auto"/>
                    <w:rPr>
                      <w:rFonts w:hint="default" w:ascii="Times New Roman" w:hAnsi="Times New Roman" w:cs="Times New Roman"/>
                      <w:b w:val="0"/>
                      <w:bCs w:val="0"/>
                      <w:i w:val="0"/>
                      <w:iCs w:val="0"/>
                      <w:spacing w:val="0"/>
                      <w:kern w:val="2"/>
                      <w:sz w:val="21"/>
                      <w:szCs w:val="21"/>
                      <w:lang w:val="en-US" w:eastAsia="zh-CN" w:bidi="ar-SA"/>
                    </w:rPr>
                  </w:pPr>
                  <w:r>
                    <w:rPr>
                      <w:rFonts w:hint="default" w:ascii="Times New Roman" w:hAnsi="Times New Roman" w:cs="Times New Roman"/>
                      <w:b w:val="0"/>
                      <w:bCs w:val="0"/>
                      <w:i w:val="0"/>
                      <w:iCs w:val="0"/>
                      <w:color w:val="auto"/>
                      <w:spacing w:val="0"/>
                      <w:sz w:val="21"/>
                      <w:szCs w:val="21"/>
                      <w:lang w:val="en-US" w:eastAsia="zh-CN"/>
                    </w:rPr>
                    <w:t>年产10000吨再生资源颗粒项目</w:t>
                  </w:r>
                </w:p>
              </w:tc>
              <w:tc>
                <w:tcPr>
                  <w:tcW w:w="792"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885"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5</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建设内容</w:t>
                  </w:r>
                </w:p>
              </w:tc>
              <w:tc>
                <w:tcPr>
                  <w:tcW w:w="1518"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项目总投资2000万元，产能为年产10000吨再生资源颗粒，该项目位于宝丰高新技术产业开发区旭原不锈钢院内，占地面积5000平方米，主要建设废旧塑料再加工利用项目</w:t>
                  </w:r>
                </w:p>
              </w:tc>
              <w:tc>
                <w:tcPr>
                  <w:tcW w:w="1725"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eastAsia" w:cs="Times New Roman"/>
                      <w:b w:val="0"/>
                      <w:bCs w:val="0"/>
                      <w:i w:val="0"/>
                      <w:iCs w:val="0"/>
                      <w:color w:val="auto"/>
                      <w:spacing w:val="0"/>
                      <w:sz w:val="21"/>
                      <w:szCs w:val="21"/>
                      <w:vertAlign w:val="baseline"/>
                      <w:lang w:val="en-US" w:eastAsia="zh-CN"/>
                    </w:rPr>
                    <w:t>本项目总投资</w:t>
                  </w:r>
                  <w:r>
                    <w:rPr>
                      <w:rFonts w:hint="default" w:ascii="Times New Roman" w:hAnsi="Times New Roman" w:eastAsia="宋体" w:cs="Times New Roman"/>
                      <w:b w:val="0"/>
                      <w:bCs w:val="0"/>
                      <w:i w:val="0"/>
                      <w:iCs w:val="0"/>
                      <w:color w:val="auto"/>
                      <w:spacing w:val="0"/>
                      <w:sz w:val="21"/>
                      <w:szCs w:val="21"/>
                      <w:vertAlign w:val="baseline"/>
                      <w:lang w:val="en-US" w:eastAsia="zh-CN"/>
                    </w:rPr>
                    <w:t>2000万元，产能为年产10000吨再生资源颗粒，该项目位于宝丰高新技术产业开发区旭原不锈钢院内</w:t>
                  </w:r>
                  <w:r>
                    <w:rPr>
                      <w:rFonts w:hint="eastAsia" w:cs="Times New Roman"/>
                      <w:b w:val="0"/>
                      <w:bCs w:val="0"/>
                      <w:i w:val="0"/>
                      <w:iCs w:val="0"/>
                      <w:color w:val="auto"/>
                      <w:spacing w:val="0"/>
                      <w:sz w:val="21"/>
                      <w:szCs w:val="21"/>
                      <w:vertAlign w:val="baseline"/>
                      <w:lang w:val="en-US" w:eastAsia="zh-CN"/>
                    </w:rPr>
                    <w:t>，租用河南旭原不锈钢有限公司厂房，占地面积5000平方米，</w:t>
                  </w:r>
                  <w:r>
                    <w:rPr>
                      <w:rFonts w:hint="default" w:ascii="Times New Roman" w:hAnsi="Times New Roman" w:eastAsia="宋体" w:cs="Times New Roman"/>
                      <w:b w:val="0"/>
                      <w:bCs w:val="0"/>
                      <w:i w:val="0"/>
                      <w:iCs w:val="0"/>
                      <w:color w:val="auto"/>
                      <w:spacing w:val="0"/>
                      <w:sz w:val="21"/>
                      <w:szCs w:val="21"/>
                      <w:vertAlign w:val="baseline"/>
                      <w:lang w:val="en-US" w:eastAsia="zh-CN"/>
                    </w:rPr>
                    <w:t>主要建设废旧塑料再加工利用项目</w:t>
                  </w:r>
                </w:p>
              </w:tc>
              <w:tc>
                <w:tcPr>
                  <w:tcW w:w="792"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0"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6</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生产工艺</w:t>
                  </w:r>
                </w:p>
              </w:tc>
              <w:tc>
                <w:tcPr>
                  <w:tcW w:w="1518"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原料→清洗→破碎→加热融化→挤出→冷却切粒→成品</w:t>
                  </w:r>
                </w:p>
              </w:tc>
              <w:tc>
                <w:tcPr>
                  <w:tcW w:w="1725"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原料→清洗→破碎→加热融化→挤出→冷却切粒→成品</w:t>
                  </w:r>
                </w:p>
              </w:tc>
              <w:tc>
                <w:tcPr>
                  <w:tcW w:w="792"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eastAsia" w:cs="Times New Roman"/>
                      <w:b w:val="0"/>
                      <w:bCs w:val="0"/>
                      <w:i w:val="0"/>
                      <w:iCs w:val="0"/>
                      <w:color w:val="auto"/>
                      <w:spacing w:val="0"/>
                      <w:sz w:val="21"/>
                      <w:szCs w:val="21"/>
                      <w:vertAlign w:val="baseli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left="0" w:right="0" w:firstLine="0" w:firstLineChars="0"/>
                    <w:jc w:val="center"/>
                    <w:textAlignment w:val="auto"/>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7</w:t>
                  </w:r>
                </w:p>
              </w:tc>
              <w:tc>
                <w:tcPr>
                  <w:tcW w:w="694"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sz w:val="21"/>
                      <w:szCs w:val="21"/>
                      <w:vertAlign w:val="baseline"/>
                      <w:lang w:val="en-US" w:eastAsia="zh-CN"/>
                    </w:rPr>
                    <w:t>主要生产设备</w:t>
                  </w:r>
                </w:p>
              </w:tc>
              <w:tc>
                <w:tcPr>
                  <w:tcW w:w="1518" w:type="pct"/>
                  <w:tcBorders>
                    <w:tl2br w:val="nil"/>
                    <w:tr2bl w:val="nil"/>
                  </w:tcBorders>
                  <w:noWrap w:val="0"/>
                  <w:vAlign w:val="center"/>
                </w:tcPr>
                <w:p>
                  <w:pPr>
                    <w:pStyle w:val="3"/>
                    <w:keepNext w:val="0"/>
                    <w:keepLines w:val="0"/>
                    <w:pageBreakBefore w:val="0"/>
                    <w:kinsoku/>
                    <w:wordWrap/>
                    <w:overflowPunct/>
                    <w:topLinePunct w:val="0"/>
                    <w:autoSpaceDE/>
                    <w:autoSpaceDN/>
                    <w:bidi w:val="0"/>
                    <w:adjustRightInd/>
                    <w:ind w:left="0" w:leftChars="0" w:firstLine="0" w:firstLineChars="0"/>
                    <w:jc w:val="center"/>
                    <w:textAlignment w:val="auto"/>
                    <w:rPr>
                      <w:rFonts w:hint="default"/>
                      <w:color w:val="auto"/>
                      <w:lang w:val="en-US" w:eastAsia="zh-CN"/>
                    </w:rPr>
                  </w:pPr>
                  <w:r>
                    <w:rPr>
                      <w:rFonts w:hint="default"/>
                      <w:color w:val="auto"/>
                      <w:sz w:val="21"/>
                      <w:szCs w:val="21"/>
                      <w:lang w:val="en-US" w:eastAsia="zh-CN"/>
                    </w:rPr>
                    <w:t>清洗机、粉碎机、自动上料机、造粒机、切粒机等</w:t>
                  </w:r>
                </w:p>
              </w:tc>
              <w:tc>
                <w:tcPr>
                  <w:tcW w:w="1725"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color w:val="auto"/>
                      <w:lang w:val="en-US" w:eastAsia="zh-CN"/>
                    </w:rPr>
                  </w:pPr>
                  <w:r>
                    <w:rPr>
                      <w:rFonts w:hint="default"/>
                      <w:color w:val="auto"/>
                      <w:sz w:val="21"/>
                      <w:szCs w:val="21"/>
                      <w:lang w:val="en-US" w:eastAsia="zh-CN"/>
                    </w:rPr>
                    <w:t>清洗机、粉碎机、自动上料机、造粒机、切粒机等</w:t>
                  </w:r>
                </w:p>
              </w:tc>
              <w:tc>
                <w:tcPr>
                  <w:tcW w:w="792" w:type="pct"/>
                  <w:tcBorders>
                    <w:tl2br w:val="nil"/>
                    <w:tr2bl w:val="nil"/>
                  </w:tcBorders>
                  <w:noWrap w:val="0"/>
                  <w:vAlign w:val="center"/>
                </w:tcPr>
                <w:p>
                  <w:pPr>
                    <w:pStyle w:val="3"/>
                    <w:keepNext w:val="0"/>
                    <w:keepLines w:val="0"/>
                    <w:pageBreakBefore w:val="0"/>
                    <w:widowControl w:val="0"/>
                    <w:tabs>
                      <w:tab w:val="center" w:pos="402"/>
                    </w:tabs>
                    <w:kinsoku/>
                    <w:wordWrap/>
                    <w:overflowPunct/>
                    <w:topLinePunct w:val="0"/>
                    <w:autoSpaceDE/>
                    <w:autoSpaceDN/>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cs="Times New Roman"/>
                      <w:b w:val="0"/>
                      <w:bCs w:val="0"/>
                      <w:i w:val="0"/>
                      <w:iCs w:val="0"/>
                      <w:color w:val="auto"/>
                      <w:spacing w:val="0"/>
                      <w:kern w:val="2"/>
                      <w:sz w:val="21"/>
                      <w:szCs w:val="21"/>
                      <w:vertAlign w:val="baseline"/>
                      <w:lang w:val="en-US" w:eastAsia="zh-CN" w:bidi="ar-SA"/>
                    </w:rPr>
                    <w:t>相符</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cs="Times New Roman"/>
                <w:b w:val="0"/>
                <w:bCs/>
                <w:color w:val="auto"/>
                <w:kern w:val="0"/>
                <w:sz w:val="24"/>
                <w:u w:val="none"/>
              </w:rPr>
              <w:t>由表</w:t>
            </w:r>
            <w:r>
              <w:rPr>
                <w:rFonts w:hint="default" w:ascii="Times New Roman" w:hAnsi="Times New Roman" w:cs="Times New Roman"/>
                <w:b w:val="0"/>
                <w:bCs/>
                <w:color w:val="auto"/>
                <w:kern w:val="0"/>
                <w:sz w:val="24"/>
                <w:u w:val="none"/>
                <w:lang w:val="en-US" w:eastAsia="zh-CN"/>
              </w:rPr>
              <w:t>1-2</w:t>
            </w:r>
            <w:r>
              <w:rPr>
                <w:rFonts w:hint="default" w:ascii="Times New Roman" w:hAnsi="Times New Roman" w:cs="Times New Roman"/>
                <w:b w:val="0"/>
                <w:bCs/>
                <w:color w:val="auto"/>
                <w:kern w:val="0"/>
                <w:sz w:val="24"/>
                <w:u w:val="none"/>
              </w:rPr>
              <w:t>可知，本项目拟建设情况与备案内容相符。</w:t>
            </w:r>
            <w:r>
              <w:rPr>
                <w:rFonts w:hint="default" w:ascii="Times New Roman" w:hAnsi="Times New Roman" w:eastAsia="宋体" w:cs="Times New Roman"/>
                <w:color w:val="auto"/>
                <w:sz w:val="24"/>
              </w:rPr>
              <w:t>因此，本项目符合国家产业政策及地方规划要求。</w:t>
            </w:r>
          </w:p>
          <w:p>
            <w:pPr>
              <w:spacing w:line="360" w:lineRule="auto"/>
              <w:ind w:firstLine="482" w:firstLineChars="200"/>
              <w:rPr>
                <w:rFonts w:hint="default" w:ascii="Times New Roman" w:hAnsi="Times New Roman" w:eastAsia="宋体" w:cs="Times New Roman"/>
                <w:b/>
                <w:bCs/>
                <w:sz w:val="24"/>
                <w:lang w:eastAsia="zh-CN"/>
              </w:rPr>
            </w:pPr>
            <w:r>
              <w:rPr>
                <w:rFonts w:hint="eastAsia" w:cs="Times New Roman"/>
                <w:b/>
                <w:bCs/>
                <w:sz w:val="24"/>
                <w:lang w:val="en-US" w:eastAsia="zh-CN"/>
              </w:rPr>
              <w:t>（3）</w:t>
            </w:r>
            <w:r>
              <w:rPr>
                <w:rFonts w:hint="eastAsia" w:ascii="Times New Roman" w:hAnsi="Times New Roman" w:eastAsia="宋体" w:cs="Times New Roman"/>
                <w:b/>
                <w:bCs/>
                <w:sz w:val="24"/>
                <w:lang w:val="en-US" w:eastAsia="zh-CN"/>
              </w:rPr>
              <w:t>土地及规划的相符性分析</w:t>
            </w:r>
          </w:p>
          <w:p>
            <w:pPr>
              <w:widowControl/>
              <w:spacing w:line="360" w:lineRule="auto"/>
              <w:ind w:firstLine="480" w:firstLineChars="200"/>
              <w:rPr>
                <w:rFonts w:hint="default" w:ascii="Times New Roman" w:hAnsi="Times New Roman" w:eastAsia="宋体" w:cs="Times New Roman"/>
                <w:b w:val="0"/>
                <w:bCs w:val="0"/>
                <w:color w:val="auto"/>
                <w:sz w:val="24"/>
                <w:u w:val="none"/>
              </w:rPr>
            </w:pPr>
            <w:r>
              <w:rPr>
                <w:rFonts w:hint="eastAsia" w:eastAsia="宋体" w:cs="Times New Roman"/>
                <w:b w:val="0"/>
                <w:bCs w:val="0"/>
                <w:color w:val="auto"/>
                <w:sz w:val="24"/>
                <w:u w:val="none"/>
                <w:lang w:val="en-US" w:eastAsia="zh-CN"/>
              </w:rPr>
              <w:t>根据调查，</w:t>
            </w:r>
            <w:r>
              <w:rPr>
                <w:rFonts w:hint="eastAsia" w:cs="Times New Roman"/>
                <w:b w:val="0"/>
                <w:bCs w:val="0"/>
                <w:color w:val="auto"/>
                <w:sz w:val="24"/>
                <w:u w:val="none"/>
                <w:lang w:val="en-US" w:eastAsia="zh-CN"/>
              </w:rPr>
              <w:t>宝丰县盛祥再生资源有限公司位于平顶山市宝丰县宝丰高新技术产业开发区旭原不锈钢院内8号厂房</w:t>
            </w:r>
            <w:r>
              <w:rPr>
                <w:rFonts w:hint="eastAsia" w:eastAsia="宋体" w:cs="Times New Roman"/>
                <w:b w:val="0"/>
                <w:bCs w:val="0"/>
                <w:color w:val="auto"/>
                <w:sz w:val="24"/>
                <w:u w:val="none"/>
                <w:lang w:val="en-US" w:eastAsia="zh-CN"/>
              </w:rPr>
              <w:t>。</w:t>
            </w:r>
            <w:r>
              <w:rPr>
                <w:rFonts w:hint="eastAsia" w:cs="Times New Roman"/>
                <w:b w:val="0"/>
                <w:bCs w:val="0"/>
                <w:color w:val="auto"/>
                <w:sz w:val="24"/>
                <w:u w:val="none"/>
                <w:lang w:val="en-US" w:eastAsia="zh-CN"/>
              </w:rPr>
              <w:t>根据现场调查，本项目租赁河南旭原不锈钢有限公司闲置厂房，河南旭原不锈钢有限公司于2011年9月10日取得了土地手续，该地块用地性质属于工业用地</w:t>
            </w:r>
            <w:r>
              <w:rPr>
                <w:rFonts w:hint="default" w:ascii="Times New Roman" w:hAnsi="Times New Roman" w:eastAsia="宋体" w:cs="Times New Roman"/>
                <w:b w:val="0"/>
                <w:bCs w:val="0"/>
                <w:color w:val="auto"/>
                <w:sz w:val="24"/>
                <w:u w:val="none"/>
                <w:lang w:eastAsia="zh-CN"/>
              </w:rPr>
              <w:t>，</w:t>
            </w:r>
            <w:r>
              <w:rPr>
                <w:rFonts w:hint="eastAsia" w:cs="Times New Roman"/>
                <w:b w:val="0"/>
                <w:bCs w:val="0"/>
                <w:color w:val="auto"/>
                <w:sz w:val="24"/>
                <w:u w:val="none"/>
                <w:lang w:val="en-US" w:eastAsia="zh-CN"/>
              </w:rPr>
              <w:t>符合</w:t>
            </w:r>
            <w:r>
              <w:rPr>
                <w:rFonts w:hint="default" w:ascii="Times New Roman" w:hAnsi="Times New Roman" w:eastAsia="宋体" w:cs="Times New Roman"/>
                <w:b w:val="0"/>
                <w:bCs w:val="0"/>
                <w:color w:val="auto"/>
                <w:sz w:val="24"/>
                <w:u w:val="none"/>
                <w:lang w:eastAsia="zh-CN"/>
              </w:rPr>
              <w:t>园区土地利用总体规划</w:t>
            </w:r>
            <w:r>
              <w:rPr>
                <w:rFonts w:hint="eastAsia" w:cs="Times New Roman"/>
                <w:b w:val="0"/>
                <w:bCs w:val="0"/>
                <w:color w:val="auto"/>
                <w:sz w:val="24"/>
                <w:u w:val="none"/>
                <w:lang w:eastAsia="zh-CN"/>
              </w:rPr>
              <w:t>。</w:t>
            </w:r>
            <w:r>
              <w:rPr>
                <w:rFonts w:hint="eastAsia" w:eastAsia="宋体" w:cs="Times New Roman"/>
                <w:b w:val="0"/>
                <w:bCs w:val="0"/>
                <w:color w:val="auto"/>
                <w:sz w:val="24"/>
                <w:u w:val="none"/>
                <w:lang w:val="en-US" w:eastAsia="zh-CN"/>
              </w:rPr>
              <w:t>（</w:t>
            </w:r>
            <w:r>
              <w:rPr>
                <w:rFonts w:hint="eastAsia" w:cs="Times New Roman"/>
                <w:b w:val="0"/>
                <w:bCs w:val="0"/>
                <w:color w:val="auto"/>
                <w:sz w:val="24"/>
                <w:u w:val="none"/>
                <w:lang w:val="en-US" w:eastAsia="zh-CN"/>
              </w:rPr>
              <w:t>其中园区规划图见附图五，</w:t>
            </w:r>
            <w:r>
              <w:rPr>
                <w:rFonts w:hint="default" w:ascii="Times New Roman" w:hAnsi="Times New Roman" w:eastAsia="宋体" w:cs="Times New Roman"/>
                <w:b w:val="0"/>
                <w:bCs w:val="0"/>
                <w:color w:val="auto"/>
                <w:sz w:val="24"/>
                <w:u w:val="none"/>
              </w:rPr>
              <w:t>土地</w:t>
            </w:r>
            <w:r>
              <w:rPr>
                <w:rFonts w:hint="eastAsia" w:cs="Times New Roman"/>
                <w:b w:val="0"/>
                <w:bCs w:val="0"/>
                <w:color w:val="auto"/>
                <w:sz w:val="24"/>
                <w:u w:val="none"/>
                <w:lang w:val="en-US" w:eastAsia="zh-CN"/>
              </w:rPr>
              <w:t>手续见附件五</w:t>
            </w:r>
            <w:r>
              <w:rPr>
                <w:rFonts w:hint="eastAsia" w:eastAsia="宋体" w:cs="Times New Roman"/>
                <w:b w:val="0"/>
                <w:bCs w:val="0"/>
                <w:color w:val="auto"/>
                <w:sz w:val="24"/>
                <w:u w:val="none"/>
                <w:lang w:val="en-US" w:eastAsia="zh-CN"/>
              </w:rPr>
              <w:t>）</w:t>
            </w:r>
            <w:r>
              <w:rPr>
                <w:rFonts w:hint="default" w:ascii="Times New Roman" w:hAnsi="Times New Roman" w:eastAsia="宋体" w:cs="Times New Roman"/>
                <w:b w:val="0"/>
                <w:bCs w:val="0"/>
                <w:color w:val="auto"/>
                <w:sz w:val="24"/>
                <w:u w:val="none"/>
              </w:rPr>
              <w:t>。</w:t>
            </w:r>
          </w:p>
          <w:p>
            <w:pPr>
              <w:widowControl/>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eastAsia="宋体" w:cs="Times New Roman"/>
                <w:color w:val="auto"/>
                <w:sz w:val="24"/>
                <w:lang w:eastAsia="zh-CN"/>
              </w:rPr>
              <w:t>综上</w:t>
            </w:r>
            <w:r>
              <w:rPr>
                <w:rFonts w:hint="default" w:ascii="Times New Roman" w:hAnsi="Times New Roman" w:eastAsia="宋体" w:cs="Times New Roman"/>
                <w:color w:val="auto"/>
                <w:sz w:val="24"/>
              </w:rPr>
              <w:t>，本项目符合国家</w:t>
            </w:r>
            <w:r>
              <w:rPr>
                <w:rFonts w:hint="default" w:ascii="Times New Roman" w:hAnsi="Times New Roman" w:eastAsia="宋体" w:cs="Times New Roman"/>
                <w:color w:val="auto"/>
                <w:sz w:val="24"/>
                <w:lang w:eastAsia="zh-CN"/>
              </w:rPr>
              <w:t>相关</w:t>
            </w:r>
            <w:r>
              <w:rPr>
                <w:rFonts w:hint="default" w:ascii="Times New Roman" w:hAnsi="Times New Roman" w:eastAsia="宋体" w:cs="Times New Roman"/>
                <w:color w:val="auto"/>
                <w:sz w:val="24"/>
              </w:rPr>
              <w:t>政策及地方</w:t>
            </w:r>
            <w:r>
              <w:rPr>
                <w:rFonts w:hint="default" w:ascii="Times New Roman" w:hAnsi="Times New Roman" w:eastAsia="宋体" w:cs="Times New Roman"/>
                <w:color w:val="auto"/>
                <w:sz w:val="24"/>
                <w:lang w:eastAsia="zh-CN"/>
              </w:rPr>
              <w:t>政策、规划</w:t>
            </w:r>
            <w:r>
              <w:rPr>
                <w:rFonts w:hint="default" w:ascii="Times New Roman" w:hAnsi="Times New Roman" w:eastAsia="宋体" w:cs="Times New Roman"/>
                <w:color w:val="auto"/>
                <w:sz w:val="24"/>
              </w:rPr>
              <w:t>要求。</w:t>
            </w:r>
          </w:p>
          <w:p>
            <w:pPr>
              <w:numPr>
                <w:ilvl w:val="0"/>
                <w:numId w:val="1"/>
              </w:numPr>
              <w:spacing w:line="360" w:lineRule="auto"/>
              <w:ind w:firstLine="482" w:firstLineChars="200"/>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“三线一单”相符性分析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①</w:t>
            </w:r>
            <w:r>
              <w:rPr>
                <w:rFonts w:hint="default" w:ascii="Times New Roman" w:hAnsi="Times New Roman" w:eastAsia="宋体" w:cs="Times New Roman"/>
                <w:b/>
                <w:bCs/>
                <w:color w:val="auto"/>
                <w:sz w:val="24"/>
                <w:szCs w:val="24"/>
                <w:u w:val="none"/>
                <w:lang w:val="en-US" w:eastAsia="zh-CN"/>
              </w:rPr>
              <w:t>生态保护红线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本项目位于</w:t>
            </w:r>
            <w:r>
              <w:rPr>
                <w:rFonts w:hint="eastAsia" w:cs="Times New Roman"/>
                <w:b w:val="0"/>
                <w:bCs w:val="0"/>
                <w:color w:val="auto"/>
                <w:sz w:val="24"/>
                <w:szCs w:val="24"/>
                <w:u w:val="none"/>
                <w:lang w:val="en-US" w:eastAsia="zh-CN"/>
              </w:rPr>
              <w:t>平顶山市宝丰县宝丰高新技术产业开发区旭原不锈钢院内8号厂房</w:t>
            </w:r>
            <w:r>
              <w:rPr>
                <w:rFonts w:hint="default" w:ascii="Times New Roman" w:hAnsi="Times New Roman" w:eastAsia="宋体" w:cs="Times New Roman"/>
                <w:b w:val="0"/>
                <w:bCs w:val="0"/>
                <w:color w:val="auto"/>
                <w:sz w:val="24"/>
                <w:szCs w:val="24"/>
                <w:u w:val="none"/>
                <w:lang w:val="en-US" w:eastAsia="zh-CN"/>
              </w:rPr>
              <w:t>，项目所在地周边无自然保护区、风景名胜区、世界文化和自然遗产地，饮用水源保护区等环境敏感区。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w:t>
            </w:r>
            <w:r>
              <w:rPr>
                <w:rFonts w:hint="eastAsia" w:ascii="Times New Roman" w:hAnsi="Times New Roman" w:eastAsia="宋体" w:cs="Times New Roman"/>
                <w:b w:val="0"/>
                <w:bCs w:val="0"/>
                <w:color w:val="auto"/>
                <w:sz w:val="24"/>
                <w:szCs w:val="24"/>
                <w:u w:val="none"/>
                <w:lang w:val="en-US" w:eastAsia="zh-CN"/>
              </w:rPr>
              <w:t>平顶山市</w:t>
            </w:r>
            <w:r>
              <w:rPr>
                <w:rFonts w:hint="default" w:ascii="Times New Roman" w:hAnsi="Times New Roman" w:eastAsia="宋体" w:cs="Times New Roman"/>
                <w:b w:val="0"/>
                <w:bCs w:val="0"/>
                <w:color w:val="auto"/>
                <w:sz w:val="24"/>
                <w:szCs w:val="24"/>
                <w:u w:val="none"/>
                <w:lang w:val="en-US" w:eastAsia="zh-CN"/>
              </w:rPr>
              <w:t>人民政府关于实施“三线一单”生态环境分区管控的意见》</w:t>
            </w:r>
            <w:r>
              <w:rPr>
                <w:rFonts w:hint="eastAsia" w:ascii="Times New Roman" w:hAnsi="Times New Roman" w:eastAsia="宋体" w:cs="Times New Roman"/>
                <w:b w:val="0"/>
                <w:bCs w:val="0"/>
                <w:color w:val="auto"/>
                <w:sz w:val="24"/>
                <w:szCs w:val="24"/>
                <w:u w:val="none"/>
                <w:lang w:val="en-US" w:eastAsia="zh-CN"/>
              </w:rPr>
              <w:t>中</w:t>
            </w:r>
            <w:r>
              <w:rPr>
                <w:rFonts w:hint="default" w:ascii="Times New Roman" w:hAnsi="Times New Roman" w:eastAsia="宋体" w:cs="Times New Roman"/>
                <w:b w:val="0"/>
                <w:bCs w:val="0"/>
                <w:color w:val="auto"/>
                <w:sz w:val="24"/>
                <w:szCs w:val="24"/>
                <w:u w:val="none"/>
                <w:lang w:val="en-US" w:eastAsia="zh-CN"/>
              </w:rPr>
              <w:t>关于</w:t>
            </w:r>
            <w:r>
              <w:rPr>
                <w:rFonts w:hint="eastAsia" w:cs="Times New Roman"/>
                <w:b w:val="0"/>
                <w:bCs w:val="0"/>
                <w:color w:val="auto"/>
                <w:sz w:val="24"/>
                <w:szCs w:val="24"/>
                <w:u w:val="none"/>
                <w:lang w:val="en-US" w:eastAsia="zh-CN"/>
              </w:rPr>
              <w:t>宝丰县</w:t>
            </w:r>
            <w:r>
              <w:rPr>
                <w:rFonts w:hint="default" w:ascii="Times New Roman" w:hAnsi="Times New Roman" w:eastAsia="宋体" w:cs="Times New Roman"/>
                <w:b w:val="0"/>
                <w:bCs w:val="0"/>
                <w:color w:val="auto"/>
                <w:sz w:val="24"/>
                <w:szCs w:val="24"/>
                <w:u w:val="none"/>
                <w:lang w:val="en-US" w:eastAsia="zh-CN"/>
              </w:rPr>
              <w:t>生态保护红线划定结果主要</w:t>
            </w:r>
            <w:r>
              <w:rPr>
                <w:rFonts w:hint="eastAsia" w:ascii="Times New Roman" w:hAnsi="Times New Roman" w:eastAsia="宋体" w:cs="Times New Roman"/>
                <w:b w:val="0"/>
                <w:bCs w:val="0"/>
                <w:color w:val="auto"/>
                <w:sz w:val="24"/>
                <w:szCs w:val="24"/>
                <w:u w:val="none"/>
                <w:lang w:val="en-US" w:eastAsia="zh-CN"/>
              </w:rPr>
              <w:t>为</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宝丰县水优先保护区</w:t>
            </w:r>
            <w:r>
              <w:rPr>
                <w:rFonts w:hint="eastAsia"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宝丰县一般生态空间</w:t>
            </w:r>
            <w:r>
              <w:rPr>
                <w:rFonts w:hint="eastAsia" w:cs="Times New Roman"/>
                <w:b w:val="0"/>
                <w:bCs w:val="0"/>
                <w:color w:val="auto"/>
                <w:sz w:val="24"/>
                <w:szCs w:val="24"/>
                <w:u w:val="none"/>
                <w:lang w:val="en-US" w:eastAsia="zh-CN"/>
              </w:rPr>
              <w:t>、宝丰县产业集聚区、宝丰县城镇重点单元、宝丰县大气重点单元、宝丰县重点矿区以及宝丰县一般管控单元</w:t>
            </w:r>
            <w:r>
              <w:rPr>
                <w:rFonts w:hint="default" w:ascii="Times New Roman" w:hAnsi="Times New Roman" w:eastAsia="宋体" w:cs="Times New Roman"/>
                <w:b w:val="0"/>
                <w:bCs w:val="0"/>
                <w:color w:val="auto"/>
                <w:sz w:val="24"/>
                <w:szCs w:val="24"/>
                <w:u w:val="none"/>
                <w:lang w:val="en-US" w:eastAsia="zh-CN"/>
              </w:rPr>
              <w:t>。</w:t>
            </w:r>
            <w:r>
              <w:rPr>
                <w:rFonts w:hint="eastAsia" w:cs="Times New Roman"/>
                <w:b w:val="0"/>
                <w:bCs w:val="0"/>
                <w:color w:val="auto"/>
                <w:sz w:val="24"/>
                <w:szCs w:val="24"/>
                <w:u w:val="none"/>
                <w:lang w:val="en-US" w:eastAsia="zh-CN"/>
              </w:rPr>
              <w:t>根据调查</w:t>
            </w:r>
            <w:r>
              <w:rPr>
                <w:rFonts w:hint="eastAsia" w:ascii="Times New Roman" w:hAnsi="Times New Roman" w:eastAsia="宋体" w:cs="Times New Roman"/>
                <w:b w:val="0"/>
                <w:bCs w:val="0"/>
                <w:color w:val="auto"/>
                <w:sz w:val="24"/>
                <w:szCs w:val="24"/>
                <w:u w:val="none"/>
                <w:lang w:val="en-US" w:eastAsia="zh-CN"/>
              </w:rPr>
              <w:t>本项目</w:t>
            </w:r>
            <w:r>
              <w:rPr>
                <w:rFonts w:hint="default" w:ascii="Times New Roman" w:hAnsi="Times New Roman" w:eastAsia="宋体" w:cs="Times New Roman"/>
                <w:b w:val="0"/>
                <w:bCs w:val="0"/>
                <w:color w:val="auto"/>
                <w:sz w:val="24"/>
                <w:szCs w:val="24"/>
                <w:u w:val="none"/>
                <w:lang w:val="en-US" w:eastAsia="zh-CN"/>
              </w:rPr>
              <w:t>所在地不在生态红线保护范围内，符合生态红线保护要求。</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②资源利用上线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本项目采用的能源主要为水、电。项目运行后通过内部管理、原辅材料的选用和管理、废物回收利用、污染治理等多方面措施，可使产生的污染物得到有效处置。项目对资源的使用较少，利用率</w:t>
            </w:r>
            <w:r>
              <w:rPr>
                <w:rFonts w:hint="eastAsia" w:cs="Times New Roman"/>
                <w:b w:val="0"/>
                <w:bCs w:val="0"/>
                <w:color w:val="auto"/>
                <w:sz w:val="24"/>
                <w:szCs w:val="24"/>
                <w:u w:val="none"/>
                <w:lang w:val="en-US" w:eastAsia="zh-CN"/>
              </w:rPr>
              <w:t>较</w:t>
            </w:r>
            <w:r>
              <w:rPr>
                <w:rFonts w:hint="default" w:ascii="Times New Roman" w:hAnsi="Times New Roman" w:eastAsia="宋体" w:cs="Times New Roman"/>
                <w:b w:val="0"/>
                <w:bCs w:val="0"/>
                <w:color w:val="auto"/>
                <w:sz w:val="24"/>
                <w:szCs w:val="24"/>
                <w:u w:val="none"/>
                <w:lang w:val="en-US" w:eastAsia="zh-CN"/>
              </w:rPr>
              <w:t>高，不触及资源利用</w:t>
            </w:r>
            <w:r>
              <w:rPr>
                <w:rFonts w:hint="eastAsia" w:cs="Times New Roman"/>
                <w:b w:val="0"/>
                <w:bCs w:val="0"/>
                <w:color w:val="auto"/>
                <w:sz w:val="24"/>
                <w:szCs w:val="24"/>
                <w:u w:val="none"/>
                <w:lang w:val="en-US" w:eastAsia="zh-CN"/>
              </w:rPr>
              <w:t>上线</w:t>
            </w:r>
            <w:r>
              <w:rPr>
                <w:rFonts w:hint="default" w:ascii="Times New Roman" w:hAnsi="Times New Roman" w:eastAsia="宋体" w:cs="Times New Roman"/>
                <w:b w:val="0"/>
                <w:bCs w:val="0"/>
                <w:color w:val="auto"/>
                <w:sz w:val="24"/>
                <w:szCs w:val="24"/>
                <w:u w:val="none"/>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③</w:t>
            </w:r>
            <w:r>
              <w:rPr>
                <w:rFonts w:hint="default" w:ascii="Times New Roman" w:hAnsi="Times New Roman" w:eastAsia="宋体" w:cs="Times New Roman"/>
                <w:b/>
                <w:bCs/>
                <w:color w:val="auto"/>
                <w:sz w:val="24"/>
                <w:szCs w:val="24"/>
                <w:u w:val="none"/>
                <w:lang w:val="en-US" w:eastAsia="zh-CN"/>
              </w:rPr>
              <w:t>环境质量底线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全市国土空间按优先保护单元、重点管控单元、一般管控单元三大类共分为65个生态环境管控单元。其中，</w:t>
            </w:r>
            <w:r>
              <w:rPr>
                <w:rFonts w:hint="eastAsia" w:cs="Times New Roman"/>
                <w:b w:val="0"/>
                <w:bCs w:val="0"/>
                <w:color w:val="auto"/>
                <w:sz w:val="24"/>
                <w:szCs w:val="24"/>
                <w:u w:val="none"/>
                <w:lang w:val="en-US" w:eastAsia="zh-CN"/>
              </w:rPr>
              <w:t>宝丰县</w:t>
            </w:r>
            <w:r>
              <w:rPr>
                <w:rFonts w:hint="default" w:ascii="Times New Roman" w:hAnsi="Times New Roman" w:eastAsia="宋体" w:cs="Times New Roman"/>
                <w:b w:val="0"/>
                <w:bCs w:val="0"/>
                <w:color w:val="auto"/>
                <w:sz w:val="24"/>
                <w:szCs w:val="24"/>
                <w:u w:val="none"/>
                <w:lang w:val="en-US" w:eastAsia="zh-CN"/>
              </w:rPr>
              <w:t>优先保护单元</w:t>
            </w:r>
            <w:r>
              <w:rPr>
                <w:rFonts w:hint="eastAsia"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lang w:val="en-US" w:eastAsia="zh-CN"/>
              </w:rPr>
              <w:t>个，面积占比13.32%；重点管控单元</w:t>
            </w:r>
            <w:r>
              <w:rPr>
                <w:rFonts w:hint="eastAsia" w:cs="Times New Roman"/>
                <w:b w:val="0"/>
                <w:bCs w:val="0"/>
                <w:color w:val="auto"/>
                <w:sz w:val="24"/>
                <w:szCs w:val="24"/>
                <w:u w:val="none"/>
                <w:lang w:val="en-US" w:eastAsia="zh-CN"/>
              </w:rPr>
              <w:t>4</w:t>
            </w:r>
            <w:r>
              <w:rPr>
                <w:rFonts w:hint="default" w:ascii="Times New Roman" w:hAnsi="Times New Roman" w:eastAsia="宋体" w:cs="Times New Roman"/>
                <w:b w:val="0"/>
                <w:bCs w:val="0"/>
                <w:color w:val="auto"/>
                <w:sz w:val="24"/>
                <w:szCs w:val="24"/>
                <w:u w:val="none"/>
                <w:lang w:val="en-US" w:eastAsia="zh-CN"/>
              </w:rPr>
              <w:t>个，面积占比</w:t>
            </w:r>
            <w:r>
              <w:rPr>
                <w:rFonts w:hint="eastAsia" w:cs="Times New Roman"/>
                <w:b w:val="0"/>
                <w:bCs w:val="0"/>
                <w:color w:val="auto"/>
                <w:sz w:val="24"/>
                <w:szCs w:val="24"/>
                <w:u w:val="none"/>
                <w:lang w:val="en-US" w:eastAsia="zh-CN"/>
              </w:rPr>
              <w:t>55</w:t>
            </w:r>
            <w:r>
              <w:rPr>
                <w:rFonts w:hint="default" w:ascii="Times New Roman" w:hAnsi="Times New Roman" w:eastAsia="宋体" w:cs="Times New Roman"/>
                <w:b w:val="0"/>
                <w:bCs w:val="0"/>
                <w:color w:val="auto"/>
                <w:sz w:val="24"/>
                <w:szCs w:val="24"/>
                <w:u w:val="none"/>
                <w:lang w:val="en-US" w:eastAsia="zh-CN"/>
              </w:rPr>
              <w:t>%；一般管控单元</w:t>
            </w:r>
            <w:r>
              <w:rPr>
                <w:rFonts w:hint="eastAsia" w:ascii="Times New Roman" w:hAnsi="Times New Roman" w:eastAsia="宋体" w:cs="Times New Roman"/>
                <w:b w:val="0"/>
                <w:bCs w:val="0"/>
                <w:color w:val="auto"/>
                <w:sz w:val="24"/>
                <w:szCs w:val="24"/>
                <w:u w:val="none"/>
                <w:lang w:val="en-US" w:eastAsia="zh-CN"/>
              </w:rPr>
              <w:t>1</w:t>
            </w:r>
            <w:r>
              <w:rPr>
                <w:rFonts w:hint="default" w:ascii="Times New Roman" w:hAnsi="Times New Roman" w:eastAsia="宋体" w:cs="Times New Roman"/>
                <w:b w:val="0"/>
                <w:bCs w:val="0"/>
                <w:color w:val="auto"/>
                <w:sz w:val="24"/>
                <w:szCs w:val="24"/>
                <w:u w:val="none"/>
                <w:lang w:val="en-US" w:eastAsia="zh-CN"/>
              </w:rPr>
              <w:t>个，面积占比</w:t>
            </w:r>
            <w:r>
              <w:rPr>
                <w:rFonts w:hint="eastAsia" w:cs="Times New Roman"/>
                <w:b w:val="0"/>
                <w:bCs w:val="0"/>
                <w:color w:val="auto"/>
                <w:sz w:val="24"/>
                <w:szCs w:val="24"/>
                <w:u w:val="none"/>
                <w:lang w:val="en-US" w:eastAsia="zh-CN"/>
              </w:rPr>
              <w:t>31.67</w:t>
            </w:r>
            <w:r>
              <w:rPr>
                <w:rFonts w:hint="default" w:ascii="Times New Roman" w:hAnsi="Times New Roman" w:eastAsia="宋体" w:cs="Times New Roman"/>
                <w:b w:val="0"/>
                <w:bCs w:val="0"/>
                <w:color w:val="auto"/>
                <w:sz w:val="24"/>
                <w:szCs w:val="24"/>
                <w:u w:val="none"/>
                <w:lang w:val="en-US" w:eastAsia="zh-CN"/>
              </w:rPr>
              <w:t>%。经调查，本项目选址位于宝丰县重点管控单元，其环境要素为大气高排放区、水环境工业污染重点管控区、产业集聚区。</w:t>
            </w:r>
          </w:p>
          <w:p>
            <w:pPr>
              <w:widowControl/>
              <w:spacing w:line="360" w:lineRule="auto"/>
              <w:ind w:firstLine="480" w:firstLineChars="200"/>
              <w:textAlignment w:val="bottom"/>
              <w:rPr>
                <w:rFonts w:hint="eastAsia"/>
                <w:color w:val="auto"/>
                <w:sz w:val="24"/>
                <w:lang w:eastAsia="zh-CN"/>
              </w:rPr>
            </w:pPr>
            <w:r>
              <w:rPr>
                <w:rFonts w:hint="eastAsia"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val="en-US" w:eastAsia="zh-CN"/>
              </w:rPr>
              <w:t>项目营运期废水主要为生活污水</w:t>
            </w:r>
            <w:r>
              <w:rPr>
                <w:rFonts w:hint="eastAsia" w:cs="Times New Roman"/>
                <w:color w:val="auto"/>
                <w:kern w:val="0"/>
                <w:sz w:val="24"/>
                <w:szCs w:val="24"/>
                <w:lang w:val="en-US" w:eastAsia="zh-CN"/>
              </w:rPr>
              <w:t>、清洗废水、车辆冲洗废水以及冷却水。生活污水</w:t>
            </w:r>
            <w:r>
              <w:rPr>
                <w:rFonts w:hint="default" w:ascii="Times New Roman" w:hAnsi="Times New Roman" w:eastAsia="宋体" w:cs="Times New Roman"/>
                <w:color w:val="auto"/>
                <w:kern w:val="0"/>
                <w:sz w:val="24"/>
                <w:szCs w:val="24"/>
                <w:lang w:val="en-US" w:eastAsia="zh-CN"/>
              </w:rPr>
              <w:t>经化粪池收集后可直接进入污水管网，最终进入</w:t>
            </w:r>
            <w:r>
              <w:rPr>
                <w:rFonts w:hint="eastAsia" w:cs="Times New Roman"/>
                <w:color w:val="auto"/>
                <w:kern w:val="0"/>
                <w:sz w:val="24"/>
                <w:szCs w:val="24"/>
                <w:lang w:val="en-US" w:eastAsia="zh-CN"/>
              </w:rPr>
              <w:t>宝丰县产业集聚区污水处理厂</w:t>
            </w:r>
            <w:r>
              <w:rPr>
                <w:rFonts w:hint="default" w:ascii="Times New Roman" w:hAnsi="Times New Roman" w:eastAsia="宋体" w:cs="Times New Roman"/>
                <w:color w:val="auto"/>
                <w:kern w:val="0"/>
                <w:sz w:val="24"/>
                <w:szCs w:val="24"/>
                <w:lang w:val="en-US" w:eastAsia="zh-CN"/>
              </w:rPr>
              <w:t>进行处理</w:t>
            </w:r>
            <w:r>
              <w:rPr>
                <w:rFonts w:hint="eastAsia" w:cs="Times New Roman"/>
                <w:color w:val="auto"/>
                <w:kern w:val="0"/>
                <w:sz w:val="24"/>
                <w:szCs w:val="24"/>
                <w:lang w:val="en-US" w:eastAsia="zh-CN"/>
              </w:rPr>
              <w:t>；清洗废水经一体化环保设施净化处理后循环使用不外排；车辆冲洗废水经沉淀池处理后，循环使用不外排；冷却水定期补充，循环使用不外排。项目运营期间废气主要为破碎工序产生粉尘和熔融挤出工序产生的有机废气（主要为非甲烷总烃和二甲苯）。其中破碎工序产生的粉尘经全密闭负压集气系统+袋式除尘器+20m排气筒处理后达标排放；熔融挤出工序产生的有机废气（主要为非甲烷总烃、二甲苯）经全密闭负压集气系统+干式过滤除尘（过滤棉）+活性炭吸附浓缩+催化燃烧（RCO）+20m排气筒处理后达标排放。针对项目运营期产生的噪声，项目通过采购低噪声设备、设备基础减振等措施，并定期维修保养及合理引导等措施后，项目运营期的噪声经过距离衰减后均能满足《工业企业厂界环境噪声排放标准》（GB12348-2008）中3类标准的相关限值要求，措施可行，对周围环境影响较小。项目生产过程中产生的一般固体废物统一</w:t>
            </w:r>
            <w:r>
              <w:rPr>
                <w:rFonts w:hint="default" w:ascii="Times New Roman" w:hAnsi="Times New Roman" w:eastAsia="宋体" w:cs="Times New Roman"/>
                <w:color w:val="auto"/>
                <w:kern w:val="0"/>
                <w:sz w:val="24"/>
                <w:szCs w:val="24"/>
                <w:lang w:val="en-US" w:eastAsia="zh-CN"/>
              </w:rPr>
              <w:t>收集后交由环卫部门统一处理</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危险废物</w:t>
            </w:r>
            <w:r>
              <w:rPr>
                <w:rFonts w:hint="eastAsia" w:cs="Times New Roman"/>
                <w:color w:val="auto"/>
                <w:kern w:val="0"/>
                <w:sz w:val="24"/>
                <w:szCs w:val="24"/>
                <w:lang w:val="en-US" w:eastAsia="zh-CN"/>
              </w:rPr>
              <w:t>暂存危废暂存间，</w:t>
            </w:r>
            <w:r>
              <w:rPr>
                <w:rFonts w:hint="default" w:ascii="Times New Roman" w:hAnsi="Times New Roman" w:eastAsia="宋体" w:cs="Times New Roman"/>
                <w:color w:val="auto"/>
                <w:kern w:val="0"/>
                <w:sz w:val="24"/>
                <w:szCs w:val="24"/>
                <w:lang w:val="en-US" w:eastAsia="zh-CN"/>
              </w:rPr>
              <w:t>定期交由有相关危险废物处置资质的单位进行处理</w:t>
            </w:r>
            <w:r>
              <w:rPr>
                <w:rFonts w:hint="eastAsia" w:cs="Times New Roman"/>
                <w:color w:val="auto"/>
                <w:kern w:val="0"/>
                <w:sz w:val="24"/>
                <w:szCs w:val="24"/>
                <w:lang w:val="en-US" w:eastAsia="zh-CN"/>
              </w:rPr>
              <w:t>。因此运营期间本项目产生的固废</w:t>
            </w:r>
            <w:r>
              <w:rPr>
                <w:sz w:val="24"/>
              </w:rPr>
              <w:t>不会对周围环境</w:t>
            </w:r>
            <w:r>
              <w:rPr>
                <w:color w:val="auto"/>
                <w:sz w:val="24"/>
              </w:rPr>
              <w:t>产生较大的影响</w:t>
            </w:r>
            <w:r>
              <w:rPr>
                <w:rFonts w:hint="eastAsia"/>
                <w:color w:val="auto"/>
                <w:sz w:val="24"/>
                <w:lang w:eastAsia="zh-CN"/>
              </w:rPr>
              <w:t>。</w:t>
            </w:r>
          </w:p>
          <w:p>
            <w:pPr>
              <w:widowControl/>
              <w:spacing w:line="360" w:lineRule="auto"/>
              <w:ind w:firstLine="480" w:firstLineChars="200"/>
              <w:textAlignment w:val="bottom"/>
              <w:rPr>
                <w:rFonts w:hint="eastAsia" w:ascii="Times New Roman" w:hAnsi="Times New Roman" w:eastAsia="宋体" w:cs="Times New Roman"/>
                <w:b w:val="0"/>
                <w:bCs w:val="0"/>
                <w:color w:val="0000FF"/>
                <w:sz w:val="24"/>
                <w:szCs w:val="24"/>
                <w:u w:val="none"/>
                <w:lang w:val="en-US" w:eastAsia="zh-CN"/>
              </w:rPr>
            </w:pPr>
            <w:r>
              <w:rPr>
                <w:sz w:val="24"/>
                <w:lang w:val="zh-CN"/>
              </w:rPr>
              <w:t>因此项目在采取上述各项污染防治措施后，项目运行期间不会对周围环境造成明显影响。</w:t>
            </w:r>
            <w:r>
              <w:rPr>
                <w:bCs/>
                <w:sz w:val="24"/>
              </w:rPr>
              <w:t>综上所述，本项目在采取上述措施后，可守住当地的环境质量底线。</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微软雅黑" w:cs="Times New Roman"/>
                <w:b/>
                <w:bCs/>
                <w:color w:val="auto"/>
                <w:sz w:val="24"/>
                <w:szCs w:val="24"/>
                <w:u w:val="none"/>
                <w:lang w:val="en-US" w:eastAsia="zh-CN"/>
              </w:rPr>
              <w:t>④</w:t>
            </w:r>
            <w:r>
              <w:rPr>
                <w:rFonts w:hint="default" w:ascii="Times New Roman" w:hAnsi="Times New Roman" w:eastAsia="宋体" w:cs="Times New Roman"/>
                <w:b/>
                <w:bCs/>
                <w:color w:val="auto"/>
                <w:sz w:val="24"/>
                <w:szCs w:val="24"/>
                <w:u w:val="none"/>
                <w:lang w:val="en-US" w:eastAsia="zh-CN"/>
              </w:rPr>
              <w:t>生态环境准入清单</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w:t>
            </w:r>
            <w:r>
              <w:rPr>
                <w:rFonts w:hint="eastAsia" w:ascii="Times New Roman" w:hAnsi="Times New Roman" w:eastAsia="宋体" w:cs="Times New Roman"/>
                <w:b w:val="0"/>
                <w:bCs w:val="0"/>
                <w:color w:val="auto"/>
                <w:sz w:val="24"/>
                <w:szCs w:val="24"/>
                <w:u w:val="none"/>
                <w:lang w:val="en-US" w:eastAsia="zh-CN"/>
              </w:rPr>
              <w:t>平顶山市</w:t>
            </w:r>
            <w:r>
              <w:rPr>
                <w:rFonts w:hint="default" w:ascii="Times New Roman" w:hAnsi="Times New Roman" w:eastAsia="宋体" w:cs="Times New Roman"/>
                <w:b w:val="0"/>
                <w:bCs w:val="0"/>
                <w:color w:val="auto"/>
                <w:sz w:val="24"/>
                <w:szCs w:val="24"/>
                <w:u w:val="none"/>
                <w:lang w:val="en-US" w:eastAsia="zh-CN"/>
              </w:rPr>
              <w:t>人民政府关于实施“三线一单”生态环境分区管控的意见》</w:t>
            </w:r>
            <w:r>
              <w:rPr>
                <w:rFonts w:hint="eastAsia"/>
                <w:b w:val="0"/>
                <w:bCs w:val="0"/>
                <w:sz w:val="24"/>
                <w:szCs w:val="24"/>
                <w:u w:val="none"/>
              </w:rPr>
              <w:t>（平政〔2021〕10号）</w:t>
            </w:r>
            <w:r>
              <w:rPr>
                <w:rFonts w:hint="eastAsia" w:ascii="Times New Roman" w:hAnsi="Times New Roman" w:eastAsia="宋体" w:cs="Times New Roman"/>
                <w:b w:val="0"/>
                <w:bCs w:val="0"/>
                <w:color w:val="auto"/>
                <w:sz w:val="24"/>
                <w:szCs w:val="24"/>
                <w:u w:val="none"/>
                <w:lang w:val="en-US" w:eastAsia="zh-CN"/>
              </w:rPr>
              <w:t>中“</w:t>
            </w:r>
            <w:r>
              <w:rPr>
                <w:rFonts w:hint="eastAsia" w:cs="Times New Roman"/>
                <w:b w:val="0"/>
                <w:bCs w:val="0"/>
                <w:color w:val="auto"/>
                <w:sz w:val="24"/>
                <w:szCs w:val="24"/>
                <w:u w:val="none"/>
                <w:lang w:val="en-US" w:eastAsia="zh-CN"/>
              </w:rPr>
              <w:t>宝丰县</w:t>
            </w:r>
            <w:r>
              <w:rPr>
                <w:rFonts w:hint="default" w:ascii="Times New Roman" w:hAnsi="Times New Roman" w:eastAsia="宋体" w:cs="Times New Roman"/>
                <w:b w:val="0"/>
                <w:bCs w:val="0"/>
                <w:color w:val="auto"/>
                <w:sz w:val="24"/>
                <w:szCs w:val="24"/>
                <w:u w:val="none"/>
                <w:lang w:val="en-US" w:eastAsia="zh-CN"/>
              </w:rPr>
              <w:t>生态环境准入清单</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w:t>
            </w:r>
            <w:r>
              <w:rPr>
                <w:rFonts w:hint="eastAsia" w:cs="Times New Roman"/>
                <w:b w:val="0"/>
                <w:bCs w:val="0"/>
                <w:color w:val="auto"/>
                <w:sz w:val="24"/>
                <w:szCs w:val="24"/>
                <w:u w:val="none"/>
                <w:lang w:val="en-US" w:eastAsia="zh-CN"/>
              </w:rPr>
              <w:t>同时通过河南省“三线一单”成果查询系统（网址：http://222.143.24.250:8237/#/layout/home）查询可知，</w:t>
            </w:r>
            <w:r>
              <w:rPr>
                <w:rFonts w:hint="default" w:ascii="Times New Roman" w:hAnsi="Times New Roman" w:eastAsia="宋体" w:cs="Times New Roman"/>
                <w:b w:val="0"/>
                <w:bCs w:val="0"/>
                <w:color w:val="auto"/>
                <w:sz w:val="24"/>
                <w:szCs w:val="24"/>
                <w:u w:val="none"/>
                <w:lang w:val="en-US" w:eastAsia="zh-CN"/>
              </w:rPr>
              <w:t>本项目涉及的环境管控单元</w:t>
            </w:r>
            <w:r>
              <w:rPr>
                <w:rFonts w:hint="eastAsia" w:cs="Times New Roman"/>
                <w:b w:val="0"/>
                <w:bCs w:val="0"/>
                <w:color w:val="auto"/>
                <w:sz w:val="24"/>
                <w:szCs w:val="24"/>
                <w:u w:val="none"/>
                <w:lang w:val="en-US" w:eastAsia="zh-CN"/>
              </w:rPr>
              <w:t>为宝丰县重点管控单元（环境管控单元编码ZH41042120001）。因此本项目具体管控要求见</w:t>
            </w:r>
            <w:r>
              <w:rPr>
                <w:rFonts w:hint="default" w:ascii="Times New Roman" w:hAnsi="Times New Roman" w:eastAsia="宋体" w:cs="Times New Roman"/>
                <w:b w:val="0"/>
                <w:bCs w:val="0"/>
                <w:color w:val="auto"/>
                <w:sz w:val="24"/>
                <w:szCs w:val="24"/>
                <w:u w:val="none"/>
                <w:lang w:val="en-US" w:eastAsia="zh-CN"/>
              </w:rPr>
              <w:t>下表</w:t>
            </w:r>
            <w:r>
              <w:rPr>
                <w:rFonts w:hint="eastAsia"/>
                <w:b w:val="0"/>
                <w:bCs w:val="0"/>
                <w:u w:val="none"/>
                <w:lang w:eastAsia="zh-CN"/>
              </w:rPr>
              <w:t>。</w:t>
            </w:r>
          </w:p>
          <w:p>
            <w:pPr>
              <w:pStyle w:val="39"/>
              <w:spacing w:line="240" w:lineRule="auto"/>
              <w:ind w:firstLine="434" w:firstLineChars="18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表1-</w:t>
            </w:r>
            <w:r>
              <w:rPr>
                <w:rFonts w:hint="eastAsia" w:ascii="Times New Roman" w:hAnsi="Times New Roman" w:cs="Times New Roman"/>
                <w:b/>
                <w:bCs/>
                <w:color w:val="auto"/>
                <w:u w:val="none"/>
                <w:lang w:val="en-US" w:eastAsia="zh-CN"/>
              </w:rPr>
              <w:t>3</w:t>
            </w:r>
            <w:r>
              <w:rPr>
                <w:rFonts w:hint="eastAsia" w:ascii="Times New Roman" w:hAnsi="Times New Roman" w:cs="Times New Roman"/>
                <w:b/>
                <w:bCs/>
                <w:color w:val="auto"/>
                <w:u w:val="none"/>
                <w:lang w:eastAsia="zh-CN"/>
              </w:rPr>
              <w:t>项目涉及</w:t>
            </w:r>
            <w:r>
              <w:rPr>
                <w:rFonts w:hint="eastAsia" w:ascii="Times New Roman" w:hAnsi="Times New Roman" w:cs="Times New Roman"/>
                <w:b/>
                <w:bCs/>
                <w:color w:val="auto"/>
                <w:u w:val="none"/>
                <w:lang w:val="en-US" w:eastAsia="zh-CN"/>
              </w:rPr>
              <w:t>宝丰县</w:t>
            </w:r>
            <w:r>
              <w:rPr>
                <w:rFonts w:hint="eastAsia" w:ascii="Times New Roman" w:hAnsi="Times New Roman" w:cs="Times New Roman"/>
                <w:b/>
                <w:bCs/>
                <w:color w:val="auto"/>
                <w:u w:val="none"/>
                <w:lang w:eastAsia="zh-CN"/>
              </w:rPr>
              <w:t>生态环境准入清单</w:t>
            </w:r>
          </w:p>
          <w:tbl>
            <w:tblPr>
              <w:tblStyle w:val="24"/>
              <w:tblW w:w="7924"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487"/>
              <w:gridCol w:w="507"/>
              <w:gridCol w:w="647"/>
              <w:gridCol w:w="544"/>
              <w:gridCol w:w="2503"/>
              <w:gridCol w:w="2318"/>
              <w:gridCol w:w="91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eastAsia="宋体" w:cs="Times New Roman"/>
                      <w:b w:val="0"/>
                      <w:bCs w:val="0"/>
                      <w:color w:val="auto"/>
                      <w:kern w:val="0"/>
                      <w:sz w:val="21"/>
                      <w:szCs w:val="21"/>
                      <w:u w:val="none"/>
                      <w:lang w:eastAsia="zh-CN" w:bidi="ar"/>
                    </w:rPr>
                    <w:t>管控单元</w:t>
                  </w:r>
                </w:p>
              </w:tc>
              <w:tc>
                <w:tcPr>
                  <w:tcW w:w="50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sz w:val="21"/>
                      <w:szCs w:val="21"/>
                      <w:u w:val="none"/>
                      <w:lang w:eastAsia="zh-CN"/>
                    </w:rPr>
                  </w:pPr>
                  <w:r>
                    <w:rPr>
                      <w:rFonts w:hint="eastAsia" w:ascii="Times New Roman" w:hAnsi="Times New Roman" w:eastAsia="宋体" w:cs="Times New Roman"/>
                      <w:b w:val="0"/>
                      <w:bCs w:val="0"/>
                      <w:color w:val="auto"/>
                      <w:kern w:val="0"/>
                      <w:sz w:val="21"/>
                      <w:szCs w:val="21"/>
                      <w:u w:val="none"/>
                      <w:lang w:eastAsia="zh-CN" w:bidi="ar"/>
                    </w:rPr>
                    <w:t>管控单元分类</w:t>
                  </w:r>
                </w:p>
              </w:tc>
              <w:tc>
                <w:tcPr>
                  <w:tcW w:w="647"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环境要素类别</w:t>
                  </w:r>
                </w:p>
              </w:tc>
              <w:tc>
                <w:tcPr>
                  <w:tcW w:w="3047" w:type="dxa"/>
                  <w:gridSpan w:val="2"/>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sz w:val="21"/>
                      <w:szCs w:val="21"/>
                      <w:u w:val="none"/>
                    </w:rPr>
                  </w:pPr>
                  <w:r>
                    <w:rPr>
                      <w:rFonts w:hint="eastAsia" w:ascii="Times New Roman" w:hAnsi="Times New Roman" w:eastAsia="宋体" w:cs="Times New Roman"/>
                      <w:b w:val="0"/>
                      <w:bCs w:val="0"/>
                      <w:color w:val="auto"/>
                      <w:kern w:val="0"/>
                      <w:sz w:val="21"/>
                      <w:szCs w:val="21"/>
                      <w:u w:val="none"/>
                      <w:lang w:eastAsia="zh-CN" w:bidi="ar"/>
                    </w:rPr>
                    <w:t>管控要求</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本项目情况</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符合性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restar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r>
                    <w:rPr>
                      <w:rFonts w:hint="eastAsia" w:cs="Times New Roman"/>
                      <w:b w:val="0"/>
                      <w:bCs w:val="0"/>
                      <w:color w:val="auto"/>
                      <w:kern w:val="0"/>
                      <w:sz w:val="21"/>
                      <w:szCs w:val="21"/>
                      <w:u w:val="none"/>
                      <w:lang w:eastAsia="zh-CN" w:bidi="ar"/>
                    </w:rPr>
                    <w:t>宝丰县</w:t>
                  </w:r>
                  <w:r>
                    <w:rPr>
                      <w:rFonts w:hint="default" w:ascii="Times New Roman" w:hAnsi="Times New Roman" w:eastAsia="宋体" w:cs="Times New Roman"/>
                      <w:b w:val="0"/>
                      <w:bCs w:val="0"/>
                      <w:color w:val="auto"/>
                      <w:kern w:val="0"/>
                      <w:sz w:val="21"/>
                      <w:szCs w:val="21"/>
                      <w:u w:val="none"/>
                      <w:lang w:bidi="ar"/>
                    </w:rPr>
                    <w:t>重点</w:t>
                  </w:r>
                  <w:r>
                    <w:rPr>
                      <w:rFonts w:hint="eastAsia" w:cs="Times New Roman"/>
                      <w:b w:val="0"/>
                      <w:bCs w:val="0"/>
                      <w:color w:val="auto"/>
                      <w:kern w:val="0"/>
                      <w:sz w:val="21"/>
                      <w:szCs w:val="21"/>
                      <w:u w:val="none"/>
                      <w:lang w:val="en-US" w:eastAsia="zh-CN" w:bidi="ar"/>
                    </w:rPr>
                    <w:t>管控</w:t>
                  </w:r>
                  <w:r>
                    <w:rPr>
                      <w:rFonts w:hint="default" w:ascii="Times New Roman" w:hAnsi="Times New Roman" w:eastAsia="宋体" w:cs="Times New Roman"/>
                      <w:b w:val="0"/>
                      <w:bCs w:val="0"/>
                      <w:color w:val="auto"/>
                      <w:kern w:val="0"/>
                      <w:sz w:val="21"/>
                      <w:szCs w:val="21"/>
                      <w:u w:val="none"/>
                      <w:lang w:bidi="ar"/>
                    </w:rPr>
                    <w:t>单元</w:t>
                  </w:r>
                </w:p>
              </w:tc>
              <w:tc>
                <w:tcPr>
                  <w:tcW w:w="507" w:type="dxa"/>
                  <w:vMerge w:val="restart"/>
                  <w:tcBorders>
                    <w:tl2br w:val="nil"/>
                    <w:tr2bl w:val="nil"/>
                  </w:tcBorders>
                  <w:noWrap/>
                  <w:tcMar>
                    <w:top w:w="15" w:type="dxa"/>
                    <w:left w:w="15" w:type="dxa"/>
                    <w:right w:w="15" w:type="dxa"/>
                  </w:tcMar>
                  <w:vAlign w:val="center"/>
                </w:tcPr>
                <w:p>
                  <w:pPr>
                    <w:pStyle w:val="49"/>
                    <w:spacing w:line="360" w:lineRule="exact"/>
                    <w:jc w:val="center"/>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重点管控单元</w:t>
                  </w:r>
                </w:p>
              </w:tc>
              <w:tc>
                <w:tcPr>
                  <w:tcW w:w="647" w:type="dxa"/>
                  <w:vMerge w:val="restart"/>
                  <w:tcBorders>
                    <w:tl2br w:val="nil"/>
                    <w:tr2bl w:val="nil"/>
                  </w:tcBorders>
                  <w:noWrap/>
                  <w:tcMar>
                    <w:top w:w="15" w:type="dxa"/>
                    <w:left w:w="15" w:type="dxa"/>
                    <w:right w:w="15" w:type="dxa"/>
                  </w:tcMar>
                  <w:vAlign w:val="center"/>
                </w:tcPr>
                <w:p>
                  <w:pPr>
                    <w:pStyle w:val="49"/>
                    <w:spacing w:line="360" w:lineRule="exact"/>
                    <w:jc w:val="center"/>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大气高排放区、水环境工业污染重点管控区、产业集聚区</w:t>
                  </w:r>
                </w:p>
              </w:tc>
              <w:tc>
                <w:tcPr>
                  <w:tcW w:w="544"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空间布局约束</w:t>
                  </w:r>
                </w:p>
              </w:tc>
              <w:tc>
                <w:tcPr>
                  <w:tcW w:w="2503"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1、禁止国家产业政策淘汰类的建设项目进入；入驻项目选址必须符合规划及规划环评的要求，对不符合集聚区规划的建设项目严禁入驻。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2</w:t>
                  </w:r>
                  <w:r>
                    <w:rPr>
                      <w:rFonts w:hint="eastAsia" w:cs="Times New Roman"/>
                      <w:b w:val="0"/>
                      <w:bCs w:val="0"/>
                      <w:color w:val="auto"/>
                      <w:kern w:val="0"/>
                      <w:sz w:val="21"/>
                      <w:szCs w:val="21"/>
                      <w:u w:val="none"/>
                      <w:lang w:eastAsia="zh-CN" w:bidi="ar"/>
                    </w:rPr>
                    <w:t>.</w:t>
                  </w:r>
                  <w:r>
                    <w:rPr>
                      <w:rFonts w:hint="eastAsia" w:ascii="Times New Roman" w:hAnsi="Times New Roman" w:eastAsia="宋体" w:cs="Times New Roman"/>
                      <w:b w:val="0"/>
                      <w:bCs w:val="0"/>
                      <w:color w:val="auto"/>
                      <w:kern w:val="0"/>
                      <w:sz w:val="21"/>
                      <w:szCs w:val="21"/>
                      <w:u w:val="none"/>
                      <w:lang w:eastAsia="zh-CN" w:bidi="ar"/>
                    </w:rPr>
                    <w:t>入驻项目应遵循循环经济理念，实施清洁生产，优化产业结构，鼓励发展符合国家产业政策、环保政策和清洁水平高、与主导产业相关产业链条且能延长园区产业链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val="0"/>
                      <w:bCs w:val="0"/>
                      <w:color w:val="auto"/>
                      <w:kern w:val="0"/>
                      <w:sz w:val="21"/>
                      <w:szCs w:val="21"/>
                      <w:u w:val="none"/>
                      <w:lang w:eastAsia="zh-CN" w:bidi="ar"/>
                    </w:rPr>
                  </w:pPr>
                  <w:r>
                    <w:rPr>
                      <w:rFonts w:hint="eastAsia" w:ascii="Times New Roman" w:hAnsi="Times New Roman" w:eastAsia="宋体" w:cs="Times New Roman"/>
                      <w:b w:val="0"/>
                      <w:bCs w:val="0"/>
                      <w:color w:val="auto"/>
                      <w:kern w:val="0"/>
                      <w:sz w:val="21"/>
                      <w:szCs w:val="21"/>
                      <w:u w:val="none"/>
                      <w:lang w:eastAsia="zh-CN" w:bidi="ar"/>
                    </w:rPr>
                    <w:t>3、产业集聚区临近南水北调保护区地块应按照水源保护区要求严格项目审批及建设。</w:t>
                  </w:r>
                </w:p>
              </w:tc>
              <w:tc>
                <w:tcPr>
                  <w:tcW w:w="2318" w:type="dxa"/>
                  <w:tcBorders>
                    <w:tl2br w:val="nil"/>
                    <w:tr2bl w:val="nil"/>
                  </w:tcBorders>
                  <w:noWrap/>
                  <w:tcMar>
                    <w:top w:w="15" w:type="dxa"/>
                    <w:left w:w="15" w:type="dxa"/>
                    <w:right w:w="15" w:type="dxa"/>
                  </w:tcMar>
                  <w:vAlign w:val="center"/>
                </w:tcPr>
                <w:p>
                  <w:pPr>
                    <w:pStyle w:val="3"/>
                    <w:ind w:left="0" w:leftChars="0" w:firstLine="0" w:firstLineChars="0"/>
                    <w:rPr>
                      <w:rFonts w:hint="eastAsia" w:ascii="Times New Roman" w:hAnsi="Times New Roman" w:cs="Times New Roman"/>
                      <w:b w:val="0"/>
                      <w:bCs w:val="0"/>
                      <w:color w:val="auto"/>
                      <w:kern w:val="0"/>
                      <w:sz w:val="21"/>
                      <w:szCs w:val="21"/>
                      <w:u w:val="none"/>
                      <w:lang w:val="en-US" w:eastAsia="zh-CN" w:bidi="ar"/>
                    </w:rPr>
                  </w:pPr>
                  <w:r>
                    <w:rPr>
                      <w:rFonts w:hint="eastAsia"/>
                      <w:b w:val="0"/>
                      <w:bCs w:val="0"/>
                      <w:sz w:val="21"/>
                      <w:szCs w:val="21"/>
                      <w:u w:val="none"/>
                      <w:lang w:val="en-US" w:eastAsia="zh-CN"/>
                    </w:rPr>
                    <w:t>1、经查阅《产业结构调整指导目录（2019年本）》，本项目属于鼓励类，不属于</w:t>
                  </w:r>
                  <w:r>
                    <w:rPr>
                      <w:rFonts w:hint="eastAsia" w:ascii="Times New Roman" w:hAnsi="Times New Roman" w:eastAsia="宋体" w:cs="Times New Roman"/>
                      <w:b w:val="0"/>
                      <w:bCs w:val="0"/>
                      <w:color w:val="auto"/>
                      <w:kern w:val="0"/>
                      <w:sz w:val="21"/>
                      <w:szCs w:val="21"/>
                      <w:u w:val="none"/>
                      <w:lang w:eastAsia="zh-CN" w:bidi="ar"/>
                    </w:rPr>
                    <w:t>淘汰类</w:t>
                  </w:r>
                  <w:r>
                    <w:rPr>
                      <w:rFonts w:hint="eastAsia" w:ascii="Times New Roman" w:hAnsi="Times New Roman" w:cs="Times New Roman"/>
                      <w:b w:val="0"/>
                      <w:bCs w:val="0"/>
                      <w:color w:val="auto"/>
                      <w:kern w:val="0"/>
                      <w:sz w:val="21"/>
                      <w:szCs w:val="21"/>
                      <w:u w:val="none"/>
                      <w:lang w:eastAsia="zh-CN" w:bidi="ar"/>
                    </w:rPr>
                    <w:t>。</w:t>
                  </w:r>
                  <w:r>
                    <w:rPr>
                      <w:rFonts w:hint="eastAsia" w:ascii="Times New Roman" w:hAnsi="Times New Roman" w:cs="Times New Roman"/>
                      <w:b w:val="0"/>
                      <w:bCs w:val="0"/>
                      <w:color w:val="auto"/>
                      <w:kern w:val="0"/>
                      <w:sz w:val="21"/>
                      <w:szCs w:val="21"/>
                      <w:u w:val="none"/>
                      <w:lang w:val="en-US" w:eastAsia="zh-CN" w:bidi="ar"/>
                    </w:rPr>
                    <w:t>本项目在宝丰县产业集聚区已取得入驻证明和备案，符合集聚区规划。</w:t>
                  </w:r>
                </w:p>
                <w:p>
                  <w:pPr>
                    <w:pStyle w:val="3"/>
                    <w:ind w:left="0" w:leftChars="0" w:firstLine="0" w:firstLineChars="0"/>
                    <w:rPr>
                      <w:rFonts w:hint="eastAsia" w:ascii="Times New Roman" w:hAnsi="Times New Roman" w:cs="Times New Roman"/>
                      <w:b w:val="0"/>
                      <w:bCs w:val="0"/>
                      <w:color w:val="auto"/>
                      <w:kern w:val="0"/>
                      <w:sz w:val="21"/>
                      <w:szCs w:val="21"/>
                      <w:u w:val="none"/>
                      <w:lang w:val="en-US" w:eastAsia="zh-CN" w:bidi="ar"/>
                    </w:rPr>
                  </w:pPr>
                  <w:r>
                    <w:rPr>
                      <w:rFonts w:hint="eastAsia" w:ascii="Times New Roman" w:hAnsi="Times New Roman" w:cs="Times New Roman"/>
                      <w:b w:val="0"/>
                      <w:bCs w:val="0"/>
                      <w:color w:val="auto"/>
                      <w:kern w:val="0"/>
                      <w:sz w:val="21"/>
                      <w:szCs w:val="21"/>
                      <w:u w:val="none"/>
                      <w:lang w:val="en-US" w:eastAsia="zh-CN" w:bidi="ar"/>
                    </w:rPr>
                    <w:t>2、本项目生产工艺简单，项目营运期废水主要为生活污水、清洗废水、车辆冲洗废水以及冷却水。生活污水经化粪池收集后可直接进入</w:t>
                  </w:r>
                  <w:r>
                    <w:rPr>
                      <w:rFonts w:hint="eastAsia" w:cs="Times New Roman"/>
                      <w:b w:val="0"/>
                      <w:bCs w:val="0"/>
                      <w:color w:val="auto"/>
                      <w:kern w:val="0"/>
                      <w:sz w:val="21"/>
                      <w:szCs w:val="21"/>
                      <w:u w:val="none"/>
                      <w:lang w:val="en-US" w:eastAsia="zh-CN" w:bidi="ar"/>
                    </w:rPr>
                    <w:t>集聚区</w:t>
                  </w:r>
                  <w:r>
                    <w:rPr>
                      <w:rFonts w:hint="eastAsia" w:ascii="Times New Roman" w:hAnsi="Times New Roman" w:cs="Times New Roman"/>
                      <w:b w:val="0"/>
                      <w:bCs w:val="0"/>
                      <w:color w:val="auto"/>
                      <w:kern w:val="0"/>
                      <w:sz w:val="21"/>
                      <w:szCs w:val="21"/>
                      <w:u w:val="none"/>
                      <w:lang w:val="en-US" w:eastAsia="zh-CN" w:bidi="ar"/>
                    </w:rPr>
                    <w:t>污水管网，最终进入</w:t>
                  </w:r>
                  <w:r>
                    <w:rPr>
                      <w:rFonts w:hint="eastAsia" w:cs="Times New Roman"/>
                      <w:b w:val="0"/>
                      <w:bCs w:val="0"/>
                      <w:color w:val="auto"/>
                      <w:kern w:val="0"/>
                      <w:sz w:val="21"/>
                      <w:szCs w:val="21"/>
                      <w:u w:val="none"/>
                      <w:lang w:val="en-US" w:eastAsia="zh-CN" w:bidi="ar"/>
                    </w:rPr>
                    <w:t>宝丰县产业集聚区污水处理厂</w:t>
                  </w:r>
                  <w:r>
                    <w:rPr>
                      <w:rFonts w:hint="eastAsia" w:ascii="Times New Roman" w:hAnsi="Times New Roman" w:cs="Times New Roman"/>
                      <w:b w:val="0"/>
                      <w:bCs w:val="0"/>
                      <w:color w:val="auto"/>
                      <w:kern w:val="0"/>
                      <w:sz w:val="21"/>
                      <w:szCs w:val="21"/>
                      <w:u w:val="none"/>
                      <w:lang w:val="en-US" w:eastAsia="zh-CN" w:bidi="ar"/>
                    </w:rPr>
                    <w:t>进行</w:t>
                  </w:r>
                  <w:r>
                    <w:rPr>
                      <w:rFonts w:hint="eastAsia" w:cs="Times New Roman"/>
                      <w:b w:val="0"/>
                      <w:bCs w:val="0"/>
                      <w:color w:val="auto"/>
                      <w:kern w:val="0"/>
                      <w:sz w:val="21"/>
                      <w:szCs w:val="21"/>
                      <w:u w:val="none"/>
                      <w:lang w:val="en-US" w:eastAsia="zh-CN" w:bidi="ar"/>
                    </w:rPr>
                    <w:t>深度</w:t>
                  </w:r>
                  <w:r>
                    <w:rPr>
                      <w:rFonts w:hint="eastAsia" w:ascii="Times New Roman" w:hAnsi="Times New Roman" w:cs="Times New Roman"/>
                      <w:b w:val="0"/>
                      <w:bCs w:val="0"/>
                      <w:color w:val="auto"/>
                      <w:kern w:val="0"/>
                      <w:sz w:val="21"/>
                      <w:szCs w:val="21"/>
                      <w:u w:val="none"/>
                      <w:lang w:val="en-US" w:eastAsia="zh-CN" w:bidi="ar"/>
                    </w:rPr>
                    <w:t>处理；清洗废水经</w:t>
                  </w:r>
                  <w:r>
                    <w:rPr>
                      <w:rFonts w:hint="eastAsia" w:cs="Times New Roman"/>
                      <w:b w:val="0"/>
                      <w:bCs w:val="0"/>
                      <w:color w:val="auto"/>
                      <w:kern w:val="0"/>
                      <w:sz w:val="21"/>
                      <w:szCs w:val="21"/>
                      <w:u w:val="none"/>
                      <w:lang w:val="en-US" w:eastAsia="zh-CN" w:bidi="ar"/>
                    </w:rPr>
                    <w:t>一体化环保设施</w:t>
                  </w:r>
                  <w:r>
                    <w:rPr>
                      <w:rFonts w:hint="eastAsia" w:ascii="Times New Roman" w:hAnsi="Times New Roman" w:cs="Times New Roman"/>
                      <w:b w:val="0"/>
                      <w:bCs w:val="0"/>
                      <w:color w:val="auto"/>
                      <w:kern w:val="0"/>
                      <w:sz w:val="21"/>
                      <w:szCs w:val="21"/>
                      <w:u w:val="none"/>
                      <w:lang w:val="en-US" w:eastAsia="zh-CN" w:bidi="ar"/>
                    </w:rPr>
                    <w:t>净化处理后循环使用不外排；车辆冲洗废水经沉淀池处理后，循环使用不外排；冷却水定期补充，循环使用不外排。项目运营期间废气主要为破碎工序产生粉尘和熔融挤出工序产生的</w:t>
                  </w:r>
                  <w:r>
                    <w:rPr>
                      <w:rFonts w:hint="eastAsia" w:cs="Times New Roman"/>
                      <w:b w:val="0"/>
                      <w:bCs w:val="0"/>
                      <w:color w:val="auto"/>
                      <w:kern w:val="0"/>
                      <w:sz w:val="21"/>
                      <w:szCs w:val="21"/>
                      <w:u w:val="none"/>
                      <w:lang w:val="en-US" w:eastAsia="zh-CN" w:bidi="ar"/>
                    </w:rPr>
                    <w:t>有机</w:t>
                  </w:r>
                  <w:r>
                    <w:rPr>
                      <w:rFonts w:hint="eastAsia" w:ascii="Times New Roman" w:hAnsi="Times New Roman" w:cs="Times New Roman"/>
                      <w:b w:val="0"/>
                      <w:bCs w:val="0"/>
                      <w:color w:val="auto"/>
                      <w:kern w:val="0"/>
                      <w:sz w:val="21"/>
                      <w:szCs w:val="21"/>
                      <w:u w:val="none"/>
                      <w:lang w:val="en-US" w:eastAsia="zh-CN" w:bidi="ar"/>
                    </w:rPr>
                    <w:t>废气（主要为非甲烷总烃</w:t>
                  </w:r>
                  <w:r>
                    <w:rPr>
                      <w:rFonts w:hint="eastAsia" w:cs="Times New Roman"/>
                      <w:b w:val="0"/>
                      <w:bCs w:val="0"/>
                      <w:color w:val="auto"/>
                      <w:kern w:val="0"/>
                      <w:sz w:val="21"/>
                      <w:szCs w:val="21"/>
                      <w:u w:val="none"/>
                      <w:lang w:val="en-US" w:eastAsia="zh-CN" w:bidi="ar"/>
                    </w:rPr>
                    <w:t>、二甲苯</w:t>
                  </w:r>
                  <w:r>
                    <w:rPr>
                      <w:rFonts w:hint="eastAsia" w:ascii="Times New Roman" w:hAnsi="Times New Roman" w:cs="Times New Roman"/>
                      <w:b w:val="0"/>
                      <w:bCs w:val="0"/>
                      <w:color w:val="auto"/>
                      <w:kern w:val="0"/>
                      <w:sz w:val="21"/>
                      <w:szCs w:val="21"/>
                      <w:u w:val="none"/>
                      <w:lang w:val="en-US" w:eastAsia="zh-CN" w:bidi="ar"/>
                    </w:rPr>
                    <w:t>）。其中破碎工序产生的粉尘经</w:t>
                  </w:r>
                  <w:r>
                    <w:rPr>
                      <w:rFonts w:hint="eastAsia" w:cs="Times New Roman"/>
                      <w:b w:val="0"/>
                      <w:bCs w:val="0"/>
                      <w:color w:val="auto"/>
                      <w:kern w:val="0"/>
                      <w:sz w:val="21"/>
                      <w:szCs w:val="21"/>
                      <w:u w:val="none"/>
                      <w:lang w:val="en-US" w:eastAsia="zh-CN" w:bidi="ar"/>
                    </w:rPr>
                    <w:t>全密闭负压集气系统</w:t>
                  </w:r>
                  <w:r>
                    <w:rPr>
                      <w:rFonts w:hint="eastAsia" w:ascii="Times New Roman" w:hAnsi="Times New Roman" w:cs="Times New Roman"/>
                      <w:b w:val="0"/>
                      <w:bCs w:val="0"/>
                      <w:color w:val="auto"/>
                      <w:kern w:val="0"/>
                      <w:sz w:val="21"/>
                      <w:szCs w:val="21"/>
                      <w:u w:val="none"/>
                      <w:lang w:val="en-US" w:eastAsia="zh-CN" w:bidi="ar"/>
                    </w:rPr>
                    <w:t>+袋式除尘器+</w:t>
                  </w:r>
                  <w:r>
                    <w:rPr>
                      <w:rFonts w:hint="eastAsia" w:cs="Times New Roman"/>
                      <w:b w:val="0"/>
                      <w:bCs w:val="0"/>
                      <w:color w:val="auto"/>
                      <w:kern w:val="0"/>
                      <w:sz w:val="21"/>
                      <w:szCs w:val="21"/>
                      <w:u w:val="none"/>
                      <w:lang w:val="en-US" w:eastAsia="zh-CN" w:bidi="ar"/>
                    </w:rPr>
                    <w:t>20</w:t>
                  </w:r>
                  <w:r>
                    <w:rPr>
                      <w:rFonts w:hint="eastAsia" w:ascii="Times New Roman" w:hAnsi="Times New Roman" w:cs="Times New Roman"/>
                      <w:b w:val="0"/>
                      <w:bCs w:val="0"/>
                      <w:color w:val="auto"/>
                      <w:kern w:val="0"/>
                      <w:sz w:val="21"/>
                      <w:szCs w:val="21"/>
                      <w:u w:val="none"/>
                      <w:lang w:val="en-US" w:eastAsia="zh-CN" w:bidi="ar"/>
                    </w:rPr>
                    <w:t>m排气筒处理后达标排放；熔融挤出工序产生的</w:t>
                  </w:r>
                  <w:r>
                    <w:rPr>
                      <w:rFonts w:hint="eastAsia" w:cs="Times New Roman"/>
                      <w:b w:val="0"/>
                      <w:bCs w:val="0"/>
                      <w:color w:val="auto"/>
                      <w:kern w:val="0"/>
                      <w:sz w:val="21"/>
                      <w:szCs w:val="21"/>
                      <w:u w:val="none"/>
                      <w:lang w:val="en-US" w:eastAsia="zh-CN" w:bidi="ar"/>
                    </w:rPr>
                    <w:t>有机</w:t>
                  </w:r>
                  <w:r>
                    <w:rPr>
                      <w:rFonts w:hint="eastAsia" w:ascii="Times New Roman" w:hAnsi="Times New Roman" w:cs="Times New Roman"/>
                      <w:b w:val="0"/>
                      <w:bCs w:val="0"/>
                      <w:color w:val="auto"/>
                      <w:kern w:val="0"/>
                      <w:sz w:val="21"/>
                      <w:szCs w:val="21"/>
                      <w:u w:val="none"/>
                      <w:lang w:val="en-US" w:eastAsia="zh-CN" w:bidi="ar"/>
                    </w:rPr>
                    <w:t>废气（主要为非甲烷总烃</w:t>
                  </w:r>
                  <w:r>
                    <w:rPr>
                      <w:rFonts w:hint="eastAsia" w:cs="Times New Roman"/>
                      <w:b w:val="0"/>
                      <w:bCs w:val="0"/>
                      <w:color w:val="auto"/>
                      <w:kern w:val="0"/>
                      <w:sz w:val="21"/>
                      <w:szCs w:val="21"/>
                      <w:u w:val="none"/>
                      <w:lang w:val="en-US" w:eastAsia="zh-CN" w:bidi="ar"/>
                    </w:rPr>
                    <w:t>、二甲苯</w:t>
                  </w:r>
                  <w:r>
                    <w:rPr>
                      <w:rFonts w:hint="eastAsia" w:ascii="Times New Roman" w:hAnsi="Times New Roman" w:cs="Times New Roman"/>
                      <w:b w:val="0"/>
                      <w:bCs w:val="0"/>
                      <w:color w:val="auto"/>
                      <w:kern w:val="0"/>
                      <w:sz w:val="21"/>
                      <w:szCs w:val="21"/>
                      <w:u w:val="none"/>
                      <w:lang w:val="en-US" w:eastAsia="zh-CN" w:bidi="ar"/>
                    </w:rPr>
                    <w:t>）经</w:t>
                  </w:r>
                  <w:r>
                    <w:rPr>
                      <w:rFonts w:hint="eastAsia" w:cs="Times New Roman"/>
                      <w:b w:val="0"/>
                      <w:bCs w:val="0"/>
                      <w:color w:val="auto"/>
                      <w:kern w:val="0"/>
                      <w:sz w:val="21"/>
                      <w:szCs w:val="21"/>
                      <w:u w:val="none"/>
                      <w:lang w:val="en-US" w:eastAsia="zh-CN" w:bidi="ar"/>
                    </w:rPr>
                    <w:t>全密闭负压集气系统</w:t>
                  </w:r>
                  <w:r>
                    <w:rPr>
                      <w:rFonts w:hint="eastAsia" w:ascii="Times New Roman" w:hAnsi="Times New Roman" w:cs="Times New Roman"/>
                      <w:b w:val="0"/>
                      <w:bCs w:val="0"/>
                      <w:color w:val="auto"/>
                      <w:kern w:val="0"/>
                      <w:sz w:val="21"/>
                      <w:szCs w:val="21"/>
                      <w:u w:val="none"/>
                      <w:lang w:val="en-US" w:eastAsia="zh-CN" w:bidi="ar"/>
                    </w:rPr>
                    <w:t>+干式过滤除尘（过滤棉）</w:t>
                  </w:r>
                  <w:r>
                    <w:rPr>
                      <w:rFonts w:hint="eastAsia" w:cs="Times New Roman"/>
                      <w:b w:val="0"/>
                      <w:bCs w:val="0"/>
                      <w:color w:val="auto"/>
                      <w:kern w:val="0"/>
                      <w:sz w:val="21"/>
                      <w:szCs w:val="21"/>
                      <w:u w:val="none"/>
                      <w:lang w:val="en-US" w:eastAsia="zh-CN" w:bidi="ar"/>
                    </w:rPr>
                    <w:t>+</w:t>
                  </w:r>
                  <w:r>
                    <w:rPr>
                      <w:rFonts w:hint="eastAsia" w:ascii="Times New Roman" w:hAnsi="Times New Roman" w:cs="Times New Roman"/>
                      <w:b w:val="0"/>
                      <w:bCs w:val="0"/>
                      <w:color w:val="auto"/>
                      <w:kern w:val="0"/>
                      <w:sz w:val="21"/>
                      <w:szCs w:val="21"/>
                      <w:u w:val="none"/>
                      <w:lang w:val="en-US" w:eastAsia="zh-CN" w:bidi="ar"/>
                    </w:rPr>
                    <w:t>活性炭吸附浓缩+催化燃烧（RCO）+</w:t>
                  </w:r>
                  <w:r>
                    <w:rPr>
                      <w:rFonts w:hint="eastAsia" w:cs="Times New Roman"/>
                      <w:b w:val="0"/>
                      <w:bCs w:val="0"/>
                      <w:color w:val="auto"/>
                      <w:kern w:val="0"/>
                      <w:sz w:val="21"/>
                      <w:szCs w:val="21"/>
                      <w:u w:val="none"/>
                      <w:lang w:val="en-US" w:eastAsia="zh-CN" w:bidi="ar"/>
                    </w:rPr>
                    <w:t>20</w:t>
                  </w:r>
                  <w:r>
                    <w:rPr>
                      <w:rFonts w:hint="eastAsia" w:ascii="Times New Roman" w:hAnsi="Times New Roman" w:cs="Times New Roman"/>
                      <w:b w:val="0"/>
                      <w:bCs w:val="0"/>
                      <w:color w:val="auto"/>
                      <w:kern w:val="0"/>
                      <w:sz w:val="21"/>
                      <w:szCs w:val="21"/>
                      <w:u w:val="none"/>
                      <w:lang w:val="en-US" w:eastAsia="zh-CN" w:bidi="ar"/>
                    </w:rPr>
                    <w:t>m排气筒处理后达标排放。项目生产过程中产生的一般固体废物统一收集后交由环卫部门统一处理；危险废物暂存危废暂存间，定期交由有相关危险废物处置资质的单位进行处理。针对生产过程中产生的噪声采取基础减震、厂房隔声以及距离衰减后满足相应的噪声标准；</w:t>
                  </w:r>
                  <w:r>
                    <w:rPr>
                      <w:rFonts w:hint="eastAsia" w:cs="Times New Roman"/>
                      <w:b w:val="0"/>
                      <w:bCs w:val="0"/>
                      <w:color w:val="auto"/>
                      <w:kern w:val="0"/>
                      <w:sz w:val="21"/>
                      <w:szCs w:val="21"/>
                      <w:u w:val="none"/>
                      <w:lang w:val="en-US" w:eastAsia="zh-CN" w:bidi="ar"/>
                    </w:rPr>
                    <w:t>因此</w:t>
                  </w:r>
                  <w:r>
                    <w:rPr>
                      <w:rFonts w:hint="eastAsia" w:ascii="Times New Roman" w:hAnsi="Times New Roman" w:cs="Times New Roman"/>
                      <w:b w:val="0"/>
                      <w:bCs w:val="0"/>
                      <w:color w:val="auto"/>
                      <w:kern w:val="0"/>
                      <w:sz w:val="21"/>
                      <w:szCs w:val="21"/>
                      <w:u w:val="none"/>
                      <w:lang w:val="en-US" w:eastAsia="zh-CN" w:bidi="ar"/>
                    </w:rPr>
                    <w:t>项目各项环保设施满足现行环保要求。</w:t>
                  </w:r>
                </w:p>
                <w:p>
                  <w:pPr>
                    <w:pStyle w:val="3"/>
                    <w:ind w:left="0" w:leftChars="0" w:firstLine="0" w:firstLineChars="0"/>
                    <w:rPr>
                      <w:rFonts w:hint="default"/>
                      <w:b w:val="0"/>
                      <w:bCs w:val="0"/>
                      <w:sz w:val="21"/>
                      <w:szCs w:val="21"/>
                      <w:u w:val="none"/>
                      <w:lang w:val="en-US" w:eastAsia="zh-CN"/>
                    </w:rPr>
                  </w:pPr>
                  <w:r>
                    <w:rPr>
                      <w:rFonts w:hint="eastAsia" w:ascii="Times New Roman" w:hAnsi="Times New Roman" w:cs="Times New Roman"/>
                      <w:b w:val="0"/>
                      <w:bCs w:val="0"/>
                      <w:color w:val="auto"/>
                      <w:kern w:val="0"/>
                      <w:sz w:val="21"/>
                      <w:szCs w:val="21"/>
                      <w:u w:val="none"/>
                      <w:lang w:val="en-US" w:eastAsia="zh-CN" w:bidi="ar"/>
                    </w:rPr>
                    <w:t>3、根据调查，项目距离南水北调最近距离为2.5km，</w:t>
                  </w:r>
                  <w:r>
                    <w:rPr>
                      <w:rFonts w:hint="eastAsia" w:cs="Times New Roman"/>
                      <w:b w:val="0"/>
                      <w:bCs w:val="0"/>
                      <w:color w:val="auto"/>
                      <w:kern w:val="0"/>
                      <w:sz w:val="21"/>
                      <w:szCs w:val="21"/>
                      <w:u w:val="none"/>
                      <w:lang w:val="en-US" w:eastAsia="zh-CN" w:bidi="ar"/>
                    </w:rPr>
                    <w:t>距离较远。</w:t>
                  </w:r>
                  <w:r>
                    <w:rPr>
                      <w:rFonts w:hint="eastAsia" w:ascii="Times New Roman" w:hAnsi="Times New Roman" w:cs="Times New Roman"/>
                      <w:b w:val="0"/>
                      <w:bCs w:val="0"/>
                      <w:color w:val="auto"/>
                      <w:kern w:val="0"/>
                      <w:sz w:val="21"/>
                      <w:szCs w:val="21"/>
                      <w:u w:val="none"/>
                      <w:lang w:val="en-US" w:eastAsia="zh-CN" w:bidi="ar"/>
                    </w:rPr>
                    <w:t>并且本项目</w:t>
                  </w:r>
                  <w:r>
                    <w:rPr>
                      <w:rFonts w:hint="eastAsia" w:cs="Times New Roman"/>
                      <w:b w:val="0"/>
                      <w:bCs w:val="0"/>
                      <w:color w:val="auto"/>
                      <w:kern w:val="0"/>
                      <w:sz w:val="21"/>
                      <w:szCs w:val="21"/>
                      <w:u w:val="none"/>
                      <w:lang w:val="en-US" w:eastAsia="zh-CN" w:bidi="ar"/>
                    </w:rPr>
                    <w:t>生产过程中产生的</w:t>
                  </w:r>
                  <w:r>
                    <w:rPr>
                      <w:rFonts w:hint="eastAsia" w:ascii="Times New Roman" w:hAnsi="Times New Roman" w:cs="Times New Roman"/>
                      <w:b w:val="0"/>
                      <w:bCs w:val="0"/>
                      <w:color w:val="auto"/>
                      <w:kern w:val="0"/>
                      <w:sz w:val="21"/>
                      <w:szCs w:val="21"/>
                      <w:u w:val="none"/>
                      <w:lang w:val="en-US" w:eastAsia="zh-CN" w:bidi="ar"/>
                    </w:rPr>
                    <w:t>废水</w:t>
                  </w:r>
                  <w:r>
                    <w:rPr>
                      <w:rFonts w:hint="eastAsia" w:cs="Times New Roman"/>
                      <w:b w:val="0"/>
                      <w:bCs w:val="0"/>
                      <w:color w:val="auto"/>
                      <w:kern w:val="0"/>
                      <w:sz w:val="21"/>
                      <w:szCs w:val="21"/>
                      <w:u w:val="none"/>
                      <w:lang w:val="en-US" w:eastAsia="zh-CN" w:bidi="ar"/>
                    </w:rPr>
                    <w:t>（车辆冲洗废水、冷却水以及清洗废水）</w:t>
                  </w:r>
                  <w:r>
                    <w:rPr>
                      <w:rFonts w:hint="eastAsia" w:ascii="Times New Roman" w:hAnsi="Times New Roman" w:cs="Times New Roman"/>
                      <w:b w:val="0"/>
                      <w:bCs w:val="0"/>
                      <w:color w:val="auto"/>
                      <w:kern w:val="0"/>
                      <w:sz w:val="21"/>
                      <w:szCs w:val="21"/>
                      <w:u w:val="none"/>
                      <w:lang w:val="en-US" w:eastAsia="zh-CN" w:bidi="ar"/>
                    </w:rPr>
                    <w:t>循环使用不外排，生活污水经化粪池预处理后排入园区污水管网</w:t>
                  </w:r>
                  <w:r>
                    <w:rPr>
                      <w:rFonts w:hint="eastAsia" w:cs="Times New Roman"/>
                      <w:b w:val="0"/>
                      <w:bCs w:val="0"/>
                      <w:color w:val="auto"/>
                      <w:kern w:val="0"/>
                      <w:sz w:val="21"/>
                      <w:szCs w:val="21"/>
                      <w:u w:val="none"/>
                      <w:lang w:val="en-US" w:eastAsia="zh-CN" w:bidi="ar"/>
                    </w:rPr>
                    <w:t>，最终进入宝丰县产业集聚区污水处理厂深度处理。因此本项目对</w:t>
                  </w:r>
                  <w:r>
                    <w:rPr>
                      <w:rFonts w:hint="eastAsia" w:ascii="Times New Roman" w:hAnsi="Times New Roman" w:cs="Times New Roman"/>
                      <w:b w:val="0"/>
                      <w:bCs w:val="0"/>
                      <w:color w:val="auto"/>
                      <w:kern w:val="0"/>
                      <w:sz w:val="21"/>
                      <w:szCs w:val="21"/>
                      <w:u w:val="none"/>
                      <w:lang w:val="en-US" w:eastAsia="zh-CN" w:bidi="ar"/>
                    </w:rPr>
                    <w:t>南水北调</w:t>
                  </w:r>
                  <w:r>
                    <w:rPr>
                      <w:rFonts w:hint="eastAsia" w:cs="Times New Roman"/>
                      <w:b w:val="0"/>
                      <w:bCs w:val="0"/>
                      <w:color w:val="auto"/>
                      <w:kern w:val="0"/>
                      <w:sz w:val="21"/>
                      <w:szCs w:val="21"/>
                      <w:u w:val="none"/>
                      <w:lang w:val="en-US" w:eastAsia="zh-CN" w:bidi="ar"/>
                    </w:rPr>
                    <w:t>并无影响。</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eastAsia"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cs="Times New Roman"/>
                      <w:b w:val="0"/>
                      <w:bCs w:val="0"/>
                      <w:sz w:val="21"/>
                      <w:szCs w:val="21"/>
                      <w:u w:val="none"/>
                    </w:rPr>
                  </w:pPr>
                </w:p>
              </w:tc>
              <w:tc>
                <w:tcPr>
                  <w:tcW w:w="544" w:type="dxa"/>
                  <w:tcBorders>
                    <w:bottom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ascii="Times New Roman" w:hAnsi="Times New Roman" w:eastAsia="宋体" w:cs="Times New Roman"/>
                      <w:b w:val="0"/>
                      <w:bCs w:val="0"/>
                      <w:color w:val="auto"/>
                      <w:kern w:val="0"/>
                      <w:sz w:val="21"/>
                      <w:szCs w:val="21"/>
                      <w:u w:val="none"/>
                      <w:lang w:eastAsia="zh-CN" w:bidi="ar"/>
                    </w:rPr>
                  </w:pPr>
                  <w:r>
                    <w:rPr>
                      <w:rFonts w:cs="Times New Roman"/>
                      <w:b w:val="0"/>
                      <w:bCs w:val="0"/>
                      <w:color w:val="auto"/>
                      <w:sz w:val="21"/>
                      <w:szCs w:val="21"/>
                      <w:u w:val="none"/>
                    </w:rPr>
                    <w:t>污染物排放管控</w:t>
                  </w:r>
                </w:p>
              </w:tc>
              <w:tc>
                <w:tcPr>
                  <w:tcW w:w="2503" w:type="dxa"/>
                  <w:tcBorders>
                    <w:bottom w:val="single" w:color="auto" w:sz="4" w:space="0"/>
                    <w:tl2br w:val="nil"/>
                    <w:tr2bl w:val="nil"/>
                  </w:tcBorders>
                  <w:noWrap/>
                  <w:tcMar>
                    <w:top w:w="15" w:type="dxa"/>
                    <w:left w:w="15" w:type="dxa"/>
                    <w:right w:w="15" w:type="dxa"/>
                  </w:tcMar>
                  <w:vAlign w:val="center"/>
                </w:tcPr>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1、严格执行污染物排放总量控制制度，严格控制大气污染物的排放。</w:t>
                  </w:r>
                </w:p>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2、保证污水处理设施的正常运行，确保污水处理厂稳定达标排放。</w:t>
                  </w:r>
                </w:p>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3、定期对地下水</w:t>
                  </w:r>
                  <w:r>
                    <w:rPr>
                      <w:rFonts w:hint="eastAsia" w:cs="Times New Roman"/>
                      <w:b w:val="0"/>
                      <w:bCs w:val="0"/>
                      <w:color w:val="auto"/>
                      <w:sz w:val="21"/>
                      <w:szCs w:val="21"/>
                      <w:u w:val="none"/>
                      <w:lang w:eastAsia="zh-CN"/>
                    </w:rPr>
                    <w:t>水质</w:t>
                  </w:r>
                  <w:r>
                    <w:rPr>
                      <w:rFonts w:hint="eastAsia" w:cs="Times New Roman"/>
                      <w:b w:val="0"/>
                      <w:bCs w:val="0"/>
                      <w:color w:val="auto"/>
                      <w:sz w:val="21"/>
                      <w:szCs w:val="21"/>
                      <w:u w:val="none"/>
                    </w:rPr>
                    <w:t>进行监测，发现问题，及时采取有效防范措施，避免对地下水造成污染。</w:t>
                  </w:r>
                </w:p>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4、加强生态保护及防止水土流失措施，加强工业园区绿化。</w:t>
                  </w:r>
                </w:p>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5、新建“两高”项目应按照《关于加强重点行业建设项目区域削减措施监督管理的通知》要求，依据区域环境质量改善目标，制定配套区域污染物削减方案，采取有效的污染物区域削减措施，腾出足够的环境容量。</w:t>
                  </w:r>
                </w:p>
                <w:p>
                  <w:pPr>
                    <w:pStyle w:val="49"/>
                    <w:spacing w:line="360" w:lineRule="exact"/>
                    <w:rPr>
                      <w:rFonts w:hint="eastAsia" w:cs="Times New Roman"/>
                      <w:b w:val="0"/>
                      <w:bCs w:val="0"/>
                      <w:color w:val="auto"/>
                      <w:sz w:val="21"/>
                      <w:szCs w:val="21"/>
                      <w:u w:val="none"/>
                    </w:rPr>
                  </w:pPr>
                  <w:r>
                    <w:rPr>
                      <w:rFonts w:hint="eastAsia" w:cs="Times New Roman"/>
                      <w:b w:val="0"/>
                      <w:bCs w:val="0"/>
                      <w:color w:val="auto"/>
                      <w:sz w:val="21"/>
                      <w:szCs w:val="21"/>
                      <w:u w:val="none"/>
                    </w:rPr>
                    <w:t>6、新建耗煤项目还应严格按规定采取煤炭消费减量替代措施，不得使用高污染燃料作为煤炭减量替代措施。</w:t>
                  </w:r>
                </w:p>
                <w:p>
                  <w:pPr>
                    <w:pStyle w:val="49"/>
                    <w:spacing w:line="360" w:lineRule="exact"/>
                    <w:rPr>
                      <w:rFonts w:cs="Times New Roman"/>
                      <w:b w:val="0"/>
                      <w:bCs w:val="0"/>
                      <w:color w:val="auto"/>
                      <w:sz w:val="21"/>
                      <w:szCs w:val="21"/>
                      <w:u w:val="none"/>
                    </w:rPr>
                  </w:pPr>
                  <w:r>
                    <w:rPr>
                      <w:rFonts w:hint="eastAsia" w:cs="Times New Roman"/>
                      <w:b w:val="0"/>
                      <w:bCs w:val="0"/>
                      <w:color w:val="auto"/>
                      <w:sz w:val="21"/>
                      <w:szCs w:val="21"/>
                      <w:u w:val="none"/>
                    </w:rPr>
                    <w:t>7、已出台超低排放要求的“两高”行业建设项目应满足超低排放要求。</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1、本项目废气中涉及总量控制指标为非甲烷总烃；废水污染因子为COD、</w:t>
                  </w:r>
                  <w:r>
                    <w:rPr>
                      <w:sz w:val="24"/>
                      <w:szCs w:val="24"/>
                    </w:rPr>
                    <w:t>NH</w:t>
                  </w:r>
                  <w:r>
                    <w:rPr>
                      <w:sz w:val="24"/>
                      <w:szCs w:val="24"/>
                      <w:vertAlign w:val="subscript"/>
                    </w:rPr>
                    <w:t>3</w:t>
                  </w:r>
                  <w:r>
                    <w:rPr>
                      <w:sz w:val="24"/>
                      <w:szCs w:val="24"/>
                    </w:rPr>
                    <w:t>-N</w:t>
                  </w:r>
                  <w:r>
                    <w:rPr>
                      <w:rFonts w:hint="eastAsia"/>
                      <w:sz w:val="24"/>
                      <w:szCs w:val="24"/>
                      <w:lang w:eastAsia="zh-CN"/>
                    </w:rPr>
                    <w:t>；</w:t>
                  </w:r>
                  <w:r>
                    <w:rPr>
                      <w:rFonts w:hint="eastAsia" w:cs="Times New Roman"/>
                      <w:b w:val="0"/>
                      <w:bCs w:val="0"/>
                      <w:color w:val="auto"/>
                      <w:kern w:val="0"/>
                      <w:sz w:val="21"/>
                      <w:szCs w:val="21"/>
                      <w:u w:val="none"/>
                      <w:lang w:val="en-US" w:eastAsia="zh-CN" w:bidi="ar"/>
                    </w:rPr>
                    <w:t>项目生产过程中废气和废水经自身环保设施处理后，能够满足稳定达标排放。2、本项目废水主要为清洗废水、车辆冲洗废水、冷却水以及生活污水，其中清洗废水经一体化环保设施处理后循环使用不外排；车辆冲洗废水经沉淀池处理后，循环使用不外排；冷却水循环使用，定期补充新鲜水；</w:t>
                  </w:r>
                  <w:r>
                    <w:rPr>
                      <w:rFonts w:hint="eastAsia" w:ascii="Times New Roman" w:hAnsi="Times New Roman" w:cs="Times New Roman"/>
                      <w:b w:val="0"/>
                      <w:bCs w:val="0"/>
                      <w:color w:val="auto"/>
                      <w:kern w:val="0"/>
                      <w:sz w:val="21"/>
                      <w:szCs w:val="21"/>
                      <w:u w:val="none"/>
                      <w:lang w:val="en-US" w:eastAsia="zh-CN" w:bidi="ar"/>
                    </w:rPr>
                    <w:t>生活污水经化粪池预处理后排入</w:t>
                  </w:r>
                  <w:r>
                    <w:rPr>
                      <w:rFonts w:hint="eastAsia" w:cs="Times New Roman"/>
                      <w:b w:val="0"/>
                      <w:bCs w:val="0"/>
                      <w:color w:val="auto"/>
                      <w:kern w:val="0"/>
                      <w:sz w:val="21"/>
                      <w:szCs w:val="21"/>
                      <w:u w:val="none"/>
                      <w:lang w:val="en-US" w:eastAsia="zh-CN" w:bidi="ar"/>
                    </w:rPr>
                    <w:t>集聚区</w:t>
                  </w:r>
                  <w:r>
                    <w:rPr>
                      <w:rFonts w:hint="eastAsia" w:ascii="Times New Roman" w:hAnsi="Times New Roman" w:cs="Times New Roman"/>
                      <w:b w:val="0"/>
                      <w:bCs w:val="0"/>
                      <w:color w:val="auto"/>
                      <w:kern w:val="0"/>
                      <w:sz w:val="21"/>
                      <w:szCs w:val="21"/>
                      <w:u w:val="none"/>
                      <w:lang w:val="en-US" w:eastAsia="zh-CN" w:bidi="ar"/>
                    </w:rPr>
                    <w:t>污水管网</w:t>
                  </w:r>
                  <w:r>
                    <w:rPr>
                      <w:rFonts w:hint="eastAsia" w:cs="Times New Roman"/>
                      <w:b w:val="0"/>
                      <w:bCs w:val="0"/>
                      <w:color w:val="auto"/>
                      <w:kern w:val="0"/>
                      <w:sz w:val="21"/>
                      <w:szCs w:val="21"/>
                      <w:u w:val="none"/>
                      <w:lang w:val="en-US" w:eastAsia="zh-CN" w:bidi="ar"/>
                    </w:rPr>
                    <w:t>，最终进入宝丰县产业集聚区污水处理厂深度处理。项目运营期间对废水处理设施定期维护，保证污水处理设施的正常运行。3、通过调查，本项目运营期间并不存在地下水污染途径，因此针对地下水无需开展定期监测。4、本项目租赁河南旭原不锈钢有限公司现有厂房，厂房周围已进行绿化并且本项目施工期间无需土地开挖，只需设备安装。因此并不会造成生态破坏和水土流失。5、</w:t>
                  </w:r>
                  <w:r>
                    <w:rPr>
                      <w:rFonts w:hint="eastAsia"/>
                      <w:color w:val="auto"/>
                      <w:kern w:val="0"/>
                      <w:sz w:val="21"/>
                      <w:szCs w:val="21"/>
                      <w:highlight w:val="none"/>
                      <w:lang w:bidi="ar"/>
                    </w:rPr>
                    <w:t>根据</w:t>
                  </w:r>
                  <w:r>
                    <w:rPr>
                      <w:rFonts w:hint="eastAsia"/>
                      <w:color w:val="auto"/>
                      <w:kern w:val="0"/>
                      <w:sz w:val="21"/>
                      <w:szCs w:val="21"/>
                      <w:highlight w:val="none"/>
                      <w:lang w:eastAsia="zh-CN" w:bidi="ar"/>
                    </w:rPr>
                    <w:t>《</w:t>
                  </w:r>
                  <w:r>
                    <w:rPr>
                      <w:rFonts w:hint="eastAsia" w:ascii="Times New Roman" w:hAnsi="Times New Roman" w:eastAsia="宋体" w:cs="Times New Roman"/>
                      <w:color w:val="auto"/>
                      <w:kern w:val="0"/>
                      <w:sz w:val="21"/>
                      <w:szCs w:val="21"/>
                      <w:highlight w:val="none"/>
                      <w:lang w:eastAsia="zh-CN"/>
                    </w:rPr>
                    <w:t>河南省发展和改革委员会等四部门关于建立“两高”项目会商联审机制的通知》（豫发改环资〔2021</w:t>
                  </w:r>
                  <w:r>
                    <w:rPr>
                      <w:rFonts w:hint="eastAsia"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eastAsia="zh-CN"/>
                    </w:rPr>
                    <w:t>977号）号文</w:t>
                  </w:r>
                  <w:r>
                    <w:rPr>
                      <w:rFonts w:hint="eastAsia" w:ascii="Times New Roman" w:hAnsi="Times New Roman" w:eastAsia="宋体" w:cs="Times New Roman"/>
                      <w:color w:val="auto"/>
                      <w:kern w:val="0"/>
                      <w:sz w:val="21"/>
                      <w:szCs w:val="21"/>
                      <w:highlight w:val="none"/>
                    </w:rPr>
                    <w:t>“两高”范围之</w:t>
                  </w:r>
                  <w:r>
                    <w:rPr>
                      <w:rFonts w:hint="eastAsia"/>
                      <w:color w:val="auto"/>
                      <w:kern w:val="0"/>
                      <w:sz w:val="21"/>
                      <w:szCs w:val="21"/>
                      <w:highlight w:val="none"/>
                      <w:lang w:bidi="ar"/>
                    </w:rPr>
                    <w:t>的相关规定知，本项目不属于“两高”项目。</w:t>
                  </w:r>
                  <w:r>
                    <w:rPr>
                      <w:rFonts w:hint="eastAsia"/>
                      <w:color w:val="auto"/>
                      <w:kern w:val="0"/>
                      <w:sz w:val="21"/>
                      <w:szCs w:val="21"/>
                      <w:highlight w:val="none"/>
                      <w:lang w:val="en-US" w:eastAsia="zh-CN" w:bidi="ar"/>
                    </w:rPr>
                    <w:t>6、本项目不涉及。7、本项目不涉及两高。</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eastAsia"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cs="Times New Roman"/>
                      <w:b w:val="0"/>
                      <w:bCs w:val="0"/>
                      <w:sz w:val="21"/>
                      <w:szCs w:val="21"/>
                      <w:u w:val="none"/>
                    </w:rPr>
                  </w:pPr>
                </w:p>
              </w:tc>
              <w:tc>
                <w:tcPr>
                  <w:tcW w:w="544" w:type="dxa"/>
                  <w:tcBorders>
                    <w:top w:val="single" w:color="auto" w:sz="4" w:space="0"/>
                    <w:bottom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cs="Times New Roman"/>
                      <w:b w:val="0"/>
                      <w:bCs w:val="0"/>
                      <w:sz w:val="21"/>
                      <w:szCs w:val="21"/>
                      <w:u w:val="none"/>
                    </w:rPr>
                  </w:pPr>
                  <w:r>
                    <w:rPr>
                      <w:rFonts w:hint="eastAsia" w:cs="Times New Roman"/>
                      <w:b w:val="0"/>
                      <w:bCs w:val="0"/>
                      <w:sz w:val="21"/>
                      <w:szCs w:val="21"/>
                      <w:u w:val="none"/>
                    </w:rPr>
                    <w:t>环境风险防控</w:t>
                  </w:r>
                </w:p>
              </w:tc>
              <w:tc>
                <w:tcPr>
                  <w:tcW w:w="2503" w:type="dxa"/>
                  <w:tcBorders>
                    <w:top w:val="single" w:color="auto" w:sz="4" w:space="0"/>
                    <w:bottom w:val="single" w:color="auto" w:sz="4" w:space="0"/>
                    <w:tl2br w:val="nil"/>
                    <w:tr2bl w:val="nil"/>
                  </w:tcBorders>
                  <w:noWrap/>
                  <w:tcMar>
                    <w:top w:w="15" w:type="dxa"/>
                    <w:left w:w="15" w:type="dxa"/>
                    <w:right w:w="15" w:type="dxa"/>
                  </w:tcMar>
                  <w:vAlign w:val="center"/>
                </w:tcPr>
                <w:p>
                  <w:pPr>
                    <w:numPr>
                      <w:ilvl w:val="0"/>
                      <w:numId w:val="2"/>
                    </w:numPr>
                    <w:rPr>
                      <w:rFonts w:cs="Times New Roman"/>
                      <w:color w:val="auto"/>
                      <w:sz w:val="21"/>
                      <w:szCs w:val="21"/>
                    </w:rPr>
                  </w:pPr>
                  <w:r>
                    <w:rPr>
                      <w:rFonts w:cs="Times New Roman"/>
                      <w:color w:val="auto"/>
                      <w:sz w:val="21"/>
                      <w:szCs w:val="21"/>
                    </w:rPr>
                    <w:t>加快环境风险预警体系建设，严格危险化学品管理；建立完善有效的环境风险防控设施和有效的拦截、降污、导流等措施，防止对地表水环境造成危害。</w:t>
                  </w:r>
                </w:p>
                <w:p>
                  <w:pPr>
                    <w:numPr>
                      <w:ilvl w:val="0"/>
                      <w:numId w:val="2"/>
                    </w:numPr>
                    <w:rPr>
                      <w:rFonts w:hint="eastAsia" w:cs="Times New Roman"/>
                      <w:b w:val="0"/>
                      <w:bCs w:val="0"/>
                      <w:color w:val="auto"/>
                      <w:sz w:val="21"/>
                      <w:szCs w:val="21"/>
                      <w:u w:val="none"/>
                    </w:rPr>
                  </w:pPr>
                  <w:r>
                    <w:rPr>
                      <w:rFonts w:cs="Times New Roman"/>
                      <w:color w:val="auto"/>
                      <w:sz w:val="21"/>
                      <w:szCs w:val="21"/>
                    </w:rPr>
                    <w:t>制定园区级综合环境应急预案，不断完善各类突发环境事件应急预案，有计划地组织应急培训和演练，全面提升园区风险防控和事故应急处置能力。</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本项目环评批复后将严格按照相关要求进行环境风险预案的制定及备案工作，积极与宝丰县产业集聚区环境风险防控进行对接，并建立完善的环境管理与检测制度，对相关的环保人员及管理人员进行专业的技术培训，实施环境保护动态化管理。</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符合</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87" w:type="dxa"/>
                  <w:vMerge w:val="continue"/>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ascii="Times New Roman" w:hAnsi="Times New Roman" w:eastAsia="宋体" w:cs="Times New Roman"/>
                      <w:b w:val="0"/>
                      <w:bCs w:val="0"/>
                      <w:color w:val="auto"/>
                      <w:kern w:val="0"/>
                      <w:sz w:val="21"/>
                      <w:szCs w:val="21"/>
                      <w:u w:val="none"/>
                      <w:lang w:bidi="ar"/>
                    </w:rPr>
                  </w:pPr>
                </w:p>
              </w:tc>
              <w:tc>
                <w:tcPr>
                  <w:tcW w:w="507" w:type="dxa"/>
                  <w:vMerge w:val="continue"/>
                  <w:tcBorders>
                    <w:tl2br w:val="nil"/>
                    <w:tr2bl w:val="nil"/>
                  </w:tcBorders>
                  <w:noWrap/>
                  <w:tcMar>
                    <w:top w:w="15" w:type="dxa"/>
                    <w:left w:w="15" w:type="dxa"/>
                    <w:right w:w="15" w:type="dxa"/>
                  </w:tcMar>
                  <w:vAlign w:val="center"/>
                </w:tcPr>
                <w:p>
                  <w:pPr>
                    <w:pStyle w:val="49"/>
                    <w:spacing w:line="360" w:lineRule="exact"/>
                    <w:jc w:val="center"/>
                    <w:rPr>
                      <w:rFonts w:hint="eastAsia" w:cs="Times New Roman"/>
                      <w:b w:val="0"/>
                      <w:bCs w:val="0"/>
                      <w:color w:val="auto"/>
                      <w:kern w:val="0"/>
                      <w:sz w:val="21"/>
                      <w:szCs w:val="21"/>
                      <w:u w:val="none"/>
                      <w:lang w:val="en-US" w:eastAsia="zh-CN" w:bidi="ar"/>
                    </w:rPr>
                  </w:pPr>
                </w:p>
              </w:tc>
              <w:tc>
                <w:tcPr>
                  <w:tcW w:w="647" w:type="dxa"/>
                  <w:vMerge w:val="continue"/>
                  <w:tcBorders>
                    <w:tl2br w:val="nil"/>
                    <w:tr2bl w:val="nil"/>
                  </w:tcBorders>
                  <w:noWrap/>
                  <w:tcMar>
                    <w:top w:w="15" w:type="dxa"/>
                    <w:left w:w="15" w:type="dxa"/>
                    <w:right w:w="15" w:type="dxa"/>
                  </w:tcMar>
                  <w:vAlign w:val="center"/>
                </w:tcPr>
                <w:p>
                  <w:pPr>
                    <w:pStyle w:val="49"/>
                    <w:spacing w:line="360" w:lineRule="exact"/>
                    <w:jc w:val="center"/>
                    <w:rPr>
                      <w:rFonts w:cs="Times New Roman"/>
                      <w:b w:val="0"/>
                      <w:bCs w:val="0"/>
                      <w:sz w:val="21"/>
                      <w:szCs w:val="21"/>
                      <w:u w:val="none"/>
                    </w:rPr>
                  </w:pPr>
                </w:p>
              </w:tc>
              <w:tc>
                <w:tcPr>
                  <w:tcW w:w="544" w:type="dxa"/>
                  <w:tcBorders>
                    <w:top w:val="single" w:color="auto" w:sz="4" w:space="0"/>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cs="Times New Roman"/>
                      <w:b w:val="0"/>
                      <w:bCs w:val="0"/>
                      <w:sz w:val="21"/>
                      <w:szCs w:val="21"/>
                      <w:u w:val="none"/>
                    </w:rPr>
                  </w:pPr>
                  <w:r>
                    <w:rPr>
                      <w:rFonts w:cs="Times New Roman"/>
                      <w:sz w:val="21"/>
                      <w:szCs w:val="21"/>
                    </w:rPr>
                    <w:t>资源开发效率要求</w:t>
                  </w:r>
                </w:p>
              </w:tc>
              <w:tc>
                <w:tcPr>
                  <w:tcW w:w="2503" w:type="dxa"/>
                  <w:tcBorders>
                    <w:top w:val="single" w:color="auto" w:sz="4" w:space="0"/>
                    <w:tl2br w:val="nil"/>
                    <w:tr2bl w:val="nil"/>
                  </w:tcBorders>
                  <w:noWrap/>
                  <w:tcMar>
                    <w:top w:w="15" w:type="dxa"/>
                    <w:left w:w="15" w:type="dxa"/>
                    <w:right w:w="15" w:type="dxa"/>
                  </w:tcMar>
                  <w:vAlign w:val="center"/>
                </w:tcPr>
                <w:p>
                  <w:pPr>
                    <w:rPr>
                      <w:rFonts w:hint="eastAsia" w:cs="Times New Roman"/>
                      <w:b w:val="0"/>
                      <w:bCs w:val="0"/>
                      <w:color w:val="auto"/>
                      <w:sz w:val="21"/>
                      <w:szCs w:val="21"/>
                      <w:u w:val="none"/>
                    </w:rPr>
                  </w:pPr>
                  <w:r>
                    <w:rPr>
                      <w:rFonts w:ascii="Times New Roman" w:hAnsi="Times New Roman" w:cs="Times New Roman"/>
                      <w:color w:val="auto"/>
                      <w:sz w:val="21"/>
                      <w:szCs w:val="21"/>
                    </w:rPr>
                    <w:t>单位工业增加值新鲜水耗9m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/万元；工业固体废物综合利用率70%。</w:t>
                  </w:r>
                  <w:r>
                    <w:rPr>
                      <w:rFonts w:hint="eastAsia" w:ascii="Times New Roman" w:hAnsi="Times New Roman" w:cs="Times New Roman"/>
                      <w:color w:val="auto"/>
                      <w:sz w:val="21"/>
                      <w:szCs w:val="21"/>
                    </w:rPr>
                    <w:t>园区禁止开采地下水</w:t>
                  </w:r>
                  <w:r>
                    <w:rPr>
                      <w:rFonts w:hint="eastAsia" w:ascii="仿宋_GB2312" w:hAnsi="Verdana" w:eastAsia="仿宋_GB2312" w:cs="宋体"/>
                      <w:color w:val="auto"/>
                      <w:kern w:val="0"/>
                      <w:sz w:val="21"/>
                      <w:szCs w:val="21"/>
                    </w:rPr>
                    <w:t>。</w:t>
                  </w:r>
                </w:p>
              </w:tc>
              <w:tc>
                <w:tcPr>
                  <w:tcW w:w="23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项目营运期废水主要为生活污水、清洗废水、车辆冲洗废水以及冷却水。清洗废水经一体化环保设施净化处理后循环使用不外排；车辆冲洗废水经沉淀池处理后，循环使用不外排；冷却水定期补充，循环使用不外排。</w:t>
                  </w:r>
                  <w:r>
                    <w:rPr>
                      <w:rFonts w:hint="eastAsia" w:ascii="Times New Roman" w:hAnsi="Times New Roman" w:cs="Times New Roman"/>
                      <w:b w:val="0"/>
                      <w:bCs w:val="0"/>
                      <w:color w:val="auto"/>
                      <w:kern w:val="0"/>
                      <w:sz w:val="21"/>
                      <w:szCs w:val="21"/>
                      <w:u w:val="none"/>
                      <w:lang w:val="en-US" w:eastAsia="zh-CN" w:bidi="ar"/>
                    </w:rPr>
                    <w:t>生活污水经化粪池预处理后排入</w:t>
                  </w:r>
                  <w:r>
                    <w:rPr>
                      <w:rFonts w:hint="eastAsia" w:cs="Times New Roman"/>
                      <w:b w:val="0"/>
                      <w:bCs w:val="0"/>
                      <w:color w:val="auto"/>
                      <w:kern w:val="0"/>
                      <w:sz w:val="21"/>
                      <w:szCs w:val="21"/>
                      <w:u w:val="none"/>
                      <w:lang w:val="en-US" w:eastAsia="zh-CN" w:bidi="ar"/>
                    </w:rPr>
                    <w:t>集聚区</w:t>
                  </w:r>
                  <w:r>
                    <w:rPr>
                      <w:rFonts w:hint="eastAsia" w:ascii="Times New Roman" w:hAnsi="Times New Roman" w:cs="Times New Roman"/>
                      <w:b w:val="0"/>
                      <w:bCs w:val="0"/>
                      <w:color w:val="auto"/>
                      <w:kern w:val="0"/>
                      <w:sz w:val="21"/>
                      <w:szCs w:val="21"/>
                      <w:u w:val="none"/>
                      <w:lang w:val="en-US" w:eastAsia="zh-CN" w:bidi="ar"/>
                    </w:rPr>
                    <w:t>污水管网</w:t>
                  </w:r>
                  <w:r>
                    <w:rPr>
                      <w:rFonts w:hint="eastAsia" w:cs="Times New Roman"/>
                      <w:b w:val="0"/>
                      <w:bCs w:val="0"/>
                      <w:color w:val="auto"/>
                      <w:kern w:val="0"/>
                      <w:sz w:val="21"/>
                      <w:szCs w:val="21"/>
                      <w:u w:val="none"/>
                      <w:lang w:val="en-US" w:eastAsia="zh-CN" w:bidi="ar"/>
                    </w:rPr>
                    <w:t>，最终进入宝丰县产业集聚区污水处理厂深度处理。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eastAsia"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生产过程产生的固废（一般固废和危险废物）可以全部得到妥善处置。</w:t>
                  </w:r>
                </w:p>
              </w:tc>
              <w:tc>
                <w:tcPr>
                  <w:tcW w:w="918" w:type="dxa"/>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center"/>
                    <w:rPr>
                      <w:rFonts w:hint="default" w:cs="Times New Roman"/>
                      <w:b w:val="0"/>
                      <w:bCs w:val="0"/>
                      <w:color w:val="auto"/>
                      <w:kern w:val="0"/>
                      <w:sz w:val="21"/>
                      <w:szCs w:val="21"/>
                      <w:u w:val="none"/>
                      <w:lang w:val="en-US" w:eastAsia="zh-CN" w:bidi="ar"/>
                    </w:rPr>
                  </w:pPr>
                  <w:r>
                    <w:rPr>
                      <w:rFonts w:hint="eastAsia" w:cs="Times New Roman"/>
                      <w:b w:val="0"/>
                      <w:bCs w:val="0"/>
                      <w:color w:val="auto"/>
                      <w:kern w:val="0"/>
                      <w:sz w:val="21"/>
                      <w:szCs w:val="21"/>
                      <w:u w:val="none"/>
                      <w:lang w:val="en-US" w:eastAsia="zh-CN" w:bidi="ar"/>
                    </w:rPr>
                    <w:t>符合</w:t>
                  </w:r>
                </w:p>
              </w:tc>
            </w:tr>
          </w:tbl>
          <w:p>
            <w:pPr>
              <w:autoSpaceDE w:val="0"/>
              <w:autoSpaceDN w:val="0"/>
              <w:adjustRightInd w:val="0"/>
              <w:snapToGrid w:val="0"/>
              <w:spacing w:line="360" w:lineRule="auto"/>
              <w:ind w:firstLine="480" w:firstLineChars="200"/>
              <w:rPr>
                <w:b w:val="0"/>
                <w:bCs w:val="0"/>
                <w:sz w:val="24"/>
                <w:u w:val="none"/>
              </w:rPr>
            </w:pPr>
            <w:r>
              <w:rPr>
                <w:rFonts w:hint="eastAsia" w:ascii="Times New Roman" w:hAnsi="Times New Roman" w:eastAsia="宋体" w:cs="Times New Roman"/>
                <w:b w:val="0"/>
                <w:bCs w:val="0"/>
                <w:strike w:val="0"/>
                <w:dstrike w:val="0"/>
                <w:color w:val="auto"/>
                <w:sz w:val="24"/>
                <w:szCs w:val="24"/>
                <w:u w:val="none"/>
                <w:lang w:val="en-US" w:eastAsia="zh-CN"/>
              </w:rPr>
              <w:t>综上所述，本项目符合当地生态保护红线要求，项目建设不会降低项目周边环境质量底线，亦不会超出当地资源利用上线，</w:t>
            </w:r>
            <w:r>
              <w:rPr>
                <w:rFonts w:hint="eastAsia" w:cs="Times New Roman"/>
                <w:b w:val="0"/>
                <w:bCs w:val="0"/>
                <w:strike w:val="0"/>
                <w:dstrike w:val="0"/>
                <w:color w:val="auto"/>
                <w:sz w:val="24"/>
                <w:szCs w:val="24"/>
                <w:u w:val="none"/>
                <w:lang w:val="en-US" w:eastAsia="zh-CN"/>
              </w:rPr>
              <w:t>符合</w:t>
            </w:r>
            <w:r>
              <w:rPr>
                <w:rFonts w:hint="eastAsia" w:ascii="Times New Roman" w:hAnsi="Times New Roman" w:eastAsia="宋体" w:cs="Times New Roman"/>
                <w:b w:val="0"/>
                <w:bCs w:val="0"/>
                <w:strike w:val="0"/>
                <w:dstrike w:val="0"/>
                <w:color w:val="auto"/>
                <w:sz w:val="24"/>
                <w:szCs w:val="24"/>
                <w:u w:val="none"/>
                <w:lang w:val="en-US" w:eastAsia="zh-CN"/>
              </w:rPr>
              <w:t>当地生态环境准入清单中</w:t>
            </w:r>
            <w:r>
              <w:rPr>
                <w:rFonts w:hint="eastAsia" w:cs="Times New Roman"/>
                <w:b w:val="0"/>
                <w:bCs w:val="0"/>
                <w:strike w:val="0"/>
                <w:dstrike w:val="0"/>
                <w:color w:val="auto"/>
                <w:sz w:val="24"/>
                <w:szCs w:val="24"/>
                <w:u w:val="none"/>
                <w:lang w:val="en-US" w:eastAsia="zh-CN"/>
              </w:rPr>
              <w:t>的相关管控要求</w:t>
            </w:r>
            <w:r>
              <w:rPr>
                <w:rFonts w:hint="eastAsia" w:ascii="Times New Roman" w:hAnsi="Times New Roman" w:eastAsia="宋体" w:cs="Times New Roman"/>
                <w:b w:val="0"/>
                <w:bCs w:val="0"/>
                <w:strike w:val="0"/>
                <w:dstrike w:val="0"/>
                <w:color w:val="auto"/>
                <w:sz w:val="24"/>
                <w:szCs w:val="24"/>
                <w:u w:val="none"/>
                <w:lang w:val="en-US" w:eastAsia="zh-CN"/>
              </w:rPr>
              <w:t>。因此本项目建设符合</w:t>
            </w:r>
            <w:r>
              <w:rPr>
                <w:rFonts w:hint="eastAsia" w:cs="Times New Roman"/>
                <w:b w:val="0"/>
                <w:bCs w:val="0"/>
                <w:strike w:val="0"/>
                <w:dstrike w:val="0"/>
                <w:color w:val="auto"/>
                <w:sz w:val="24"/>
                <w:szCs w:val="24"/>
                <w:u w:val="none"/>
                <w:lang w:val="en-US" w:eastAsia="zh-CN"/>
              </w:rPr>
              <w:t>“</w:t>
            </w:r>
            <w:r>
              <w:rPr>
                <w:rFonts w:hint="eastAsia" w:ascii="Times New Roman" w:hAnsi="Times New Roman" w:eastAsia="宋体" w:cs="Times New Roman"/>
                <w:b w:val="0"/>
                <w:bCs w:val="0"/>
                <w:strike w:val="0"/>
                <w:dstrike w:val="0"/>
                <w:color w:val="auto"/>
                <w:sz w:val="24"/>
                <w:szCs w:val="24"/>
                <w:u w:val="none"/>
                <w:lang w:val="en-US" w:eastAsia="zh-CN"/>
              </w:rPr>
              <w:t>三线一单</w:t>
            </w:r>
            <w:r>
              <w:rPr>
                <w:rFonts w:hint="eastAsia" w:cs="Times New Roman"/>
                <w:b w:val="0"/>
                <w:bCs w:val="0"/>
                <w:strike w:val="0"/>
                <w:dstrike w:val="0"/>
                <w:color w:val="auto"/>
                <w:sz w:val="24"/>
                <w:szCs w:val="24"/>
                <w:u w:val="none"/>
                <w:lang w:val="en-US" w:eastAsia="zh-CN"/>
              </w:rPr>
              <w:t>”</w:t>
            </w:r>
            <w:r>
              <w:rPr>
                <w:rFonts w:hint="eastAsia" w:ascii="Times New Roman" w:hAnsi="Times New Roman" w:eastAsia="宋体" w:cs="Times New Roman"/>
                <w:b w:val="0"/>
                <w:bCs w:val="0"/>
                <w:strike w:val="0"/>
                <w:dstrike w:val="0"/>
                <w:color w:val="auto"/>
                <w:sz w:val="24"/>
                <w:szCs w:val="24"/>
                <w:u w:val="none"/>
                <w:lang w:val="en-US" w:eastAsia="zh-CN"/>
              </w:rPr>
              <w:t>的要求。</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⑤本项目与《平顶山市生态环境准入清单（试行）》文件相关要求相符性分析</w:t>
            </w:r>
          </w:p>
          <w:p>
            <w:pPr>
              <w:spacing w:line="360" w:lineRule="auto"/>
              <w:ind w:firstLine="480"/>
              <w:rPr>
                <w:rFonts w:hint="eastAsia"/>
                <w:b w:val="0"/>
                <w:bCs w:val="0"/>
                <w:color w:val="000000"/>
                <w:sz w:val="24"/>
                <w:szCs w:val="24"/>
                <w:u w:val="none"/>
                <w:lang w:val="en-US" w:eastAsia="zh-CN"/>
              </w:rPr>
            </w:pPr>
            <w:r>
              <w:rPr>
                <w:rFonts w:hint="eastAsia" w:ascii="Times New Roman" w:hAnsi="Times New Roman" w:eastAsia="宋体"/>
                <w:color w:val="auto"/>
                <w:sz w:val="24"/>
                <w:szCs w:val="24"/>
                <w:u w:val="none"/>
                <w:lang w:val="en-US" w:eastAsia="zh-CN"/>
              </w:rPr>
              <w:t>根据平顶山市生态环境局关于组织实施平顶山市“三线一单”生态环境分区管控准入清单的函</w:t>
            </w:r>
            <w:r>
              <w:rPr>
                <w:rFonts w:hint="eastAsia"/>
                <w:color w:val="auto"/>
                <w:sz w:val="24"/>
                <w:szCs w:val="24"/>
                <w:u w:val="none"/>
                <w:lang w:val="en-US" w:eastAsia="zh-CN"/>
              </w:rPr>
              <w:t>相关要求</w:t>
            </w:r>
            <w:r>
              <w:rPr>
                <w:rFonts w:hint="eastAsia" w:ascii="Times New Roman" w:hAnsi="Times New Roman" w:eastAsia="宋体"/>
                <w:color w:val="auto"/>
                <w:sz w:val="24"/>
                <w:szCs w:val="24"/>
                <w:u w:val="none"/>
                <w:lang w:val="en-US" w:eastAsia="zh-CN"/>
              </w:rPr>
              <w:t>，本项目与</w:t>
            </w:r>
            <w:r>
              <w:rPr>
                <w:rFonts w:hint="eastAsia"/>
                <w:color w:val="auto"/>
                <w:sz w:val="24"/>
                <w:szCs w:val="24"/>
                <w:u w:val="none"/>
                <w:lang w:val="en-US" w:eastAsia="zh-CN"/>
              </w:rPr>
              <w:t>该文件</w:t>
            </w:r>
            <w:r>
              <w:rPr>
                <w:rFonts w:hint="eastAsia" w:ascii="Times New Roman" w:hAnsi="Times New Roman" w:eastAsia="宋体"/>
                <w:color w:val="auto"/>
                <w:sz w:val="24"/>
                <w:szCs w:val="24"/>
                <w:u w:val="none"/>
                <w:lang w:val="en-US" w:eastAsia="zh-CN"/>
              </w:rPr>
              <w:t>相关内容对比分析见下表</w:t>
            </w:r>
            <w:r>
              <w:rPr>
                <w:rFonts w:hint="eastAsia"/>
                <w:b w:val="0"/>
                <w:bCs w:val="0"/>
                <w:color w:val="000000"/>
                <w:sz w:val="24"/>
                <w:szCs w:val="24"/>
                <w:u w:val="none"/>
                <w:lang w:val="en-US" w:eastAsia="zh-CN"/>
              </w:rPr>
              <w:t>。</w:t>
            </w:r>
          </w:p>
          <w:p>
            <w:pPr>
              <w:pStyle w:val="31"/>
              <w:adjustRightInd/>
              <w:spacing w:line="240" w:lineRule="auto"/>
              <w:jc w:val="center"/>
              <w:rPr>
                <w:rFonts w:hint="default"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eastAsia="zh-CN"/>
              </w:rPr>
              <w:t>表</w:t>
            </w:r>
            <w:r>
              <w:rPr>
                <w:rFonts w:hint="eastAsia" w:ascii="Times New Roman" w:hAnsi="Times New Roman" w:eastAsia="宋体" w:cs="Times New Roman"/>
                <w:b/>
                <w:bCs/>
                <w:color w:val="auto"/>
                <w:u w:val="none"/>
                <w:lang w:val="en-US" w:eastAsia="zh-CN"/>
              </w:rPr>
              <w:t>1-</w:t>
            </w:r>
            <w:r>
              <w:rPr>
                <w:rFonts w:hint="eastAsia" w:ascii="Times New Roman" w:eastAsia="宋体" w:cs="Times New Roman"/>
                <w:b/>
                <w:bCs/>
                <w:color w:val="auto"/>
                <w:u w:val="none"/>
                <w:lang w:val="en-US" w:eastAsia="zh-CN"/>
              </w:rPr>
              <w:t>4与</w:t>
            </w:r>
            <w:r>
              <w:rPr>
                <w:rFonts w:hint="eastAsia" w:ascii="Times New Roman" w:hAnsi="Times New Roman" w:eastAsia="宋体" w:cs="Times New Roman"/>
                <w:b/>
                <w:bCs/>
                <w:color w:val="auto"/>
                <w:u w:val="none"/>
                <w:lang w:val="en-US" w:eastAsia="zh-CN"/>
              </w:rPr>
              <w:t>平顶山市生态环境总体准入要求</w:t>
            </w:r>
            <w:r>
              <w:rPr>
                <w:rFonts w:hint="eastAsia" w:ascii="Times New Roman" w:hAnsi="Times New Roman" w:eastAsia="宋体" w:cs="Times New Roman"/>
                <w:b/>
                <w:bCs/>
                <w:color w:val="auto"/>
                <w:u w:val="none"/>
                <w:lang w:eastAsia="zh-CN"/>
              </w:rPr>
              <w:t>相关内容</w:t>
            </w:r>
            <w:r>
              <w:rPr>
                <w:rFonts w:hint="eastAsia" w:ascii="Times New Roman" w:eastAsia="宋体" w:cs="Times New Roman"/>
                <w:b/>
                <w:bCs/>
                <w:color w:val="auto"/>
                <w:u w:val="none"/>
                <w:lang w:eastAsia="zh-CN"/>
              </w:rPr>
              <w:t>对比分析表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4"/>
              <w:gridCol w:w="563"/>
              <w:gridCol w:w="468"/>
              <w:gridCol w:w="4012"/>
              <w:gridCol w:w="171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维度</w:t>
                  </w:r>
                </w:p>
              </w:tc>
              <w:tc>
                <w:tcPr>
                  <w:tcW w:w="355"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清单编制要求</w:t>
                  </w:r>
                </w:p>
              </w:tc>
              <w:tc>
                <w:tcPr>
                  <w:tcW w:w="295"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管控要求</w:t>
                  </w:r>
                </w:p>
              </w:tc>
              <w:tc>
                <w:tcPr>
                  <w:tcW w:w="1079"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本项目</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6"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空间布局约束</w:t>
                  </w:r>
                </w:p>
              </w:tc>
              <w:tc>
                <w:tcPr>
                  <w:tcW w:w="35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禁止开发建设活动的要求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2020年底前，30万千瓦及以上热电联产电厂供热半径15公里范围内的燃煤锅炉和落后燃煤小热电全部关停整合。</w:t>
                  </w:r>
                </w:p>
              </w:tc>
              <w:tc>
                <w:tcPr>
                  <w:tcW w:w="107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529"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全市原则上禁止新建、扩建单纯新增产能的钢铁、电解铝、水泥、平板玻璃、传统煤化工（甲醇、合成氨）、焦化、铸造、铝用炭素、耐火材料制品、砖瓦窑、铅锌冶炼</w:t>
                  </w:r>
                  <w:r>
                    <w:rPr>
                      <w:rFonts w:hint="eastAsia" w:cs="Times New Roman"/>
                      <w:sz w:val="21"/>
                      <w:szCs w:val="21"/>
                      <w:lang w:eastAsia="zh-CN"/>
                    </w:rPr>
                    <w:t>（</w:t>
                  </w:r>
                  <w:r>
                    <w:rPr>
                      <w:rFonts w:hint="default" w:ascii="Times New Roman" w:hAnsi="Times New Roman" w:eastAsia="宋体" w:cs="Times New Roman"/>
                      <w:sz w:val="21"/>
                      <w:szCs w:val="21"/>
                    </w:rPr>
                    <w:t>含再生铅</w:t>
                  </w:r>
                  <w:r>
                    <w:rPr>
                      <w:rFonts w:hint="eastAsia" w:cs="Times New Roman"/>
                      <w:sz w:val="21"/>
                      <w:szCs w:val="21"/>
                      <w:lang w:eastAsia="zh-CN"/>
                    </w:rPr>
                    <w:t>）</w:t>
                  </w:r>
                  <w:r>
                    <w:rPr>
                      <w:rFonts w:hint="default" w:ascii="Times New Roman" w:hAnsi="Times New Roman" w:eastAsia="宋体" w:cs="Times New Roman"/>
                      <w:sz w:val="21"/>
                      <w:szCs w:val="21"/>
                    </w:rPr>
                    <w:t>等高耗能、高排放和产能过剩的产业项目。</w:t>
                  </w:r>
                  <w:r>
                    <w:rPr>
                      <w:rFonts w:hint="default" w:ascii="Times New Roman" w:hAnsi="Times New Roman" w:eastAsia="宋体" w:cs="Times New Roman"/>
                      <w:sz w:val="21"/>
                      <w:szCs w:val="21"/>
                      <w:lang w:eastAsia="zh-CN"/>
                    </w:rPr>
                    <w:t>严格限制“两高”项目盲目发展。</w:t>
                  </w:r>
                </w:p>
              </w:tc>
              <w:tc>
                <w:tcPr>
                  <w:tcW w:w="10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本项目属于C4220非金属废料和碎屑加工处理，属于鼓励类项目。不属于《市场准入负面清单（2020年版）》禁止准入项目。本项目不属于“两高”项目。</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市建成区均完成禁燃区划定工作，禁燃区内禁止新建火电、水泥、铸造、陶瓷、焦化、洗煤、烧结砖等高污染项目；禁止燃烧原（散）煤、蜂窝煤、焦炭、木炭、煤矸石、煤泥、煤焦油、重油、渣油等燃料；禁止燃烧各种可燃废物和直接燃用生物质燃料，已建成的使用高污染燃料的各类设施限期拆除或改造，对于超出规定期限继续燃用高污染燃料的设施，责令拆除或者没收。综合采用“电代煤”“气代煤”、清洁能源替代散煤等多种方式，减少燃煤散烧污染。</w:t>
                  </w:r>
                </w:p>
              </w:tc>
              <w:tc>
                <w:tcPr>
                  <w:tcW w:w="10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本项目生产过程中不涉及燃料使用。</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529"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南水北调总干渠：</w:t>
                  </w:r>
                  <w:r>
                    <w:rPr>
                      <w:rFonts w:hint="default" w:ascii="Times New Roman" w:hAnsi="Times New Roman" w:eastAsia="宋体" w:cs="Times New Roman"/>
                      <w:sz w:val="21"/>
                      <w:szCs w:val="21"/>
                      <w:lang w:eastAsia="zh-CN"/>
                    </w:rPr>
                    <w:t>在饮用水源保护区内，禁止设置排污口；禁止使用剧毒和高残留农药，不得滥用化肥；禁止利用渗坑、渗井、裂隙等排放污水和其他有害废弃物；禁止利用储水层孔隙、裂隙及废弃矿坑储存石油、放射性物质、有毒化学品、农药等。在一级保护区内，禁止新建、改建、扩建与供水设施和保护水源无关的建设项目。在二级保护区内，禁止新建、改建、扩建排放污染物的建设项目。</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饮用水水源保护区：在饮用水水源保护区内，禁止设置排污口。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禁止在饮用水水源准保护区内新建、扩建对水体污染严重的建设项目；改建建设项目，不得增加排污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湖湿地保护区：对澧河、洪河、北汝河及其主要支流、白龟山水库、昭平台水库、孤石滩水库、石漫滩水库、南水北调总干渠和流进中心城市的河流进行保护，其中包括白龟山水库的入库河流、沙河上游、大浪河、澎河、应河及中心城区内的湛河。保护区分为绝对生态控制区</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和建设控制区，保护范围在下层次规划中予以落实。除绿化以外的城市建设严禁占用绝对生态控制区内的河湖湿地。</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农田：依据土地管理等相关法律法规对基本农田严格保护，国家能源、交通、水利、军事设施等重点建设项目选址确实无法避开基本农田保护区，需要占用基本农田，涉及农用地转用或者征用土地的，必须经国务院批准。</w:t>
                  </w:r>
                </w:p>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禁养区内禁止建设畜禽养殖场和养殖小区。</w:t>
                  </w:r>
                </w:p>
              </w:tc>
              <w:tc>
                <w:tcPr>
                  <w:tcW w:w="107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color w:val="auto"/>
                      <w:sz w:val="21"/>
                      <w:szCs w:val="21"/>
                      <w:u w:val="none"/>
                      <w:lang w:val="en-US" w:eastAsia="zh-CN"/>
                    </w:rPr>
                    <w:t>本项目位于</w:t>
                  </w:r>
                  <w:r>
                    <w:rPr>
                      <w:rFonts w:hint="eastAsia" w:cs="Times New Roman"/>
                      <w:b w:val="0"/>
                      <w:bCs w:val="0"/>
                      <w:color w:val="auto"/>
                      <w:sz w:val="21"/>
                      <w:szCs w:val="21"/>
                      <w:u w:val="none"/>
                      <w:lang w:val="en-US" w:eastAsia="zh-CN"/>
                    </w:rPr>
                    <w:t>平顶山市宝丰县宝丰高新技术产业开发区旭原不锈钢院内8号厂房</w:t>
                  </w:r>
                  <w:r>
                    <w:rPr>
                      <w:rFonts w:hint="default" w:ascii="Times New Roman" w:hAnsi="Times New Roman" w:eastAsia="宋体" w:cs="Times New Roman"/>
                      <w:b w:val="0"/>
                      <w:bCs w:val="0"/>
                      <w:color w:val="auto"/>
                      <w:sz w:val="21"/>
                      <w:szCs w:val="21"/>
                      <w:u w:val="none"/>
                      <w:lang w:val="en-US" w:eastAsia="zh-CN"/>
                    </w:rPr>
                    <w:t>，距离项目最近的地表水体为</w:t>
                  </w:r>
                  <w:r>
                    <w:rPr>
                      <w:rFonts w:hint="eastAsia" w:cs="Times New Roman"/>
                      <w:b w:val="0"/>
                      <w:bCs w:val="0"/>
                      <w:color w:val="auto"/>
                      <w:sz w:val="21"/>
                      <w:szCs w:val="21"/>
                      <w:u w:val="none"/>
                      <w:lang w:val="en-US" w:eastAsia="zh-CN"/>
                    </w:rPr>
                    <w:t>西南</w:t>
                  </w:r>
                  <w:r>
                    <w:rPr>
                      <w:rFonts w:hint="default" w:ascii="Times New Roman" w:hAnsi="Times New Roman" w:eastAsia="宋体" w:cs="Times New Roman"/>
                      <w:b w:val="0"/>
                      <w:bCs w:val="0"/>
                      <w:color w:val="auto"/>
                      <w:sz w:val="21"/>
                      <w:szCs w:val="21"/>
                      <w:u w:val="none"/>
                      <w:lang w:val="en-US" w:eastAsia="zh-CN"/>
                    </w:rPr>
                    <w:t>方向</w:t>
                  </w:r>
                  <w:r>
                    <w:rPr>
                      <w:rFonts w:hint="eastAsia" w:cs="Times New Roman"/>
                      <w:color w:val="auto"/>
                      <w:sz w:val="21"/>
                      <w:szCs w:val="21"/>
                      <w:lang w:val="en-US" w:eastAsia="zh-CN"/>
                    </w:rPr>
                    <w:t>2.1k</w:t>
                  </w:r>
                  <w:r>
                    <w:rPr>
                      <w:rFonts w:hint="default" w:ascii="Times New Roman" w:hAnsi="Times New Roman" w:eastAsia="宋体" w:cs="Times New Roman"/>
                      <w:color w:val="auto"/>
                      <w:sz w:val="21"/>
                      <w:szCs w:val="21"/>
                      <w:lang w:val="en-US" w:eastAsia="zh-CN"/>
                    </w:rPr>
                    <w:t>m的</w:t>
                  </w:r>
                  <w:r>
                    <w:rPr>
                      <w:rFonts w:hint="eastAsia" w:cs="Times New Roman"/>
                      <w:color w:val="auto"/>
                      <w:sz w:val="21"/>
                      <w:szCs w:val="21"/>
                      <w:lang w:val="en-US" w:eastAsia="zh-CN"/>
                    </w:rPr>
                    <w:t>应</w:t>
                  </w:r>
                  <w:r>
                    <w:rPr>
                      <w:rFonts w:hint="default" w:ascii="Times New Roman" w:hAnsi="Times New Roman" w:eastAsia="宋体" w:cs="Times New Roman"/>
                      <w:color w:val="auto"/>
                      <w:sz w:val="21"/>
                      <w:szCs w:val="21"/>
                      <w:lang w:val="en-US" w:eastAsia="zh-CN"/>
                    </w:rPr>
                    <w:t>河，不涉及南水北调工程，不涉及</w:t>
                  </w:r>
                  <w:r>
                    <w:rPr>
                      <w:rFonts w:hint="default" w:ascii="Times New Roman" w:hAnsi="Times New Roman" w:eastAsia="宋体" w:cs="Times New Roman"/>
                      <w:color w:val="auto"/>
                      <w:sz w:val="21"/>
                      <w:szCs w:val="21"/>
                      <w:lang w:eastAsia="zh-CN"/>
                    </w:rPr>
                    <w:t>饮用水水源保护区、</w:t>
                  </w:r>
                  <w:r>
                    <w:rPr>
                      <w:rFonts w:hint="default" w:ascii="Times New Roman" w:hAnsi="Times New Roman" w:eastAsia="宋体" w:cs="Times New Roman"/>
                      <w:color w:val="auto"/>
                      <w:sz w:val="21"/>
                      <w:szCs w:val="21"/>
                    </w:rPr>
                    <w:t>河湖湿地保护区</w:t>
                  </w:r>
                  <w:r>
                    <w:rPr>
                      <w:rFonts w:hint="default" w:ascii="Times New Roman" w:hAnsi="Times New Roman" w:eastAsia="宋体" w:cs="Times New Roman"/>
                      <w:color w:val="auto"/>
                      <w:sz w:val="21"/>
                      <w:szCs w:val="21"/>
                      <w:lang w:val="en-US" w:eastAsia="zh-CN"/>
                    </w:rPr>
                    <w:t>以及基本农田。</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地质环境脆弱区开发矿产资源，禁止开挖耕地烧制实心砖瓦；已查明资源储量的水泥用灰岩、化工用灰岩、溶剂用灰岩矿区内，禁止将灰岩作建筑石料用矿产开采。禁止开采区内，除国家基础性、公益性地质调查及符合政策要求的、以国家战略性矿产</w:t>
                  </w:r>
                  <w:r>
                    <w:rPr>
                      <w:rFonts w:hint="eastAsia" w:cs="Times New Roman"/>
                      <w:sz w:val="21"/>
                      <w:szCs w:val="21"/>
                      <w:lang w:eastAsia="zh-CN"/>
                    </w:rPr>
                    <w:t>的</w:t>
                  </w:r>
                  <w:r>
                    <w:rPr>
                      <w:rFonts w:hint="default" w:ascii="Times New Roman" w:hAnsi="Times New Roman" w:eastAsia="宋体" w:cs="Times New Roman"/>
                      <w:sz w:val="21"/>
                      <w:szCs w:val="21"/>
                    </w:rPr>
                    <w:t>储备为目的的矿产资源勘查项目外，一律不得新设探矿权、采矿权，严厉打击和取缔违法采矿活动。在不影响禁止区主体功能，并征得相关管理部门同意的情况下，可以进行地热、矿泉水等矿产的勘查开发利用。</w:t>
                  </w:r>
                </w:p>
              </w:tc>
              <w:tc>
                <w:tcPr>
                  <w:tcW w:w="107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不符合空间布局要求活动的退出要求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饮用水源保护区：一级保护区内已建成的与供水设施和保护水源无关的建设项目，由县级以上人民政府责令拆除或者关闭。二级保护区内已建成的排放污染物的建设项目，由县级以上人民政府责令拆除或者关闭。</w:t>
                  </w:r>
                  <w:r>
                    <w:rPr>
                      <w:rFonts w:hint="default" w:ascii="Times New Roman" w:hAnsi="Times New Roman" w:eastAsia="宋体" w:cs="Times New Roman"/>
                      <w:sz w:val="21"/>
                      <w:szCs w:val="21"/>
                      <w:lang w:val="en-US" w:eastAsia="zh-CN"/>
                    </w:rPr>
                    <w:t>石化、现代煤化工项目应纳入国家产业规划。新建、扩建石化、化工、焦化、有色金属冶炼、平板玻璃项目应布设在依法合规设立并经规划环评的产业园区。</w:t>
                  </w:r>
                </w:p>
              </w:tc>
              <w:tc>
                <w:tcPr>
                  <w:tcW w:w="10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污染物排放管控</w:t>
                  </w:r>
                </w:p>
              </w:tc>
              <w:tc>
                <w:tcPr>
                  <w:tcW w:w="35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现有源提标升级改造</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52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实施工业低碳行动，推进钢铁、煤化工、水泥、铝加工、玻璃、耐火材料制品、煤电等产业绿色、减量、提质发展，开展全流程清洁化、循环化、低碳化改造，加快建设绿色制造体系。完善新能源汽车推广应用及产业化发展政策措施，推动全市公共领域车辆新能源化。除保留部分应急车辆及新能源汽车无法满足使用需求情况外，新增及更新公交车、出租车（含巡游出租车和网约车）应全部为新能源汽车。新增及更新环卫车辆应全部使用新能源汽车，新增及更新城市邮政快递、城市物流配送车辆中，新能源汽车比例不低于95%。新增、更新公务车辆原则上全部为新能源汽车。</w:t>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rPr>
                    <w:t>推进垃圾焚烧发电企业全面完成提标治理，焚烧炉烟气颗粒物、二氧化硫、氮氧化物排放浓度（1小时均值）在基准氧含量11%的条件下分别不高于10、35、100毫克/立方米，采用氨法脱硝、氨法脱硫工艺的垃圾焚烧废气氨排放浓度不高于8毫克/立方米。</w:t>
                  </w:r>
                  <w:r>
                    <w:rPr>
                      <w:rFonts w:hint="default" w:ascii="Times New Roman" w:hAnsi="Times New Roman" w:eastAsia="宋体" w:cs="Times New Roman"/>
                      <w:sz w:val="21"/>
                      <w:szCs w:val="21"/>
                      <w:lang w:val="en-US" w:eastAsia="zh-CN"/>
                    </w:rPr>
                    <w:t>开展清洁取暖“双替代”巩固提升行动，对完成“双替代”供暖改造的区域开展“回头看”，查漏补缺，落实电力和天然气供应保障和电价气价优惠政策。各县（市）、石龙区政府依法将已完成清洁取暖改造和已实施集中供热的地区划定为禁煤区，并及时向社会公布。在已公告划定为“禁煤区”的区域，开展散煤治理行动，依法查处违规销售、储存、运输、使用洁净型煤和散煤的行为，严防严控散煤复烧，确保全市平原地区散煤清零。对不具备“双替代”改造条件的边远山区实行洁净型煤兜底全覆盖。大宗物料优先采用铁路、管道或水路运输，短途接驳优先使用新能源车辆运输。</w:t>
                  </w:r>
                </w:p>
              </w:tc>
              <w:tc>
                <w:tcPr>
                  <w:tcW w:w="1079" w:type="pct"/>
                  <w:noWrap w:val="0"/>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w:t>
                  </w:r>
                  <w:r>
                    <w:rPr>
                      <w:rFonts w:hint="eastAsia" w:cs="Times New Roman"/>
                      <w:sz w:val="21"/>
                      <w:szCs w:val="21"/>
                      <w:lang w:val="en-US" w:eastAsia="zh-CN"/>
                    </w:rPr>
                    <w:t>不涉及</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现状水质较好的沙河、北汝河、澧河源头及干流河段开展生态环境安全评估，制定实施生态环境保护方案，实施水源涵养、湿地建设、河岸缓冲带建设等综合治理，恢复水生态系统完整性，确保良好水体水质稳定。</w:t>
                  </w:r>
                </w:p>
              </w:tc>
              <w:tc>
                <w:tcPr>
                  <w:tcW w:w="1079"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eastAsia" w:cs="Times New Roman"/>
                      <w:b w:val="0"/>
                      <w:bCs w:val="0"/>
                      <w:color w:val="auto"/>
                      <w:kern w:val="0"/>
                      <w:sz w:val="21"/>
                      <w:szCs w:val="21"/>
                      <w:u w:val="none"/>
                      <w:lang w:val="en-US" w:eastAsia="zh-CN" w:bidi="ar"/>
                    </w:rPr>
                    <w:t>项目营运期废水主要为生活污水、清洗废水、车辆冲洗废水以及冷却水。清洗废水经一体化环保设施净化处理后循环使用不外排；车辆冲洗废水经沉淀池处理后，循环使用不外排；冷却水定期补充，循环使用不外排。</w:t>
                  </w:r>
                  <w:r>
                    <w:rPr>
                      <w:rFonts w:hint="eastAsia" w:ascii="Times New Roman" w:hAnsi="Times New Roman" w:cs="Times New Roman"/>
                      <w:b w:val="0"/>
                      <w:bCs w:val="0"/>
                      <w:color w:val="auto"/>
                      <w:kern w:val="0"/>
                      <w:sz w:val="21"/>
                      <w:szCs w:val="21"/>
                      <w:u w:val="none"/>
                      <w:lang w:val="en-US" w:eastAsia="zh-CN" w:bidi="ar"/>
                    </w:rPr>
                    <w:t>生活污水经化粪池预处理后排入</w:t>
                  </w:r>
                  <w:r>
                    <w:rPr>
                      <w:rFonts w:hint="eastAsia" w:cs="Times New Roman"/>
                      <w:b w:val="0"/>
                      <w:bCs w:val="0"/>
                      <w:color w:val="auto"/>
                      <w:kern w:val="0"/>
                      <w:sz w:val="21"/>
                      <w:szCs w:val="21"/>
                      <w:u w:val="none"/>
                      <w:lang w:val="en-US" w:eastAsia="zh-CN" w:bidi="ar"/>
                    </w:rPr>
                    <w:t>集聚区</w:t>
                  </w:r>
                  <w:r>
                    <w:rPr>
                      <w:rFonts w:hint="eastAsia" w:ascii="Times New Roman" w:hAnsi="Times New Roman" w:cs="Times New Roman"/>
                      <w:b w:val="0"/>
                      <w:bCs w:val="0"/>
                      <w:color w:val="auto"/>
                      <w:kern w:val="0"/>
                      <w:sz w:val="21"/>
                      <w:szCs w:val="21"/>
                      <w:u w:val="none"/>
                      <w:lang w:val="en-US" w:eastAsia="zh-CN" w:bidi="ar"/>
                    </w:rPr>
                    <w:t>污水管网</w:t>
                  </w:r>
                  <w:r>
                    <w:rPr>
                      <w:rFonts w:hint="eastAsia" w:cs="Times New Roman"/>
                      <w:b w:val="0"/>
                      <w:bCs w:val="0"/>
                      <w:color w:val="auto"/>
                      <w:kern w:val="0"/>
                      <w:sz w:val="21"/>
                      <w:szCs w:val="21"/>
                      <w:u w:val="none"/>
                      <w:lang w:val="en-US" w:eastAsia="zh-CN" w:bidi="ar"/>
                    </w:rPr>
                    <w:t>，最终进入宝丰县产业集聚区污水处理厂深度处理</w:t>
                  </w:r>
                  <w:r>
                    <w:rPr>
                      <w:rFonts w:hint="default" w:ascii="Times New Roman" w:hAnsi="Times New Roman" w:eastAsia="宋体" w:cs="Times New Roman"/>
                      <w:sz w:val="21"/>
                      <w:szCs w:val="21"/>
                      <w:lang w:val="en-US" w:eastAsia="zh-CN"/>
                    </w:rPr>
                    <w:t>。</w:t>
                  </w:r>
                </w:p>
              </w:tc>
              <w:tc>
                <w:tcPr>
                  <w:tcW w:w="502"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加强八里河、净肠河、灰河、冷水河4个水环境质量改善河流的治理力度，采取控源截污、清淤、生态修复等措施，确保水环境质量持续改善。</w:t>
                  </w:r>
                </w:p>
              </w:tc>
              <w:tc>
                <w:tcPr>
                  <w:tcW w:w="1079" w:type="pct"/>
                  <w:vMerge w:val="continue"/>
                  <w:noWrap w:val="0"/>
                  <w:vAlign w:val="center"/>
                </w:tcPr>
                <w:p>
                  <w:pPr>
                    <w:jc w:val="center"/>
                    <w:rPr>
                      <w:rFonts w:hint="default" w:ascii="Times New Roman" w:hAnsi="Times New Roman" w:eastAsia="宋体" w:cs="Times New Roman"/>
                      <w:sz w:val="21"/>
                      <w:szCs w:val="21"/>
                    </w:rPr>
                  </w:pPr>
                </w:p>
              </w:tc>
              <w:tc>
                <w:tcPr>
                  <w:tcW w:w="502"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noWrap w:val="0"/>
                  <w:vAlign w:val="center"/>
                </w:tcPr>
                <w:p>
                  <w:pPr>
                    <w:jc w:val="center"/>
                    <w:rPr>
                      <w:rFonts w:hint="default" w:ascii="Times New Roman" w:hAnsi="Times New Roman" w:eastAsia="宋体" w:cs="Times New Roman"/>
                      <w:sz w:val="21"/>
                      <w:szCs w:val="21"/>
                    </w:rPr>
                  </w:pPr>
                </w:p>
              </w:tc>
              <w:tc>
                <w:tcPr>
                  <w:tcW w:w="35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污染物排放要求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r>
                    <w:rPr>
                      <w:rFonts w:hint="default" w:ascii="Times New Roman" w:hAnsi="Times New Roman" w:eastAsia="宋体" w:cs="Times New Roman"/>
                      <w:sz w:val="21"/>
                      <w:szCs w:val="21"/>
                      <w:lang w:val="en-US" w:eastAsia="zh-CN"/>
                    </w:rPr>
                    <w:t>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p>
              </w:tc>
              <w:tc>
                <w:tcPr>
                  <w:tcW w:w="107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本项目属于C4220非金属废料和碎屑加工处理，属于鼓励类项目。不属于《市场准入负面清单（2020年版）》禁止准入项目。本项目不属于“两高”项目。</w:t>
                  </w:r>
                </w:p>
              </w:tc>
              <w:tc>
                <w:tcPr>
                  <w:tcW w:w="50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资源利用效率要求</w:t>
                  </w:r>
                </w:p>
              </w:tc>
              <w:tc>
                <w:tcPr>
                  <w:tcW w:w="35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水资源利用总量要求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到2020年，全市年用水总量（含汝州市）控制在14.169亿立方米以内，万元国内生产总值用水量比2015年降低31%，万元工业增加值用水量比2015年降低26.2%，农田灌溉水有效利用系数提高到0.6</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tc>
              <w:tc>
                <w:tcPr>
                  <w:tcW w:w="1079"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sz w:val="21"/>
                      <w:szCs w:val="21"/>
                      <w:u w:val="none"/>
                      <w:lang w:val="en-US" w:eastAsia="zh-CN"/>
                    </w:rPr>
                    <w:t>本项目用水来自</w:t>
                  </w:r>
                  <w:r>
                    <w:rPr>
                      <w:rFonts w:hint="eastAsia" w:cs="Times New Roman"/>
                      <w:b w:val="0"/>
                      <w:bCs w:val="0"/>
                      <w:color w:val="000000"/>
                      <w:sz w:val="21"/>
                      <w:szCs w:val="21"/>
                      <w:u w:val="none"/>
                      <w:lang w:val="en-US" w:eastAsia="zh-CN"/>
                    </w:rPr>
                    <w:t>河南旭原不锈钢有限公司现有的集聚区供水管网</w:t>
                  </w:r>
                  <w:r>
                    <w:rPr>
                      <w:rFonts w:hint="default" w:ascii="Times New Roman" w:hAnsi="Times New Roman" w:eastAsia="宋体" w:cs="Times New Roman"/>
                      <w:b w:val="0"/>
                      <w:bCs w:val="0"/>
                      <w:color w:val="000000"/>
                      <w:sz w:val="21"/>
                      <w:szCs w:val="21"/>
                      <w:u w:val="none"/>
                      <w:lang w:val="en-US" w:eastAsia="zh-CN"/>
                    </w:rPr>
                    <w:t>。并且本项目生产用水除少部分损耗外，均能够循环使用，不外排；水资源利用率较高。</w:t>
                  </w:r>
                </w:p>
              </w:tc>
              <w:tc>
                <w:tcPr>
                  <w:tcW w:w="502"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合理调整工业布局和产业结构，限制高耗水项目，淘汰高耗水工艺和设备；鼓励节水技术开发和节水设备、器具的研制，重点抓工业内部循环用水，提高重复利用率。</w:t>
                  </w:r>
                </w:p>
              </w:tc>
              <w:tc>
                <w:tcPr>
                  <w:tcW w:w="1079" w:type="pct"/>
                  <w:vMerge w:val="continue"/>
                  <w:noWrap w:val="0"/>
                  <w:vAlign w:val="center"/>
                </w:tcPr>
                <w:p>
                  <w:pPr>
                    <w:jc w:val="center"/>
                    <w:rPr>
                      <w:rFonts w:hint="default" w:ascii="Times New Roman" w:hAnsi="Times New Roman" w:eastAsia="宋体" w:cs="Times New Roman"/>
                      <w:sz w:val="21"/>
                      <w:szCs w:val="21"/>
                    </w:rPr>
                  </w:pPr>
                </w:p>
              </w:tc>
              <w:tc>
                <w:tcPr>
                  <w:tcW w:w="502"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地下水开采要求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到2020年，城镇和工业用水计量率达到85%以上，农业灌溉用水计量率达到70%以上。</w:t>
                  </w:r>
                </w:p>
              </w:tc>
              <w:tc>
                <w:tcPr>
                  <w:tcW w:w="1079"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u w:val="none"/>
                      <w:lang w:val="en-US" w:eastAsia="zh-CN"/>
                    </w:rPr>
                    <w:t>本项目用水来自河南旭原不锈钢有限公司现有</w:t>
                  </w:r>
                  <w:r>
                    <w:rPr>
                      <w:rFonts w:hint="eastAsia" w:cs="Times New Roman"/>
                      <w:b w:val="0"/>
                      <w:bCs w:val="0"/>
                      <w:color w:val="000000"/>
                      <w:sz w:val="21"/>
                      <w:szCs w:val="21"/>
                      <w:u w:val="none"/>
                      <w:lang w:val="en-US" w:eastAsia="zh-CN"/>
                    </w:rPr>
                    <w:t>的集聚区</w:t>
                  </w:r>
                  <w:r>
                    <w:rPr>
                      <w:rFonts w:hint="default" w:ascii="Times New Roman" w:hAnsi="Times New Roman" w:eastAsia="宋体" w:cs="Times New Roman"/>
                      <w:b w:val="0"/>
                      <w:bCs w:val="0"/>
                      <w:color w:val="000000"/>
                      <w:sz w:val="21"/>
                      <w:szCs w:val="21"/>
                      <w:u w:val="none"/>
                      <w:lang w:val="en-US" w:eastAsia="zh-CN"/>
                    </w:rPr>
                    <w:t>供水管网。</w:t>
                  </w:r>
                </w:p>
              </w:tc>
              <w:tc>
                <w:tcPr>
                  <w:tcW w:w="502"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对公共供水能力能够满足用水需求的和南水北调受水区内，应逐步关停自备井，停止开采地下水。在城市公共供水管网能够满足用水需要还要申请地下水的，以及在严重超采区内取用地下水的，不予批准。</w:t>
                  </w:r>
                </w:p>
              </w:tc>
              <w:tc>
                <w:tcPr>
                  <w:tcW w:w="1079" w:type="pct"/>
                  <w:vMerge w:val="continue"/>
                  <w:noWrap w:val="0"/>
                  <w:vAlign w:val="center"/>
                </w:tcPr>
                <w:p>
                  <w:pPr>
                    <w:jc w:val="center"/>
                    <w:rPr>
                      <w:rFonts w:hint="default" w:ascii="Times New Roman" w:hAnsi="Times New Roman" w:eastAsia="宋体" w:cs="Times New Roman"/>
                      <w:sz w:val="21"/>
                      <w:szCs w:val="21"/>
                    </w:rPr>
                  </w:pPr>
                </w:p>
              </w:tc>
              <w:tc>
                <w:tcPr>
                  <w:tcW w:w="502"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能源利用总量及效率要求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“到2020年，全市煤炭消费总量（含汝州）控制在2604万吨以内”</w:t>
                  </w:r>
                  <w:r>
                    <w:rPr>
                      <w:rFonts w:hint="default" w:ascii="Times New Roman" w:hAnsi="Times New Roman" w:eastAsia="宋体" w:cs="Times New Roman"/>
                      <w:sz w:val="21"/>
                      <w:szCs w:val="21"/>
                      <w:lang w:eastAsia="zh-CN"/>
                    </w:rPr>
                    <w:t>“十四五”</w:t>
                  </w:r>
                  <w:r>
                    <w:rPr>
                      <w:rFonts w:hint="default" w:ascii="Times New Roman" w:hAnsi="Times New Roman" w:eastAsia="宋体" w:cs="Times New Roman"/>
                      <w:sz w:val="21"/>
                      <w:szCs w:val="21"/>
                    </w:rPr>
                    <w:t>能耗</w:t>
                  </w:r>
                  <w:r>
                    <w:rPr>
                      <w:rFonts w:hint="default" w:ascii="Times New Roman" w:hAnsi="Times New Roman" w:eastAsia="宋体" w:cs="Times New Roman"/>
                      <w:sz w:val="21"/>
                      <w:szCs w:val="21"/>
                      <w:lang w:eastAsia="zh-CN"/>
                    </w:rPr>
                    <w:t>双控和减煤目标：</w:t>
                  </w:r>
                  <w:r>
                    <w:rPr>
                      <w:rFonts w:hint="default" w:ascii="Times New Roman" w:hAnsi="Times New Roman" w:eastAsia="宋体" w:cs="Times New Roman"/>
                      <w:sz w:val="21"/>
                      <w:szCs w:val="21"/>
                    </w:rPr>
                    <w:t>强度初步下降14.5%，能耗增量控制目标105万吨标准煤；煤炭消费总量降低目标14%，煤炭消费总量控制目标1940万吨。</w:t>
                  </w:r>
                </w:p>
              </w:tc>
              <w:tc>
                <w:tcPr>
                  <w:tcW w:w="107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煤消费占比达到省定要求。严格落实《河南省耗煤项目煤炭消费替代管理（暂行）办法》，所有新建、改建、扩建耗煤项目一律实施煤炭减量或等量替代，电力行业新增耗煤项目要实行等量替代；新上非电行业耗煤项目新增燃料煤总量实行1.5倍减量替代；对未完成2019年度煤炭消费减量目标的县</w:t>
                  </w:r>
                  <w:r>
                    <w:rPr>
                      <w:rFonts w:hint="eastAsia" w:cs="Times New Roman"/>
                      <w:sz w:val="21"/>
                      <w:szCs w:val="21"/>
                      <w:lang w:eastAsia="zh-CN"/>
                    </w:rPr>
                    <w:t>（</w:t>
                  </w:r>
                  <w:r>
                    <w:rPr>
                      <w:rFonts w:hint="default" w:ascii="Times New Roman" w:hAnsi="Times New Roman" w:eastAsia="宋体" w:cs="Times New Roman"/>
                      <w:sz w:val="21"/>
                      <w:szCs w:val="21"/>
                    </w:rPr>
                    <w:t>市</w:t>
                  </w:r>
                  <w:r>
                    <w:rPr>
                      <w:rFonts w:hint="eastAsia" w:cs="Times New Roman"/>
                      <w:sz w:val="21"/>
                      <w:szCs w:val="21"/>
                      <w:lang w:eastAsia="zh-CN"/>
                    </w:rPr>
                    <w:t>）</w:t>
                  </w:r>
                  <w:r>
                    <w:rPr>
                      <w:rFonts w:hint="default" w:ascii="Times New Roman" w:hAnsi="Times New Roman" w:eastAsia="宋体" w:cs="Times New Roman"/>
                      <w:sz w:val="21"/>
                      <w:szCs w:val="21"/>
                    </w:rPr>
                    <w:t>，实行耗煤项目区域限批</w:t>
                  </w:r>
                  <w:r>
                    <w:rPr>
                      <w:rFonts w:hint="eastAsia" w:cs="Times New Roman"/>
                      <w:sz w:val="21"/>
                      <w:szCs w:val="21"/>
                      <w:lang w:eastAsia="zh-CN"/>
                    </w:rPr>
                    <w:t>（</w:t>
                  </w:r>
                  <w:r>
                    <w:rPr>
                      <w:rFonts w:hint="default" w:ascii="Times New Roman" w:hAnsi="Times New Roman" w:eastAsia="宋体" w:cs="Times New Roman"/>
                      <w:sz w:val="21"/>
                      <w:szCs w:val="21"/>
                    </w:rPr>
                    <w:t>民生项目除外</w:t>
                  </w:r>
                  <w:r>
                    <w:rPr>
                      <w:rFonts w:hint="eastAsia" w:cs="Times New Roman"/>
                      <w:sz w:val="21"/>
                      <w:szCs w:val="21"/>
                      <w:lang w:eastAsia="zh-CN"/>
                    </w:rPr>
                    <w:t>）</w:t>
                  </w:r>
                  <w:r>
                    <w:rPr>
                      <w:rFonts w:hint="default" w:ascii="Times New Roman" w:hAnsi="Times New Roman" w:eastAsia="宋体" w:cs="Times New Roman"/>
                      <w:sz w:val="21"/>
                      <w:szCs w:val="21"/>
                    </w:rPr>
                    <w:t>；对2019年度空气质量排序末位的县</w:t>
                  </w:r>
                  <w:r>
                    <w:rPr>
                      <w:rFonts w:hint="eastAsia" w:cs="Times New Roman"/>
                      <w:sz w:val="21"/>
                      <w:szCs w:val="21"/>
                      <w:lang w:eastAsia="zh-CN"/>
                    </w:rPr>
                    <w:t>（</w:t>
                  </w:r>
                  <w:r>
                    <w:rPr>
                      <w:rFonts w:hint="default" w:ascii="Times New Roman" w:hAnsi="Times New Roman" w:eastAsia="宋体" w:cs="Times New Roman"/>
                      <w:sz w:val="21"/>
                      <w:szCs w:val="21"/>
                    </w:rPr>
                    <w:t>市、区</w:t>
                  </w:r>
                  <w:r>
                    <w:rPr>
                      <w:rFonts w:hint="eastAsia" w:cs="Times New Roman"/>
                      <w:sz w:val="21"/>
                      <w:szCs w:val="21"/>
                      <w:lang w:eastAsia="zh-CN"/>
                    </w:rPr>
                    <w:t>）</w:t>
                  </w:r>
                  <w:r>
                    <w:rPr>
                      <w:rFonts w:hint="default" w:ascii="Times New Roman" w:hAnsi="Times New Roman" w:eastAsia="宋体" w:cs="Times New Roman"/>
                      <w:sz w:val="21"/>
                      <w:szCs w:val="21"/>
                    </w:rPr>
                    <w:t>新上非电行业燃煤项目实行2倍减量替代；除热电联产项目以外，全市不再核准“十三五”期间新投产的燃煤发电项目。到2020年，省内消费煤炭热值标准力争提高10%以上，其中，煤电机组入炉煤发热量力争达到5000大卡/千克。到2020年，全市万元生产总值能源消耗较2015年降低17%，能源消费总量控制在1152万吨标准煤以内。</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新建耗煤项目严格按规定采取煤炭消费减量替代措施，不得使用高污染燃料作为煤炭减量替代措施。</w:t>
                  </w:r>
                </w:p>
              </w:tc>
              <w:tc>
                <w:tcPr>
                  <w:tcW w:w="1079"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vMerge w:val="continue"/>
                  <w:noWrap w:val="0"/>
                  <w:vAlign w:val="center"/>
                </w:tcPr>
                <w:p>
                  <w:pPr>
                    <w:jc w:val="center"/>
                    <w:rPr>
                      <w:rFonts w:hint="default" w:ascii="Times New Roman" w:hAnsi="Times New Roman" w:eastAsia="宋体" w:cs="Times New Roman"/>
                      <w:sz w:val="21"/>
                      <w:szCs w:val="21"/>
                    </w:rPr>
                  </w:pP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积极推动铁路专用线建设，落实《河南省加快推进铁路专用线进企入园工程实施方案》，推进煤炭、钢铁、电力、焦化、水泥等大宗货物年运输量150万吨以上的大型工矿企业以及大型物流园区新</w:t>
                  </w:r>
                  <w:r>
                    <w:rPr>
                      <w:rFonts w:hint="eastAsia" w:cs="Times New Roman"/>
                      <w:sz w:val="21"/>
                      <w:szCs w:val="21"/>
                      <w:lang w:eastAsia="zh-CN"/>
                    </w:rPr>
                    <w:t>（</w:t>
                  </w:r>
                  <w:r>
                    <w:rPr>
                      <w:rFonts w:hint="default" w:ascii="Times New Roman" w:hAnsi="Times New Roman" w:eastAsia="宋体" w:cs="Times New Roman"/>
                      <w:sz w:val="21"/>
                      <w:szCs w:val="21"/>
                    </w:rPr>
                    <w:t>改、扩</w:t>
                  </w:r>
                  <w:r>
                    <w:rPr>
                      <w:rFonts w:hint="eastAsia" w:cs="Times New Roman"/>
                      <w:sz w:val="21"/>
                      <w:szCs w:val="21"/>
                      <w:lang w:eastAsia="zh-CN"/>
                    </w:rPr>
                    <w:t>）</w:t>
                  </w:r>
                  <w:r>
                    <w:rPr>
                      <w:rFonts w:hint="default" w:ascii="Times New Roman" w:hAnsi="Times New Roman" w:eastAsia="宋体" w:cs="Times New Roman"/>
                      <w:sz w:val="21"/>
                      <w:szCs w:val="21"/>
                    </w:rPr>
                    <w:t>建铁路专用线</w:t>
                  </w:r>
                </w:p>
              </w:tc>
              <w:tc>
                <w:tcPr>
                  <w:tcW w:w="10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本项目不涉及</w:t>
                  </w:r>
                </w:p>
              </w:tc>
              <w:tc>
                <w:tcPr>
                  <w:tcW w:w="50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36" w:type="pct"/>
                  <w:vMerge w:val="continue"/>
                  <w:noWrap w:val="0"/>
                  <w:vAlign w:val="center"/>
                </w:tcPr>
                <w:p>
                  <w:pPr>
                    <w:jc w:val="center"/>
                    <w:rPr>
                      <w:rFonts w:hint="default" w:ascii="Times New Roman" w:hAnsi="Times New Roman" w:eastAsia="宋体" w:cs="Times New Roman"/>
                      <w:sz w:val="21"/>
                      <w:szCs w:val="21"/>
                    </w:rPr>
                  </w:pPr>
                </w:p>
              </w:tc>
              <w:tc>
                <w:tcPr>
                  <w:tcW w:w="355"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土地资源开发规模要求</w:t>
                  </w:r>
                </w:p>
              </w:tc>
              <w:tc>
                <w:tcPr>
                  <w:tcW w:w="295"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252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调整后规划2020年，人均城镇工矿用地不高于110平方米/人，单位建设用地地区生产总值由2014年123万元/公顷增加到2020年167万元/公顷，同期亿元固定资产投资新增建设用地面积下降35%。调整后，2015</w:t>
                  </w:r>
                  <w:r>
                    <w:rPr>
                      <w:rFonts w:hint="eastAsia" w:cs="Times New Roman"/>
                      <w:sz w:val="21"/>
                      <w:szCs w:val="21"/>
                      <w:lang w:eastAsia="zh-CN"/>
                    </w:rPr>
                    <w:t>—</w:t>
                  </w:r>
                  <w:r>
                    <w:rPr>
                      <w:rFonts w:hint="default" w:ascii="Times New Roman" w:hAnsi="Times New Roman" w:eastAsia="宋体" w:cs="Times New Roman"/>
                      <w:sz w:val="21"/>
                      <w:szCs w:val="21"/>
                    </w:rPr>
                    <w:t>2020年规划通过土地整治补充耕地不低于10935.00公顷，其中通过农村居民点整理补充耕地不低于7931.85公顷，通过土地复垦补充耕地不低于124.11公顷，通过宜耕土地开发补充耕地不低于2879.04公顷。到2020年，全市耕地保有量不少于315416公顷，基本农田保护面积不少于268500公顷。到2020年，全市城乡建设用地规模控制在88400公顷以内，人均城镇工矿用地控制在118平方米以内。严格控制中心城区用地规模，中心城区土地利用要以调整、改造、挖潜为主，建设用地扩展应优先利用闲置地、空闲地，尽量不占或少占耕地。到2020年，中心城区建设用地规模控制在106平方公里以内。</w:t>
                  </w:r>
                </w:p>
              </w:tc>
              <w:tc>
                <w:tcPr>
                  <w:tcW w:w="10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sz w:val="21"/>
                      <w:szCs w:val="21"/>
                      <w:u w:val="none"/>
                      <w:lang w:val="en-US" w:eastAsia="zh-CN"/>
                    </w:rPr>
                    <w:t>本项目位于</w:t>
                  </w:r>
                  <w:r>
                    <w:rPr>
                      <w:rFonts w:hint="eastAsia" w:cs="Times New Roman"/>
                      <w:b w:val="0"/>
                      <w:bCs w:val="0"/>
                      <w:color w:val="000000"/>
                      <w:sz w:val="21"/>
                      <w:szCs w:val="21"/>
                      <w:u w:val="none"/>
                      <w:lang w:val="en-US" w:eastAsia="zh-CN"/>
                    </w:rPr>
                    <w:t>平顶山市宝丰县宝丰高新技术产业开发区旭原不锈钢院内8号厂房</w:t>
                  </w:r>
                  <w:r>
                    <w:rPr>
                      <w:rFonts w:hint="default" w:ascii="Times New Roman" w:hAnsi="Times New Roman" w:eastAsia="宋体" w:cs="Times New Roman"/>
                      <w:b w:val="0"/>
                      <w:bCs w:val="0"/>
                      <w:color w:val="000000"/>
                      <w:sz w:val="21"/>
                      <w:szCs w:val="21"/>
                      <w:u w:val="none"/>
                      <w:lang w:val="en-US" w:eastAsia="zh-CN"/>
                    </w:rPr>
                    <w:t>，根据</w:t>
                  </w:r>
                  <w:r>
                    <w:rPr>
                      <w:rFonts w:hint="eastAsia" w:cs="Times New Roman"/>
                      <w:b w:val="0"/>
                      <w:bCs w:val="0"/>
                      <w:color w:val="000000"/>
                      <w:sz w:val="21"/>
                      <w:szCs w:val="21"/>
                      <w:u w:val="none"/>
                      <w:lang w:val="en-US" w:eastAsia="zh-CN"/>
                    </w:rPr>
                    <w:t>业主提供土地手续，本项目所在地块用地性质为工业用地不会占用耕地。</w:t>
                  </w:r>
                </w:p>
              </w:tc>
              <w:tc>
                <w:tcPr>
                  <w:tcW w:w="50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相符</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strike w:val="0"/>
                <w:dstrike w:val="0"/>
                <w:color w:val="auto"/>
                <w:sz w:val="24"/>
                <w:szCs w:val="24"/>
                <w:u w:val="none"/>
                <w:lang w:val="en-US" w:eastAsia="zh-CN"/>
              </w:rPr>
            </w:pPr>
            <w:r>
              <w:rPr>
                <w:rFonts w:hint="eastAsia" w:ascii="Times New Roman" w:hAnsi="Times New Roman" w:eastAsia="宋体" w:cs="Times New Roman"/>
                <w:b w:val="0"/>
                <w:bCs w:val="0"/>
                <w:strike w:val="0"/>
                <w:dstrike w:val="0"/>
                <w:color w:val="auto"/>
                <w:sz w:val="24"/>
                <w:szCs w:val="24"/>
                <w:u w:val="none"/>
                <w:lang w:val="en-US" w:eastAsia="zh-CN"/>
              </w:rPr>
              <w:t>综上所述，本项目</w:t>
            </w:r>
            <w:r>
              <w:rPr>
                <w:rFonts w:hint="eastAsia" w:cs="Times New Roman"/>
                <w:b w:val="0"/>
                <w:bCs w:val="0"/>
                <w:strike w:val="0"/>
                <w:dstrike w:val="0"/>
                <w:color w:val="auto"/>
                <w:sz w:val="24"/>
                <w:szCs w:val="24"/>
                <w:u w:val="none"/>
                <w:lang w:val="en-US" w:eastAsia="zh-CN"/>
              </w:rPr>
              <w:t>符合</w:t>
            </w:r>
            <w:r>
              <w:rPr>
                <w:rFonts w:hint="eastAsia" w:ascii="Times New Roman" w:hAnsi="Times New Roman" w:eastAsia="宋体" w:cs="Times New Roman"/>
                <w:b w:val="0"/>
                <w:bCs w:val="0"/>
                <w:strike w:val="0"/>
                <w:dstrike w:val="0"/>
                <w:color w:val="auto"/>
                <w:sz w:val="24"/>
                <w:szCs w:val="24"/>
                <w:u w:val="none"/>
                <w:lang w:val="en-US" w:eastAsia="zh-CN"/>
              </w:rPr>
              <w:t>《平顶山市生态环境准入清单（试行）》文件相关要求</w:t>
            </w:r>
            <w:r>
              <w:rPr>
                <w:rFonts w:hint="eastAsia" w:cs="Times New Roman"/>
                <w:b w:val="0"/>
                <w:bCs w:val="0"/>
                <w:strike w:val="0"/>
                <w:dstrike w:val="0"/>
                <w:color w:val="auto"/>
                <w:sz w:val="24"/>
                <w:szCs w:val="24"/>
                <w:u w:val="none"/>
                <w:lang w:val="en-US" w:eastAsia="zh-CN"/>
              </w:rPr>
              <w:t>。</w:t>
            </w:r>
          </w:p>
          <w:p>
            <w:pPr>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w:t>
            </w:r>
            <w:r>
              <w:rPr>
                <w:rFonts w:hint="eastAsia" w:ascii="Times New Roman" w:hAnsi="Times New Roman" w:eastAsia="宋体" w:cs="Times New Roman"/>
                <w:b/>
                <w:bCs/>
                <w:sz w:val="24"/>
                <w:lang w:val="en-US" w:eastAsia="zh-CN"/>
              </w:rPr>
              <w:t>4</w:t>
            </w:r>
            <w:r>
              <w:rPr>
                <w:rFonts w:hint="default" w:ascii="Times New Roman" w:hAnsi="Times New Roman" w:eastAsia="宋体" w:cs="Times New Roman"/>
                <w:b/>
                <w:bCs/>
                <w:sz w:val="24"/>
                <w:lang w:val="en-US" w:eastAsia="zh-CN"/>
              </w:rPr>
              <w:t>）与县级集中式饮用水水源保护区划相符性分析</w:t>
            </w:r>
          </w:p>
          <w:p>
            <w:pPr>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根据《河南省人民政府办公厅关于印发河南省县级集中式饮用水水源保护区划的通知》（豫政办</w:t>
            </w:r>
            <w:r>
              <w:rPr>
                <w:rFonts w:hint="eastAsia" w:cs="Times New Roman"/>
                <w:b w:val="0"/>
                <w:bCs w:val="0"/>
                <w:sz w:val="24"/>
                <w:lang w:val="en-US" w:eastAsia="zh-CN"/>
              </w:rPr>
              <w:t>〔</w:t>
            </w:r>
            <w:r>
              <w:rPr>
                <w:rFonts w:hint="default" w:ascii="Times New Roman" w:hAnsi="Times New Roman" w:eastAsia="宋体" w:cs="Times New Roman"/>
                <w:b w:val="0"/>
                <w:bCs w:val="0"/>
                <w:sz w:val="24"/>
                <w:lang w:val="en-US" w:eastAsia="zh-CN"/>
              </w:rPr>
              <w:t>2013</w:t>
            </w:r>
            <w:r>
              <w:rPr>
                <w:rFonts w:hint="eastAsia" w:cs="Times New Roman"/>
                <w:b w:val="0"/>
                <w:bCs w:val="0"/>
                <w:sz w:val="24"/>
                <w:lang w:val="en-US" w:eastAsia="zh-CN"/>
              </w:rPr>
              <w:t>〕</w:t>
            </w:r>
            <w:r>
              <w:rPr>
                <w:rFonts w:hint="default" w:ascii="Times New Roman" w:hAnsi="Times New Roman" w:eastAsia="宋体" w:cs="Times New Roman"/>
                <w:b w:val="0"/>
                <w:bCs w:val="0"/>
                <w:sz w:val="24"/>
                <w:lang w:val="en-US" w:eastAsia="zh-CN"/>
              </w:rPr>
              <w:t>107号）及《河南省人民政府关于调整取消部分集中式饮用水水源保护区的通知》（豫政文【20</w:t>
            </w:r>
            <w:r>
              <w:rPr>
                <w:rFonts w:hint="eastAsia" w:cs="Times New Roman"/>
                <w:b w:val="0"/>
                <w:bCs w:val="0"/>
                <w:sz w:val="24"/>
                <w:lang w:val="en-US" w:eastAsia="zh-CN"/>
              </w:rPr>
              <w:t>19</w:t>
            </w:r>
            <w:r>
              <w:rPr>
                <w:rFonts w:hint="default" w:ascii="Times New Roman" w:hAnsi="Times New Roman" w:eastAsia="宋体" w:cs="Times New Roman"/>
                <w:b w:val="0"/>
                <w:bCs w:val="0"/>
                <w:sz w:val="24"/>
                <w:lang w:val="en-US" w:eastAsia="zh-CN"/>
              </w:rPr>
              <w:t>】</w:t>
            </w:r>
            <w:r>
              <w:rPr>
                <w:rFonts w:hint="eastAsia" w:cs="Times New Roman"/>
                <w:b w:val="0"/>
                <w:bCs w:val="0"/>
                <w:sz w:val="24"/>
                <w:lang w:val="en-US" w:eastAsia="zh-CN"/>
              </w:rPr>
              <w:t>162</w:t>
            </w:r>
            <w:r>
              <w:rPr>
                <w:rFonts w:hint="default" w:ascii="Times New Roman" w:hAnsi="Times New Roman" w:eastAsia="宋体" w:cs="Times New Roman"/>
                <w:b w:val="0"/>
                <w:bCs w:val="0"/>
                <w:sz w:val="24"/>
                <w:lang w:val="en-US" w:eastAsia="zh-CN"/>
              </w:rPr>
              <w:t>号）中相关内容</w:t>
            </w:r>
            <w:r>
              <w:rPr>
                <w:rFonts w:hint="eastAsia" w:cs="Times New Roman"/>
                <w:b w:val="0"/>
                <w:bCs w:val="0"/>
                <w:sz w:val="24"/>
                <w:lang w:val="en-US" w:eastAsia="zh-CN"/>
              </w:rPr>
              <w:t>得知</w:t>
            </w:r>
            <w:r>
              <w:rPr>
                <w:rFonts w:hint="default" w:ascii="Times New Roman" w:hAnsi="Times New Roman" w:eastAsia="宋体" w:cs="Times New Roman"/>
                <w:b w:val="0"/>
                <w:bCs w:val="0"/>
                <w:sz w:val="24"/>
                <w:lang w:val="en-US" w:eastAsia="zh-CN"/>
              </w:rPr>
              <w:t>，</w:t>
            </w:r>
            <w:r>
              <w:rPr>
                <w:rFonts w:hint="eastAsia" w:cs="Times New Roman"/>
                <w:b w:val="0"/>
                <w:bCs w:val="0"/>
                <w:sz w:val="24"/>
                <w:lang w:val="en-US" w:eastAsia="zh-CN"/>
              </w:rPr>
              <w:t>宝丰县龙兴寺水库不再作为宝丰县</w:t>
            </w:r>
            <w:r>
              <w:rPr>
                <w:rFonts w:hint="default" w:ascii="Times New Roman" w:hAnsi="Times New Roman" w:eastAsia="宋体" w:cs="Times New Roman"/>
                <w:b w:val="0"/>
                <w:bCs w:val="0"/>
                <w:sz w:val="24"/>
                <w:lang w:val="en-US" w:eastAsia="zh-CN"/>
              </w:rPr>
              <w:t>县级集中式饮用水水源保护区</w:t>
            </w:r>
            <w:r>
              <w:rPr>
                <w:rFonts w:hint="eastAsia" w:cs="Times New Roman"/>
                <w:b w:val="0"/>
                <w:bCs w:val="0"/>
                <w:sz w:val="24"/>
                <w:lang w:val="en-US" w:eastAsia="zh-CN"/>
              </w:rPr>
              <w:t>。</w:t>
            </w:r>
          </w:p>
          <w:p>
            <w:pPr>
              <w:spacing w:line="360" w:lineRule="auto"/>
              <w:ind w:firstLine="480" w:firstLineChars="200"/>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本项目位于</w:t>
            </w:r>
            <w:r>
              <w:rPr>
                <w:rFonts w:hint="eastAsia" w:cs="Times New Roman"/>
                <w:b w:val="0"/>
                <w:bCs w:val="0"/>
                <w:color w:val="auto"/>
                <w:sz w:val="24"/>
                <w:u w:val="none"/>
                <w:lang w:eastAsia="zh-CN"/>
              </w:rPr>
              <w:t>平顶山市宝丰县宝丰高新技术产业开发区旭原不锈钢院内8号厂房</w:t>
            </w:r>
            <w:r>
              <w:rPr>
                <w:rFonts w:hint="default" w:ascii="Times New Roman" w:hAnsi="Times New Roman" w:cs="Times New Roman"/>
                <w:b w:val="0"/>
                <w:bCs w:val="0"/>
                <w:color w:val="auto"/>
                <w:sz w:val="24"/>
                <w:u w:val="none"/>
              </w:rPr>
              <w:t>，项目建设区域不涉及</w:t>
            </w:r>
            <w:r>
              <w:rPr>
                <w:rFonts w:hint="eastAsia" w:cs="Times New Roman"/>
                <w:b w:val="0"/>
                <w:bCs w:val="0"/>
                <w:sz w:val="24"/>
                <w:lang w:val="en-US" w:eastAsia="zh-CN"/>
              </w:rPr>
              <w:t>宝丰县</w:t>
            </w:r>
            <w:r>
              <w:rPr>
                <w:rFonts w:hint="default" w:ascii="Times New Roman" w:hAnsi="Times New Roman" w:eastAsia="宋体" w:cs="Times New Roman"/>
                <w:b w:val="0"/>
                <w:bCs w:val="0"/>
                <w:sz w:val="24"/>
                <w:lang w:val="en-US" w:eastAsia="zh-CN"/>
              </w:rPr>
              <w:t>县级集中式饮用水水源保护区</w:t>
            </w:r>
            <w:r>
              <w:rPr>
                <w:rFonts w:hint="default" w:ascii="Times New Roman" w:hAnsi="Times New Roman" w:cs="Times New Roman"/>
                <w:b w:val="0"/>
                <w:bCs w:val="0"/>
                <w:color w:val="auto"/>
                <w:sz w:val="24"/>
                <w:u w:val="none"/>
              </w:rPr>
              <w:t>，项目的建设符合河南省县级集中式饮用水水源保护区划要求。综上分析，本项目选址不涉及饮用水水源保护区。</w:t>
            </w:r>
          </w:p>
          <w:p>
            <w:pPr>
              <w:spacing w:line="360" w:lineRule="auto"/>
              <w:ind w:firstLine="482" w:firstLineChars="200"/>
              <w:rPr>
                <w:rFonts w:hint="default" w:ascii="Times New Roman" w:hAnsi="Times New Roman" w:cs="Times New Roman"/>
                <w:b/>
                <w:bCs/>
                <w:sz w:val="24"/>
              </w:rPr>
            </w:pPr>
            <w:r>
              <w:rPr>
                <w:rFonts w:hint="eastAsia" w:cs="Times New Roman"/>
                <w:b/>
                <w:bCs/>
                <w:sz w:val="24"/>
                <w:lang w:eastAsia="zh-CN"/>
              </w:rPr>
              <w:t>（</w:t>
            </w:r>
            <w:r>
              <w:rPr>
                <w:rFonts w:hint="eastAsia" w:cs="Times New Roman"/>
                <w:b/>
                <w:bCs/>
                <w:sz w:val="24"/>
                <w:lang w:val="en-US" w:eastAsia="zh-CN"/>
              </w:rPr>
              <w:t>5</w:t>
            </w:r>
            <w:r>
              <w:rPr>
                <w:rFonts w:hint="eastAsia" w:cs="Times New Roman"/>
                <w:b/>
                <w:bCs/>
                <w:sz w:val="24"/>
                <w:lang w:eastAsia="zh-CN"/>
              </w:rPr>
              <w:t>）</w:t>
            </w:r>
            <w:r>
              <w:rPr>
                <w:rFonts w:hint="default" w:ascii="Times New Roman" w:hAnsi="Times New Roman" w:cs="Times New Roman"/>
                <w:b/>
                <w:bCs/>
                <w:sz w:val="24"/>
              </w:rPr>
              <w:t>与</w:t>
            </w:r>
            <w:r>
              <w:rPr>
                <w:rFonts w:hint="eastAsia" w:cs="Times New Roman"/>
                <w:b/>
                <w:bCs/>
                <w:sz w:val="24"/>
                <w:lang w:eastAsia="zh-CN"/>
              </w:rPr>
              <w:t>宝丰县</w:t>
            </w:r>
            <w:r>
              <w:rPr>
                <w:rFonts w:hint="default" w:ascii="Times New Roman" w:hAnsi="Times New Roman" w:cs="Times New Roman"/>
                <w:b/>
                <w:bCs/>
                <w:sz w:val="24"/>
              </w:rPr>
              <w:t>乡镇集中式饮用水水源保护区划相符性分析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根据《河南省人民政府办公厅关于印发河南省乡镇集中式饮用水水源保护区划的通知》（豫政办</w:t>
            </w:r>
            <w:r>
              <w:rPr>
                <w:rFonts w:hint="eastAsia" w:cs="Times New Roman"/>
                <w:sz w:val="24"/>
                <w:lang w:eastAsia="zh-CN"/>
              </w:rPr>
              <w:t>〔</w:t>
            </w:r>
            <w:r>
              <w:rPr>
                <w:rFonts w:hint="default" w:ascii="Times New Roman" w:hAnsi="Times New Roman" w:cs="Times New Roman"/>
                <w:sz w:val="24"/>
              </w:rPr>
              <w:t>2016</w:t>
            </w:r>
            <w:r>
              <w:rPr>
                <w:rFonts w:hint="eastAsia" w:cs="Times New Roman"/>
                <w:sz w:val="24"/>
                <w:lang w:eastAsia="zh-CN"/>
              </w:rPr>
              <w:t>〕</w:t>
            </w:r>
            <w:r>
              <w:rPr>
                <w:rFonts w:hint="default" w:ascii="Times New Roman" w:hAnsi="Times New Roman" w:cs="Times New Roman"/>
                <w:sz w:val="24"/>
              </w:rPr>
              <w:t>23号）及《河南省人民政府关于调整取消部分集中式饮用水水源保护区的通知》（</w:t>
            </w:r>
            <w:r>
              <w:rPr>
                <w:rFonts w:hint="default" w:ascii="Times New Roman" w:hAnsi="Times New Roman" w:eastAsia="宋体" w:cs="Times New Roman"/>
                <w:b w:val="0"/>
                <w:bCs w:val="0"/>
                <w:sz w:val="24"/>
                <w:lang w:val="en-US" w:eastAsia="zh-CN"/>
              </w:rPr>
              <w:t>豫政文【20</w:t>
            </w:r>
            <w:r>
              <w:rPr>
                <w:rFonts w:hint="eastAsia" w:cs="Times New Roman"/>
                <w:b w:val="0"/>
                <w:bCs w:val="0"/>
                <w:sz w:val="24"/>
                <w:lang w:val="en-US" w:eastAsia="zh-CN"/>
              </w:rPr>
              <w:t>19</w:t>
            </w:r>
            <w:r>
              <w:rPr>
                <w:rFonts w:hint="default" w:ascii="Times New Roman" w:hAnsi="Times New Roman" w:eastAsia="宋体" w:cs="Times New Roman"/>
                <w:b w:val="0"/>
                <w:bCs w:val="0"/>
                <w:sz w:val="24"/>
                <w:lang w:val="en-US" w:eastAsia="zh-CN"/>
              </w:rPr>
              <w:t>】</w:t>
            </w:r>
            <w:r>
              <w:rPr>
                <w:rFonts w:hint="eastAsia" w:cs="Times New Roman"/>
                <w:b w:val="0"/>
                <w:bCs w:val="0"/>
                <w:sz w:val="24"/>
                <w:lang w:val="en-US" w:eastAsia="zh-CN"/>
              </w:rPr>
              <w:t>162</w:t>
            </w:r>
            <w:r>
              <w:rPr>
                <w:rFonts w:hint="default" w:ascii="Times New Roman" w:hAnsi="Times New Roman" w:eastAsia="宋体" w:cs="Times New Roman"/>
                <w:b w:val="0"/>
                <w:bCs w:val="0"/>
                <w:sz w:val="24"/>
                <w:lang w:val="en-US" w:eastAsia="zh-CN"/>
              </w:rPr>
              <w:t>号</w:t>
            </w:r>
            <w:r>
              <w:rPr>
                <w:rFonts w:hint="default" w:ascii="Times New Roman" w:hAnsi="Times New Roman" w:cs="Times New Roman"/>
                <w:sz w:val="24"/>
              </w:rPr>
              <w:t>），</w:t>
            </w:r>
            <w:r>
              <w:rPr>
                <w:rFonts w:hint="eastAsia" w:cs="Times New Roman"/>
                <w:sz w:val="24"/>
                <w:lang w:eastAsia="zh-CN"/>
              </w:rPr>
              <w:t>宝丰县</w:t>
            </w:r>
            <w:r>
              <w:rPr>
                <w:rFonts w:hint="default" w:ascii="Times New Roman" w:hAnsi="Times New Roman" w:cs="Times New Roman"/>
                <w:sz w:val="24"/>
              </w:rPr>
              <w:t>乡镇集中式饮用水水源保护区划如下：</w:t>
            </w:r>
          </w:p>
          <w:p>
            <w:pPr>
              <w:spacing w:line="360" w:lineRule="auto"/>
              <w:ind w:firstLine="480" w:firstLineChars="200"/>
              <w:rPr>
                <w:rFonts w:hint="default" w:ascii="Times New Roman" w:hAnsi="Times New Roman" w:cs="Times New Roman"/>
                <w:sz w:val="24"/>
              </w:rPr>
            </w:pPr>
            <w:r>
              <w:rPr>
                <w:rFonts w:hint="eastAsia" w:ascii="微软雅黑" w:hAnsi="微软雅黑" w:eastAsia="微软雅黑" w:cs="微软雅黑"/>
                <w:sz w:val="24"/>
              </w:rPr>
              <w:t>①</w:t>
            </w:r>
            <w:r>
              <w:rPr>
                <w:rFonts w:hint="default" w:ascii="Times New Roman" w:hAnsi="Times New Roman" w:cs="Times New Roman"/>
                <w:sz w:val="24"/>
              </w:rPr>
              <w:t>宝丰县商酒务镇地下水井群</w:t>
            </w:r>
            <w:r>
              <w:rPr>
                <w:rFonts w:hint="eastAsia" w:cs="Times New Roman"/>
                <w:sz w:val="24"/>
                <w:lang w:eastAsia="zh-CN"/>
              </w:rPr>
              <w:t>（</w:t>
            </w:r>
            <w:r>
              <w:rPr>
                <w:rFonts w:hint="default" w:ascii="Times New Roman" w:hAnsi="Times New Roman" w:cs="Times New Roman"/>
                <w:sz w:val="24"/>
              </w:rPr>
              <w:t>共3眼井</w:t>
            </w:r>
            <w:r>
              <w:rPr>
                <w:rFonts w:hint="eastAsia" w:cs="Times New Roman"/>
                <w:sz w:val="24"/>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一级保护区范围</w:t>
            </w:r>
            <w:r>
              <w:rPr>
                <w:rFonts w:hint="eastAsia" w:cs="Times New Roman"/>
                <w:sz w:val="24"/>
                <w:lang w:eastAsia="zh-CN"/>
              </w:rPr>
              <w:t>：</w:t>
            </w:r>
            <w:r>
              <w:rPr>
                <w:rFonts w:hint="default" w:ascii="Times New Roman" w:hAnsi="Times New Roman" w:cs="Times New Roman"/>
                <w:sz w:val="24"/>
              </w:rPr>
              <w:t>水厂厂区及外围东30米、南15米的区域</w:t>
            </w:r>
            <w:r>
              <w:rPr>
                <w:rFonts w:hint="eastAsia" w:cs="Times New Roman"/>
                <w:sz w:val="24"/>
                <w:lang w:eastAsia="zh-CN"/>
              </w:rPr>
              <w:t>（</w:t>
            </w:r>
            <w:r>
              <w:rPr>
                <w:rFonts w:hint="default" w:ascii="Times New Roman" w:hAnsi="Times New Roman" w:cs="Times New Roman"/>
                <w:sz w:val="24"/>
              </w:rPr>
              <w:t>1号取水井</w:t>
            </w:r>
            <w:r>
              <w:rPr>
                <w:rFonts w:hint="eastAsia" w:cs="Times New Roman"/>
                <w:sz w:val="24"/>
                <w:lang w:eastAsia="zh-CN"/>
              </w:rPr>
              <w:t>）</w:t>
            </w:r>
            <w:r>
              <w:rPr>
                <w:rFonts w:hint="default" w:ascii="Times New Roman" w:hAnsi="Times New Roman" w:cs="Times New Roman"/>
                <w:sz w:val="24"/>
              </w:rPr>
              <w:t>,2、3号取水井外围30米的区域。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二级保护区范围</w:t>
            </w:r>
            <w:r>
              <w:rPr>
                <w:rFonts w:hint="eastAsia" w:cs="Times New Roman"/>
                <w:sz w:val="24"/>
                <w:lang w:eastAsia="zh-CN"/>
              </w:rPr>
              <w:t>：</w:t>
            </w:r>
            <w:r>
              <w:rPr>
                <w:rFonts w:hint="default" w:ascii="Times New Roman" w:hAnsi="Times New Roman" w:cs="Times New Roman"/>
                <w:sz w:val="24"/>
              </w:rPr>
              <w:t>一级保护区外</w:t>
            </w:r>
            <w:r>
              <w:rPr>
                <w:rFonts w:hint="eastAsia" w:cs="Times New Roman"/>
                <w:sz w:val="24"/>
                <w:lang w:eastAsia="zh-CN"/>
              </w:rPr>
              <w:t>，</w:t>
            </w:r>
            <w:r>
              <w:rPr>
                <w:rFonts w:hint="default" w:ascii="Times New Roman" w:hAnsi="Times New Roman" w:cs="Times New Roman"/>
                <w:sz w:val="24"/>
              </w:rPr>
              <w:t>水厂厂界东535米、西300米、南430米、北300米的区域。</w:t>
            </w:r>
          </w:p>
          <w:p>
            <w:pPr>
              <w:spacing w:line="360" w:lineRule="auto"/>
              <w:ind w:firstLine="480" w:firstLineChars="200"/>
              <w:rPr>
                <w:rFonts w:hint="default" w:ascii="Times New Roman" w:hAnsi="Times New Roman" w:cs="Times New Roman"/>
                <w:sz w:val="24"/>
              </w:rPr>
            </w:pPr>
            <w:r>
              <w:rPr>
                <w:rFonts w:hint="eastAsia" w:ascii="微软雅黑" w:hAnsi="微软雅黑" w:eastAsia="微软雅黑" w:cs="微软雅黑"/>
                <w:sz w:val="24"/>
              </w:rPr>
              <w:t>②</w:t>
            </w:r>
            <w:r>
              <w:rPr>
                <w:rFonts w:hint="default" w:ascii="Times New Roman" w:hAnsi="Times New Roman" w:cs="Times New Roman"/>
                <w:sz w:val="24"/>
              </w:rPr>
              <w:t>宝丰县闹店镇地下水井群</w:t>
            </w:r>
            <w:r>
              <w:rPr>
                <w:rFonts w:hint="eastAsia" w:cs="Times New Roman"/>
                <w:sz w:val="24"/>
                <w:lang w:eastAsia="zh-CN"/>
              </w:rPr>
              <w:t>（</w:t>
            </w:r>
            <w:r>
              <w:rPr>
                <w:rFonts w:hint="default" w:ascii="Times New Roman" w:hAnsi="Times New Roman" w:cs="Times New Roman"/>
                <w:sz w:val="24"/>
              </w:rPr>
              <w:t>共3眼井</w:t>
            </w:r>
            <w:r>
              <w:rPr>
                <w:rFonts w:hint="eastAsia" w:cs="Times New Roman"/>
                <w:sz w:val="24"/>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一级保护区范围</w:t>
            </w:r>
            <w:r>
              <w:rPr>
                <w:rFonts w:hint="eastAsia" w:cs="Times New Roman"/>
                <w:sz w:val="24"/>
                <w:lang w:eastAsia="zh-CN"/>
              </w:rPr>
              <w:t>：</w:t>
            </w:r>
            <w:r>
              <w:rPr>
                <w:rFonts w:hint="default" w:ascii="Times New Roman" w:hAnsi="Times New Roman" w:cs="Times New Roman"/>
                <w:sz w:val="24"/>
              </w:rPr>
              <w:t>水厂厂区及外围东25米、北20米的区域</w:t>
            </w:r>
            <w:r>
              <w:rPr>
                <w:rFonts w:hint="eastAsia" w:cs="Times New Roman"/>
                <w:sz w:val="24"/>
                <w:lang w:eastAsia="zh-CN"/>
              </w:rPr>
              <w:t>（</w:t>
            </w:r>
            <w:r>
              <w:rPr>
                <w:rFonts w:hint="default" w:ascii="Times New Roman" w:hAnsi="Times New Roman" w:cs="Times New Roman"/>
                <w:sz w:val="24"/>
              </w:rPr>
              <w:t>1号取水井</w:t>
            </w:r>
            <w:r>
              <w:rPr>
                <w:rFonts w:hint="eastAsia" w:cs="Times New Roman"/>
                <w:sz w:val="24"/>
                <w:lang w:eastAsia="zh-CN"/>
              </w:rPr>
              <w:t>）</w:t>
            </w:r>
            <w:r>
              <w:rPr>
                <w:rFonts w:hint="default" w:ascii="Times New Roman" w:hAnsi="Times New Roman" w:cs="Times New Roman"/>
                <w:sz w:val="24"/>
              </w:rPr>
              <w:t>,2、3号取水井外围30米的区域。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二级保护区范围</w:t>
            </w:r>
            <w:r>
              <w:rPr>
                <w:rFonts w:hint="eastAsia" w:cs="Times New Roman"/>
                <w:sz w:val="24"/>
                <w:lang w:eastAsia="zh-CN"/>
              </w:rPr>
              <w:t>：</w:t>
            </w:r>
            <w:r>
              <w:rPr>
                <w:rFonts w:hint="default" w:ascii="Times New Roman" w:hAnsi="Times New Roman" w:cs="Times New Roman"/>
                <w:sz w:val="24"/>
              </w:rPr>
              <w:t>一级保护区外</w:t>
            </w:r>
            <w:r>
              <w:rPr>
                <w:rFonts w:hint="eastAsia" w:cs="Times New Roman"/>
                <w:sz w:val="24"/>
                <w:lang w:eastAsia="zh-CN"/>
              </w:rPr>
              <w:t>，</w:t>
            </w:r>
            <w:r>
              <w:rPr>
                <w:rFonts w:hint="default" w:ascii="Times New Roman" w:hAnsi="Times New Roman" w:cs="Times New Roman"/>
                <w:sz w:val="24"/>
              </w:rPr>
              <w:t>水厂厂界东520米、西300米、南390米、北320米的区域。</w:t>
            </w:r>
          </w:p>
          <w:p>
            <w:pPr>
              <w:spacing w:line="360" w:lineRule="auto"/>
              <w:ind w:firstLine="480" w:firstLineChars="200"/>
              <w:rPr>
                <w:rFonts w:hint="default" w:ascii="Times New Roman" w:hAnsi="Times New Roman" w:cs="Times New Roman"/>
                <w:sz w:val="24"/>
              </w:rPr>
            </w:pPr>
            <w:r>
              <w:rPr>
                <w:rFonts w:hint="eastAsia" w:ascii="微软雅黑" w:hAnsi="微软雅黑" w:eastAsia="微软雅黑" w:cs="微软雅黑"/>
                <w:sz w:val="24"/>
              </w:rPr>
              <w:t>③</w:t>
            </w:r>
            <w:r>
              <w:rPr>
                <w:rFonts w:hint="default" w:ascii="Times New Roman" w:hAnsi="Times New Roman" w:cs="Times New Roman"/>
                <w:sz w:val="24"/>
              </w:rPr>
              <w:t>宝丰县赵庄乡地下水井群</w:t>
            </w:r>
            <w:r>
              <w:rPr>
                <w:rFonts w:hint="eastAsia" w:cs="Times New Roman"/>
                <w:sz w:val="24"/>
                <w:lang w:eastAsia="zh-CN"/>
              </w:rPr>
              <w:t>（</w:t>
            </w:r>
            <w:r>
              <w:rPr>
                <w:rFonts w:hint="default" w:ascii="Times New Roman" w:hAnsi="Times New Roman" w:cs="Times New Roman"/>
                <w:sz w:val="24"/>
              </w:rPr>
              <w:t>共3眼井</w:t>
            </w:r>
            <w:r>
              <w:rPr>
                <w:rFonts w:hint="eastAsia" w:cs="Times New Roman"/>
                <w:sz w:val="24"/>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一级保护区范围</w:t>
            </w:r>
            <w:r>
              <w:rPr>
                <w:rFonts w:hint="eastAsia" w:cs="Times New Roman"/>
                <w:sz w:val="24"/>
                <w:lang w:eastAsia="zh-CN"/>
              </w:rPr>
              <w:t>：</w:t>
            </w:r>
            <w:r>
              <w:rPr>
                <w:rFonts w:hint="default" w:ascii="Times New Roman" w:hAnsi="Times New Roman" w:cs="Times New Roman"/>
                <w:sz w:val="24"/>
              </w:rPr>
              <w:t>水厂厂区及外围东25米、南25米的区域</w:t>
            </w:r>
            <w:r>
              <w:rPr>
                <w:rFonts w:hint="eastAsia" w:cs="Times New Roman"/>
                <w:sz w:val="24"/>
                <w:lang w:eastAsia="zh-CN"/>
              </w:rPr>
              <w:t>（</w:t>
            </w:r>
            <w:r>
              <w:rPr>
                <w:rFonts w:hint="default" w:ascii="Times New Roman" w:hAnsi="Times New Roman" w:cs="Times New Roman"/>
                <w:sz w:val="24"/>
              </w:rPr>
              <w:t>1号取水井</w:t>
            </w:r>
            <w:r>
              <w:rPr>
                <w:rFonts w:hint="eastAsia" w:cs="Times New Roman"/>
                <w:sz w:val="24"/>
                <w:lang w:eastAsia="zh-CN"/>
              </w:rPr>
              <w:t>）</w:t>
            </w:r>
            <w:r>
              <w:rPr>
                <w:rFonts w:hint="default" w:ascii="Times New Roman" w:hAnsi="Times New Roman" w:cs="Times New Roman"/>
                <w:sz w:val="24"/>
              </w:rPr>
              <w:t>,2、3号取水井外围30米的区域。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二级保护区范围</w:t>
            </w:r>
            <w:r>
              <w:rPr>
                <w:rFonts w:hint="eastAsia" w:cs="Times New Roman"/>
                <w:sz w:val="24"/>
                <w:lang w:eastAsia="zh-CN"/>
              </w:rPr>
              <w:t>：</w:t>
            </w:r>
            <w:r>
              <w:rPr>
                <w:rFonts w:hint="default" w:ascii="Times New Roman" w:hAnsi="Times New Roman" w:cs="Times New Roman"/>
                <w:sz w:val="24"/>
              </w:rPr>
              <w:t>一级保护区外</w:t>
            </w:r>
            <w:r>
              <w:rPr>
                <w:rFonts w:hint="eastAsia" w:cs="Times New Roman"/>
                <w:sz w:val="24"/>
                <w:lang w:eastAsia="zh-CN"/>
              </w:rPr>
              <w:t>，</w:t>
            </w:r>
            <w:r>
              <w:rPr>
                <w:rFonts w:hint="default" w:ascii="Times New Roman" w:hAnsi="Times New Roman" w:cs="Times New Roman"/>
                <w:sz w:val="24"/>
              </w:rPr>
              <w:t>水厂厂界东440米、西300米、南325米、北420米的区域。</w:t>
            </w:r>
          </w:p>
          <w:p>
            <w:pPr>
              <w:spacing w:line="360" w:lineRule="auto"/>
              <w:ind w:firstLine="480" w:firstLineChars="200"/>
              <w:rPr>
                <w:rFonts w:hint="default" w:ascii="Times New Roman" w:hAnsi="Times New Roman" w:cs="Times New Roman"/>
                <w:sz w:val="24"/>
              </w:rPr>
            </w:pPr>
            <w:r>
              <w:rPr>
                <w:rFonts w:hint="eastAsia" w:ascii="微软雅黑" w:hAnsi="微软雅黑" w:eastAsia="微软雅黑" w:cs="微软雅黑"/>
                <w:sz w:val="24"/>
              </w:rPr>
              <w:t>④</w:t>
            </w:r>
            <w:r>
              <w:rPr>
                <w:rFonts w:hint="default" w:ascii="Times New Roman" w:hAnsi="Times New Roman" w:cs="Times New Roman"/>
                <w:sz w:val="24"/>
              </w:rPr>
              <w:t>宝丰县李庄乡地下水井群</w:t>
            </w:r>
            <w:r>
              <w:rPr>
                <w:rFonts w:hint="eastAsia" w:cs="Times New Roman"/>
                <w:sz w:val="24"/>
                <w:lang w:eastAsia="zh-CN"/>
              </w:rPr>
              <w:t>（</w:t>
            </w:r>
            <w:r>
              <w:rPr>
                <w:rFonts w:hint="default" w:ascii="Times New Roman" w:hAnsi="Times New Roman" w:cs="Times New Roman"/>
                <w:sz w:val="24"/>
              </w:rPr>
              <w:t>共3眼井</w:t>
            </w:r>
            <w:r>
              <w:rPr>
                <w:rFonts w:hint="eastAsia" w:cs="Times New Roman"/>
                <w:sz w:val="24"/>
                <w:lang w:eastAsia="zh-CN"/>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一级保护区范围</w:t>
            </w:r>
            <w:r>
              <w:rPr>
                <w:rFonts w:hint="eastAsia" w:cs="Times New Roman"/>
                <w:sz w:val="24"/>
                <w:lang w:eastAsia="zh-CN"/>
              </w:rPr>
              <w:t>：</w:t>
            </w:r>
            <w:r>
              <w:rPr>
                <w:rFonts w:hint="default" w:ascii="Times New Roman" w:hAnsi="Times New Roman" w:cs="Times New Roman"/>
                <w:sz w:val="24"/>
              </w:rPr>
              <w:t>水厂厂区及外围东25米、北25米的区域</w:t>
            </w:r>
            <w:r>
              <w:rPr>
                <w:rFonts w:hint="eastAsia" w:cs="Times New Roman"/>
                <w:sz w:val="24"/>
                <w:lang w:eastAsia="zh-CN"/>
              </w:rPr>
              <w:t>（</w:t>
            </w:r>
            <w:r>
              <w:rPr>
                <w:rFonts w:hint="default" w:ascii="Times New Roman" w:hAnsi="Times New Roman" w:cs="Times New Roman"/>
                <w:sz w:val="24"/>
              </w:rPr>
              <w:t>1号取水井</w:t>
            </w:r>
            <w:r>
              <w:rPr>
                <w:rFonts w:hint="eastAsia" w:cs="Times New Roman"/>
                <w:sz w:val="24"/>
                <w:lang w:eastAsia="zh-CN"/>
              </w:rPr>
              <w:t>）</w:t>
            </w:r>
            <w:r>
              <w:rPr>
                <w:rFonts w:hint="default" w:ascii="Times New Roman" w:hAnsi="Times New Roman" w:cs="Times New Roman"/>
                <w:sz w:val="24"/>
              </w:rPr>
              <w:t>,2、3号取水井外围30米的区域。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二级保护区范围</w:t>
            </w:r>
            <w:r>
              <w:rPr>
                <w:rFonts w:hint="eastAsia" w:cs="Times New Roman"/>
                <w:sz w:val="24"/>
                <w:lang w:eastAsia="zh-CN"/>
              </w:rPr>
              <w:t>：</w:t>
            </w:r>
            <w:r>
              <w:rPr>
                <w:rFonts w:hint="default" w:ascii="Times New Roman" w:hAnsi="Times New Roman" w:cs="Times New Roman"/>
                <w:sz w:val="24"/>
              </w:rPr>
              <w:t>一级保护区外</w:t>
            </w:r>
            <w:r>
              <w:rPr>
                <w:rFonts w:hint="eastAsia" w:cs="Times New Roman"/>
                <w:sz w:val="24"/>
                <w:lang w:eastAsia="zh-CN"/>
              </w:rPr>
              <w:t>，</w:t>
            </w:r>
            <w:r>
              <w:rPr>
                <w:rFonts w:hint="default" w:ascii="Times New Roman" w:hAnsi="Times New Roman" w:cs="Times New Roman"/>
                <w:sz w:val="24"/>
              </w:rPr>
              <w:t>水厂厂界东325米、西635米、南330米、北400米的区域。</w:t>
            </w:r>
          </w:p>
          <w:p>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sz w:val="24"/>
              </w:rPr>
              <w:t>本项目位于</w:t>
            </w:r>
            <w:r>
              <w:rPr>
                <w:rFonts w:hint="eastAsia" w:cs="Times New Roman"/>
                <w:color w:val="auto"/>
                <w:sz w:val="24"/>
                <w:lang w:eastAsia="zh-CN"/>
              </w:rPr>
              <w:t>平顶山市宝丰县宝丰高新技术产业开发区旭原不锈钢院内8号厂房</w:t>
            </w:r>
            <w:r>
              <w:rPr>
                <w:rFonts w:hint="default" w:ascii="Times New Roman" w:hAnsi="Times New Roman" w:cs="Times New Roman"/>
                <w:color w:val="auto"/>
                <w:sz w:val="24"/>
              </w:rPr>
              <w:t>，项目建设区域不涉及以上保护区，项目的建设符合河南省乡镇集中式饮用水水源保护区划要求。</w:t>
            </w:r>
            <w:r>
              <w:rPr>
                <w:rFonts w:hint="default" w:ascii="Times New Roman" w:hAnsi="Times New Roman" w:cs="Times New Roman"/>
                <w:color w:val="auto"/>
                <w:kern w:val="0"/>
                <w:sz w:val="24"/>
                <w:szCs w:val="24"/>
              </w:rPr>
              <w:t>综上分析，本项目选址不涉及饮用水水源保护区。</w:t>
            </w:r>
          </w:p>
          <w:p>
            <w:pPr>
              <w:spacing w:line="360" w:lineRule="auto"/>
              <w:ind w:firstLine="482" w:firstLineChars="200"/>
              <w:rPr>
                <w:rFonts w:hint="eastAsia" w:cs="Times New Roman"/>
                <w:b/>
                <w:bCs/>
                <w:sz w:val="24"/>
                <w:lang w:eastAsia="zh-CN"/>
              </w:rPr>
            </w:pPr>
            <w:r>
              <w:rPr>
                <w:rFonts w:hint="eastAsia" w:cs="Times New Roman"/>
                <w:b/>
                <w:bCs/>
                <w:sz w:val="24"/>
                <w:lang w:val="en-US" w:eastAsia="zh-CN"/>
              </w:rPr>
              <w:t>（6）与南水北调中线工程饮用水源保护区规划相符性分析</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根据《关于印发南水北调中线一期工程总干渠（河南段）两侧饮用水水源保护区划的通知》（豫调办</w:t>
            </w:r>
            <w:r>
              <w:rPr>
                <w:rFonts w:hint="eastAsia" w:cs="Times New Roman"/>
                <w:color w:val="auto"/>
                <w:sz w:val="24"/>
                <w:lang w:val="en-US" w:eastAsia="zh-CN"/>
              </w:rPr>
              <w:t>〔</w:t>
            </w:r>
            <w:r>
              <w:rPr>
                <w:rFonts w:hint="default" w:ascii="Times New Roman" w:hAnsi="Times New Roman" w:cs="Times New Roman"/>
                <w:color w:val="auto"/>
                <w:sz w:val="24"/>
                <w:lang w:val="en-US" w:eastAsia="zh-CN"/>
              </w:rPr>
              <w:t>2018</w:t>
            </w:r>
            <w:r>
              <w:rPr>
                <w:rFonts w:hint="eastAsia" w:cs="Times New Roman"/>
                <w:color w:val="auto"/>
                <w:sz w:val="24"/>
                <w:lang w:val="en-US" w:eastAsia="zh-CN"/>
              </w:rPr>
              <w:t>〕</w:t>
            </w:r>
            <w:r>
              <w:rPr>
                <w:rFonts w:hint="default" w:ascii="Times New Roman" w:hAnsi="Times New Roman" w:cs="Times New Roman"/>
                <w:color w:val="auto"/>
                <w:sz w:val="24"/>
                <w:lang w:val="en-US" w:eastAsia="zh-CN"/>
              </w:rPr>
              <w:t>56</w:t>
            </w:r>
            <w:r>
              <w:rPr>
                <w:rFonts w:hint="eastAsia" w:ascii="Times New Roman" w:hAnsi="Times New Roman" w:cs="Times New Roman"/>
                <w:color w:val="auto"/>
                <w:sz w:val="24"/>
                <w:lang w:val="en-US" w:eastAsia="zh-CN"/>
              </w:rPr>
              <w:t>号），南水北调中线一期工程总干渠在河南省境内的工程类型分为建筑物段和总干渠明渠段。</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（一）建筑物段（渡槽、倒虹吸、暗涵、隧洞）</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一级保护区范围自总干渠管理范围边线（防护栏网）外延50m，不设二级保护区。</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（二）总干渠明渠段</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根据地下水水位与总干渠渠底高程的关系，分为以下几种类型：</w:t>
            </w:r>
          </w:p>
          <w:p>
            <w:pPr>
              <w:numPr>
                <w:ilvl w:val="0"/>
                <w:numId w:val="3"/>
              </w:num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地下水水位低于总干渠渠底的渠段</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一级保护区范围自总干渠管理范围边线（防护栏网）外延</w:t>
            </w:r>
            <w:r>
              <w:rPr>
                <w:rFonts w:hint="default" w:ascii="Times New Roman" w:hAnsi="Times New Roman" w:cs="Times New Roman"/>
                <w:color w:val="auto"/>
                <w:sz w:val="24"/>
                <w:lang w:val="en-US" w:eastAsia="zh-CN"/>
              </w:rPr>
              <w:t>50m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二级保护区范围自一级保护区边线外延</w:t>
            </w:r>
            <w:r>
              <w:rPr>
                <w:rFonts w:hint="default" w:ascii="Times New Roman" w:hAnsi="Times New Roman" w:cs="Times New Roman"/>
                <w:color w:val="auto"/>
                <w:sz w:val="24"/>
                <w:lang w:val="en-US" w:eastAsia="zh-CN"/>
              </w:rPr>
              <w:t>150m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、地下水水位高于总干渠渠底的渠段</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）微～弱透水性地层</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一级保护区范围自总干渠管理范围边线（防护栏网）外延</w:t>
            </w:r>
            <w:r>
              <w:rPr>
                <w:rFonts w:hint="default" w:ascii="Times New Roman" w:hAnsi="Times New Roman" w:cs="Times New Roman"/>
                <w:color w:val="auto"/>
                <w:sz w:val="24"/>
                <w:lang w:val="en-US" w:eastAsia="zh-CN"/>
              </w:rPr>
              <w:t>50m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二级保护区范围自一级保护区边线外延</w:t>
            </w:r>
            <w:r>
              <w:rPr>
                <w:rFonts w:hint="default" w:ascii="Times New Roman" w:hAnsi="Times New Roman" w:cs="Times New Roman"/>
                <w:color w:val="auto"/>
                <w:sz w:val="24"/>
                <w:lang w:val="en-US" w:eastAsia="zh-CN"/>
              </w:rPr>
              <w:t>500m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）弱～中透水性地层</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一级保护区范围自总干渠管理范围边线（防护栏网）外延</w:t>
            </w:r>
            <w:r>
              <w:rPr>
                <w:rFonts w:hint="default" w:ascii="Times New Roman" w:hAnsi="Times New Roman" w:cs="Times New Roman"/>
                <w:color w:val="auto"/>
                <w:sz w:val="24"/>
                <w:lang w:val="en-US" w:eastAsia="zh-CN"/>
              </w:rPr>
              <w:t>100m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二级保护区范围自一级保护区边线外延</w:t>
            </w:r>
            <w:r>
              <w:rPr>
                <w:rFonts w:hint="default" w:ascii="Times New Roman" w:hAnsi="Times New Roman" w:cs="Times New Roman"/>
                <w:color w:val="auto"/>
                <w:sz w:val="24"/>
                <w:lang w:val="en-US" w:eastAsia="zh-CN"/>
              </w:rPr>
              <w:t>1000m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）强透水性地层</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一级保护区范围自总干渠管理范围边线（防护栏网）外延</w:t>
            </w:r>
            <w:r>
              <w:rPr>
                <w:rFonts w:hint="default" w:ascii="Times New Roman" w:hAnsi="Times New Roman" w:cs="Times New Roman"/>
                <w:color w:val="auto"/>
                <w:sz w:val="24"/>
                <w:lang w:val="en-US" w:eastAsia="zh-CN"/>
              </w:rPr>
              <w:t>200m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二级保护区范围自一级保护区边线外延</w:t>
            </w:r>
            <w:r>
              <w:rPr>
                <w:rFonts w:hint="default" w:ascii="Times New Roman" w:hAnsi="Times New Roman" w:cs="Times New Roman"/>
                <w:color w:val="auto"/>
                <w:sz w:val="24"/>
                <w:lang w:val="en-US" w:eastAsia="zh-CN"/>
              </w:rPr>
              <w:t>2000m</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1500m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经调查，南水北调中线一期工程河南段宝丰县境内的划定范围：分段桩号</w:t>
            </w:r>
            <w:r>
              <w:rPr>
                <w:rFonts w:hint="default" w:ascii="Times New Roman" w:hAnsi="Times New Roman" w:cs="Times New Roman"/>
                <w:color w:val="auto"/>
                <w:sz w:val="24"/>
                <w:lang w:val="en-US" w:eastAsia="zh-CN"/>
              </w:rPr>
              <w:t>SH019+707.0</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SH020+026.0</w:t>
            </w:r>
            <w:r>
              <w:rPr>
                <w:rFonts w:hint="eastAsia" w:ascii="Times New Roman" w:hAnsi="Times New Roman" w:cs="Times New Roman"/>
                <w:color w:val="auto"/>
                <w:sz w:val="24"/>
                <w:lang w:val="en-US" w:eastAsia="zh-CN"/>
              </w:rPr>
              <w:t>，该区段一级保护区宽度</w:t>
            </w:r>
            <w:r>
              <w:rPr>
                <w:rFonts w:hint="default" w:ascii="Times New Roman" w:hAnsi="Times New Roman" w:cs="Times New Roman"/>
                <w:color w:val="auto"/>
                <w:sz w:val="24"/>
                <w:lang w:val="en-US" w:eastAsia="zh-CN"/>
              </w:rPr>
              <w:t>50m</w:t>
            </w:r>
            <w:r>
              <w:rPr>
                <w:rFonts w:hint="eastAsia" w:ascii="Times New Roman" w:hAnsi="Times New Roman" w:cs="Times New Roman"/>
                <w:color w:val="auto"/>
                <w:sz w:val="24"/>
                <w:lang w:val="en-US" w:eastAsia="zh-CN"/>
              </w:rPr>
              <w:t>，二级保护区宽度</w:t>
            </w:r>
            <w:r>
              <w:rPr>
                <w:rFonts w:hint="default" w:ascii="Times New Roman" w:hAnsi="Times New Roman" w:cs="Times New Roman"/>
                <w:color w:val="auto"/>
                <w:sz w:val="24"/>
                <w:lang w:val="en-US" w:eastAsia="zh-CN"/>
              </w:rPr>
              <w:t>500m</w:t>
            </w:r>
            <w:r>
              <w:rPr>
                <w:rFonts w:hint="eastAsia" w:ascii="Times New Roman" w:hAnsi="Times New Roman" w:cs="Times New Roman"/>
                <w:color w:val="auto"/>
                <w:sz w:val="24"/>
                <w:lang w:val="en-US" w:eastAsia="zh-CN"/>
              </w:rPr>
              <w:t>；分段桩号</w:t>
            </w:r>
            <w:r>
              <w:rPr>
                <w:rFonts w:hint="default" w:ascii="Times New Roman" w:hAnsi="Times New Roman" w:cs="Times New Roman"/>
                <w:color w:val="auto"/>
                <w:sz w:val="24"/>
                <w:lang w:val="en-US" w:eastAsia="zh-CN"/>
              </w:rPr>
              <w:t>SH020+026.0</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SH023+703.2</w:t>
            </w:r>
            <w:r>
              <w:rPr>
                <w:rFonts w:hint="eastAsia" w:ascii="Times New Roman" w:hAnsi="Times New Roman" w:cs="Times New Roman"/>
                <w:color w:val="auto"/>
                <w:sz w:val="24"/>
                <w:lang w:val="en-US" w:eastAsia="zh-CN"/>
              </w:rPr>
              <w:t>，该区段一级保护区宽度</w:t>
            </w:r>
            <w:r>
              <w:rPr>
                <w:rFonts w:hint="default" w:ascii="Times New Roman" w:hAnsi="Times New Roman" w:cs="Times New Roman"/>
                <w:color w:val="auto"/>
                <w:sz w:val="24"/>
                <w:lang w:val="en-US" w:eastAsia="zh-CN"/>
              </w:rPr>
              <w:t>50m</w:t>
            </w:r>
            <w:r>
              <w:rPr>
                <w:rFonts w:hint="eastAsia" w:ascii="Times New Roman" w:hAnsi="Times New Roman" w:cs="Times New Roman"/>
                <w:color w:val="auto"/>
                <w:sz w:val="24"/>
                <w:lang w:val="en-US" w:eastAsia="zh-CN"/>
              </w:rPr>
              <w:t>，二级保护区宽度</w:t>
            </w:r>
            <w:r>
              <w:rPr>
                <w:rFonts w:hint="default" w:ascii="Times New Roman" w:hAnsi="Times New Roman" w:cs="Times New Roman"/>
                <w:color w:val="auto"/>
                <w:sz w:val="24"/>
                <w:lang w:val="en-US" w:eastAsia="zh-CN"/>
              </w:rPr>
              <w:t>150m</w:t>
            </w:r>
            <w:r>
              <w:rPr>
                <w:rFonts w:hint="eastAsia" w:ascii="Times New Roman" w:hAnsi="Times New Roman" w:cs="Times New Roman"/>
                <w:color w:val="auto"/>
                <w:sz w:val="24"/>
                <w:lang w:val="en-US" w:eastAsia="zh-CN"/>
              </w:rPr>
              <w:t>。</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本项目选址位于</w:t>
            </w:r>
            <w:r>
              <w:rPr>
                <w:rFonts w:hint="eastAsia" w:cs="Times New Roman"/>
                <w:color w:val="auto"/>
                <w:sz w:val="24"/>
                <w:lang w:eastAsia="zh-CN"/>
              </w:rPr>
              <w:t>平顶山市宝丰县宝丰高新技术产业开发区旭原不锈钢院内8号厂房</w:t>
            </w:r>
            <w:r>
              <w:rPr>
                <w:rFonts w:hint="eastAsia" w:ascii="Times New Roman" w:hAnsi="Times New Roman" w:cs="Times New Roman"/>
                <w:color w:val="auto"/>
                <w:sz w:val="24"/>
                <w:lang w:val="en-US" w:eastAsia="zh-CN"/>
              </w:rPr>
              <w:t>，距离南水北调总干渠管理范围边线（防护拦网）最近垂直距离</w:t>
            </w:r>
            <w:r>
              <w:rPr>
                <w:rFonts w:hint="eastAsia" w:cs="Times New Roman"/>
                <w:color w:val="auto"/>
                <w:sz w:val="24"/>
                <w:lang w:val="en-US" w:eastAsia="zh-CN"/>
              </w:rPr>
              <w:t>2.5km</w:t>
            </w:r>
            <w:r>
              <w:rPr>
                <w:rFonts w:hint="eastAsia" w:ascii="Times New Roman" w:hAnsi="Times New Roman" w:cs="Times New Roman"/>
                <w:color w:val="auto"/>
                <w:sz w:val="24"/>
                <w:lang w:val="en-US" w:eastAsia="zh-CN"/>
              </w:rPr>
              <w:t>，不在南水北调中线工程划定的保护区范围内，符合南水北调规划要求。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（7）绩效分级标准</w:t>
            </w:r>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default"/>
                <w:b w:val="0"/>
                <w:bCs w:val="0"/>
                <w:color w:val="auto"/>
                <w:sz w:val="24"/>
                <w:szCs w:val="24"/>
                <w:u w:val="none"/>
                <w:lang w:val="en-US" w:eastAsia="zh-CN"/>
              </w:rPr>
            </w:pPr>
            <w:r>
              <w:rPr>
                <w:rFonts w:hint="default"/>
                <w:b w:val="0"/>
                <w:bCs w:val="0"/>
                <w:color w:val="auto"/>
                <w:sz w:val="24"/>
                <w:szCs w:val="24"/>
                <w:u w:val="none"/>
                <w:lang w:val="en-US" w:eastAsia="zh-CN"/>
              </w:rPr>
              <w:t>为进一步突出精准治污、科学治污、依法治污，更好地保障公众身体健康，积极应对重污染天气，</w:t>
            </w:r>
            <w:r>
              <w:rPr>
                <w:rFonts w:hint="eastAsia"/>
                <w:b w:val="0"/>
                <w:bCs w:val="0"/>
                <w:color w:val="auto"/>
                <w:sz w:val="24"/>
                <w:szCs w:val="24"/>
                <w:u w:val="none"/>
                <w:lang w:val="en-US" w:eastAsia="zh-CN"/>
              </w:rPr>
              <w:t>生态环境部办公厅于2020年6月29日发布了《重污染天气重点行业应急减排措施制定技术指南（2020年修订版）》（环办大气函〔2020〕340号）</w:t>
            </w:r>
            <w:r>
              <w:rPr>
                <w:rFonts w:hint="eastAsia"/>
                <w:b w:val="0"/>
                <w:bCs w:val="0"/>
                <w:u w:val="none"/>
                <w:lang w:eastAsia="zh-CN"/>
              </w:rPr>
              <w:t>；</w:t>
            </w:r>
            <w:r>
              <w:rPr>
                <w:rFonts w:hint="eastAsia"/>
                <w:b w:val="0"/>
                <w:bCs w:val="0"/>
                <w:color w:val="auto"/>
                <w:sz w:val="24"/>
                <w:szCs w:val="24"/>
                <w:u w:val="none"/>
                <w:lang w:val="en-US" w:eastAsia="zh-CN"/>
              </w:rPr>
              <w:t>后续河南省生态环境厅以此为基础，于2021年6月发布了《河南省重污染天气重点行业应急减排措施制定技术指南（2021年修订版）》，进一步完善了相关指标和减排措施。</w:t>
            </w:r>
          </w:p>
          <w:p>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outlineLvl w:val="9"/>
              <w:rPr>
                <w:rFonts w:hint="eastAsia"/>
                <w:b w:val="0"/>
                <w:bCs w:val="0"/>
                <w:color w:val="auto"/>
                <w:sz w:val="24"/>
                <w:szCs w:val="24"/>
                <w:u w:val="none"/>
                <w:lang w:val="en-US" w:eastAsia="zh-CN"/>
              </w:rPr>
            </w:pPr>
            <w:r>
              <w:rPr>
                <w:rFonts w:hint="eastAsia"/>
                <w:b w:val="0"/>
                <w:bCs w:val="0"/>
                <w:color w:val="auto"/>
                <w:sz w:val="24"/>
                <w:szCs w:val="24"/>
                <w:u w:val="none"/>
                <w:lang w:val="en-US" w:eastAsia="zh-CN"/>
              </w:rPr>
              <w:t>本项目依据河南省生态环境厅发布的《河南省重污染天气通用行业应急减排措施制定技术指南（2021年修订版）》文件中相关标准要求，绩效分级参考“涉颗粒物、涉VOCs企业基本要求”相关分级指标。</w:t>
            </w:r>
          </w:p>
          <w:p>
            <w:pPr>
              <w:spacing w:line="240" w:lineRule="auto"/>
              <w:jc w:val="center"/>
              <w:rPr>
                <w:rFonts w:hint="eastAsia"/>
                <w:b/>
                <w:bCs/>
                <w:color w:val="auto"/>
                <w:sz w:val="24"/>
                <w:u w:val="none"/>
              </w:rPr>
            </w:pPr>
            <w:r>
              <w:rPr>
                <w:rFonts w:hint="eastAsia"/>
                <w:b/>
                <w:bCs/>
                <w:color w:val="auto"/>
                <w:sz w:val="24"/>
                <w:u w:val="none"/>
              </w:rPr>
              <w:t>表1-</w:t>
            </w:r>
            <w:r>
              <w:rPr>
                <w:rFonts w:hint="eastAsia"/>
                <w:b/>
                <w:bCs/>
                <w:color w:val="auto"/>
                <w:sz w:val="24"/>
                <w:u w:val="none"/>
                <w:lang w:val="en-US" w:eastAsia="zh-CN"/>
              </w:rPr>
              <w:t>5涉颗粒物</w:t>
            </w:r>
            <w:r>
              <w:rPr>
                <w:rFonts w:hint="eastAsia"/>
                <w:b/>
                <w:bCs/>
                <w:color w:val="auto"/>
                <w:sz w:val="24"/>
                <w:u w:val="none"/>
              </w:rPr>
              <w:t>企业绩效分级指标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404"/>
              <w:gridCol w:w="4394"/>
              <w:gridCol w:w="2252"/>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889" w:type="dxa"/>
                  <w:gridSpan w:val="2"/>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eastAsia="zh-CN"/>
                    </w:rPr>
                    <w:t>涉颗粒物企业</w:t>
                  </w:r>
                  <w:r>
                    <w:rPr>
                      <w:rFonts w:hint="eastAsia" w:ascii="Times New Roman" w:cs="Times New Roman"/>
                      <w:sz w:val="21"/>
                      <w:szCs w:val="21"/>
                      <w:u w:val="none"/>
                      <w:lang w:val="en-US" w:eastAsia="zh-CN"/>
                    </w:rPr>
                    <w:t>绩效分级基本要求</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企业情况</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406"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both"/>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物料装卸</w:t>
                  </w:r>
                </w:p>
              </w:tc>
              <w:tc>
                <w:tcPr>
                  <w:tcW w:w="431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车辆运输的物料应采取封闭措施。粉状、粒状、块状散装物料在封闭料场内装卸，装卸过程中产尘点应设置集气除尘装置，料堆应采取有效抑尘措施。不易产尘的袋装物料宜在料棚中装卸，如需露天装卸应采取防止破袋及粉尘外逸措施。</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本项目原料为废编织袋和废泡沫，不涉及</w:t>
                  </w:r>
                  <w:r>
                    <w:rPr>
                      <w:rFonts w:hint="default" w:ascii="Times New Roman" w:hAnsi="Times New Roman" w:eastAsia="宋体" w:cs="Times New Roman"/>
                      <w:sz w:val="21"/>
                      <w:szCs w:val="21"/>
                      <w:u w:val="none"/>
                    </w:rPr>
                    <w:t>粉状、粒状、块状散装物料</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u w:val="none"/>
                      <w:lang w:eastAsia="zh-CN"/>
                    </w:rPr>
                  </w:pPr>
                  <w:r>
                    <w:rPr>
                      <w:rFonts w:hint="eastAsia" w:ascii="Times New Roman" w:cs="Times New Roman"/>
                      <w:sz w:val="21"/>
                      <w:szCs w:val="21"/>
                      <w:u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406"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物料储存</w:t>
                  </w:r>
                </w:p>
              </w:tc>
              <w:tc>
                <w:tcPr>
                  <w:tcW w:w="431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本项目原料为废编织袋和废泡沫，经车辆运输至厂区内放置在密闭厂房内的原料暂存区</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06"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lef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物料转移和输送</w:t>
                  </w:r>
                </w:p>
              </w:tc>
              <w:tc>
                <w:tcPr>
                  <w:tcW w:w="431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粉状、粒状等易产尘物料厂内转移、输送过程应采用气力输送、密闭输送，块状和粘湿粉状物料采用封闭输送；无法封闭的产尘点（物料转载、下料口等）应采取集气除尘措施，或有效抑尘措施。</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本项目原料为废编织袋和废泡沫，前端进入破碎输送过程中皮带廊采取全密封</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406"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both"/>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成品包装</w:t>
                  </w:r>
                </w:p>
              </w:tc>
              <w:tc>
                <w:tcPr>
                  <w:tcW w:w="431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卸料口应完全封闭，如不能封闭应采取局部集气除尘措施。卸料口地面应及时清扫，地面无明显积尘。</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lang w:val="en-US" w:eastAsia="zh-CN"/>
                    </w:rPr>
                  </w:pPr>
                  <w:r>
                    <w:rPr>
                      <w:rFonts w:hint="eastAsia" w:ascii="Times New Roman" w:cs="Times New Roman"/>
                      <w:sz w:val="21"/>
                      <w:szCs w:val="21"/>
                      <w:highlight w:val="none"/>
                      <w:u w:val="none"/>
                      <w:lang w:val="en-US" w:eastAsia="zh-CN"/>
                    </w:rPr>
                    <w:t>项目成品为粒径约为2mm—5mm的塑料颗粒，本项目生产过程中经过切粒机加工后的成品直接进入密闭成品仓暂存，装袋过程中下料口与包装袋连接处采取密闭措施</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406"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工艺过程</w:t>
                  </w:r>
                </w:p>
              </w:tc>
              <w:tc>
                <w:tcPr>
                  <w:tcW w:w="431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各种物料破碎、筛分、配料、混料等过程应在封闭厂房内进行，并采取局部收尘/抑尘措施。破碎筛分设备在进、出料口和配料混料过程等产尘点应设置集气除尘设施。各生产工序的车间地面干净，无积料、积灰现象。生产车间不得有可见烟粉尘外逸。</w:t>
                  </w:r>
                </w:p>
              </w:tc>
              <w:tc>
                <w:tcPr>
                  <w:tcW w:w="2277"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highlight w:val="none"/>
                      <w:u w:val="none"/>
                      <w:lang w:val="en-US" w:eastAsia="zh-CN"/>
                    </w:rPr>
                  </w:pPr>
                  <w:r>
                    <w:rPr>
                      <w:rFonts w:hint="eastAsia" w:ascii="Times New Roman" w:cs="Times New Roman"/>
                      <w:sz w:val="21"/>
                      <w:szCs w:val="21"/>
                      <w:highlight w:val="none"/>
                      <w:u w:val="none"/>
                      <w:lang w:val="en-US" w:eastAsia="zh-CN"/>
                    </w:rPr>
                    <w:t>本项目废泡沫再利用加工过程中破碎工序会产生一定量的粉尘，项目在该工序产尘点安装密闭集气装置进行负压收集，将粉尘引入袋式除尘器中进行处理，最终经20m排气筒达标排放。项目生产车间会定期安排专人进行打扫保证</w:t>
                  </w:r>
                  <w:r>
                    <w:rPr>
                      <w:rFonts w:hint="default" w:ascii="Times New Roman" w:hAnsi="Times New Roman" w:eastAsia="宋体" w:cs="Times New Roman"/>
                      <w:sz w:val="21"/>
                      <w:szCs w:val="21"/>
                      <w:highlight w:val="none"/>
                      <w:u w:val="none"/>
                    </w:rPr>
                    <w:t>车间地面干净，无积料、积灰现象</w:t>
                  </w:r>
                  <w:r>
                    <w:rPr>
                      <w:rFonts w:hint="eastAsia" w:ascii="Times New Roman" w:cs="Times New Roman"/>
                      <w:sz w:val="21"/>
                      <w:szCs w:val="21"/>
                      <w:highlight w:val="none"/>
                      <w:u w:val="none"/>
                      <w:lang w:eastAsia="zh-CN"/>
                    </w:rPr>
                    <w:t>。</w:t>
                  </w:r>
                </w:p>
              </w:tc>
              <w:tc>
                <w:tcPr>
                  <w:tcW w:w="892" w:type="dxa"/>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bl>
          <w:p>
            <w:pPr>
              <w:spacing w:line="240" w:lineRule="auto"/>
              <w:jc w:val="center"/>
              <w:rPr>
                <w:rFonts w:hint="eastAsia"/>
                <w:b/>
                <w:bCs/>
                <w:color w:val="auto"/>
                <w:sz w:val="24"/>
                <w:u w:val="none"/>
              </w:rPr>
            </w:pPr>
          </w:p>
          <w:p>
            <w:pPr>
              <w:spacing w:line="240" w:lineRule="auto"/>
              <w:jc w:val="center"/>
              <w:rPr>
                <w:rFonts w:hint="eastAsia"/>
                <w:b/>
                <w:bCs/>
                <w:color w:val="auto"/>
                <w:sz w:val="24"/>
                <w:u w:val="none"/>
              </w:rPr>
            </w:pPr>
            <w:r>
              <w:rPr>
                <w:rFonts w:hint="eastAsia"/>
                <w:b/>
                <w:bCs/>
                <w:color w:val="auto"/>
                <w:sz w:val="24"/>
                <w:u w:val="none"/>
              </w:rPr>
              <w:t>表1-</w:t>
            </w:r>
            <w:r>
              <w:rPr>
                <w:rFonts w:hint="eastAsia"/>
                <w:b/>
                <w:bCs/>
                <w:color w:val="auto"/>
                <w:sz w:val="24"/>
                <w:u w:val="none"/>
                <w:lang w:val="en-US" w:eastAsia="zh-CN"/>
              </w:rPr>
              <w:t>6涉</w:t>
            </w:r>
            <w:r>
              <w:rPr>
                <w:rFonts w:hint="eastAsia"/>
                <w:b w:val="0"/>
                <w:bCs w:val="0"/>
                <w:color w:val="auto"/>
                <w:sz w:val="24"/>
                <w:szCs w:val="24"/>
                <w:u w:val="none"/>
                <w:lang w:val="en-US" w:eastAsia="zh-CN"/>
              </w:rPr>
              <w:t>VOCs</w:t>
            </w:r>
            <w:r>
              <w:rPr>
                <w:rFonts w:hint="eastAsia"/>
                <w:b/>
                <w:bCs/>
                <w:color w:val="auto"/>
                <w:sz w:val="24"/>
                <w:u w:val="none"/>
              </w:rPr>
              <w:t>企业绩效分级指标</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76"/>
              <w:gridCol w:w="3731"/>
              <w:gridCol w:w="2864"/>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17" w:type="pct"/>
                  <w:gridSpan w:val="2"/>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eastAsia="zh-CN"/>
                    </w:rPr>
                    <w:t>涉VOCs企业</w:t>
                  </w:r>
                  <w:r>
                    <w:rPr>
                      <w:rFonts w:hint="eastAsia" w:ascii="Times New Roman" w:cs="Times New Roman"/>
                      <w:sz w:val="21"/>
                      <w:szCs w:val="21"/>
                      <w:u w:val="none"/>
                      <w:lang w:val="en-US" w:eastAsia="zh-CN"/>
                    </w:rPr>
                    <w:t>绩效分级基本要求</w:t>
                  </w:r>
                </w:p>
              </w:tc>
              <w:tc>
                <w:tcPr>
                  <w:tcW w:w="180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企业情况</w:t>
                  </w:r>
                </w:p>
              </w:tc>
              <w:tc>
                <w:tcPr>
                  <w:tcW w:w="47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364"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物料储存</w:t>
                  </w:r>
                </w:p>
              </w:tc>
              <w:tc>
                <w:tcPr>
                  <w:tcW w:w="2353"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涂料、稀释剂、清洗剂等原辅材料密闭存储。盛装过VOCs物料的包装容器、含VOCs废料（渣、液）、废吸附剂等通过加盖、封装等方式密闭储存；生产车间内涉VOCs物料应密闭储存。</w:t>
                  </w:r>
                </w:p>
              </w:tc>
              <w:tc>
                <w:tcPr>
                  <w:tcW w:w="180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w:t>
                  </w:r>
                </w:p>
              </w:tc>
              <w:tc>
                <w:tcPr>
                  <w:tcW w:w="47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eastAsia" w:ascii="Times New Roman" w:cs="Times New Roman"/>
                      <w:sz w:val="21"/>
                      <w:szCs w:val="21"/>
                      <w:u w:val="none"/>
                      <w:lang w:val="en-US" w:eastAsia="zh-CN"/>
                    </w:rPr>
                    <w:t>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364"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jc w:val="lef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物料转移和输送</w:t>
                  </w:r>
                </w:p>
              </w:tc>
              <w:tc>
                <w:tcPr>
                  <w:tcW w:w="2353"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采用密闭管道或密闭容器等输送。</w:t>
                  </w:r>
                </w:p>
              </w:tc>
              <w:tc>
                <w:tcPr>
                  <w:tcW w:w="180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eastAsia" w:ascii="Times New Roman" w:cs="Times New Roman"/>
                      <w:sz w:val="21"/>
                      <w:szCs w:val="21"/>
                      <w:u w:val="none"/>
                      <w:lang w:val="en-US" w:eastAsia="zh-CN"/>
                    </w:rPr>
                    <w:t>本项目原料为废编织袋和废泡沫，前端进入破碎输送过程中皮带廊采取全密封</w:t>
                  </w:r>
                </w:p>
              </w:tc>
              <w:tc>
                <w:tcPr>
                  <w:tcW w:w="47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364"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kern w:val="0"/>
                      <w:sz w:val="21"/>
                      <w:szCs w:val="21"/>
                      <w:u w:val="none"/>
                      <w:lang w:val="en-US" w:eastAsia="zh-CN" w:bidi="ar-SA"/>
                    </w:rPr>
                  </w:pPr>
                  <w:r>
                    <w:rPr>
                      <w:rFonts w:hint="default" w:ascii="Times New Roman" w:hAnsi="Times New Roman" w:eastAsia="宋体" w:cs="Times New Roman"/>
                      <w:sz w:val="21"/>
                      <w:szCs w:val="21"/>
                      <w:u w:val="none"/>
                    </w:rPr>
                    <w:t>工艺过程</w:t>
                  </w:r>
                </w:p>
              </w:tc>
              <w:tc>
                <w:tcPr>
                  <w:tcW w:w="2353"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原辅材料调配、使用（施胶、喷涂、干燥等）、回收等过程采用密闭设备或在密闭空间内操作。涉VOCs原料装卸、储存、转移和输送、工艺过程等环节的</w:t>
                  </w:r>
                </w:p>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废气全部收集引至VOCs处理系统。</w:t>
                  </w:r>
                </w:p>
              </w:tc>
              <w:tc>
                <w:tcPr>
                  <w:tcW w:w="180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color w:val="auto"/>
                      <w:sz w:val="21"/>
                      <w:szCs w:val="21"/>
                      <w:highlight w:val="none"/>
                      <w:u w:val="none"/>
                    </w:rPr>
                  </w:pPr>
                  <w:r>
                    <w:rPr>
                      <w:rFonts w:hint="eastAsia" w:ascii="Times New Roman" w:cs="Times New Roman"/>
                      <w:color w:val="auto"/>
                      <w:sz w:val="21"/>
                      <w:szCs w:val="21"/>
                      <w:highlight w:val="none"/>
                      <w:u w:val="none"/>
                      <w:lang w:val="en-US" w:eastAsia="zh-CN"/>
                    </w:rPr>
                    <w:t>本项目熔融挤出</w:t>
                  </w:r>
                  <w:r>
                    <w:rPr>
                      <w:rFonts w:hint="default" w:ascii="Times New Roman" w:hAnsi="Times New Roman" w:eastAsia="宋体" w:cs="Times New Roman"/>
                      <w:color w:val="auto"/>
                      <w:sz w:val="21"/>
                      <w:szCs w:val="21"/>
                      <w:highlight w:val="none"/>
                      <w:u w:val="none"/>
                    </w:rPr>
                    <w:t>工序（包含废编织袋加工生产线和废泡沫加工生产线）产生的</w:t>
                  </w:r>
                  <w:r>
                    <w:rPr>
                      <w:rFonts w:hint="eastAsia" w:ascii="Times New Roman" w:cs="Times New Roman"/>
                      <w:color w:val="auto"/>
                      <w:sz w:val="21"/>
                      <w:szCs w:val="21"/>
                      <w:highlight w:val="none"/>
                      <w:u w:val="none"/>
                      <w:lang w:val="en-US" w:eastAsia="zh-CN"/>
                    </w:rPr>
                    <w:t>有机</w:t>
                  </w:r>
                  <w:r>
                    <w:rPr>
                      <w:rFonts w:hint="default" w:ascii="Times New Roman" w:hAnsi="Times New Roman" w:eastAsia="宋体" w:cs="Times New Roman"/>
                      <w:color w:val="auto"/>
                      <w:sz w:val="21"/>
                      <w:szCs w:val="21"/>
                      <w:highlight w:val="none"/>
                      <w:u w:val="none"/>
                    </w:rPr>
                    <w:t>废气（主要为非甲烷总烃</w:t>
                  </w:r>
                  <w:r>
                    <w:rPr>
                      <w:rFonts w:hint="eastAsia" w:ascii="Times New Roman" w:cs="Times New Roman"/>
                      <w:color w:val="auto"/>
                      <w:sz w:val="21"/>
                      <w:szCs w:val="21"/>
                      <w:highlight w:val="none"/>
                      <w:u w:val="none"/>
                      <w:lang w:eastAsia="zh-CN"/>
                    </w:rPr>
                    <w:t>、二甲苯</w:t>
                  </w:r>
                  <w:r>
                    <w:rPr>
                      <w:rFonts w:hint="default" w:ascii="Times New Roman" w:hAnsi="Times New Roman" w:eastAsia="宋体" w:cs="Times New Roman"/>
                      <w:color w:val="auto"/>
                      <w:sz w:val="21"/>
                      <w:szCs w:val="21"/>
                      <w:highlight w:val="none"/>
                      <w:u w:val="none"/>
                    </w:rPr>
                    <w:t>）经</w:t>
                  </w:r>
                  <w:r>
                    <w:rPr>
                      <w:rFonts w:hint="eastAsia" w:ascii="Times New Roman" w:cs="Times New Roman"/>
                      <w:color w:val="auto"/>
                      <w:sz w:val="21"/>
                      <w:szCs w:val="21"/>
                      <w:highlight w:val="none"/>
                      <w:u w:val="none"/>
                      <w:lang w:val="en-US" w:eastAsia="zh-CN"/>
                    </w:rPr>
                    <w:t>全密闭</w:t>
                  </w:r>
                  <w:r>
                    <w:rPr>
                      <w:rFonts w:hint="eastAsia" w:ascii="Times New Roman" w:cs="Times New Roman"/>
                      <w:color w:val="auto"/>
                      <w:sz w:val="21"/>
                      <w:szCs w:val="21"/>
                      <w:highlight w:val="none"/>
                      <w:u w:val="none"/>
                      <w:lang w:eastAsia="zh-CN"/>
                    </w:rPr>
                    <w:t>负压集气系统</w:t>
                  </w:r>
                  <w:r>
                    <w:rPr>
                      <w:rFonts w:hint="eastAsia" w:ascii="Times New Roman" w:cs="Times New Roman"/>
                      <w:color w:val="auto"/>
                      <w:sz w:val="21"/>
                      <w:szCs w:val="21"/>
                      <w:highlight w:val="none"/>
                      <w:u w:val="none"/>
                      <w:lang w:val="en-US" w:eastAsia="zh-CN"/>
                    </w:rPr>
                    <w:t>+干式过滤除尘（过滤棉）+</w:t>
                  </w:r>
                  <w:r>
                    <w:rPr>
                      <w:rFonts w:hint="default" w:ascii="Times New Roman" w:hAnsi="Times New Roman" w:eastAsia="宋体" w:cs="Times New Roman"/>
                      <w:color w:val="auto"/>
                      <w:sz w:val="21"/>
                      <w:szCs w:val="21"/>
                      <w:highlight w:val="none"/>
                      <w:u w:val="none"/>
                    </w:rPr>
                    <w:t>活性炭吸附</w:t>
                  </w:r>
                  <w:r>
                    <w:rPr>
                      <w:rFonts w:hint="eastAsia" w:ascii="Times New Roman" w:cs="Times New Roman"/>
                      <w:color w:val="auto"/>
                      <w:sz w:val="21"/>
                      <w:szCs w:val="21"/>
                      <w:highlight w:val="none"/>
                      <w:u w:val="none"/>
                      <w:lang w:val="en-US" w:eastAsia="zh-CN"/>
                    </w:rPr>
                    <w:t>浓缩+催化燃烧（RCO）</w:t>
                  </w:r>
                  <w:r>
                    <w:rPr>
                      <w:rFonts w:hint="default" w:ascii="Times New Roman" w:hAnsi="Times New Roman" w:eastAsia="宋体" w:cs="Times New Roman"/>
                      <w:color w:val="auto"/>
                      <w:sz w:val="21"/>
                      <w:szCs w:val="21"/>
                      <w:highlight w:val="none"/>
                      <w:u w:val="none"/>
                    </w:rPr>
                    <w:t>+</w:t>
                  </w:r>
                  <w:r>
                    <w:rPr>
                      <w:rFonts w:hint="eastAsia" w:ascii="Times New Roman"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rPr>
                    <w:t>m排气筒处理后达标排放。</w:t>
                  </w:r>
                </w:p>
              </w:tc>
              <w:tc>
                <w:tcPr>
                  <w:tcW w:w="476" w:type="pct"/>
                  <w:noWrap w:val="0"/>
                  <w:vAlign w:val="center"/>
                </w:tcPr>
                <w:p>
                  <w:pPr>
                    <w:pStyle w:val="38"/>
                    <w:keepNext w:val="0"/>
                    <w:keepLines w:val="0"/>
                    <w:pageBreakBefore w:val="0"/>
                    <w:widowControl w:val="0"/>
                    <w:tabs>
                      <w:tab w:val="left" w:pos="1680"/>
                      <w:tab w:val="left" w:pos="3465"/>
                    </w:tabs>
                    <w:kinsoku/>
                    <w:wordWrap w:val="0"/>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符合</w:t>
                  </w:r>
                </w:p>
              </w:tc>
            </w:tr>
          </w:tbl>
          <w:p>
            <w:pPr>
              <w:spacing w:line="240" w:lineRule="auto"/>
              <w:jc w:val="center"/>
              <w:rPr>
                <w:rFonts w:hint="eastAsia"/>
                <w:b/>
                <w:bCs/>
                <w:color w:val="auto"/>
                <w:sz w:val="24"/>
                <w:u w:val="none"/>
              </w:rPr>
            </w:pPr>
            <w:r>
              <w:rPr>
                <w:rFonts w:hint="eastAsia"/>
                <w:b/>
                <w:bCs/>
                <w:color w:val="auto"/>
                <w:sz w:val="24"/>
                <w:u w:val="none"/>
              </w:rPr>
              <w:t>表1-</w:t>
            </w:r>
            <w:r>
              <w:rPr>
                <w:rFonts w:hint="eastAsia"/>
                <w:b/>
                <w:bCs/>
                <w:color w:val="auto"/>
                <w:sz w:val="24"/>
                <w:u w:val="none"/>
                <w:lang w:val="en-US" w:eastAsia="zh-CN"/>
              </w:rPr>
              <w:t>7通用行业</w:t>
            </w:r>
            <w:r>
              <w:rPr>
                <w:rFonts w:hint="eastAsia"/>
                <w:b/>
                <w:bCs/>
                <w:color w:val="auto"/>
                <w:sz w:val="24"/>
                <w:u w:val="none"/>
              </w:rPr>
              <w:t>绩效分级指标</w:t>
            </w:r>
            <w:r>
              <w:rPr>
                <w:rFonts w:hint="eastAsia"/>
                <w:b/>
                <w:bCs/>
                <w:color w:val="auto"/>
                <w:sz w:val="24"/>
                <w:u w:val="none"/>
                <w:lang w:val="en-US" w:eastAsia="zh-CN"/>
              </w:rPr>
              <w:t>其他基本要求</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73"/>
              <w:gridCol w:w="816"/>
              <w:gridCol w:w="2918"/>
              <w:gridCol w:w="2864"/>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7" w:type="pct"/>
                  <w:gridSpan w:val="3"/>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通用行业绩效分级指标其他基本要求</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企业情况</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restar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运输方式及运输监管</w:t>
                  </w: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运输方式</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①公路运输。物料公路运输使用达到国五及以上排放标准重</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型载货车辆（含燃气）或新能源车辆比例（A级100%，B级不低于80%），其他车辆达到国四排放标准；②厂内运输车辆。达到国五及以上排放标准（含燃气）或使用新能源车辆的比例（A级100%，B级不低于80%），其他车辆达到国四排放标准；③危险品及危废运输。国五及以上或新能源车辆（A级/B级100%）；④厂内非道路移动机械。国三及以上排放标准或使用新能源机械（A级/B级100%）。</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本项目营运后物料、产品公路运输</w:t>
                  </w:r>
                  <w:r>
                    <w:rPr>
                      <w:rFonts w:hint="eastAsia" w:ascii="Times New Roman" w:cs="Times New Roman"/>
                      <w:sz w:val="21"/>
                      <w:szCs w:val="21"/>
                      <w:u w:val="none"/>
                      <w:lang w:val="en-US" w:eastAsia="zh-CN"/>
                    </w:rPr>
                    <w:t>、厂内运输车辆以及</w:t>
                  </w:r>
                  <w:r>
                    <w:rPr>
                      <w:rFonts w:hint="eastAsia" w:ascii="Times New Roman" w:hAnsi="Times New Roman" w:eastAsia="宋体" w:cs="Times New Roman"/>
                      <w:sz w:val="21"/>
                      <w:szCs w:val="21"/>
                      <w:u w:val="none"/>
                      <w:lang w:val="en-US" w:eastAsia="zh-CN"/>
                    </w:rPr>
                    <w:t>厂内非道路移动机械</w:t>
                  </w:r>
                  <w:r>
                    <w:rPr>
                      <w:rFonts w:hint="eastAsia" w:ascii="Times New Roman" w:cs="Times New Roman"/>
                      <w:sz w:val="21"/>
                      <w:szCs w:val="21"/>
                      <w:u w:val="none"/>
                      <w:lang w:val="en-US" w:eastAsia="zh-CN"/>
                    </w:rPr>
                    <w:t>最低满足A级要求</w:t>
                  </w:r>
                  <w:r>
                    <w:rPr>
                      <w:rFonts w:hint="eastAsia" w:ascii="Times New Roman" w:hAnsi="Times New Roman" w:eastAsia="宋体" w:cs="Times New Roman"/>
                      <w:sz w:val="21"/>
                      <w:szCs w:val="21"/>
                      <w:u w:val="none"/>
                      <w:lang w:val="en-US" w:eastAsia="zh-CN"/>
                    </w:rPr>
                    <w:t>；</w:t>
                  </w:r>
                  <w:r>
                    <w:rPr>
                      <w:rFonts w:hint="eastAsia" w:ascii="Times New Roman" w:cs="Times New Roman"/>
                      <w:sz w:val="21"/>
                      <w:szCs w:val="21"/>
                      <w:u w:val="none"/>
                      <w:lang w:val="en-US" w:eastAsia="zh-CN"/>
                    </w:rPr>
                    <w:t>本项目生产过程中产生的危险废物交由具有危废资质的单位处置，本单位不进行运输，并且本项目生产过程中不涉及危险品，因此不存在危险品运输。</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9" w:hRule="atLeast"/>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val="en-US" w:eastAsia="zh-CN"/>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运输监管</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厂区货运车辆进出大门口：日均进出货物150吨（或载货车</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辆日进出10辆次）及以上（货物包括原料、辅料、燃料、产品和其他与生产相关物料）的企业，或纳入我省重点行业年产值1000万及以上的企业，拟申报A、B级企业时，应参照《重污染天气重点行业移动源应急管理技术指南》建立门禁视频监控系统和电子台账；其他企业建立门禁视频监控系统和台账。安装高清视频监控系统并能保留数据6个月以上。</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val="en-US" w:eastAsia="zh-CN"/>
                    </w:rPr>
                    <w:t>本项目营运后将</w:t>
                  </w:r>
                  <w:r>
                    <w:rPr>
                      <w:rFonts w:hint="default" w:ascii="Times New Roman" w:hAnsi="Times New Roman" w:eastAsia="宋体" w:cs="Times New Roman"/>
                      <w:sz w:val="21"/>
                      <w:szCs w:val="21"/>
                      <w:u w:val="none"/>
                      <w:lang w:eastAsia="zh-CN"/>
                    </w:rPr>
                    <w:t>按</w:t>
                  </w:r>
                  <w:r>
                    <w:rPr>
                      <w:rFonts w:hint="eastAsia" w:ascii="Times New Roman" w:cs="Times New Roman"/>
                      <w:sz w:val="21"/>
                      <w:szCs w:val="21"/>
                      <w:u w:val="none"/>
                      <w:lang w:val="en-US" w:eastAsia="zh-CN"/>
                    </w:rPr>
                    <w:t>当地环保</w:t>
                  </w:r>
                  <w:r>
                    <w:rPr>
                      <w:rFonts w:hint="default" w:ascii="Times New Roman" w:hAnsi="Times New Roman" w:eastAsia="宋体" w:cs="Times New Roman"/>
                      <w:sz w:val="21"/>
                      <w:szCs w:val="21"/>
                      <w:u w:val="none"/>
                      <w:lang w:eastAsia="zh-CN"/>
                    </w:rPr>
                    <w:t>要求建立门禁视频监控系统和电子台账。</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restar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lef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环境管理要求</w:t>
                  </w: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环保档案资料齐全</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①环评批复文件和竣工验收文件/现状评估文件；②废气治理设施运行管理规程；③一年内废气监测报告；④国家版排污许可证，并按要求开展自行监测和信息披露，有规范的排气筒监测平台和排污口标识。</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目前项目属于环评阶段，企业后续建设、营运应符合环保程序，进行环保验收、申报排污许可证、建立环境管理制度、建立废气治理设施运行管理规程，并按相关要求进行例行</w:t>
                  </w:r>
                  <w:r>
                    <w:rPr>
                      <w:rFonts w:hint="eastAsia" w:ascii="Times New Roman" w:cs="Times New Roman"/>
                      <w:sz w:val="21"/>
                      <w:szCs w:val="21"/>
                      <w:u w:val="none"/>
                      <w:lang w:eastAsia="zh-CN"/>
                    </w:rPr>
                    <w:t>监测</w:t>
                  </w:r>
                  <w:r>
                    <w:rPr>
                      <w:rFonts w:hint="default" w:ascii="Times New Roman" w:hAnsi="Times New Roman" w:eastAsia="宋体" w:cs="Times New Roman"/>
                      <w:sz w:val="21"/>
                      <w:szCs w:val="21"/>
                      <w:u w:val="none"/>
                      <w:lang w:eastAsia="zh-CN"/>
                    </w:rPr>
                    <w:t>。</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both"/>
                    <w:textAlignment w:val="auto"/>
                    <w:rPr>
                      <w:rFonts w:hint="default" w:ascii="Times New Roman" w:hAnsi="Times New Roman" w:eastAsia="宋体" w:cs="Times New Roman"/>
                      <w:sz w:val="21"/>
                      <w:szCs w:val="21"/>
                      <w:u w:val="none"/>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台账记录信息完整</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①生产设施运行管理信息（生产时间、运行负荷、产品产</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量等）；②废气污染治理设施运行管理信息（除尘滤料、活性炭等更换量和时间）；</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③监测记录信息（主要污染排放口废气排放记录（手工监测和在线监测）等）；④主要原辅材料、燃料消耗记录（A、B级</w:t>
                  </w:r>
                  <w:r>
                    <w:rPr>
                      <w:rFonts w:hint="eastAsia" w:ascii="Times New Roman" w:cs="Times New Roman"/>
                      <w:sz w:val="21"/>
                      <w:szCs w:val="21"/>
                      <w:highlight w:val="none"/>
                      <w:u w:val="none"/>
                      <w:lang w:eastAsia="zh-CN"/>
                    </w:rPr>
                    <w:t>企业必需</w:t>
                  </w:r>
                  <w:r>
                    <w:rPr>
                      <w:rFonts w:hint="default" w:ascii="Times New Roman" w:hAnsi="Times New Roman" w:eastAsia="宋体" w:cs="Times New Roman"/>
                      <w:sz w:val="21"/>
                      <w:szCs w:val="21"/>
                      <w:highlight w:val="none"/>
                      <w:u w:val="none"/>
                    </w:rPr>
                    <w:t>）；⑤电消耗记录（已安装用电监管设备的A、B级企业必需）。</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本项目营运后按要求进行相关台账记录。</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人员配置合理</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配备专/兼职环保人员，并具备相应的环境管理能力（学历、培训、从业经验等）。</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本项目营运后将设置环保部门，并配备具备相应的环境管理能力的专职环保人员。</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restar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其他控制要求</w:t>
                  </w: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生产工艺和装备</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不属于《产业结构调整指导目录（2019年版）》淘汰类，</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不属于省级和市级政府部门明确列入已经限期淘汰类项目。</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本项目属于C4220非金属废料和碎屑加工处理，属于鼓励类项目。不属于《市场准入负面清单（2020年版）》禁止准入项目</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u w:val="none"/>
                      <w:lang w:val="en-US" w:eastAsia="zh-CN"/>
                    </w:rPr>
                  </w:pPr>
                  <w:r>
                    <w:rPr>
                      <w:rFonts w:hint="eastAsia" w:ascii="Times New Roman" w:cs="Times New Roman"/>
                      <w:sz w:val="21"/>
                      <w:szCs w:val="21"/>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污染治理副产物</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除尘器应设置密闭灰仓并及时卸灰，除尘灰应通过气力输</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lang w:val="en-US" w:eastAsia="zh-CN"/>
                    </w:rPr>
                  </w:pPr>
                  <w:r>
                    <w:rPr>
                      <w:rFonts w:hint="eastAsia" w:ascii="Times New Roman" w:cs="Times New Roman"/>
                      <w:sz w:val="21"/>
                      <w:szCs w:val="21"/>
                      <w:highlight w:val="none"/>
                      <w:u w:val="none"/>
                      <w:lang w:val="en-US" w:eastAsia="zh-CN"/>
                    </w:rPr>
                    <w:t>本项目袋式除尘器设置</w:t>
                  </w:r>
                  <w:r>
                    <w:rPr>
                      <w:rFonts w:hint="default" w:ascii="Times New Roman" w:hAnsi="Times New Roman" w:eastAsia="宋体" w:cs="Times New Roman"/>
                      <w:sz w:val="21"/>
                      <w:szCs w:val="21"/>
                      <w:highlight w:val="none"/>
                      <w:u w:val="none"/>
                    </w:rPr>
                    <w:t>密闭灰仓并及时卸灰，</w:t>
                  </w:r>
                  <w:r>
                    <w:rPr>
                      <w:rFonts w:hint="eastAsia" w:ascii="Times New Roman" w:hAnsi="Times New Roman" w:eastAsia="宋体" w:cs="Times New Roman"/>
                      <w:sz w:val="21"/>
                      <w:szCs w:val="21"/>
                      <w:highlight w:val="none"/>
                      <w:u w:val="none"/>
                      <w:lang w:val="en-US" w:eastAsia="zh-CN"/>
                    </w:rPr>
                    <w:t>卸灰过程中做到灰不落地，定期收集暂存</w:t>
                  </w:r>
                  <w:r>
                    <w:rPr>
                      <w:rFonts w:hint="eastAsia" w:ascii="Times New Roman" w:cs="Times New Roman"/>
                      <w:sz w:val="21"/>
                      <w:szCs w:val="21"/>
                      <w:highlight w:val="none"/>
                      <w:u w:val="none"/>
                      <w:lang w:val="en-US" w:eastAsia="zh-CN"/>
                    </w:rPr>
                    <w:t>，交由当地环卫部门清运</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kern w:val="0"/>
                      <w:sz w:val="21"/>
                      <w:szCs w:val="21"/>
                      <w:u w:val="none"/>
                      <w:lang w:val="en-US" w:eastAsia="zh-CN" w:bidi="ar-SA"/>
                    </w:rPr>
                  </w:pPr>
                  <w:r>
                    <w:rPr>
                      <w:rFonts w:hint="eastAsia" w:ascii="Times New Roman" w:cs="Times New Roman"/>
                      <w:sz w:val="21"/>
                      <w:szCs w:val="21"/>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用电量/视频监管</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按照《河南省涉气排污单位污染治理设施用电监管技术指南</w:t>
                  </w:r>
                </w:p>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试行）》要求安装用电监管设备（有自动在线监控系统的企业除外），用电监管数据直接上传至省、市生态环境部门的污染治理设施用电监管平台服务器；未安装自动在线监控和用电量监管拟申报A、B级企业，应在主要生产设备（投料口、卸料口等位置）安装视频监控设施，相关数据保存三个月以上。</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eastAsia"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本项目营运后</w:t>
                  </w:r>
                  <w:r>
                    <w:rPr>
                      <w:rFonts w:hint="eastAsia" w:ascii="Times New Roman" w:hAnsi="Times New Roman" w:eastAsia="宋体" w:cs="Times New Roman"/>
                      <w:sz w:val="21"/>
                      <w:szCs w:val="21"/>
                      <w:highlight w:val="none"/>
                      <w:u w:val="none"/>
                      <w:lang w:val="en-US" w:eastAsia="zh-CN"/>
                    </w:rPr>
                    <w:t>将严格按照当地环保要求设置</w:t>
                  </w:r>
                  <w:r>
                    <w:rPr>
                      <w:rFonts w:hint="default" w:ascii="Times New Roman" w:hAnsi="Times New Roman" w:eastAsia="宋体" w:cs="Times New Roman"/>
                      <w:sz w:val="21"/>
                      <w:szCs w:val="21"/>
                      <w:highlight w:val="none"/>
                      <w:u w:val="none"/>
                    </w:rPr>
                    <w:t>用电监管设备</w:t>
                  </w:r>
                  <w:r>
                    <w:rPr>
                      <w:rFonts w:hint="eastAsia" w:ascii="Times New Roman" w:hAnsi="Times New Roman" w:eastAsia="宋体" w:cs="Times New Roman"/>
                      <w:sz w:val="21"/>
                      <w:szCs w:val="21"/>
                      <w:highlight w:val="none"/>
                      <w:u w:val="none"/>
                      <w:lang w:val="en-US" w:eastAsia="zh-CN"/>
                    </w:rPr>
                    <w:t>或</w:t>
                  </w:r>
                  <w:r>
                    <w:rPr>
                      <w:rFonts w:hint="default" w:ascii="Times New Roman" w:hAnsi="Times New Roman" w:eastAsia="宋体" w:cs="Times New Roman"/>
                      <w:sz w:val="21"/>
                      <w:szCs w:val="21"/>
                      <w:highlight w:val="none"/>
                      <w:u w:val="none"/>
                    </w:rPr>
                    <w:t>在主要生产设备（投料口、卸料口等位置）安装视频监控设施，相关数据保存三个月以上。</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kern w:val="0"/>
                      <w:sz w:val="21"/>
                      <w:szCs w:val="21"/>
                      <w:u w:val="none"/>
                      <w:lang w:val="en-US" w:eastAsia="zh-CN" w:bidi="ar-SA"/>
                    </w:rPr>
                  </w:pPr>
                  <w:r>
                    <w:rPr>
                      <w:rFonts w:hint="eastAsia" w:ascii="Times New Roman" w:cs="Times New Roman"/>
                      <w:sz w:val="21"/>
                      <w:szCs w:val="21"/>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2" w:type="pct"/>
                  <w:vMerge w:val="continue"/>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ind w:left="0" w:leftChars="0" w:firstLine="0" w:firstLineChars="0"/>
                    <w:jc w:val="center"/>
                    <w:textAlignment w:val="auto"/>
                    <w:rPr>
                      <w:rFonts w:hint="default" w:ascii="Times New Roman" w:hAnsi="Times New Roman" w:eastAsia="宋体" w:cs="Times New Roman"/>
                      <w:sz w:val="21"/>
                      <w:szCs w:val="21"/>
                      <w:u w:val="none"/>
                    </w:rPr>
                  </w:pPr>
                </w:p>
              </w:tc>
              <w:tc>
                <w:tcPr>
                  <w:tcW w:w="515"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厂容厂貌</w:t>
                  </w:r>
                </w:p>
              </w:tc>
              <w:tc>
                <w:tcPr>
                  <w:tcW w:w="1839"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厂区内道路、原辅材料和燃料堆场等路面应硬化。厂区内道路采取定期清扫、洒水等措施，保持清洁，路面无明显可见积尘。其他未利用</w:t>
                  </w:r>
                  <w:r>
                    <w:rPr>
                      <w:rFonts w:hint="eastAsia" w:ascii="Times New Roman" w:cs="Times New Roman"/>
                      <w:sz w:val="21"/>
                      <w:szCs w:val="21"/>
                      <w:highlight w:val="none"/>
                      <w:u w:val="none"/>
                      <w:lang w:eastAsia="zh-CN"/>
                    </w:rPr>
                    <w:t>的</w:t>
                  </w:r>
                  <w:r>
                    <w:rPr>
                      <w:rFonts w:hint="default" w:ascii="Times New Roman" w:hAnsi="Times New Roman" w:eastAsia="宋体" w:cs="Times New Roman"/>
                      <w:sz w:val="21"/>
                      <w:szCs w:val="21"/>
                      <w:highlight w:val="none"/>
                      <w:u w:val="none"/>
                    </w:rPr>
                    <w:t>优先绿化，或进行硬化，无成片裸露土地。</w:t>
                  </w:r>
                </w:p>
              </w:tc>
              <w:tc>
                <w:tcPr>
                  <w:tcW w:w="180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highlight w:val="none"/>
                      <w:u w:val="none"/>
                      <w:lang w:val="en-US" w:eastAsia="zh-CN"/>
                    </w:rPr>
                  </w:pPr>
                  <w:r>
                    <w:rPr>
                      <w:rFonts w:hint="eastAsia" w:ascii="Times New Roman" w:cs="Times New Roman"/>
                      <w:sz w:val="21"/>
                      <w:szCs w:val="21"/>
                      <w:highlight w:val="none"/>
                      <w:u w:val="none"/>
                      <w:lang w:val="en-US" w:eastAsia="zh-CN"/>
                    </w:rPr>
                    <w:t>本项目租赁厂房内均已硬化，并且项目租赁厂房的厂区内道路硬化和绿化设施均已建设完成，满足环保要求</w:t>
                  </w:r>
                </w:p>
              </w:tc>
              <w:tc>
                <w:tcPr>
                  <w:tcW w:w="476" w:type="pct"/>
                  <w:noWrap w:val="0"/>
                  <w:vAlign w:val="center"/>
                </w:tcPr>
                <w:p>
                  <w:pPr>
                    <w:pStyle w:val="38"/>
                    <w:keepNext w:val="0"/>
                    <w:keepLines w:val="0"/>
                    <w:pageBreakBefore w:val="0"/>
                    <w:widowControl w:val="0"/>
                    <w:tabs>
                      <w:tab w:val="left" w:pos="1680"/>
                      <w:tab w:val="left" w:pos="3465"/>
                    </w:tabs>
                    <w:kinsoku/>
                    <w:wordWrap/>
                    <w:overflowPunct/>
                    <w:topLinePunct w:val="0"/>
                    <w:autoSpaceDE/>
                    <w:autoSpaceDN/>
                    <w:bidi w:val="0"/>
                    <w:adjustRightInd w:val="0"/>
                    <w:snapToGrid w:val="0"/>
                    <w:spacing w:beforeLines="0" w:afterLines="0" w:line="360" w:lineRule="exact"/>
                    <w:textAlignment w:val="auto"/>
                    <w:rPr>
                      <w:rFonts w:hint="default" w:ascii="Times New Roman" w:hAnsi="Times New Roman" w:eastAsia="宋体" w:cs="Times New Roman"/>
                      <w:sz w:val="21"/>
                      <w:szCs w:val="21"/>
                      <w:u w:val="none"/>
                    </w:rPr>
                  </w:pPr>
                  <w:r>
                    <w:rPr>
                      <w:rFonts w:hint="eastAsia" w:ascii="Times New Roman" w:cs="Times New Roman"/>
                      <w:sz w:val="21"/>
                      <w:szCs w:val="21"/>
                      <w:u w:val="none"/>
                      <w:lang w:val="en-US" w:eastAsia="zh-CN"/>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cs="Times New Roman"/>
                <w:bCs/>
                <w:color w:val="auto"/>
                <w:spacing w:val="4"/>
              </w:rPr>
            </w:pPr>
            <w:r>
              <w:rPr>
                <w:rFonts w:hint="eastAsia" w:ascii="Times New Roman" w:hAnsi="Times New Roman" w:cs="Times New Roman"/>
                <w:bCs/>
                <w:color w:val="auto"/>
                <w:spacing w:val="4"/>
              </w:rPr>
              <w:t>综合以上分析，本项目营运后绩效分级可以满足</w:t>
            </w:r>
            <w:r>
              <w:rPr>
                <w:rFonts w:hint="eastAsia" w:cs="Times New Roman"/>
                <w:bCs/>
                <w:color w:val="auto"/>
                <w:spacing w:val="4"/>
                <w:lang w:val="en-US" w:eastAsia="zh-CN"/>
              </w:rPr>
              <w:t>通用行业绩效分级涉颗粒物、</w:t>
            </w:r>
            <w:r>
              <w:rPr>
                <w:rFonts w:hint="eastAsia"/>
                <w:b w:val="0"/>
                <w:bCs w:val="0"/>
                <w:color w:val="auto"/>
                <w:sz w:val="24"/>
                <w:szCs w:val="24"/>
                <w:u w:val="none"/>
                <w:lang w:val="en-US" w:eastAsia="zh-CN"/>
              </w:rPr>
              <w:t>VOCs企业基本要求</w:t>
            </w:r>
            <w:r>
              <w:rPr>
                <w:rFonts w:hint="eastAsia" w:ascii="Times New Roman" w:hAnsi="Times New Roman" w:cs="Times New Roman"/>
                <w:bCs/>
                <w:color w:val="auto"/>
                <w:spacing w:val="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（8）与相关环保文件相符性分析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项目与相关环保文件相符性分析一览表</w:t>
            </w:r>
            <w:r>
              <w:rPr>
                <w:rFonts w:hint="default" w:ascii="Times New Roman" w:hAnsi="Times New Roman" w:eastAsia="宋体" w:cs="Times New Roman"/>
                <w:sz w:val="24"/>
                <w:lang w:val="en-US" w:eastAsia="zh-CN"/>
              </w:rPr>
              <w:t>具体见表</w:t>
            </w:r>
            <w:r>
              <w:rPr>
                <w:rFonts w:hint="eastAsia" w:ascii="Times New Roman" w:hAnsi="Times New Roman" w:eastAsia="宋体" w:cs="Times New Roman"/>
                <w:sz w:val="24"/>
                <w:lang w:val="en-US" w:eastAsia="zh-CN"/>
              </w:rPr>
              <w:t>1-</w:t>
            </w:r>
            <w:r>
              <w:rPr>
                <w:rFonts w:hint="eastAsia" w:cs="Times New Roman"/>
                <w:sz w:val="24"/>
                <w:lang w:val="en-US" w:eastAsia="zh-CN"/>
              </w:rPr>
              <w:t>8</w:t>
            </w:r>
            <w:r>
              <w:rPr>
                <w:rFonts w:hint="default" w:ascii="Times New Roman" w:hAnsi="Times New Roman" w:eastAsia="宋体" w:cs="Times New Roman"/>
                <w:sz w:val="24"/>
                <w:lang w:val="en-US" w:eastAsia="zh-CN"/>
              </w:rPr>
              <w:t>。</w:t>
            </w:r>
          </w:p>
          <w:p>
            <w:pPr>
              <w:spacing w:line="240" w:lineRule="auto"/>
              <w:jc w:val="center"/>
              <w:rPr>
                <w:rFonts w:hint="default" w:ascii="Times New Roman" w:hAnsi="Times New Roman" w:eastAsia="宋体" w:cs="Times New Roman"/>
                <w:b/>
                <w:bCs/>
                <w:color w:val="auto"/>
                <w:sz w:val="24"/>
                <w:u w:val="none"/>
                <w:lang w:val="en-US" w:eastAsia="zh-CN"/>
              </w:rPr>
            </w:pPr>
            <w:r>
              <w:rPr>
                <w:rFonts w:hint="eastAsia" w:ascii="Times New Roman" w:hAnsi="Times New Roman" w:eastAsia="宋体" w:cs="Times New Roman"/>
                <w:b/>
                <w:bCs/>
                <w:color w:val="auto"/>
                <w:sz w:val="24"/>
                <w:u w:val="none"/>
                <w:lang w:val="en-US" w:eastAsia="zh-CN"/>
              </w:rPr>
              <w:t>表1-</w:t>
            </w:r>
            <w:r>
              <w:rPr>
                <w:rFonts w:hint="eastAsia" w:cs="Times New Roman"/>
                <w:b/>
                <w:bCs/>
                <w:color w:val="auto"/>
                <w:sz w:val="24"/>
                <w:u w:val="none"/>
                <w:lang w:val="en-US" w:eastAsia="zh-CN"/>
              </w:rPr>
              <w:t>8</w:t>
            </w:r>
            <w:r>
              <w:rPr>
                <w:rFonts w:hint="default" w:ascii="Times New Roman" w:hAnsi="Times New Roman" w:eastAsia="宋体" w:cs="Times New Roman"/>
                <w:b/>
                <w:bCs/>
                <w:color w:val="auto"/>
                <w:sz w:val="24"/>
                <w:u w:val="none"/>
                <w:lang w:val="en-US" w:eastAsia="zh-CN"/>
              </w:rPr>
              <w:t>项目与</w:t>
            </w:r>
            <w:r>
              <w:rPr>
                <w:rFonts w:hint="eastAsia" w:ascii="Times New Roman" w:hAnsi="Times New Roman" w:eastAsia="宋体" w:cs="Times New Roman"/>
                <w:b/>
                <w:bCs/>
                <w:color w:val="auto"/>
                <w:sz w:val="24"/>
                <w:u w:val="none"/>
                <w:lang w:val="en-US" w:eastAsia="zh-CN"/>
              </w:rPr>
              <w:t>相关环保文件相符性分析</w:t>
            </w:r>
            <w:r>
              <w:rPr>
                <w:rFonts w:hint="default" w:ascii="Times New Roman" w:hAnsi="Times New Roman" w:eastAsia="宋体" w:cs="Times New Roman"/>
                <w:b/>
                <w:bCs/>
                <w:color w:val="auto"/>
                <w:sz w:val="24"/>
                <w:u w:val="none"/>
                <w:lang w:val="en-US" w:eastAsia="zh-CN"/>
              </w:rPr>
              <w:t>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8"/>
              <w:gridCol w:w="3072"/>
              <w:gridCol w:w="291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jc w:val="center"/>
              </w:trPr>
              <w:tc>
                <w:tcPr>
                  <w:tcW w:w="869" w:type="pct"/>
                  <w:noWrap w:val="0"/>
                  <w:vAlign w:val="center"/>
                </w:tcPr>
                <w:p>
                  <w:pPr>
                    <w:jc w:val="center"/>
                    <w:rPr>
                      <w:b/>
                      <w:bCs/>
                      <w:color w:val="000000"/>
                      <w:sz w:val="21"/>
                      <w:szCs w:val="21"/>
                    </w:rPr>
                  </w:pPr>
                  <w:r>
                    <w:rPr>
                      <w:rFonts w:hint="eastAsia"/>
                      <w:b/>
                      <w:bCs/>
                      <w:color w:val="000000"/>
                      <w:sz w:val="21"/>
                      <w:szCs w:val="21"/>
                    </w:rPr>
                    <w:t>项目</w:t>
                  </w:r>
                </w:p>
              </w:tc>
              <w:tc>
                <w:tcPr>
                  <w:tcW w:w="1937" w:type="pct"/>
                  <w:noWrap w:val="0"/>
                  <w:vAlign w:val="center"/>
                </w:tcPr>
                <w:p>
                  <w:pPr>
                    <w:jc w:val="center"/>
                    <w:rPr>
                      <w:rFonts w:hAnsi="宋体"/>
                      <w:b/>
                      <w:bCs/>
                      <w:color w:val="000000"/>
                      <w:sz w:val="21"/>
                      <w:szCs w:val="21"/>
                    </w:rPr>
                  </w:pPr>
                  <w:r>
                    <w:rPr>
                      <w:rFonts w:hint="eastAsia" w:hAnsi="宋体"/>
                      <w:b/>
                      <w:bCs/>
                      <w:color w:val="000000"/>
                      <w:sz w:val="21"/>
                      <w:szCs w:val="21"/>
                    </w:rPr>
                    <w:t>相关</w:t>
                  </w:r>
                  <w:r>
                    <w:rPr>
                      <w:rFonts w:hAnsi="宋体"/>
                      <w:b/>
                      <w:bCs/>
                      <w:color w:val="000000"/>
                      <w:sz w:val="21"/>
                      <w:szCs w:val="21"/>
                    </w:rPr>
                    <w:t>要求</w:t>
                  </w:r>
                </w:p>
              </w:tc>
              <w:tc>
                <w:tcPr>
                  <w:tcW w:w="1837" w:type="pct"/>
                  <w:noWrap w:val="0"/>
                  <w:vAlign w:val="center"/>
                </w:tcPr>
                <w:p>
                  <w:pPr>
                    <w:jc w:val="center"/>
                    <w:rPr>
                      <w:b/>
                      <w:bCs/>
                      <w:color w:val="000000"/>
                      <w:sz w:val="21"/>
                      <w:szCs w:val="21"/>
                    </w:rPr>
                  </w:pPr>
                  <w:r>
                    <w:rPr>
                      <w:rFonts w:hAnsi="宋体"/>
                      <w:b/>
                      <w:bCs/>
                      <w:color w:val="000000"/>
                      <w:sz w:val="21"/>
                      <w:szCs w:val="21"/>
                    </w:rPr>
                    <w:t>本项目情况</w:t>
                  </w:r>
                </w:p>
              </w:tc>
              <w:tc>
                <w:tcPr>
                  <w:tcW w:w="355" w:type="pct"/>
                  <w:tcBorders>
                    <w:right w:val="single" w:color="auto" w:sz="4" w:space="0"/>
                  </w:tcBorders>
                  <w:noWrap w:val="0"/>
                  <w:vAlign w:val="center"/>
                </w:tcPr>
                <w:p>
                  <w:pPr>
                    <w:jc w:val="center"/>
                    <w:rPr>
                      <w:b/>
                      <w:bCs/>
                      <w:color w:val="000000"/>
                      <w:sz w:val="21"/>
                      <w:szCs w:val="21"/>
                    </w:rPr>
                  </w:pPr>
                  <w:r>
                    <w:rPr>
                      <w:rFonts w:hAnsi="宋体"/>
                      <w:b/>
                      <w:bCs/>
                      <w:color w:val="000000"/>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9" w:type="pct"/>
                  <w:vMerge w:val="restart"/>
                  <w:noWrap w:val="0"/>
                  <w:vAlign w:val="center"/>
                </w:tcPr>
                <w:p>
                  <w:pP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《河南省202</w:t>
                  </w: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eastAsia="zh-CN"/>
                    </w:rPr>
                    <w:t>年大气污染防治攻坚战实施方案》（豫环委办〔202</w:t>
                  </w: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9</w:t>
                  </w:r>
                  <w:r>
                    <w:rPr>
                      <w:rFonts w:hint="eastAsia" w:ascii="Times New Roman" w:hAnsi="Times New Roman" w:eastAsia="宋体" w:cs="Times New Roman"/>
                      <w:color w:val="000000"/>
                      <w:sz w:val="21"/>
                      <w:szCs w:val="21"/>
                      <w:lang w:eastAsia="zh-CN"/>
                    </w:rPr>
                    <w:t>号）</w:t>
                  </w:r>
                </w:p>
                <w:p>
                  <w:pPr>
                    <w:jc w:val="center"/>
                    <w:rPr>
                      <w:sz w:val="21"/>
                      <w:szCs w:val="21"/>
                    </w:rPr>
                  </w:pPr>
                </w:p>
              </w:tc>
              <w:tc>
                <w:tcPr>
                  <w:tcW w:w="1937" w:type="pct"/>
                  <w:noWrap w:val="0"/>
                  <w:vAlign w:val="center"/>
                </w:tcPr>
                <w:p>
                  <w:pP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3.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837" w:type="pct"/>
                  <w:vMerge w:val="restart"/>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000000"/>
                      <w:sz w:val="21"/>
                      <w:szCs w:val="21"/>
                    </w:rPr>
                  </w:pPr>
                  <w:r>
                    <w:rPr>
                      <w:rFonts w:hint="eastAsia"/>
                      <w:color w:val="000000"/>
                      <w:sz w:val="21"/>
                      <w:szCs w:val="21"/>
                    </w:rPr>
                    <w:t>本项目为新建项目</w:t>
                  </w:r>
                  <w:r>
                    <w:rPr>
                      <w:rFonts w:hint="eastAsia"/>
                      <w:color w:val="000000"/>
                      <w:sz w:val="21"/>
                      <w:szCs w:val="21"/>
                      <w:lang w:eastAsia="zh-CN"/>
                    </w:rPr>
                    <w:t>，施工期严格落实六个百分百，采取洒水、设置围挡等措施后，施工期对环境影响较小</w:t>
                  </w:r>
                  <w:r>
                    <w:rPr>
                      <w:rFonts w:hint="eastAsia"/>
                      <w:color w:val="000000"/>
                      <w:sz w:val="21"/>
                      <w:szCs w:val="21"/>
                    </w:rPr>
                    <w:t>；</w:t>
                  </w:r>
                  <w:r>
                    <w:rPr>
                      <w:rFonts w:hint="default" w:ascii="Times New Roman" w:hAnsi="Times New Roman" w:eastAsia="宋体" w:cs="Times New Roman"/>
                      <w:b w:val="0"/>
                      <w:bCs w:val="0"/>
                      <w:color w:val="000000"/>
                      <w:kern w:val="2"/>
                      <w:sz w:val="21"/>
                      <w:szCs w:val="21"/>
                      <w:u w:val="none"/>
                      <w:lang w:val="en-US" w:eastAsia="zh-CN" w:bidi="ar-SA"/>
                    </w:rPr>
                    <w:t>本项目为</w:t>
                  </w:r>
                  <w:r>
                    <w:rPr>
                      <w:rFonts w:hint="eastAsia" w:ascii="Times New Roman" w:hAnsi="Times New Roman" w:eastAsia="宋体" w:cs="Times New Roman"/>
                      <w:b w:val="0"/>
                      <w:bCs w:val="0"/>
                      <w:color w:val="000000"/>
                      <w:kern w:val="2"/>
                      <w:sz w:val="21"/>
                      <w:szCs w:val="21"/>
                      <w:u w:val="none"/>
                      <w:lang w:val="en-US" w:eastAsia="zh-CN" w:bidi="ar-SA"/>
                    </w:rPr>
                    <w:t>利用废旧编织袋和泡沫</w:t>
                  </w:r>
                  <w:r>
                    <w:rPr>
                      <w:rFonts w:hint="default" w:ascii="Times New Roman" w:hAnsi="Times New Roman" w:eastAsia="宋体" w:cs="Times New Roman"/>
                      <w:b w:val="0"/>
                      <w:bCs w:val="0"/>
                      <w:color w:val="000000"/>
                      <w:kern w:val="2"/>
                      <w:sz w:val="21"/>
                      <w:szCs w:val="21"/>
                      <w:u w:val="none"/>
                      <w:lang w:val="en-US" w:eastAsia="zh-CN" w:bidi="ar-SA"/>
                    </w:rPr>
                    <w:t>再生塑料颗粒制造项目</w:t>
                  </w:r>
                  <w:r>
                    <w:rPr>
                      <w:rFonts w:hint="eastAsia" w:ascii="Times New Roman" w:hAnsi="Times New Roman" w:eastAsia="宋体" w:cs="Times New Roman"/>
                      <w:b w:val="0"/>
                      <w:bCs w:val="0"/>
                      <w:color w:val="000000"/>
                      <w:kern w:val="2"/>
                      <w:sz w:val="21"/>
                      <w:szCs w:val="21"/>
                      <w:u w:val="none"/>
                      <w:lang w:val="en-US" w:eastAsia="zh-CN" w:bidi="ar-SA"/>
                    </w:rPr>
                    <w:t>。本项目将</w:t>
                  </w:r>
                  <w:r>
                    <w:rPr>
                      <w:rFonts w:hint="default" w:ascii="Times New Roman" w:hAnsi="Times New Roman" w:eastAsia="宋体" w:cs="Times New Roman"/>
                      <w:b w:val="0"/>
                      <w:bCs w:val="0"/>
                      <w:color w:val="000000"/>
                      <w:kern w:val="2"/>
                      <w:sz w:val="21"/>
                      <w:szCs w:val="21"/>
                      <w:u w:val="none"/>
                      <w:lang w:val="en-US" w:eastAsia="zh-CN" w:bidi="ar-SA"/>
                    </w:rPr>
                    <w:t>严格按照《河南省重污染天气通用行业应急减排措施制定技术指南（2021年修订版）》文件中相关标准要求进行建设</w:t>
                  </w:r>
                  <w:r>
                    <w:rPr>
                      <w:rFonts w:hint="eastAsia" w:ascii="Times New Roman" w:hAnsi="Times New Roman" w:eastAsia="宋体" w:cs="Times New Roman"/>
                      <w:b w:val="0"/>
                      <w:bCs w:val="0"/>
                      <w:color w:val="000000"/>
                      <w:kern w:val="2"/>
                      <w:sz w:val="21"/>
                      <w:szCs w:val="21"/>
                      <w:u w:val="none"/>
                      <w:lang w:val="en-US" w:eastAsia="zh-CN" w:bidi="ar-SA"/>
                    </w:rPr>
                    <w:t>；所有生产设备均放置在车间内，生产时关闭车间大门，生产区道路硬化、定期洒水抑尘、运输过程物料加盖帆布等措施后，废</w:t>
                  </w:r>
                  <w:r>
                    <w:rPr>
                      <w:rFonts w:hint="eastAsia" w:cs="Times New Roman"/>
                      <w:b w:val="0"/>
                      <w:bCs w:val="0"/>
                      <w:color w:val="000000"/>
                      <w:kern w:val="2"/>
                      <w:sz w:val="21"/>
                      <w:szCs w:val="21"/>
                      <w:u w:val="none"/>
                      <w:lang w:val="en-US" w:eastAsia="zh-CN" w:bidi="ar-SA"/>
                    </w:rPr>
                    <w:t>泡沫</w:t>
                  </w:r>
                  <w:r>
                    <w:rPr>
                      <w:rFonts w:hint="eastAsia" w:ascii="Times New Roman" w:hAnsi="Times New Roman" w:eastAsia="宋体" w:cs="Times New Roman"/>
                      <w:b w:val="0"/>
                      <w:bCs w:val="0"/>
                      <w:color w:val="000000"/>
                      <w:kern w:val="2"/>
                      <w:sz w:val="21"/>
                      <w:szCs w:val="21"/>
                      <w:u w:val="none"/>
                      <w:lang w:val="en-US" w:eastAsia="zh-CN" w:bidi="ar-SA"/>
                    </w:rPr>
                    <w:t>破碎过程密闭且采取袋式除尘装置处理，采取措施后均可以实现达标排放，粉尘对周围环境影响较小。</w:t>
                  </w:r>
                </w:p>
              </w:tc>
              <w:tc>
                <w:tcPr>
                  <w:tcW w:w="355" w:type="pct"/>
                  <w:vMerge w:val="restart"/>
                  <w:tcBorders>
                    <w:right w:val="single" w:color="auto" w:sz="4" w:space="0"/>
                  </w:tcBorders>
                  <w:noWrap w:val="0"/>
                  <w:vAlign w:val="center"/>
                </w:tcPr>
                <w:p>
                  <w:pPr>
                    <w:jc w:val="center"/>
                    <w:rPr>
                      <w:color w:val="000000"/>
                      <w:sz w:val="21"/>
                      <w:szCs w:val="21"/>
                    </w:rPr>
                  </w:pPr>
                  <w:r>
                    <w:rPr>
                      <w:rFonts w:hint="eastAsia"/>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14.</w:t>
                  </w:r>
                  <w:r>
                    <w:rPr>
                      <w:rFonts w:hint="eastAsia" w:ascii="Times New Roman" w:hAnsi="Times New Roman" w:eastAsia="宋体" w:cs="Times New Roman"/>
                      <w:color w:val="000000"/>
                      <w:sz w:val="21"/>
                      <w:szCs w:val="21"/>
                      <w:lang w:eastAsia="zh-CN"/>
                    </w:rPr>
                    <w:t>提升扬尘污染防治水平。深入开展扬尘治理专项活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完善降尘监测和考评体系。</w:t>
                  </w:r>
                </w:p>
              </w:tc>
              <w:tc>
                <w:tcPr>
                  <w:tcW w:w="1837" w:type="pct"/>
                  <w:vMerge w:val="continue"/>
                  <w:noWrap w:val="0"/>
                  <w:vAlign w:val="center"/>
                </w:tcPr>
                <w:p>
                  <w:pPr>
                    <w:rPr>
                      <w:rFonts w:hint="eastAsia"/>
                      <w:color w:val="000000"/>
                      <w:sz w:val="21"/>
                      <w:szCs w:val="21"/>
                    </w:rPr>
                  </w:pPr>
                </w:p>
              </w:tc>
              <w:tc>
                <w:tcPr>
                  <w:tcW w:w="355" w:type="pct"/>
                  <w:vMerge w:val="continue"/>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rPr>
                      <w:rFonts w:hint="eastAsia" w:ascii="Times New Roman" w:hAnsi="Times New Roman" w:eastAsia="宋体" w:cs="Times New Roman"/>
                      <w:color w:val="000000"/>
                      <w:sz w:val="21"/>
                      <w:szCs w:val="21"/>
                      <w:lang w:val="en-US" w:eastAsia="zh-CN"/>
                    </w:rPr>
                  </w:pPr>
                  <w:r>
                    <w:rPr>
                      <w:rFonts w:hint="eastAsia"/>
                    </w:rPr>
                    <w:t>23.加快推进低VOCs含量原辅材料源头替代。加大科技攻关，推广新兴技术和原辅材料，各省辖市制定实施汽车制造、工业涂装、家具制造、包装印刷、钢结构制造、工程机械等行业溶剂型涂料、油墨、胶粘剂、清洗剂使用低VOCs含量原辅材料替代计划。对无法实现低VOCs原辅材料替代的工序，在保证安全情况下，应在密闭设备、密闭空间作业或安装二次密闭设施，收集处理VOCs废气。</w:t>
                  </w:r>
                </w:p>
              </w:tc>
              <w:tc>
                <w:tcPr>
                  <w:tcW w:w="1837" w:type="pct"/>
                  <w:vMerge w:val="restart"/>
                  <w:noWrap w:val="0"/>
                  <w:vAlign w:val="center"/>
                </w:tcPr>
                <w:p>
                  <w:pPr>
                    <w:rPr>
                      <w:rFonts w:hint="default"/>
                      <w:color w:val="000000"/>
                      <w:sz w:val="21"/>
                      <w:szCs w:val="21"/>
                      <w:lang w:val="en-US"/>
                    </w:rPr>
                  </w:pPr>
                  <w:r>
                    <w:rPr>
                      <w:rFonts w:hint="default" w:ascii="Times New Roman" w:hAnsi="Times New Roman" w:eastAsia="宋体" w:cs="Times New Roman"/>
                      <w:b w:val="0"/>
                      <w:bCs w:val="0"/>
                      <w:color w:val="000000"/>
                      <w:kern w:val="2"/>
                      <w:sz w:val="21"/>
                      <w:szCs w:val="21"/>
                      <w:u w:val="none"/>
                      <w:lang w:val="en-US" w:eastAsia="zh-CN" w:bidi="ar-SA"/>
                    </w:rPr>
                    <w:t>本项目为</w:t>
                  </w:r>
                  <w:r>
                    <w:rPr>
                      <w:rFonts w:hint="eastAsia" w:ascii="Times New Roman" w:hAnsi="Times New Roman" w:eastAsia="宋体" w:cs="Times New Roman"/>
                      <w:b w:val="0"/>
                      <w:bCs w:val="0"/>
                      <w:color w:val="000000"/>
                      <w:kern w:val="2"/>
                      <w:sz w:val="21"/>
                      <w:szCs w:val="21"/>
                      <w:u w:val="none"/>
                      <w:lang w:val="en-US" w:eastAsia="zh-CN" w:bidi="ar-SA"/>
                    </w:rPr>
                    <w:t>利用废旧编织袋和泡沫</w:t>
                  </w:r>
                  <w:r>
                    <w:rPr>
                      <w:rFonts w:hint="default" w:ascii="Times New Roman" w:hAnsi="Times New Roman" w:eastAsia="宋体" w:cs="Times New Roman"/>
                      <w:b w:val="0"/>
                      <w:bCs w:val="0"/>
                      <w:color w:val="000000"/>
                      <w:kern w:val="2"/>
                      <w:sz w:val="21"/>
                      <w:szCs w:val="21"/>
                      <w:u w:val="none"/>
                      <w:lang w:val="en-US" w:eastAsia="zh-CN" w:bidi="ar-SA"/>
                    </w:rPr>
                    <w:t>再生塑料颗粒制造项目</w:t>
                  </w:r>
                  <w:r>
                    <w:rPr>
                      <w:rFonts w:hint="eastAsia" w:ascii="Times New Roman" w:hAnsi="Times New Roman" w:eastAsia="宋体" w:cs="Times New Roman"/>
                      <w:b w:val="0"/>
                      <w:bCs w:val="0"/>
                      <w:color w:val="000000"/>
                      <w:kern w:val="2"/>
                      <w:sz w:val="21"/>
                      <w:szCs w:val="21"/>
                      <w:u w:val="none"/>
                      <w:lang w:val="en-US" w:eastAsia="zh-CN" w:bidi="ar-SA"/>
                    </w:rPr>
                    <w:t>。</w:t>
                  </w:r>
                  <w:r>
                    <w:rPr>
                      <w:rFonts w:hint="eastAsia"/>
                      <w:color w:val="000000"/>
                      <w:szCs w:val="21"/>
                      <w:lang w:eastAsia="zh-CN"/>
                    </w:rPr>
                    <w:t>生产过程不</w:t>
                  </w:r>
                  <w:r>
                    <w:rPr>
                      <w:rFonts w:hint="eastAsia"/>
                      <w:color w:val="000000"/>
                      <w:szCs w:val="21"/>
                      <w:lang w:val="en-US" w:eastAsia="zh-CN"/>
                    </w:rPr>
                    <w:t>涉及使用</w:t>
                  </w:r>
                  <w:r>
                    <w:rPr>
                      <w:rFonts w:hint="eastAsia"/>
                      <w:color w:val="000000"/>
                      <w:szCs w:val="21"/>
                      <w:lang w:eastAsia="zh-CN"/>
                    </w:rPr>
                    <w:t>高VOCs含量的溶剂型涂料、油墨、胶粘剂等；项目</w:t>
                  </w:r>
                  <w:r>
                    <w:rPr>
                      <w:rFonts w:hint="eastAsia"/>
                      <w:color w:val="000000"/>
                      <w:szCs w:val="21"/>
                      <w:lang w:val="en-US" w:eastAsia="zh-CN"/>
                    </w:rPr>
                    <w:t>熔融挤出</w:t>
                  </w:r>
                  <w:r>
                    <w:rPr>
                      <w:rFonts w:hint="eastAsia"/>
                      <w:color w:val="000000"/>
                      <w:szCs w:val="21"/>
                      <w:lang w:eastAsia="zh-CN"/>
                    </w:rPr>
                    <w:t>过程</w:t>
                  </w:r>
                  <w:r>
                    <w:rPr>
                      <w:rFonts w:hint="eastAsia"/>
                      <w:color w:val="000000"/>
                      <w:szCs w:val="21"/>
                      <w:lang w:val="en-US" w:eastAsia="zh-CN"/>
                    </w:rPr>
                    <w:t>有机</w:t>
                  </w:r>
                  <w:r>
                    <w:rPr>
                      <w:rFonts w:hint="eastAsia"/>
                      <w:color w:val="000000"/>
                      <w:szCs w:val="21"/>
                      <w:lang w:eastAsia="zh-CN"/>
                    </w:rPr>
                    <w:t>废气经收集后进入</w:t>
                  </w:r>
                  <w:r>
                    <w:rPr>
                      <w:rFonts w:hint="eastAsia"/>
                      <w:color w:val="auto"/>
                      <w:szCs w:val="21"/>
                      <w:lang w:eastAsia="zh-CN"/>
                    </w:rPr>
                    <w:t>“</w:t>
                  </w:r>
                  <w:r>
                    <w:rPr>
                      <w:rFonts w:hint="eastAsia"/>
                      <w:color w:val="auto"/>
                      <w:szCs w:val="21"/>
                      <w:lang w:val="en-US" w:eastAsia="zh-CN"/>
                    </w:rPr>
                    <w:t>全密闭</w:t>
                  </w:r>
                  <w:r>
                    <w:rPr>
                      <w:rFonts w:hint="eastAsia"/>
                      <w:color w:val="auto"/>
                      <w:szCs w:val="21"/>
                      <w:lang w:eastAsia="zh-CN"/>
                    </w:rPr>
                    <w:t>负压集气系统+干式过滤除尘（过滤棉）</w:t>
                  </w:r>
                  <w:r>
                    <w:rPr>
                      <w:rFonts w:hint="eastAsia"/>
                      <w:color w:val="auto"/>
                      <w:szCs w:val="21"/>
                      <w:lang w:val="en-US" w:eastAsia="zh-CN"/>
                    </w:rPr>
                    <w:t>+</w:t>
                  </w:r>
                  <w:r>
                    <w:rPr>
                      <w:rFonts w:hint="eastAsia"/>
                      <w:color w:val="auto"/>
                      <w:szCs w:val="21"/>
                      <w:lang w:eastAsia="zh-CN"/>
                    </w:rPr>
                    <w:t>活性炭吸附</w:t>
                  </w:r>
                  <w:r>
                    <w:rPr>
                      <w:rFonts w:hint="eastAsia"/>
                      <w:color w:val="auto"/>
                      <w:szCs w:val="21"/>
                      <w:lang w:val="en-US" w:eastAsia="zh-CN"/>
                    </w:rPr>
                    <w:t>浓缩+催化燃烧（RCO）</w:t>
                  </w:r>
                  <w:r>
                    <w:rPr>
                      <w:rFonts w:hint="eastAsia"/>
                      <w:color w:val="auto"/>
                      <w:szCs w:val="21"/>
                      <w:lang w:eastAsia="zh-CN"/>
                    </w:rPr>
                    <w:t>+</w:t>
                  </w:r>
                  <w:r>
                    <w:rPr>
                      <w:rFonts w:hint="eastAsia"/>
                      <w:color w:val="auto"/>
                      <w:szCs w:val="21"/>
                      <w:lang w:val="en-US" w:eastAsia="zh-CN"/>
                    </w:rPr>
                    <w:t>20</w:t>
                  </w:r>
                  <w:r>
                    <w:rPr>
                      <w:rFonts w:hint="eastAsia"/>
                      <w:color w:val="auto"/>
                      <w:szCs w:val="21"/>
                      <w:lang w:eastAsia="zh-CN"/>
                    </w:rPr>
                    <w:t>m排气筒”处理后达标排放，</w:t>
                  </w:r>
                  <w:r>
                    <w:rPr>
                      <w:rFonts w:hint="eastAsia"/>
                      <w:color w:val="000000"/>
                      <w:szCs w:val="21"/>
                      <w:lang w:eastAsia="zh-CN"/>
                    </w:rPr>
                    <w:t>同时车间密闭；</w:t>
                  </w:r>
                  <w:r>
                    <w:rPr>
                      <w:rFonts w:hint="eastAsia"/>
                      <w:color w:val="000000"/>
                      <w:szCs w:val="21"/>
                      <w:lang w:val="en-US" w:eastAsia="zh-CN"/>
                    </w:rPr>
                    <w:t>采取以上环保措施后，本项目运营期间能够达到达标排放的环保要求。</w:t>
                  </w:r>
                </w:p>
              </w:tc>
              <w:tc>
                <w:tcPr>
                  <w:tcW w:w="355" w:type="pct"/>
                  <w:vMerge w:val="restart"/>
                  <w:tcBorders>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rPr>
                      <w:rFonts w:hint="eastAsia" w:ascii="Times New Roman" w:hAnsi="Times New Roman" w:eastAsia="宋体" w:cs="Times New Roman"/>
                      <w:color w:val="000000"/>
                      <w:sz w:val="21"/>
                      <w:szCs w:val="21"/>
                      <w:lang w:val="en-US" w:eastAsia="zh-CN"/>
                    </w:rPr>
                  </w:pPr>
                  <w:r>
                    <w:rPr>
                      <w:rFonts w:hint="eastAsia"/>
                    </w:rPr>
                    <w:t>24.开展简易低效VOCs治理设施升级改造。对治理设施设计不规范、与生产系统不匹配，单独使用光催化、光氧化、低温等离子等低效技术，治理设施建设和运行效果差的，建立清单台账，力争2022年6月底前基本完成升级改造并开展检测验收，严把工程质量，确保稳定达标排放。</w:t>
                  </w:r>
                </w:p>
              </w:tc>
              <w:tc>
                <w:tcPr>
                  <w:tcW w:w="1837" w:type="pct"/>
                  <w:vMerge w:val="continue"/>
                  <w:noWrap w:val="0"/>
                  <w:vAlign w:val="center"/>
                </w:tcPr>
                <w:p>
                  <w:pPr>
                    <w:rPr>
                      <w:rFonts w:hint="eastAsia"/>
                      <w:color w:val="000000"/>
                      <w:sz w:val="21"/>
                      <w:szCs w:val="21"/>
                    </w:rPr>
                  </w:pPr>
                </w:p>
              </w:tc>
              <w:tc>
                <w:tcPr>
                  <w:tcW w:w="355" w:type="pct"/>
                  <w:vMerge w:val="continue"/>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restart"/>
                  <w:noWrap w:val="0"/>
                  <w:vAlign w:val="center"/>
                </w:tcPr>
                <w:p>
                  <w:pPr>
                    <w:jc w:val="center"/>
                    <w:rPr>
                      <w:sz w:val="21"/>
                      <w:szCs w:val="21"/>
                    </w:rPr>
                  </w:pPr>
                  <w:r>
                    <w:rPr>
                      <w:rFonts w:hint="eastAsia"/>
                      <w:szCs w:val="21"/>
                      <w:lang w:eastAsia="zh-CN"/>
                    </w:rPr>
                    <w:t>《河南省生态环境办公室关于全面加强挥发性有机物污染治理的通知》（豫环办〔</w:t>
                  </w:r>
                  <w:r>
                    <w:rPr>
                      <w:rFonts w:hint="eastAsia"/>
                      <w:szCs w:val="21"/>
                      <w:lang w:val="en-US" w:eastAsia="zh-CN"/>
                    </w:rPr>
                    <w:t>2022〕24号</w:t>
                  </w:r>
                  <w:r>
                    <w:rPr>
                      <w:rFonts w:hint="eastAsia"/>
                      <w:szCs w:val="21"/>
                      <w:lang w:eastAsia="zh-CN"/>
                    </w:rPr>
                    <w:t>）</w:t>
                  </w:r>
                </w:p>
              </w:tc>
              <w:tc>
                <w:tcPr>
                  <w:tcW w:w="1937" w:type="pct"/>
                  <w:noWrap w:val="0"/>
                  <w:vAlign w:val="center"/>
                </w:tcPr>
                <w:p>
                  <w:pPr>
                    <w:numPr>
                      <w:ilvl w:val="0"/>
                      <w:numId w:val="4"/>
                    </w:numPr>
                    <w:rPr>
                      <w:rFonts w:hint="eastAsia"/>
                    </w:rPr>
                  </w:pPr>
                  <w:r>
                    <w:rPr>
                      <w:rFonts w:hint="eastAsia"/>
                      <w:lang w:val="en-US" w:eastAsia="zh-CN"/>
                    </w:rPr>
                    <w:t>加强源头控制，推进绿色生产；积极推进绿色生产工艺，减少VOCs产生量，石化、化工等行业实施“三化”改造（密闭化、自动化、管道化）；工业涂装行业重点推进使用紧凑式涂装工艺，鼓励企业采用自动化、智能化喷涂设备替代人工喷涂</w:t>
                  </w:r>
                </w:p>
              </w:tc>
              <w:tc>
                <w:tcPr>
                  <w:tcW w:w="1837" w:type="pct"/>
                  <w:noWrap w:val="0"/>
                  <w:vAlign w:val="center"/>
                </w:tcPr>
                <w:p>
                  <w:pPr>
                    <w:rPr>
                      <w:rFonts w:hint="eastAsia"/>
                      <w:color w:val="000000"/>
                      <w:sz w:val="21"/>
                      <w:szCs w:val="21"/>
                    </w:rPr>
                  </w:pPr>
                  <w:r>
                    <w:rPr>
                      <w:rFonts w:hint="eastAsia" w:eastAsia="宋体"/>
                      <w:color w:val="000000"/>
                      <w:szCs w:val="21"/>
                      <w:lang w:eastAsia="zh-CN"/>
                    </w:rPr>
                    <w:t>项目采用全自动挤塑造粒机进行废塑料再生颗粒的生产加工，设备采用电能，实行全自动操作，同时原料、产品、生产过程均在封闭车间内进行</w:t>
                  </w:r>
                </w:p>
              </w:tc>
              <w:tc>
                <w:tcPr>
                  <w:tcW w:w="355" w:type="pct"/>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numPr>
                      <w:ilvl w:val="0"/>
                      <w:numId w:val="4"/>
                    </w:numPr>
                    <w:rPr>
                      <w:rFonts w:hint="eastAsia"/>
                    </w:rPr>
                  </w:pPr>
                  <w:r>
                    <w:rPr>
                      <w:rFonts w:hint="eastAsia"/>
                      <w:lang w:val="en-US" w:eastAsia="zh-CN"/>
                    </w:rPr>
                    <w:t>强化收集效果，减少无组织排放各地要严格按照《挥发性有机物无组织排放控制标准》《重点行业挥发性有机物综合治理方案》《河南省2022年大气污染攻坚战实施方案》要求，对挥发性有机物无组织排放实施有效控制，提升废气收集率，做到“应收尽收”。产生VOCs的生产环节优先采用密闭设备、在密闭空间中操作等密闭收集方式，并保持负压运行：采用集气罩、侧吸风等措施收集无组织VOCs废气企业，距集气罩开口面最远处的VOCs无组织排放位置，控制风速不低于0.3米/秒：含VOCs物料输送应采用重力流或泵送方式，有机液体进料鼓励采用底部、浸入管给料方式</w:t>
                  </w:r>
                </w:p>
              </w:tc>
              <w:tc>
                <w:tcPr>
                  <w:tcW w:w="1837" w:type="pct"/>
                  <w:noWrap w:val="0"/>
                  <w:vAlign w:val="center"/>
                </w:tcPr>
                <w:p>
                  <w:pPr>
                    <w:rPr>
                      <w:rFonts w:hint="eastAsia"/>
                      <w:color w:val="000000"/>
                      <w:sz w:val="21"/>
                      <w:szCs w:val="21"/>
                    </w:rPr>
                  </w:pPr>
                  <w:r>
                    <w:rPr>
                      <w:rFonts w:hint="eastAsia" w:eastAsia="宋体"/>
                      <w:color w:val="auto"/>
                      <w:szCs w:val="21"/>
                      <w:lang w:eastAsia="zh-CN"/>
                    </w:rPr>
                    <w:t>项目严格按要求执行，</w:t>
                  </w:r>
                  <w:r>
                    <w:rPr>
                      <w:rFonts w:hint="eastAsia"/>
                      <w:color w:val="auto"/>
                      <w:szCs w:val="21"/>
                      <w:lang w:eastAsia="zh-CN"/>
                    </w:rPr>
                    <w:t>项目</w:t>
                  </w:r>
                  <w:r>
                    <w:rPr>
                      <w:rFonts w:hint="eastAsia"/>
                      <w:color w:val="auto"/>
                      <w:szCs w:val="21"/>
                      <w:lang w:val="en-US" w:eastAsia="zh-CN"/>
                    </w:rPr>
                    <w:t>熔融挤出</w:t>
                  </w:r>
                  <w:r>
                    <w:rPr>
                      <w:rFonts w:hint="eastAsia"/>
                      <w:color w:val="auto"/>
                      <w:szCs w:val="21"/>
                      <w:lang w:eastAsia="zh-CN"/>
                    </w:rPr>
                    <w:t>过程</w:t>
                  </w:r>
                  <w:r>
                    <w:rPr>
                      <w:rFonts w:hint="eastAsia"/>
                      <w:color w:val="auto"/>
                      <w:szCs w:val="21"/>
                      <w:lang w:val="en-US" w:eastAsia="zh-CN"/>
                    </w:rPr>
                    <w:t>中的有机</w:t>
                  </w:r>
                  <w:r>
                    <w:rPr>
                      <w:rFonts w:hint="eastAsia"/>
                      <w:color w:val="auto"/>
                      <w:szCs w:val="21"/>
                      <w:lang w:eastAsia="zh-CN"/>
                    </w:rPr>
                    <w:t>废气经集气收集后进入“</w:t>
                  </w:r>
                  <w:r>
                    <w:rPr>
                      <w:rFonts w:hint="eastAsia"/>
                      <w:color w:val="auto"/>
                      <w:szCs w:val="21"/>
                      <w:lang w:val="en-US" w:eastAsia="zh-CN"/>
                    </w:rPr>
                    <w:t>全密闭</w:t>
                  </w:r>
                  <w:r>
                    <w:rPr>
                      <w:rFonts w:hint="eastAsia"/>
                      <w:color w:val="auto"/>
                      <w:szCs w:val="21"/>
                      <w:lang w:eastAsia="zh-CN"/>
                    </w:rPr>
                    <w:t>负压集气系统+干式过滤除尘（过滤棉）</w:t>
                  </w:r>
                  <w:r>
                    <w:rPr>
                      <w:rFonts w:hint="eastAsia"/>
                      <w:color w:val="auto"/>
                      <w:szCs w:val="21"/>
                      <w:lang w:val="en-US" w:eastAsia="zh-CN"/>
                    </w:rPr>
                    <w:t>+</w:t>
                  </w:r>
                  <w:r>
                    <w:rPr>
                      <w:rFonts w:hint="eastAsia"/>
                      <w:color w:val="auto"/>
                      <w:szCs w:val="21"/>
                      <w:lang w:eastAsia="zh-CN"/>
                    </w:rPr>
                    <w:t>活性炭吸附</w:t>
                  </w:r>
                  <w:r>
                    <w:rPr>
                      <w:rFonts w:hint="eastAsia"/>
                      <w:color w:val="auto"/>
                      <w:szCs w:val="21"/>
                      <w:lang w:val="en-US" w:eastAsia="zh-CN"/>
                    </w:rPr>
                    <w:t>浓缩</w:t>
                  </w:r>
                  <w:r>
                    <w:rPr>
                      <w:rFonts w:hint="eastAsia"/>
                      <w:color w:val="auto"/>
                      <w:szCs w:val="21"/>
                      <w:lang w:eastAsia="zh-CN"/>
                    </w:rPr>
                    <w:t>+</w:t>
                  </w:r>
                  <w:r>
                    <w:rPr>
                      <w:rFonts w:hint="eastAsia"/>
                      <w:color w:val="auto"/>
                      <w:szCs w:val="21"/>
                      <w:lang w:val="en-US" w:eastAsia="zh-CN"/>
                    </w:rPr>
                    <w:t>催化燃烧（RCO）+20</w:t>
                  </w:r>
                  <w:r>
                    <w:rPr>
                      <w:rFonts w:hint="eastAsia"/>
                      <w:color w:val="auto"/>
                      <w:szCs w:val="21"/>
                      <w:lang w:eastAsia="zh-CN"/>
                    </w:rPr>
                    <w:t>m排气筒”处理后达标排放，采取以上环保措施后，本项目运营期间能够达到达标排放的环保要求。</w:t>
                  </w:r>
                </w:p>
              </w:tc>
              <w:tc>
                <w:tcPr>
                  <w:tcW w:w="355" w:type="pct"/>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rPr>
                      <w:rFonts w:hint="eastAsia"/>
                    </w:rPr>
                  </w:pPr>
                  <w:r>
                    <w:rPr>
                      <w:rFonts w:hint="eastAsia" w:ascii="Times New Roman" w:hAnsi="Times New Roman" w:eastAsia="宋体" w:cs="Times New Roman"/>
                      <w:kern w:val="2"/>
                      <w:sz w:val="21"/>
                      <w:szCs w:val="24"/>
                      <w:lang w:val="en-US" w:eastAsia="zh-CN" w:bidi="ar-SA"/>
                    </w:rPr>
                    <w:t>四、提升治理水平，全面达标排放：各地在2022年5月15日前全面梳理辖区内采用单一UV光氧催化、低温等离子、碱液喷淋等低效VOCs治理工艺企业，6月10日前在单一工艺基础上增加活性炭吸附工艺（颗粒状、柱状活性炭碘值不低于800毫克/克，蜂窝状活性炭碘值不低于650毫克/克</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，或建设RCO、RTO等高效处理工艺，确保废气污染物稳定达标排放。严禁露天堆存废活性炭，废活性炭厂内暂存时间不得超过一个月。</w:t>
                  </w:r>
                </w:p>
              </w:tc>
              <w:tc>
                <w:tcPr>
                  <w:tcW w:w="1837" w:type="pct"/>
                  <w:noWrap w:val="0"/>
                  <w:vAlign w:val="center"/>
                </w:tcPr>
                <w:p>
                  <w:pPr>
                    <w:rPr>
                      <w:rFonts w:hint="eastAsia"/>
                      <w:color w:val="000000"/>
                      <w:sz w:val="21"/>
                      <w:szCs w:val="21"/>
                    </w:rPr>
                  </w:pPr>
                  <w:r>
                    <w:rPr>
                      <w:rFonts w:hint="eastAsia"/>
                      <w:color w:val="000000"/>
                      <w:szCs w:val="21"/>
                      <w:lang w:eastAsia="zh-CN"/>
                    </w:rPr>
                    <w:t>项目</w:t>
                  </w:r>
                  <w:r>
                    <w:rPr>
                      <w:rFonts w:hint="eastAsia"/>
                      <w:color w:val="000000"/>
                      <w:szCs w:val="21"/>
                      <w:lang w:val="en-US" w:eastAsia="zh-CN"/>
                    </w:rPr>
                    <w:t>熔融挤出</w:t>
                  </w:r>
                  <w:r>
                    <w:rPr>
                      <w:rFonts w:hint="eastAsia"/>
                      <w:color w:val="000000"/>
                      <w:szCs w:val="21"/>
                      <w:lang w:eastAsia="zh-CN"/>
                    </w:rPr>
                    <w:t>过</w:t>
                  </w:r>
                  <w:r>
                    <w:rPr>
                      <w:rFonts w:hint="eastAsia"/>
                      <w:color w:val="auto"/>
                      <w:szCs w:val="21"/>
                      <w:lang w:eastAsia="zh-CN"/>
                    </w:rPr>
                    <w:t>程</w:t>
                  </w:r>
                  <w:r>
                    <w:rPr>
                      <w:rFonts w:hint="eastAsia"/>
                      <w:color w:val="auto"/>
                      <w:szCs w:val="21"/>
                      <w:lang w:val="en-US" w:eastAsia="zh-CN"/>
                    </w:rPr>
                    <w:t>中的有机</w:t>
                  </w:r>
                  <w:r>
                    <w:rPr>
                      <w:rFonts w:hint="eastAsia"/>
                      <w:color w:val="auto"/>
                      <w:szCs w:val="21"/>
                      <w:lang w:eastAsia="zh-CN"/>
                    </w:rPr>
                    <w:t>废气经集气收集后进入“</w:t>
                  </w:r>
                  <w:r>
                    <w:rPr>
                      <w:rFonts w:hint="eastAsia"/>
                      <w:color w:val="auto"/>
                      <w:szCs w:val="21"/>
                      <w:lang w:val="en-US" w:eastAsia="zh-CN"/>
                    </w:rPr>
                    <w:t>全密闭</w:t>
                  </w:r>
                  <w:r>
                    <w:rPr>
                      <w:rFonts w:hint="eastAsia"/>
                      <w:color w:val="auto"/>
                      <w:szCs w:val="21"/>
                      <w:lang w:eastAsia="zh-CN"/>
                    </w:rPr>
                    <w:t>负压集气系统+干式过滤除尘（过滤棉）</w:t>
                  </w:r>
                  <w:r>
                    <w:rPr>
                      <w:rFonts w:hint="eastAsia"/>
                      <w:color w:val="auto"/>
                      <w:szCs w:val="21"/>
                      <w:lang w:val="en-US" w:eastAsia="zh-CN"/>
                    </w:rPr>
                    <w:t>+</w:t>
                  </w:r>
                  <w:r>
                    <w:rPr>
                      <w:rFonts w:hint="eastAsia"/>
                      <w:color w:val="auto"/>
                      <w:szCs w:val="21"/>
                      <w:lang w:eastAsia="zh-CN"/>
                    </w:rPr>
                    <w:t>活性炭吸附</w:t>
                  </w:r>
                  <w:r>
                    <w:rPr>
                      <w:rFonts w:hint="eastAsia"/>
                      <w:color w:val="auto"/>
                      <w:szCs w:val="21"/>
                      <w:lang w:val="en-US" w:eastAsia="zh-CN"/>
                    </w:rPr>
                    <w:t>浓缩</w:t>
                  </w:r>
                  <w:r>
                    <w:rPr>
                      <w:rFonts w:hint="eastAsia"/>
                      <w:color w:val="auto"/>
                      <w:szCs w:val="21"/>
                      <w:lang w:eastAsia="zh-CN"/>
                    </w:rPr>
                    <w:t>+</w:t>
                  </w:r>
                  <w:r>
                    <w:rPr>
                      <w:rFonts w:hint="eastAsia"/>
                      <w:color w:val="auto"/>
                      <w:szCs w:val="21"/>
                      <w:lang w:val="en-US" w:eastAsia="zh-CN"/>
                    </w:rPr>
                    <w:t>催化燃烧（RCO）+20</w:t>
                  </w:r>
                  <w:r>
                    <w:rPr>
                      <w:rFonts w:hint="eastAsia"/>
                      <w:color w:val="auto"/>
                      <w:szCs w:val="21"/>
                      <w:lang w:eastAsia="zh-CN"/>
                    </w:rPr>
                    <w:t>m排气筒”处理</w:t>
                  </w:r>
                  <w:r>
                    <w:rPr>
                      <w:rFonts w:hint="eastAsia"/>
                      <w:color w:val="000000"/>
                      <w:szCs w:val="21"/>
                      <w:lang w:eastAsia="zh-CN"/>
                    </w:rPr>
                    <w:t>后达标排放；</w:t>
                  </w:r>
                  <w:r>
                    <w:rPr>
                      <w:rFonts w:hint="eastAsia"/>
                      <w:color w:val="000000"/>
                      <w:szCs w:val="21"/>
                      <w:lang w:val="en-US" w:eastAsia="zh-CN"/>
                    </w:rPr>
                    <w:t>项目运营期间产生的危险废物在</w:t>
                  </w:r>
                  <w:r>
                    <w:rPr>
                      <w:rFonts w:hint="eastAsia"/>
                      <w:color w:val="000000"/>
                      <w:szCs w:val="21"/>
                      <w:lang w:eastAsia="zh-CN"/>
                    </w:rPr>
                    <w:t>厂区危废暂存间暂存后及时交由有资质单位处理，</w:t>
                  </w:r>
                  <w:r>
                    <w:rPr>
                      <w:rFonts w:hint="eastAsia" w:ascii="Times New Roman" w:hAnsi="Times New Roman" w:eastAsia="宋体" w:cs="Times New Roman"/>
                      <w:kern w:val="2"/>
                      <w:sz w:val="21"/>
                      <w:szCs w:val="24"/>
                      <w:lang w:val="en-US" w:eastAsia="zh-CN" w:bidi="ar-SA"/>
                    </w:rPr>
                    <w:t>废活性炭厂内暂存时间不得超过一个月</w:t>
                  </w:r>
                </w:p>
              </w:tc>
              <w:tc>
                <w:tcPr>
                  <w:tcW w:w="355" w:type="pct"/>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restart"/>
                  <w:noWrap w:val="0"/>
                  <w:vAlign w:val="center"/>
                </w:tcPr>
                <w:p>
                  <w:pPr>
                    <w:jc w:val="center"/>
                    <w:rPr>
                      <w:sz w:val="21"/>
                      <w:szCs w:val="21"/>
                    </w:rPr>
                  </w:pPr>
                  <w:r>
                    <w:rPr>
                      <w:rFonts w:hint="eastAsia" w:ascii="Times New Roman" w:hAnsi="Times New Roman" w:eastAsia="宋体" w:cs="Times New Roman"/>
                      <w:color w:val="000000"/>
                      <w:szCs w:val="21"/>
                      <w:lang w:val="en-US" w:eastAsia="zh-CN"/>
                    </w:rPr>
                    <w:t>《“十三五”挥发性有机物污染防治工作方案》</w:t>
                  </w:r>
                </w:p>
              </w:tc>
              <w:tc>
                <w:tcPr>
                  <w:tcW w:w="1937" w:type="pct"/>
                  <w:noWrap w:val="0"/>
                  <w:vAlign w:val="center"/>
                </w:tcPr>
                <w:p>
                  <w:pPr>
                    <w:pStyle w:val="22"/>
                    <w:keepNext w:val="0"/>
                    <w:keepLines w:val="0"/>
                    <w:widowControl/>
                    <w:suppressLineNumbers w:val="0"/>
                    <w:spacing w:before="0" w:beforeAutospacing="0" w:after="0" w:afterAutospacing="0" w:line="300" w:lineRule="atLeast"/>
                    <w:ind w:left="0" w:leftChars="0" w:right="0" w:rightChars="0"/>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kern w:val="2"/>
                      <w:sz w:val="21"/>
                      <w:szCs w:val="21"/>
                      <w:lang w:val="en-US" w:eastAsia="zh-CN" w:bidi="ar-SA"/>
                    </w:rPr>
                    <w:t>重点推进石化、化工、包装印刷、工业涂装等重点行业以及机动车、油品储运销等交通源VOCs污染防治，实施一批重点工程。各地应结合自身产业结构特征、VOCs排放来源等，确定本地VOCs控制重点行业；充分考虑行业产能利用率、生产工艺特征以及污染物排放情况等，结合环境空气质量季节性变化特征，研究制定行业生产调控措施。</w:t>
                  </w:r>
                </w:p>
              </w:tc>
              <w:tc>
                <w:tcPr>
                  <w:tcW w:w="1837" w:type="pct"/>
                  <w:noWrap w:val="0"/>
                  <w:vAlign w:val="center"/>
                </w:tcPr>
                <w:p>
                  <w:pPr>
                    <w:rPr>
                      <w:rFonts w:hint="eastAsia"/>
                      <w:color w:val="0000FF"/>
                      <w:szCs w:val="21"/>
                      <w:lang w:eastAsia="zh-CN"/>
                    </w:rPr>
                  </w:pPr>
                  <w:r>
                    <w:rPr>
                      <w:rFonts w:hint="default" w:ascii="Times New Roman" w:hAnsi="Times New Roman" w:eastAsia="宋体" w:cs="Times New Roman"/>
                      <w:b w:val="0"/>
                      <w:bCs w:val="0"/>
                      <w:color w:val="auto"/>
                      <w:kern w:val="2"/>
                      <w:sz w:val="21"/>
                      <w:szCs w:val="21"/>
                      <w:u w:val="none"/>
                      <w:lang w:val="en-US" w:eastAsia="zh-CN" w:bidi="ar-SA"/>
                    </w:rPr>
                    <w:t>本项目为</w:t>
                  </w:r>
                  <w:r>
                    <w:rPr>
                      <w:rFonts w:hint="eastAsia" w:ascii="Times New Roman" w:hAnsi="Times New Roman" w:eastAsia="宋体" w:cs="Times New Roman"/>
                      <w:b w:val="0"/>
                      <w:bCs w:val="0"/>
                      <w:color w:val="auto"/>
                      <w:kern w:val="2"/>
                      <w:sz w:val="21"/>
                      <w:szCs w:val="21"/>
                      <w:u w:val="none"/>
                      <w:lang w:val="en-US" w:eastAsia="zh-CN" w:bidi="ar-SA"/>
                    </w:rPr>
                    <w:t>利用废旧编织袋和泡沫</w:t>
                  </w:r>
                  <w:r>
                    <w:rPr>
                      <w:rFonts w:hint="default" w:ascii="Times New Roman" w:hAnsi="Times New Roman" w:eastAsia="宋体" w:cs="Times New Roman"/>
                      <w:b w:val="0"/>
                      <w:bCs w:val="0"/>
                      <w:color w:val="auto"/>
                      <w:kern w:val="2"/>
                      <w:sz w:val="21"/>
                      <w:szCs w:val="21"/>
                      <w:u w:val="none"/>
                      <w:lang w:val="en-US" w:eastAsia="zh-CN" w:bidi="ar-SA"/>
                    </w:rPr>
                    <w:t>再生塑料颗粒制造项目</w:t>
                  </w:r>
                  <w:r>
                    <w:rPr>
                      <w:rFonts w:hint="eastAsia" w:ascii="Times New Roman" w:hAnsi="Times New Roman" w:eastAsia="宋体" w:cs="Times New Roman"/>
                      <w:b w:val="0"/>
                      <w:bCs w:val="0"/>
                      <w:color w:val="auto"/>
                      <w:kern w:val="2"/>
                      <w:sz w:val="21"/>
                      <w:szCs w:val="21"/>
                      <w:u w:val="none"/>
                      <w:lang w:val="en-US" w:eastAsia="zh-CN" w:bidi="ar-SA"/>
                    </w:rPr>
                    <w:t>。</w:t>
                  </w:r>
                  <w:r>
                    <w:rPr>
                      <w:rFonts w:hint="eastAsia"/>
                      <w:color w:val="auto"/>
                      <w:szCs w:val="21"/>
                      <w:lang w:eastAsia="zh-CN"/>
                    </w:rPr>
                    <w:t>不属于重点行业，项目</w:t>
                  </w:r>
                  <w:r>
                    <w:rPr>
                      <w:rFonts w:hint="eastAsia"/>
                      <w:color w:val="auto"/>
                      <w:szCs w:val="21"/>
                      <w:lang w:val="en-US" w:eastAsia="zh-CN"/>
                    </w:rPr>
                    <w:t>熔融挤出</w:t>
                  </w:r>
                  <w:r>
                    <w:rPr>
                      <w:rFonts w:hint="eastAsia"/>
                      <w:color w:val="auto"/>
                      <w:szCs w:val="21"/>
                      <w:lang w:eastAsia="zh-CN"/>
                    </w:rPr>
                    <w:t>过程</w:t>
                  </w:r>
                  <w:r>
                    <w:rPr>
                      <w:rFonts w:hint="eastAsia"/>
                      <w:color w:val="auto"/>
                      <w:szCs w:val="21"/>
                      <w:lang w:val="en-US" w:eastAsia="zh-CN"/>
                    </w:rPr>
                    <w:t>中的有机</w:t>
                  </w:r>
                  <w:r>
                    <w:rPr>
                      <w:rFonts w:hint="eastAsia"/>
                      <w:color w:val="auto"/>
                      <w:szCs w:val="21"/>
                      <w:lang w:eastAsia="zh-CN"/>
                    </w:rPr>
                    <w:t>废气经集气收集后进入“</w:t>
                  </w:r>
                  <w:r>
                    <w:rPr>
                      <w:rFonts w:hint="eastAsia"/>
                      <w:color w:val="auto"/>
                      <w:szCs w:val="21"/>
                      <w:lang w:val="en-US" w:eastAsia="zh-CN"/>
                    </w:rPr>
                    <w:t>全密闭</w:t>
                  </w:r>
                  <w:r>
                    <w:rPr>
                      <w:rFonts w:hint="eastAsia"/>
                      <w:color w:val="auto"/>
                      <w:szCs w:val="21"/>
                      <w:lang w:eastAsia="zh-CN"/>
                    </w:rPr>
                    <w:t>负压集气系统+干式过滤除尘（过滤棉）</w:t>
                  </w:r>
                  <w:r>
                    <w:rPr>
                      <w:rFonts w:hint="eastAsia"/>
                      <w:color w:val="auto"/>
                      <w:szCs w:val="21"/>
                      <w:lang w:val="en-US" w:eastAsia="zh-CN"/>
                    </w:rPr>
                    <w:t>+</w:t>
                  </w:r>
                  <w:r>
                    <w:rPr>
                      <w:rFonts w:hint="eastAsia"/>
                      <w:color w:val="auto"/>
                      <w:szCs w:val="21"/>
                      <w:lang w:eastAsia="zh-CN"/>
                    </w:rPr>
                    <w:t>活性炭吸附</w:t>
                  </w:r>
                  <w:r>
                    <w:rPr>
                      <w:rFonts w:hint="eastAsia"/>
                      <w:color w:val="auto"/>
                      <w:szCs w:val="21"/>
                      <w:lang w:val="en-US" w:eastAsia="zh-CN"/>
                    </w:rPr>
                    <w:t>浓缩</w:t>
                  </w:r>
                  <w:r>
                    <w:rPr>
                      <w:rFonts w:hint="eastAsia"/>
                      <w:color w:val="auto"/>
                      <w:szCs w:val="21"/>
                      <w:lang w:eastAsia="zh-CN"/>
                    </w:rPr>
                    <w:t>+</w:t>
                  </w:r>
                  <w:r>
                    <w:rPr>
                      <w:rFonts w:hint="eastAsia"/>
                      <w:color w:val="auto"/>
                      <w:szCs w:val="21"/>
                      <w:lang w:val="en-US" w:eastAsia="zh-CN"/>
                    </w:rPr>
                    <w:t>催化燃烧（RCO）+20</w:t>
                  </w:r>
                  <w:r>
                    <w:rPr>
                      <w:rFonts w:hint="eastAsia"/>
                      <w:color w:val="auto"/>
                      <w:szCs w:val="21"/>
                      <w:lang w:eastAsia="zh-CN"/>
                    </w:rPr>
                    <w:t>m排气筒”处理后达标排放；采取以上环保措施后，本项目运营期间能够达到达标排放的环保要求。</w:t>
                  </w:r>
                </w:p>
              </w:tc>
              <w:tc>
                <w:tcPr>
                  <w:tcW w:w="355" w:type="pct"/>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vMerge w:val="continue"/>
                  <w:noWrap w:val="0"/>
                  <w:vAlign w:val="center"/>
                </w:tcPr>
                <w:p>
                  <w:pPr>
                    <w:jc w:val="center"/>
                    <w:rPr>
                      <w:sz w:val="21"/>
                      <w:szCs w:val="21"/>
                    </w:rPr>
                  </w:pPr>
                </w:p>
              </w:tc>
              <w:tc>
                <w:tcPr>
                  <w:tcW w:w="1937" w:type="pct"/>
                  <w:noWrap w:val="0"/>
                  <w:vAlign w:val="center"/>
                </w:tcPr>
                <w:p>
                  <w:pPr>
                    <w:pStyle w:val="22"/>
                    <w:keepNext w:val="0"/>
                    <w:keepLines w:val="0"/>
                    <w:widowControl/>
                    <w:suppressLineNumbers w:val="0"/>
                    <w:spacing w:before="0" w:beforeAutospacing="0" w:after="0" w:afterAutospacing="0" w:line="300" w:lineRule="atLeast"/>
                    <w:ind w:left="0" w:leftChars="0" w:right="0" w:rightChars="0"/>
                    <w:jc w:val="both"/>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000000"/>
                      <w:sz w:val="21"/>
                      <w:szCs w:val="21"/>
                    </w:rPr>
                    <w:t>严格建设项目环境准入。提高VOCs排放重点行业环保准入门槛，严格控制新增污染物排放量。重点地区要严格限制石化、化工、包装印刷、工业涂装等高VOCs排放建设项目</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新建涉VOCs排放的工业企业要入园区。</w:t>
                  </w:r>
                </w:p>
              </w:tc>
              <w:tc>
                <w:tcPr>
                  <w:tcW w:w="1837" w:type="pct"/>
                  <w:noWrap w:val="0"/>
                  <w:vAlign w:val="center"/>
                </w:tcPr>
                <w:p>
                  <w:pPr>
                    <w:rPr>
                      <w:rFonts w:hint="eastAsia"/>
                      <w:color w:val="0000FF"/>
                      <w:szCs w:val="21"/>
                      <w:lang w:eastAsia="zh-CN"/>
                    </w:rPr>
                  </w:pPr>
                  <w:r>
                    <w:rPr>
                      <w:rFonts w:hint="default" w:ascii="Times New Roman" w:hAnsi="Times New Roman" w:eastAsia="宋体" w:cs="Times New Roman"/>
                      <w:b w:val="0"/>
                      <w:bCs w:val="0"/>
                      <w:color w:val="auto"/>
                      <w:kern w:val="2"/>
                      <w:sz w:val="21"/>
                      <w:szCs w:val="21"/>
                      <w:u w:val="none"/>
                      <w:lang w:val="en-US" w:eastAsia="zh-CN" w:bidi="ar-SA"/>
                    </w:rPr>
                    <w:t>本项目为</w:t>
                  </w:r>
                  <w:r>
                    <w:rPr>
                      <w:rFonts w:hint="eastAsia" w:ascii="Times New Roman" w:hAnsi="Times New Roman" w:eastAsia="宋体" w:cs="Times New Roman"/>
                      <w:b w:val="0"/>
                      <w:bCs w:val="0"/>
                      <w:color w:val="auto"/>
                      <w:kern w:val="2"/>
                      <w:sz w:val="21"/>
                      <w:szCs w:val="21"/>
                      <w:u w:val="none"/>
                      <w:lang w:val="en-US" w:eastAsia="zh-CN" w:bidi="ar-SA"/>
                    </w:rPr>
                    <w:t>利用废旧编织袋和泡沫</w:t>
                  </w:r>
                  <w:r>
                    <w:rPr>
                      <w:rFonts w:hint="default" w:ascii="Times New Roman" w:hAnsi="Times New Roman" w:eastAsia="宋体" w:cs="Times New Roman"/>
                      <w:b w:val="0"/>
                      <w:bCs w:val="0"/>
                      <w:color w:val="auto"/>
                      <w:kern w:val="2"/>
                      <w:sz w:val="21"/>
                      <w:szCs w:val="21"/>
                      <w:u w:val="none"/>
                      <w:lang w:val="en-US" w:eastAsia="zh-CN" w:bidi="ar-SA"/>
                    </w:rPr>
                    <w:t>再生塑料颗粒制造项目</w:t>
                  </w:r>
                  <w:r>
                    <w:rPr>
                      <w:rFonts w:hint="eastAsia" w:ascii="Times New Roman" w:hAnsi="Times New Roman" w:eastAsia="宋体" w:cs="Times New Roman"/>
                      <w:b w:val="0"/>
                      <w:bCs w:val="0"/>
                      <w:color w:val="auto"/>
                      <w:kern w:val="2"/>
                      <w:sz w:val="21"/>
                      <w:szCs w:val="21"/>
                      <w:u w:val="none"/>
                      <w:lang w:val="en-US" w:eastAsia="zh-CN" w:bidi="ar-SA"/>
                    </w:rPr>
                    <w:t>，</w:t>
                  </w:r>
                  <w:r>
                    <w:rPr>
                      <w:rFonts w:hint="eastAsia"/>
                      <w:color w:val="auto"/>
                      <w:szCs w:val="21"/>
                      <w:lang w:eastAsia="zh-CN"/>
                    </w:rPr>
                    <w:t>不属于石化、化工、包装印刷、工业涂装等高VOCs排放建设项目，项目为新建项目，位于平顶山市宝丰县宝丰高新技术产业开发区旭原不锈钢院内8号厂房。</w:t>
                  </w:r>
                </w:p>
              </w:tc>
              <w:tc>
                <w:tcPr>
                  <w:tcW w:w="355" w:type="pct"/>
                  <w:tcBorders>
                    <w:bottom w:val="single" w:color="auto" w:sz="4" w:space="0"/>
                    <w:right w:val="single" w:color="auto" w:sz="4" w:space="0"/>
                  </w:tcBorders>
                  <w:noWrap w:val="0"/>
                  <w:vAlign w:val="center"/>
                </w:tcPr>
                <w:p>
                  <w:pPr>
                    <w:jc w:val="center"/>
                    <w:rPr>
                      <w:rFonts w:hint="eastAsia" w:eastAsia="宋体"/>
                      <w:color w:val="000000"/>
                      <w:sz w:val="21"/>
                      <w:szCs w:val="21"/>
                      <w:lang w:val="en-US" w:eastAsia="zh-CN"/>
                    </w:rPr>
                  </w:pPr>
                  <w:r>
                    <w:rPr>
                      <w:rFonts w:hint="eastAsia" w:eastAsia="宋体"/>
                      <w:color w:val="000000"/>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57" w:hRule="atLeast"/>
                <w:jc w:val="center"/>
              </w:trPr>
              <w:tc>
                <w:tcPr>
                  <w:tcW w:w="869" w:type="pct"/>
                  <w:vMerge w:val="restart"/>
                  <w:noWrap w:val="0"/>
                  <w:vAlign w:val="center"/>
                </w:tcPr>
                <w:p>
                  <w:pP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《河南省2022年水污染防治攻坚战实施方案》</w:t>
                  </w:r>
                  <w:r>
                    <w:rPr>
                      <w:rFonts w:hint="eastAsia" w:ascii="Times New Roman" w:hAnsi="Times New Roman" w:eastAsia="宋体" w:cs="Times New Roman"/>
                      <w:color w:val="000000"/>
                      <w:sz w:val="21"/>
                      <w:szCs w:val="21"/>
                      <w:lang w:eastAsia="zh-CN"/>
                    </w:rPr>
                    <w:t>（豫环委办〔202</w:t>
                  </w: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9</w:t>
                  </w:r>
                  <w:r>
                    <w:rPr>
                      <w:rFonts w:hint="eastAsia" w:ascii="Times New Roman" w:hAnsi="Times New Roman" w:eastAsia="宋体" w:cs="Times New Roman"/>
                      <w:color w:val="000000"/>
                      <w:sz w:val="21"/>
                      <w:szCs w:val="21"/>
                      <w:lang w:eastAsia="zh-CN"/>
                    </w:rPr>
                    <w:t>号）</w:t>
                  </w:r>
                </w:p>
                <w:p>
                  <w:pPr>
                    <w:rPr>
                      <w:rFonts w:hint="eastAsia" w:ascii="Times New Roman" w:hAnsi="Times New Roman" w:eastAsia="宋体" w:cs="Times New Roman"/>
                      <w:color w:val="000000"/>
                      <w:sz w:val="21"/>
                      <w:szCs w:val="21"/>
                      <w:lang w:val="en-US" w:eastAsia="zh-CN"/>
                    </w:rPr>
                  </w:pPr>
                </w:p>
              </w:tc>
              <w:tc>
                <w:tcPr>
                  <w:tcW w:w="1937" w:type="pct"/>
                  <w:noWrap w:val="0"/>
                  <w:vAlign w:val="center"/>
                </w:tcPr>
                <w:p>
                  <w:pP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14.调整优化产业结构。落实“三线一单”生态环境分区管控体系，加强重点区域、重点流域、重点行业和产业布局规划环评。</w:t>
                  </w:r>
                </w:p>
              </w:tc>
              <w:tc>
                <w:tcPr>
                  <w:tcW w:w="1837" w:type="pct"/>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项目符合三线一单要求</w:t>
                  </w:r>
                </w:p>
              </w:tc>
              <w:tc>
                <w:tcPr>
                  <w:tcW w:w="355" w:type="pct"/>
                  <w:tcBorders>
                    <w:right w:val="single" w:color="auto" w:sz="4" w:space="0"/>
                  </w:tcBorders>
                  <w:noWrap w:val="0"/>
                  <w:vAlign w:val="center"/>
                </w:tcPr>
                <w:p>
                  <w:pPr>
                    <w:jc w:val="center"/>
                    <w:rPr>
                      <w:rFonts w:hint="eastAsia"/>
                      <w:color w:val="000000"/>
                      <w:sz w:val="21"/>
                      <w:szCs w:val="21"/>
                    </w:rPr>
                  </w:pPr>
                  <w:r>
                    <w:rPr>
                      <w:rFonts w:hint="eastAsia"/>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4" w:hRule="atLeast"/>
                <w:jc w:val="center"/>
              </w:trPr>
              <w:tc>
                <w:tcPr>
                  <w:tcW w:w="869" w:type="pct"/>
                  <w:vMerge w:val="continue"/>
                  <w:tcBorders>
                    <w:bottom w:val="single" w:color="auto" w:sz="4" w:space="0"/>
                  </w:tcBorders>
                  <w:noWrap w:val="0"/>
                  <w:vAlign w:val="center"/>
                </w:tcPr>
                <w:p>
                  <w:pPr>
                    <w:rPr>
                      <w:rFonts w:hint="eastAsia" w:ascii="Times New Roman" w:hAnsi="Times New Roman" w:eastAsia="宋体" w:cs="Times New Roman"/>
                      <w:color w:val="000000"/>
                      <w:sz w:val="21"/>
                      <w:szCs w:val="21"/>
                      <w:lang w:val="en-US" w:eastAsia="zh-CN"/>
                    </w:rPr>
                  </w:pPr>
                </w:p>
              </w:tc>
              <w:tc>
                <w:tcPr>
                  <w:tcW w:w="1937" w:type="pct"/>
                  <w:noWrap w:val="0"/>
                  <w:vAlign w:val="center"/>
                </w:tcPr>
                <w:p>
                  <w:pP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五）统筹做好其他水生态环境保护工作14.调整优化产业结构。15.推动企业绿色发展。推进工业水循环利用和水循环梯级利用，在高耗水行业开展水效“领跑者”行动。16.提升城镇污水资源化利用。17.加强水环境风险防控。18.补齐医疗机构污水处理设施短板。19.强化水生态环境执法监管。20.提升水生态环境监测监控能力。21.深入开展交通运输业水污染防治。</w:t>
                  </w:r>
                </w:p>
              </w:tc>
              <w:tc>
                <w:tcPr>
                  <w:tcW w:w="1837" w:type="pct"/>
                  <w:noWrap w:val="0"/>
                  <w:vAlign w:val="center"/>
                </w:tcPr>
                <w:p>
                  <w:pP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项目营运期废水主要为生活污水、清洗废水、车辆冲洗废水以及冷却水。生活污水经化粪池收集后可直接进入污水管网，最终进入</w:t>
                  </w:r>
                  <w:r>
                    <w:rPr>
                      <w:rFonts w:hint="eastAsia" w:cs="Times New Roman"/>
                      <w:b w:val="0"/>
                      <w:bCs w:val="0"/>
                      <w:color w:val="000000"/>
                      <w:sz w:val="21"/>
                      <w:szCs w:val="21"/>
                      <w:u w:val="none"/>
                      <w:lang w:val="en-US" w:eastAsia="zh-CN"/>
                    </w:rPr>
                    <w:t>宝丰县产业集聚区污水处理厂</w:t>
                  </w:r>
                  <w:r>
                    <w:rPr>
                      <w:rFonts w:hint="default" w:ascii="Times New Roman" w:hAnsi="Times New Roman" w:eastAsia="宋体" w:cs="Times New Roman"/>
                      <w:b w:val="0"/>
                      <w:bCs w:val="0"/>
                      <w:color w:val="000000"/>
                      <w:sz w:val="21"/>
                      <w:szCs w:val="21"/>
                      <w:u w:val="none"/>
                      <w:lang w:val="en-US" w:eastAsia="zh-CN"/>
                    </w:rPr>
                    <w:t>进行处理；清洗废水经</w:t>
                  </w:r>
                  <w:r>
                    <w:rPr>
                      <w:rFonts w:hint="eastAsia" w:cs="Times New Roman"/>
                      <w:b w:val="0"/>
                      <w:bCs w:val="0"/>
                      <w:color w:val="000000"/>
                      <w:sz w:val="21"/>
                      <w:szCs w:val="21"/>
                      <w:u w:val="none"/>
                      <w:lang w:val="en-US" w:eastAsia="zh-CN"/>
                    </w:rPr>
                    <w:t>一体化环保设施</w:t>
                  </w:r>
                  <w:r>
                    <w:rPr>
                      <w:rFonts w:hint="default" w:ascii="Times New Roman" w:hAnsi="Times New Roman" w:eastAsia="宋体" w:cs="Times New Roman"/>
                      <w:b w:val="0"/>
                      <w:bCs w:val="0"/>
                      <w:color w:val="000000"/>
                      <w:sz w:val="21"/>
                      <w:szCs w:val="21"/>
                      <w:u w:val="none"/>
                      <w:lang w:val="en-US" w:eastAsia="zh-CN"/>
                    </w:rPr>
                    <w:t>净化处理后循环使用不外排；车辆冲洗废水经沉淀池处理后，循环使用不外排；冷却水定期补充，循环使用不外排。</w:t>
                  </w:r>
                </w:p>
              </w:tc>
              <w:tc>
                <w:tcPr>
                  <w:tcW w:w="355" w:type="pct"/>
                  <w:tcBorders>
                    <w:right w:val="single" w:color="auto" w:sz="4" w:space="0"/>
                  </w:tcBorders>
                  <w:noWrap w:val="0"/>
                  <w:vAlign w:val="center"/>
                </w:tcPr>
                <w:p>
                  <w:pPr>
                    <w:jc w:val="center"/>
                    <w:rPr>
                      <w:color w:val="000000"/>
                      <w:sz w:val="21"/>
                      <w:szCs w:val="21"/>
                    </w:rPr>
                  </w:pPr>
                  <w:r>
                    <w:rPr>
                      <w:rFonts w:hint="eastAsia"/>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tcBorders>
                    <w:top w:val="single" w:color="auto" w:sz="4" w:space="0"/>
                    <w:bottom w:val="single" w:color="auto" w:sz="4" w:space="0"/>
                  </w:tcBorders>
                  <w:noWrap w:val="0"/>
                  <w:vAlign w:val="center"/>
                </w:tcPr>
                <w:p>
                  <w:pP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《河南省202</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年土壤污染防治攻坚战实施方案》</w:t>
                  </w:r>
                  <w:r>
                    <w:rPr>
                      <w:rFonts w:hint="eastAsia" w:ascii="Times New Roman" w:hAnsi="Times New Roman" w:eastAsia="宋体" w:cs="Times New Roman"/>
                      <w:color w:val="000000"/>
                      <w:sz w:val="21"/>
                      <w:szCs w:val="21"/>
                      <w:lang w:eastAsia="zh-CN"/>
                    </w:rPr>
                    <w:t>（豫环委办〔202</w:t>
                  </w: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9</w:t>
                  </w:r>
                  <w:r>
                    <w:rPr>
                      <w:rFonts w:hint="eastAsia" w:ascii="Times New Roman" w:hAnsi="Times New Roman" w:eastAsia="宋体" w:cs="Times New Roman"/>
                      <w:color w:val="000000"/>
                      <w:sz w:val="21"/>
                      <w:szCs w:val="21"/>
                      <w:lang w:eastAsia="zh-CN"/>
                    </w:rPr>
                    <w:t>号）</w:t>
                  </w:r>
                </w:p>
                <w:p>
                  <w:pPr>
                    <w:rPr>
                      <w:rFonts w:hint="eastAsia" w:ascii="Times New Roman" w:hAnsi="Times New Roman" w:eastAsia="宋体" w:cs="Times New Roman"/>
                      <w:color w:val="000000"/>
                      <w:sz w:val="21"/>
                      <w:szCs w:val="21"/>
                      <w:lang w:val="en-US" w:eastAsia="zh-CN"/>
                    </w:rPr>
                  </w:pPr>
                </w:p>
              </w:tc>
              <w:tc>
                <w:tcPr>
                  <w:tcW w:w="1937" w:type="pct"/>
                  <w:noWrap w:val="0"/>
                  <w:vAlign w:val="center"/>
                </w:tcPr>
                <w:p>
                  <w:pP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二</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强化土壤污染源头防控</w:t>
                  </w:r>
                </w:p>
                <w:p>
                  <w:pP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1.推动涉重金属企业绿色化发展。</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支持</w:t>
                  </w:r>
                  <w:r>
                    <w:rPr>
                      <w:rFonts w:hint="default" w:ascii="Times New Roman" w:hAnsi="Times New Roman" w:eastAsia="宋体" w:cs="Times New Roman"/>
                      <w:color w:val="000000"/>
                      <w:sz w:val="21"/>
                      <w:szCs w:val="21"/>
                      <w:lang w:val="en-US" w:eastAsia="zh-CN"/>
                    </w:rPr>
                    <w:t>开展“无废城市”建设试点，全面加强固体废物治理体系和能力建设。持续开展危险废物专项整治，全面提升危险废物环境监管、利用处置和环境风险防范“三个能力”，推动危险废物监管和利用处置能力改革工作。</w:t>
                  </w:r>
                </w:p>
              </w:tc>
              <w:tc>
                <w:tcPr>
                  <w:tcW w:w="1837" w:type="pct"/>
                  <w:noWrap w:val="0"/>
                  <w:vAlign w:val="center"/>
                </w:tcPr>
                <w:p>
                  <w:pPr>
                    <w:jc w:val="center"/>
                    <w:rPr>
                      <w:rFonts w:hint="default"/>
                      <w:lang w:val="en-US" w:eastAsia="zh-CN"/>
                    </w:rPr>
                  </w:pPr>
                  <w:r>
                    <w:rPr>
                      <w:rFonts w:hint="default"/>
                      <w:lang w:val="en-US" w:eastAsia="zh-CN"/>
                    </w:rPr>
                    <w:t>本项目为</w:t>
                  </w:r>
                  <w:r>
                    <w:rPr>
                      <w:rFonts w:hint="eastAsia"/>
                      <w:lang w:val="en-US" w:eastAsia="zh-CN"/>
                    </w:rPr>
                    <w:t>利用废旧编织袋和泡沫</w:t>
                  </w:r>
                  <w:r>
                    <w:rPr>
                      <w:rFonts w:hint="default"/>
                      <w:lang w:val="en-US" w:eastAsia="zh-CN"/>
                    </w:rPr>
                    <w:t>再生塑料颗粒制造项目</w:t>
                  </w:r>
                  <w:r>
                    <w:rPr>
                      <w:rFonts w:hint="eastAsia"/>
                      <w:lang w:val="en-US" w:eastAsia="zh-CN"/>
                    </w:rPr>
                    <w:t>，本项目生产过程中不涉及重金属。本项目生产过程中产生的</w:t>
                  </w:r>
                  <w:r>
                    <w:rPr>
                      <w:rFonts w:hint="eastAsia" w:ascii="Times New Roman" w:hAnsi="Times New Roman" w:eastAsia="宋体" w:cs="Times New Roman"/>
                      <w:lang w:val="en-US" w:eastAsia="zh-CN"/>
                    </w:rPr>
                    <w:t>一般固废的贮存和处置方法执行《一般工业固体废物贮存和填埋污染控制标准》（GB18599-2020）标准的规定；</w:t>
                  </w:r>
                  <w:r>
                    <w:rPr>
                      <w:rFonts w:hint="eastAsia" w:ascii="Times New Roman" w:hAnsi="Times New Roman" w:eastAsia="宋体" w:cs="Times New Roman"/>
                      <w:color w:val="auto"/>
                      <w:kern w:val="2"/>
                      <w:sz w:val="21"/>
                      <w:szCs w:val="24"/>
                      <w:lang w:val="en-US" w:eastAsia="zh-CN" w:bidi="ar-SA"/>
                    </w:rPr>
                    <w:t>危险废物</w:t>
                  </w:r>
                  <w:r>
                    <w:rPr>
                      <w:rFonts w:hint="default" w:ascii="Times New Roman" w:hAnsi="Times New Roman" w:eastAsia="宋体" w:cs="Times New Roman"/>
                      <w:color w:val="auto"/>
                      <w:kern w:val="2"/>
                      <w:sz w:val="21"/>
                      <w:szCs w:val="24"/>
                      <w:lang w:val="en-US" w:eastAsia="zh-CN" w:bidi="ar-SA"/>
                    </w:rPr>
                    <w:t>须按《危险废物贮存污染控制标准》进行贮存，并委托资质单位进行安全处置。危险废物的暂存要求严格按照环境保护部公告2017年第43号《建设项目危险废物环境影响评价指南》和《危险废物贮存污染控制标准》（GBl8597-2001）及其修改单中的相关要求，做到“四防”（防风、防雨、防晒、防渗漏），严格做到防渗和渗漏收集措施，设置不同废物的</w:t>
                  </w:r>
                  <w:r>
                    <w:rPr>
                      <w:rFonts w:hint="eastAsia" w:cs="Times New Roman"/>
                      <w:color w:val="auto"/>
                      <w:kern w:val="2"/>
                      <w:sz w:val="21"/>
                      <w:szCs w:val="24"/>
                      <w:lang w:val="en-US" w:eastAsia="zh-CN" w:bidi="ar-SA"/>
                    </w:rPr>
                    <w:t>警示标识</w:t>
                  </w:r>
                  <w:r>
                    <w:rPr>
                      <w:rFonts w:hint="default" w:ascii="Times New Roman" w:hAnsi="Times New Roman" w:eastAsia="宋体" w:cs="Times New Roman"/>
                      <w:color w:val="auto"/>
                      <w:kern w:val="2"/>
                      <w:sz w:val="21"/>
                      <w:szCs w:val="24"/>
                      <w:lang w:val="en-US" w:eastAsia="zh-CN" w:bidi="ar-SA"/>
                    </w:rPr>
                    <w:t>。</w:t>
                  </w:r>
                </w:p>
              </w:tc>
              <w:tc>
                <w:tcPr>
                  <w:tcW w:w="355" w:type="pct"/>
                  <w:tcBorders>
                    <w:right w:val="single" w:color="auto" w:sz="4" w:space="0"/>
                  </w:tcBorders>
                  <w:noWrap w:val="0"/>
                  <w:vAlign w:val="center"/>
                </w:tcPr>
                <w:p>
                  <w:pPr>
                    <w:jc w:val="center"/>
                    <w:rPr>
                      <w:color w:val="000000"/>
                      <w:sz w:val="21"/>
                      <w:szCs w:val="21"/>
                    </w:rPr>
                  </w:pPr>
                  <w:r>
                    <w:rPr>
                      <w:rFonts w:hint="eastAsia"/>
                      <w:color w:val="00000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869" w:type="pct"/>
                  <w:tcBorders>
                    <w:top w:val="single" w:color="auto" w:sz="4" w:space="0"/>
                    <w:bottom w:val="single" w:color="auto" w:sz="4" w:space="0"/>
                  </w:tcBorders>
                  <w:noWrap w:val="0"/>
                  <w:vAlign w:val="center"/>
                </w:tcPr>
                <w:p>
                  <w:pPr>
                    <w:autoSpaceDE w:val="0"/>
                    <w:autoSpaceDN w:val="0"/>
                    <w:adjustRightInd w:val="0"/>
                    <w:snapToGrid w:val="0"/>
                    <w:jc w:val="both"/>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《河南省2022年农业农村污染治理攻坚战实施方案》（豫环委办〔2022〕9号）</w:t>
                  </w:r>
                </w:p>
                <w:p>
                  <w:pPr>
                    <w:rPr>
                      <w:rFonts w:hint="eastAsia" w:ascii="Times New Roman" w:hAnsi="Times New Roman" w:eastAsia="宋体" w:cs="Times New Roman"/>
                      <w:b w:val="0"/>
                      <w:bCs w:val="0"/>
                      <w:color w:val="000000"/>
                      <w:sz w:val="21"/>
                      <w:szCs w:val="21"/>
                      <w:u w:val="none"/>
                      <w:lang w:val="en-US" w:eastAsia="zh-CN"/>
                    </w:rPr>
                  </w:pPr>
                </w:p>
              </w:tc>
              <w:tc>
                <w:tcPr>
                  <w:tcW w:w="1937" w:type="pct"/>
                  <w:noWrap w:val="0"/>
                  <w:vAlign w:val="center"/>
                </w:tcPr>
                <w:p>
                  <w:pPr>
                    <w:autoSpaceDE w:val="0"/>
                    <w:autoSpaceDN w:val="0"/>
                    <w:adjustRightInd w:val="0"/>
                    <w:snapToGrid w:val="0"/>
                    <w:jc w:val="both"/>
                    <w:rPr>
                      <w:rFonts w:hint="eastAsia" w:ascii="Times New Roman" w:hAnsi="Times New Roman" w:eastAsia="宋体" w:cs="Times New Roman"/>
                      <w:b w:val="0"/>
                      <w:bCs w:val="0"/>
                      <w:i w:val="0"/>
                      <w:iCs w:val="0"/>
                      <w:color w:val="auto"/>
                      <w:kern w:val="0"/>
                      <w:sz w:val="21"/>
                      <w:szCs w:val="21"/>
                      <w:highlight w:val="none"/>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科学推进农村生活污水治理。</w:t>
                  </w:r>
                </w:p>
                <w:p>
                  <w:pPr>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i w:val="0"/>
                      <w:iCs w:val="0"/>
                      <w:color w:val="auto"/>
                      <w:kern w:val="0"/>
                      <w:sz w:val="21"/>
                      <w:szCs w:val="21"/>
                      <w:highlight w:val="none"/>
                      <w:u w:val="none"/>
                      <w:lang w:val="en-US" w:eastAsia="zh-CN"/>
                    </w:rPr>
                    <w:t>1.加强统筹规划。2.分区分类治理。3.推进污水与改厕有效衔接。4.科学选择治理模式。因地制宜，因村施策，宜集中则集中，宜分散则分散，优选成本低、维护简易、治理有效的技术模式，推进污水资源化利用。5.强化设施管理维护。</w:t>
                  </w:r>
                </w:p>
              </w:tc>
              <w:tc>
                <w:tcPr>
                  <w:tcW w:w="1837" w:type="pct"/>
                  <w:noWrap w:val="0"/>
                  <w:vAlign w:val="center"/>
                </w:tcPr>
                <w:p>
                  <w:pPr>
                    <w:rPr>
                      <w:rFonts w:hint="eastAsia"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color w:val="000000"/>
                      <w:sz w:val="21"/>
                      <w:szCs w:val="21"/>
                      <w:u w:val="none"/>
                      <w:lang w:val="en-US" w:eastAsia="zh-CN"/>
                    </w:rPr>
                    <w:t>项目营运期废水主要为生活污水、清洗废水、车辆冲洗废水以及冷却水。生活污水经化粪池收集后可直接进入污水管网，最终进入</w:t>
                  </w:r>
                  <w:r>
                    <w:rPr>
                      <w:rFonts w:hint="eastAsia" w:cs="Times New Roman"/>
                      <w:b w:val="0"/>
                      <w:bCs w:val="0"/>
                      <w:color w:val="000000"/>
                      <w:sz w:val="21"/>
                      <w:szCs w:val="21"/>
                      <w:u w:val="none"/>
                      <w:lang w:val="en-US" w:eastAsia="zh-CN"/>
                    </w:rPr>
                    <w:t>宝丰县产业集聚区污水处理厂</w:t>
                  </w:r>
                  <w:r>
                    <w:rPr>
                      <w:rFonts w:hint="default" w:ascii="Times New Roman" w:hAnsi="Times New Roman" w:eastAsia="宋体" w:cs="Times New Roman"/>
                      <w:b w:val="0"/>
                      <w:bCs w:val="0"/>
                      <w:color w:val="000000"/>
                      <w:sz w:val="21"/>
                      <w:szCs w:val="21"/>
                      <w:u w:val="none"/>
                      <w:lang w:val="en-US" w:eastAsia="zh-CN"/>
                    </w:rPr>
                    <w:t>进行处理；清洗废水经</w:t>
                  </w:r>
                  <w:r>
                    <w:rPr>
                      <w:rFonts w:hint="eastAsia" w:cs="Times New Roman"/>
                      <w:b w:val="0"/>
                      <w:bCs w:val="0"/>
                      <w:color w:val="000000"/>
                      <w:sz w:val="21"/>
                      <w:szCs w:val="21"/>
                      <w:u w:val="none"/>
                      <w:lang w:val="en-US" w:eastAsia="zh-CN"/>
                    </w:rPr>
                    <w:t>一体化环保设施</w:t>
                  </w:r>
                  <w:r>
                    <w:rPr>
                      <w:rFonts w:hint="default" w:ascii="Times New Roman" w:hAnsi="Times New Roman" w:eastAsia="宋体" w:cs="Times New Roman"/>
                      <w:b w:val="0"/>
                      <w:bCs w:val="0"/>
                      <w:color w:val="000000"/>
                      <w:sz w:val="21"/>
                      <w:szCs w:val="21"/>
                      <w:u w:val="none"/>
                      <w:lang w:val="en-US" w:eastAsia="zh-CN"/>
                    </w:rPr>
                    <w:t>净化处理后循环使用不外排；车辆冲洗废水经沉淀池处理后，循环使用不外排；冷却水定期补充，循环使用不外排。</w:t>
                  </w:r>
                </w:p>
              </w:tc>
              <w:tc>
                <w:tcPr>
                  <w:tcW w:w="355" w:type="pct"/>
                  <w:tcBorders>
                    <w:right w:val="single" w:color="auto" w:sz="4" w:space="0"/>
                  </w:tcBorders>
                  <w:noWrap w:val="0"/>
                  <w:vAlign w:val="center"/>
                </w:tcPr>
                <w:p>
                  <w:pPr>
                    <w:jc w:val="center"/>
                    <w:rPr>
                      <w:rFonts w:hint="eastAsia" w:eastAsia="宋体"/>
                      <w:color w:val="000000"/>
                      <w:sz w:val="21"/>
                      <w:szCs w:val="21"/>
                      <w:lang w:eastAsia="zh-CN"/>
                    </w:rPr>
                  </w:pPr>
                  <w:r>
                    <w:rPr>
                      <w:rFonts w:hint="eastAsia"/>
                      <w:color w:val="000000"/>
                      <w:sz w:val="21"/>
                      <w:szCs w:val="21"/>
                      <w:lang w:eastAsia="zh-CN"/>
                    </w:rPr>
                    <w:t>符合</w:t>
                  </w:r>
                </w:p>
              </w:tc>
            </w:tr>
          </w:tbl>
          <w:p>
            <w:pPr>
              <w:pageBreakBefore w:val="0"/>
              <w:widowControl w:val="0"/>
              <w:kinsoku/>
              <w:wordWrap/>
              <w:overflowPunct/>
              <w:topLinePunct w:val="0"/>
              <w:autoSpaceDE/>
              <w:autoSpaceDN/>
              <w:bidi w:val="0"/>
              <w:adjustRightInd/>
              <w:snapToGrid/>
              <w:spacing w:line="360" w:lineRule="auto"/>
              <w:ind w:firstLine="482" w:firstLineChars="200"/>
              <w:jc w:val="both"/>
              <w:rPr>
                <w:rFonts w:hint="default" w:ascii="Times New Roman" w:hAnsi="Times New Roman" w:cs="Times New Roman"/>
                <w:bCs/>
                <w:color w:val="auto"/>
                <w:sz w:val="24"/>
                <w:highlight w:val="none"/>
              </w:rPr>
            </w:pPr>
            <w:r>
              <w:rPr>
                <w:rFonts w:hint="default" w:ascii="Times New Roman" w:hAnsi="Times New Roman" w:cs="Times New Roman"/>
                <w:b/>
                <w:bCs/>
                <w:color w:val="auto"/>
                <w:sz w:val="24"/>
                <w:highlight w:val="none"/>
                <w:lang w:eastAsia="zh-CN"/>
              </w:rPr>
              <w:t>（</w:t>
            </w:r>
            <w:r>
              <w:rPr>
                <w:rFonts w:hint="eastAsia" w:cs="Times New Roman"/>
                <w:b/>
                <w:bCs/>
                <w:color w:val="auto"/>
                <w:sz w:val="24"/>
                <w:highlight w:val="none"/>
                <w:lang w:val="en-US" w:eastAsia="zh-CN"/>
              </w:rPr>
              <w:t>9</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与河南省2019年工业企业无组织排放治理方案——其他行业无组织排放治理标准相符性分析</w:t>
            </w:r>
          </w:p>
          <w:p>
            <w:pPr>
              <w:pStyle w:val="8"/>
              <w:pageBreakBefore w:val="0"/>
              <w:widowControl w:val="0"/>
              <w:numPr>
                <w:ilvl w:val="2"/>
                <w:numId w:val="0"/>
              </w:numPr>
              <w:kinsoku/>
              <w:wordWrap/>
              <w:overflowPunct/>
              <w:topLinePunct w:val="0"/>
              <w:autoSpaceDE/>
              <w:autoSpaceDN/>
              <w:bidi w:val="0"/>
              <w:adjustRightInd/>
              <w:snapToGrid/>
              <w:spacing w:before="0" w:after="0" w:line="360" w:lineRule="auto"/>
              <w:ind w:firstLine="480" w:firstLineChars="200"/>
              <w:jc w:val="both"/>
              <w:textAlignment w:val="baseline"/>
              <w:rPr>
                <w:rFonts w:hint="default" w:ascii="Times New Roman" w:hAnsi="Times New Roman" w:eastAsia="宋体" w:cs="Times New Roman"/>
                <w:b w:val="0"/>
                <w:bCs/>
                <w:color w:val="auto"/>
                <w:sz w:val="24"/>
                <w:szCs w:val="24"/>
                <w:u w:val="none"/>
                <w:lang w:val="en-US" w:eastAsia="zh-CN"/>
              </w:rPr>
            </w:pPr>
            <w:r>
              <w:rPr>
                <w:rFonts w:hint="default" w:ascii="Times New Roman" w:hAnsi="Times New Roman" w:cs="Times New Roman"/>
                <w:b w:val="0"/>
                <w:bCs/>
                <w:color w:val="auto"/>
                <w:sz w:val="24"/>
                <w:szCs w:val="24"/>
                <w:u w:val="none"/>
              </w:rPr>
              <w:t>根据《河南省生态环境厅关于印发河南省工业大气污染防治6个专项方案的通知》，本项目与《河南省2019年工业企业无组织排放治理方案》中</w:t>
            </w:r>
            <w:r>
              <w:rPr>
                <w:rFonts w:hint="eastAsia" w:cs="Times New Roman"/>
                <w:b w:val="0"/>
                <w:bCs/>
                <w:color w:val="auto"/>
                <w:sz w:val="24"/>
                <w:szCs w:val="24"/>
                <w:u w:val="none"/>
                <w:lang w:eastAsia="zh-CN"/>
              </w:rPr>
              <w:t>“</w:t>
            </w:r>
            <w:r>
              <w:rPr>
                <w:rFonts w:hint="default" w:ascii="Times New Roman" w:hAnsi="Times New Roman" w:cs="Times New Roman"/>
                <w:b w:val="0"/>
                <w:bCs/>
                <w:color w:val="auto"/>
                <w:sz w:val="24"/>
                <w:szCs w:val="24"/>
                <w:u w:val="none"/>
              </w:rPr>
              <w:t>十六、</w:t>
            </w:r>
            <w:r>
              <w:rPr>
                <w:rFonts w:hint="eastAsia" w:ascii="Times New Roman" w:hAnsi="Times New Roman" w:cs="Times New Roman"/>
                <w:b w:val="0"/>
                <w:bCs/>
                <w:color w:val="auto"/>
                <w:sz w:val="24"/>
                <w:szCs w:val="24"/>
                <w:u w:val="none"/>
                <w:lang w:eastAsia="zh-CN"/>
              </w:rPr>
              <w:t>其他</w:t>
            </w:r>
            <w:r>
              <w:rPr>
                <w:rFonts w:hint="default" w:ascii="Times New Roman" w:hAnsi="Times New Roman" w:cs="Times New Roman"/>
                <w:b w:val="0"/>
                <w:bCs/>
                <w:color w:val="auto"/>
                <w:sz w:val="24"/>
                <w:szCs w:val="24"/>
                <w:u w:val="none"/>
              </w:rPr>
              <w:t>行业无组织排放治理标准</w:t>
            </w:r>
            <w:r>
              <w:rPr>
                <w:rFonts w:hint="eastAsia" w:cs="Times New Roman"/>
                <w:b w:val="0"/>
                <w:bCs/>
                <w:color w:val="auto"/>
                <w:sz w:val="24"/>
                <w:szCs w:val="24"/>
                <w:u w:val="none"/>
                <w:lang w:eastAsia="zh-CN"/>
              </w:rPr>
              <w:t>”</w:t>
            </w:r>
            <w:r>
              <w:rPr>
                <w:rFonts w:hint="default" w:ascii="Times New Roman" w:hAnsi="Times New Roman" w:cs="Times New Roman"/>
                <w:b w:val="0"/>
                <w:bCs/>
                <w:color w:val="auto"/>
                <w:sz w:val="24"/>
                <w:szCs w:val="24"/>
                <w:u w:val="none"/>
              </w:rPr>
              <w:t>的相符性分析</w:t>
            </w:r>
            <w:r>
              <w:rPr>
                <w:rFonts w:hint="default" w:ascii="Times New Roman" w:hAnsi="Times New Roman" w:cs="Times New Roman"/>
                <w:b w:val="0"/>
                <w:bCs/>
                <w:color w:val="auto"/>
                <w:sz w:val="24"/>
                <w:szCs w:val="24"/>
                <w:u w:val="none"/>
                <w:lang w:eastAsia="zh-CN"/>
              </w:rPr>
              <w:t>见表</w:t>
            </w:r>
            <w:r>
              <w:rPr>
                <w:rFonts w:hint="default" w:ascii="Times New Roman" w:hAnsi="Times New Roman" w:cs="Times New Roman"/>
                <w:b w:val="0"/>
                <w:bCs/>
                <w:color w:val="auto"/>
                <w:sz w:val="24"/>
                <w:szCs w:val="24"/>
                <w:u w:val="none"/>
                <w:lang w:val="en-US" w:eastAsia="zh-CN"/>
              </w:rPr>
              <w:t>1-</w:t>
            </w:r>
            <w:r>
              <w:rPr>
                <w:rFonts w:hint="eastAsia" w:ascii="Times New Roman" w:hAnsi="Times New Roman" w:cs="Times New Roman"/>
                <w:b w:val="0"/>
                <w:bCs/>
                <w:color w:val="auto"/>
                <w:sz w:val="24"/>
                <w:szCs w:val="24"/>
                <w:u w:val="none"/>
                <w:lang w:val="en-US" w:eastAsia="zh-CN"/>
              </w:rPr>
              <w:t>9</w:t>
            </w:r>
            <w:r>
              <w:rPr>
                <w:rFonts w:hint="default" w:ascii="Times New Roman" w:hAnsi="Times New Roman" w:cs="Times New Roman"/>
                <w:b w:val="0"/>
                <w:bCs/>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auto"/>
                <w:sz w:val="24"/>
                <w:u w:val="single"/>
              </w:rPr>
            </w:pPr>
            <w:r>
              <w:rPr>
                <w:rFonts w:hint="default" w:ascii="Times New Roman" w:hAnsi="Times New Roman" w:eastAsia="宋体" w:cs="Times New Roman"/>
                <w:b/>
                <w:bCs w:val="0"/>
                <w:color w:val="auto"/>
                <w:sz w:val="24"/>
                <w:szCs w:val="24"/>
                <w:u w:val="none"/>
              </w:rPr>
              <w:t>表</w:t>
            </w:r>
            <w:r>
              <w:rPr>
                <w:rFonts w:hint="default" w:ascii="Times New Roman" w:hAnsi="Times New Roman" w:eastAsia="宋体" w:cs="Times New Roman"/>
                <w:b/>
                <w:bCs w:val="0"/>
                <w:color w:val="auto"/>
                <w:sz w:val="24"/>
                <w:szCs w:val="24"/>
                <w:u w:val="none"/>
                <w:lang w:val="en-US" w:eastAsia="zh-CN"/>
              </w:rPr>
              <w:t>1</w:t>
            </w:r>
            <w:r>
              <w:rPr>
                <w:rFonts w:hint="default" w:ascii="Times New Roman" w:hAnsi="Times New Roman" w:cs="Times New Roman"/>
                <w:b/>
                <w:bCs w:val="0"/>
                <w:color w:val="auto"/>
                <w:sz w:val="24"/>
                <w:szCs w:val="24"/>
                <w:u w:val="none"/>
                <w:lang w:val="en-US" w:eastAsia="zh-CN"/>
              </w:rPr>
              <w:t>-</w:t>
            </w:r>
            <w:r>
              <w:rPr>
                <w:rFonts w:hint="eastAsia" w:cs="Times New Roman"/>
                <w:b/>
                <w:bCs w:val="0"/>
                <w:color w:val="auto"/>
                <w:sz w:val="24"/>
                <w:szCs w:val="24"/>
                <w:u w:val="none"/>
                <w:lang w:val="en-US" w:eastAsia="zh-CN"/>
              </w:rPr>
              <w:t>9</w:t>
            </w:r>
            <w:r>
              <w:rPr>
                <w:rFonts w:hint="default" w:ascii="Times New Roman" w:hAnsi="Times New Roman" w:eastAsia="宋体" w:cs="Times New Roman"/>
                <w:b/>
                <w:bCs w:val="0"/>
                <w:color w:val="auto"/>
                <w:sz w:val="24"/>
                <w:szCs w:val="24"/>
                <w:u w:val="none"/>
              </w:rPr>
              <w:t>项目建设与《其他行业无组织排放治理标准》的相符性分析</w:t>
            </w:r>
          </w:p>
          <w:tbl>
            <w:tblPr>
              <w:tblStyle w:val="24"/>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508"/>
              <w:gridCol w:w="3077"/>
              <w:gridCol w:w="2810"/>
              <w:gridCol w:w="8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770" w:type="pct"/>
                  <w:gridSpan w:val="2"/>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序号</w:t>
                  </w:r>
                </w:p>
              </w:tc>
              <w:tc>
                <w:tcPr>
                  <w:tcW w:w="1943"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无组织排放治理标准</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本项目治理措施</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是否相符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44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料场密闭治理</w:t>
                  </w: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1</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所有物料（包括原辅料、半成品、成品）进库存放，厂界内无露天堆放物料</w:t>
                  </w:r>
                </w:p>
              </w:tc>
              <w:tc>
                <w:tcPr>
                  <w:tcW w:w="1774"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eastAsia" w:cs="Times New Roman"/>
                      <w:b w:val="0"/>
                      <w:bCs/>
                      <w:color w:val="auto"/>
                      <w:sz w:val="21"/>
                      <w:szCs w:val="21"/>
                      <w:u w:val="none"/>
                      <w:lang w:val="en-US" w:eastAsia="zh-CN"/>
                    </w:rPr>
                    <w:t>本项目原料为废编织袋和废泡沫，运营期间本项目原料和成品均放置</w:t>
                  </w:r>
                  <w:r>
                    <w:rPr>
                      <w:rFonts w:hint="default" w:ascii="Times New Roman" w:hAnsi="Times New Roman" w:cs="Times New Roman"/>
                      <w:b w:val="0"/>
                      <w:bCs/>
                      <w:color w:val="auto"/>
                      <w:sz w:val="21"/>
                      <w:szCs w:val="21"/>
                      <w:u w:val="none"/>
                    </w:rPr>
                    <w:t>在</w:t>
                  </w:r>
                  <w:r>
                    <w:rPr>
                      <w:rFonts w:hint="eastAsia" w:cs="Times New Roman"/>
                      <w:b w:val="0"/>
                      <w:bCs/>
                      <w:color w:val="auto"/>
                      <w:sz w:val="21"/>
                      <w:szCs w:val="21"/>
                      <w:u w:val="none"/>
                      <w:lang w:val="en-US" w:eastAsia="zh-CN"/>
                    </w:rPr>
                    <w:t>全密闭厂房内</w:t>
                  </w:r>
                  <w:r>
                    <w:rPr>
                      <w:rFonts w:hint="default" w:ascii="Times New Roman" w:hAnsi="Times New Roman" w:cs="Times New Roman"/>
                      <w:b w:val="0"/>
                      <w:bCs/>
                      <w:color w:val="auto"/>
                      <w:sz w:val="21"/>
                      <w:szCs w:val="21"/>
                      <w:u w:val="none"/>
                    </w:rPr>
                    <w:t>分区堆存</w:t>
                  </w:r>
                  <w:r>
                    <w:rPr>
                      <w:rFonts w:hint="eastAsia" w:cs="Times New Roman"/>
                      <w:b w:val="0"/>
                      <w:bCs/>
                      <w:color w:val="auto"/>
                      <w:sz w:val="21"/>
                      <w:szCs w:val="21"/>
                      <w:u w:val="none"/>
                      <w:lang w:eastAsia="zh-CN"/>
                    </w:rPr>
                    <w:t>，</w:t>
                  </w:r>
                  <w:r>
                    <w:rPr>
                      <w:rFonts w:hint="default" w:ascii="Times New Roman" w:hAnsi="Times New Roman" w:cs="Times New Roman"/>
                      <w:b w:val="0"/>
                      <w:bCs/>
                      <w:color w:val="auto"/>
                      <w:sz w:val="21"/>
                      <w:szCs w:val="21"/>
                      <w:u w:val="none"/>
                    </w:rPr>
                    <w:t>厂区内无露天堆放物料</w:t>
                  </w:r>
                  <w:r>
                    <w:rPr>
                      <w:rFonts w:hint="eastAsia" w:cs="Times New Roman"/>
                      <w:b w:val="0"/>
                      <w:bCs/>
                      <w:color w:val="auto"/>
                      <w:sz w:val="21"/>
                      <w:szCs w:val="21"/>
                      <w:u w:val="none"/>
                      <w:lang w:eastAsia="zh-CN"/>
                    </w:rPr>
                    <w:t>。</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50"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2</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密闭料场必须覆盖所有堆场料区（堆放区、工作区和主通道区）</w:t>
                  </w:r>
                </w:p>
              </w:tc>
              <w:tc>
                <w:tcPr>
                  <w:tcW w:w="1774"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45"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3</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车间、料库四面密闭，通道口安装卷帘门、推拉门等封闭性良好且便于开关的硬质门，在无车辆出入时将门关闭，保证空气合理流动不产生湍流</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eastAsia" w:cs="Times New Roman"/>
                      <w:b w:val="0"/>
                      <w:bCs/>
                      <w:color w:val="auto"/>
                      <w:sz w:val="21"/>
                      <w:szCs w:val="21"/>
                      <w:u w:val="none"/>
                      <w:lang w:val="en-US" w:eastAsia="zh-CN"/>
                    </w:rPr>
                    <w:t>本项目租赁厂房采取</w:t>
                  </w:r>
                  <w:r>
                    <w:rPr>
                      <w:rFonts w:hint="default" w:ascii="Times New Roman" w:hAnsi="Times New Roman" w:cs="Times New Roman"/>
                      <w:b w:val="0"/>
                      <w:bCs/>
                      <w:color w:val="auto"/>
                      <w:sz w:val="21"/>
                      <w:szCs w:val="21"/>
                      <w:u w:val="none"/>
                      <w:lang w:eastAsia="zh-CN"/>
                    </w:rPr>
                    <w:t>全封闭</w:t>
                  </w:r>
                  <w:r>
                    <w:rPr>
                      <w:rFonts w:hint="eastAsia" w:cs="Times New Roman"/>
                      <w:b w:val="0"/>
                      <w:bCs/>
                      <w:color w:val="auto"/>
                      <w:sz w:val="21"/>
                      <w:szCs w:val="21"/>
                      <w:u w:val="none"/>
                      <w:lang w:val="en-US" w:eastAsia="zh-CN"/>
                    </w:rPr>
                    <w:t>措施。</w:t>
                  </w:r>
                  <w:r>
                    <w:rPr>
                      <w:rFonts w:hint="default" w:ascii="Times New Roman" w:hAnsi="Times New Roman" w:cs="Times New Roman"/>
                      <w:b w:val="0"/>
                      <w:bCs/>
                      <w:color w:val="auto"/>
                      <w:sz w:val="21"/>
                      <w:szCs w:val="21"/>
                      <w:u w:val="none"/>
                    </w:rPr>
                    <w:t>通道口安装卷帘门</w:t>
                  </w:r>
                  <w:r>
                    <w:rPr>
                      <w:rFonts w:hint="default" w:ascii="Times New Roman" w:hAnsi="Times New Roman" w:cs="Times New Roman"/>
                      <w:b w:val="0"/>
                      <w:bCs/>
                      <w:color w:val="auto"/>
                      <w:sz w:val="21"/>
                      <w:szCs w:val="21"/>
                      <w:u w:val="none"/>
                      <w:lang w:eastAsia="zh-CN"/>
                    </w:rPr>
                    <w:t>或</w:t>
                  </w:r>
                  <w:r>
                    <w:rPr>
                      <w:rFonts w:hint="default" w:ascii="Times New Roman" w:hAnsi="Times New Roman" w:cs="Times New Roman"/>
                      <w:b w:val="0"/>
                      <w:bCs/>
                      <w:color w:val="auto"/>
                      <w:sz w:val="21"/>
                      <w:szCs w:val="21"/>
                      <w:u w:val="none"/>
                    </w:rPr>
                    <w:t>推拉门等封闭性良好且便于开关的硬质门，在无车辆出入时将门关闭，保证空气合理流动不产生湍流</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26"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4</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所有地面完成硬化，并保证除物料堆放区域外没有明显积尘</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Style w:val="53"/>
                      <w:rFonts w:hint="eastAsia"/>
                      <w:b w:val="0"/>
                      <w:bCs/>
                      <w:color w:val="auto"/>
                      <w:sz w:val="21"/>
                      <w:szCs w:val="21"/>
                      <w:u w:val="none"/>
                      <w:lang w:val="en-US" w:eastAsia="zh-CN"/>
                    </w:rPr>
                    <w:t>通过现场调查，本项目租赁厂房内部地面均已硬化，厂房外</w:t>
                  </w:r>
                  <w:r>
                    <w:rPr>
                      <w:rStyle w:val="53"/>
                      <w:rFonts w:hint="eastAsia" w:ascii="Times New Roman" w:hAnsi="Times New Roman"/>
                      <w:b w:val="0"/>
                      <w:bCs/>
                      <w:color w:val="auto"/>
                      <w:sz w:val="21"/>
                      <w:szCs w:val="21"/>
                      <w:u w:val="none"/>
                    </w:rPr>
                    <w:t>除绿化外的所有地面完成硬化</w:t>
                  </w:r>
                  <w:r>
                    <w:rPr>
                      <w:rStyle w:val="53"/>
                      <w:rFonts w:hint="eastAsia"/>
                      <w:b w:val="0"/>
                      <w:bCs/>
                      <w:color w:val="auto"/>
                      <w:sz w:val="21"/>
                      <w:szCs w:val="21"/>
                      <w:u w:val="none"/>
                      <w:lang w:eastAsia="zh-CN"/>
                    </w:rPr>
                    <w:t>。</w:t>
                  </w:r>
                  <w:r>
                    <w:rPr>
                      <w:rStyle w:val="53"/>
                      <w:rFonts w:hint="eastAsia"/>
                      <w:b w:val="0"/>
                      <w:bCs/>
                      <w:color w:val="auto"/>
                      <w:sz w:val="21"/>
                      <w:szCs w:val="21"/>
                      <w:u w:val="none"/>
                      <w:lang w:val="en-US" w:eastAsia="zh-CN"/>
                    </w:rPr>
                    <w:t>本项目安排专人定期打扫</w:t>
                  </w:r>
                  <w:r>
                    <w:rPr>
                      <w:rStyle w:val="53"/>
                      <w:rFonts w:hint="eastAsia" w:ascii="Times New Roman" w:hAnsi="Times New Roman"/>
                      <w:b w:val="0"/>
                      <w:bCs/>
                      <w:color w:val="auto"/>
                      <w:sz w:val="21"/>
                      <w:szCs w:val="21"/>
                      <w:u w:val="none"/>
                    </w:rPr>
                    <w:t>，保证</w:t>
                  </w:r>
                  <w:r>
                    <w:rPr>
                      <w:rStyle w:val="53"/>
                      <w:rFonts w:hint="eastAsia" w:ascii="Times New Roman" w:hAnsi="Times New Roman"/>
                      <w:b w:val="0"/>
                      <w:bCs/>
                      <w:color w:val="auto"/>
                      <w:sz w:val="21"/>
                      <w:szCs w:val="21"/>
                      <w:u w:val="none"/>
                      <w:lang w:val="en-US" w:eastAsia="zh-CN"/>
                    </w:rPr>
                    <w:t>厂区地面</w:t>
                  </w:r>
                  <w:r>
                    <w:rPr>
                      <w:rStyle w:val="53"/>
                      <w:rFonts w:hint="eastAsia" w:ascii="Times New Roman" w:hAnsi="Times New Roman"/>
                      <w:b w:val="0"/>
                      <w:bCs/>
                      <w:color w:val="auto"/>
                      <w:sz w:val="21"/>
                      <w:szCs w:val="21"/>
                      <w:u w:val="none"/>
                    </w:rPr>
                    <w:t>没有明显积尘</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5</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每个下料口设置独立集气罩，配套的除尘设施不与其他工序混用</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本项目废泡沫再利用</w:t>
                  </w:r>
                  <w:r>
                    <w:rPr>
                      <w:rFonts w:hint="default" w:ascii="Times New Roman" w:hAnsi="Times New Roman" w:eastAsia="宋体" w:cs="Times New Roman"/>
                      <w:b w:val="0"/>
                      <w:bCs/>
                      <w:color w:val="auto"/>
                      <w:sz w:val="21"/>
                      <w:szCs w:val="21"/>
                      <w:u w:val="none"/>
                      <w:lang w:val="en-US" w:eastAsia="zh-CN"/>
                    </w:rPr>
                    <w:t>破碎工序产生的粉尘经集气罩</w:t>
                  </w:r>
                  <w:r>
                    <w:rPr>
                      <w:rFonts w:hint="eastAsia" w:cs="Times New Roman"/>
                      <w:b w:val="0"/>
                      <w:bCs/>
                      <w:color w:val="auto"/>
                      <w:sz w:val="21"/>
                      <w:szCs w:val="21"/>
                      <w:u w:val="none"/>
                      <w:lang w:val="en-US" w:eastAsia="zh-CN"/>
                    </w:rPr>
                    <w:t>负压收集</w:t>
                  </w:r>
                  <w:r>
                    <w:rPr>
                      <w:rFonts w:hint="default" w:ascii="Times New Roman" w:hAnsi="Times New Roman" w:eastAsia="宋体" w:cs="Times New Roman"/>
                      <w:b w:val="0"/>
                      <w:bCs/>
                      <w:color w:val="auto"/>
                      <w:sz w:val="21"/>
                      <w:szCs w:val="21"/>
                      <w:u w:val="none"/>
                      <w:lang w:val="en-US" w:eastAsia="zh-CN"/>
                    </w:rPr>
                    <w:t>+袋式除尘器+</w:t>
                  </w:r>
                  <w:r>
                    <w:rPr>
                      <w:rFonts w:hint="eastAsia" w:cs="Times New Roman"/>
                      <w:b w:val="0"/>
                      <w:bCs/>
                      <w:color w:val="auto"/>
                      <w:sz w:val="21"/>
                      <w:szCs w:val="21"/>
                      <w:u w:val="none"/>
                      <w:lang w:val="en-US" w:eastAsia="zh-CN"/>
                    </w:rPr>
                    <w:t>20</w:t>
                  </w:r>
                  <w:r>
                    <w:rPr>
                      <w:rFonts w:hint="default" w:ascii="Times New Roman" w:hAnsi="Times New Roman" w:eastAsia="宋体" w:cs="Times New Roman"/>
                      <w:b w:val="0"/>
                      <w:bCs/>
                      <w:color w:val="auto"/>
                      <w:sz w:val="21"/>
                      <w:szCs w:val="21"/>
                      <w:u w:val="none"/>
                      <w:lang w:val="en-US" w:eastAsia="zh-CN"/>
                    </w:rPr>
                    <w:t>m排气筒处理后达标排放</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74"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6</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库内安装固定的喷干雾抑尘装置</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sz w:val="21"/>
                      <w:szCs w:val="21"/>
                    </w:rPr>
                    <w:t>厂房车间各生产工序功能</w:t>
                  </w:r>
                  <w:r>
                    <w:rPr>
                      <w:rFonts w:hint="eastAsia"/>
                      <w:sz w:val="21"/>
                      <w:szCs w:val="21"/>
                      <w:lang w:eastAsia="zh-CN"/>
                    </w:rPr>
                    <w:t>区划</w:t>
                  </w:r>
                  <w:r>
                    <w:rPr>
                      <w:rFonts w:hint="eastAsia"/>
                      <w:sz w:val="21"/>
                      <w:szCs w:val="21"/>
                    </w:rPr>
                    <w:t>明确，项目原料</w:t>
                  </w:r>
                  <w:r>
                    <w:rPr>
                      <w:rFonts w:hint="eastAsia"/>
                      <w:sz w:val="21"/>
                      <w:szCs w:val="21"/>
                      <w:lang w:val="en-US" w:eastAsia="zh-CN"/>
                    </w:rPr>
                    <w:t>为废编织袋和废泡沫均不属于粉状物料，并且本项目</w:t>
                  </w:r>
                  <w:r>
                    <w:rPr>
                      <w:rFonts w:hint="eastAsia"/>
                      <w:sz w:val="21"/>
                      <w:szCs w:val="21"/>
                    </w:rPr>
                    <w:t>成品</w:t>
                  </w:r>
                  <w:r>
                    <w:rPr>
                      <w:rFonts w:hint="eastAsia"/>
                      <w:sz w:val="21"/>
                      <w:szCs w:val="21"/>
                      <w:lang w:val="en-US" w:eastAsia="zh-CN"/>
                    </w:rPr>
                    <w:t>均采取袋装，</w:t>
                  </w:r>
                  <w:r>
                    <w:rPr>
                      <w:rFonts w:hint="eastAsia"/>
                      <w:sz w:val="21"/>
                      <w:szCs w:val="21"/>
                    </w:rPr>
                    <w:t>不</w:t>
                  </w:r>
                  <w:r>
                    <w:rPr>
                      <w:rFonts w:hint="eastAsia"/>
                      <w:sz w:val="21"/>
                      <w:szCs w:val="21"/>
                      <w:lang w:val="en-US" w:eastAsia="zh-CN"/>
                    </w:rPr>
                    <w:t>会</w:t>
                  </w:r>
                  <w:r>
                    <w:rPr>
                      <w:rFonts w:hint="eastAsia"/>
                      <w:sz w:val="21"/>
                      <w:szCs w:val="21"/>
                    </w:rPr>
                    <w:t>起尘，故无需安装喷淋抑尘设施</w:t>
                  </w:r>
                  <w:r>
                    <w:rPr>
                      <w:rFonts w:hint="eastAsia" w:ascii="宋体" w:hAnsi="宋体" w:cs="宋体"/>
                      <w:sz w:val="21"/>
                      <w:szCs w:val="21"/>
                    </w:rPr>
                    <w:t>。</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74"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eastAsia"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7</w:t>
                  </w:r>
                </w:p>
              </w:tc>
              <w:tc>
                <w:tcPr>
                  <w:tcW w:w="194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kern w:val="2"/>
                      <w:sz w:val="21"/>
                      <w:szCs w:val="21"/>
                      <w:lang w:val="en-US" w:eastAsia="zh-CN" w:bidi="ar-SA"/>
                    </w:rPr>
                  </w:pPr>
                  <w:r>
                    <w:rPr>
                      <w:szCs w:val="21"/>
                    </w:rPr>
                    <w:t>厂区出口应安装车辆冲洗装置，保证出场车辆车轮车身干净、运行不起尘。</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rightChars="0"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宋体" w:hAnsi="宋体" w:cs="宋体"/>
                      <w:sz w:val="21"/>
                      <w:szCs w:val="21"/>
                    </w:rPr>
                    <w:t>该厂区出口已设置有</w:t>
                  </w:r>
                  <w:r>
                    <w:rPr>
                      <w:sz w:val="21"/>
                      <w:szCs w:val="21"/>
                    </w:rPr>
                    <w:t>车辆冲洗装置</w:t>
                  </w:r>
                  <w:r>
                    <w:rPr>
                      <w:rFonts w:hint="eastAsia" w:ascii="宋体" w:hAnsi="宋体" w:cs="宋体"/>
                      <w:sz w:val="21"/>
                      <w:szCs w:val="21"/>
                    </w:rPr>
                    <w:t>。保证出场车辆车轮车身干净、运行不起尘</w:t>
                  </w:r>
                </w:p>
              </w:tc>
              <w:tc>
                <w:tcPr>
                  <w:tcW w:w="511" w:type="pct"/>
                  <w:tcBorders>
                    <w:tl2br w:val="nil"/>
                    <w:tr2bl w:val="nil"/>
                  </w:tcBorders>
                  <w:noWrap w:val="0"/>
                  <w:vAlign w:val="center"/>
                </w:tcPr>
                <w:p>
                  <w:pPr>
                    <w:pStyle w:val="3"/>
                    <w:keepNext w:val="0"/>
                    <w:keepLines w:val="0"/>
                    <w:pageBreakBefore w:val="0"/>
                    <w:kinsoku/>
                    <w:wordWrap/>
                    <w:overflowPunct/>
                    <w:topLinePunct w:val="0"/>
                    <w:autoSpaceDE/>
                    <w:autoSpaceDN/>
                    <w:bidi w:val="0"/>
                    <w:adjustRightInd/>
                    <w:snapToGrid/>
                    <w:spacing w:before="0" w:after="0" w:line="360" w:lineRule="exact"/>
                    <w:ind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69" w:hRule="atLeast"/>
                <w:jc w:val="center"/>
              </w:trPr>
              <w:tc>
                <w:tcPr>
                  <w:tcW w:w="44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物料输送环节治理</w:t>
                  </w: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1</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散状物料采用封闭式输送方式，皮带输送机受料点、卸料点应设置密闭罩，并配备除尘设施</w:t>
                  </w:r>
                </w:p>
              </w:tc>
              <w:tc>
                <w:tcPr>
                  <w:tcW w:w="17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ascii="Times New Roman" w:cs="Times New Roman"/>
                      <w:sz w:val="21"/>
                      <w:szCs w:val="21"/>
                      <w:u w:val="none"/>
                      <w:lang w:val="en-US" w:eastAsia="zh-CN"/>
                    </w:rPr>
                    <w:t>本项目原料为废编织袋和废泡沫，前端进入破碎输送过程中皮带廊采取全密封</w:t>
                  </w: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070"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2</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皮带输送机或物料提升机需在密闭廊道内运行，并在所有落料位置设置集尘装置及配备除尘系统</w:t>
                  </w:r>
                </w:p>
              </w:tc>
              <w:tc>
                <w:tcPr>
                  <w:tcW w:w="17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p>
              </w:tc>
              <w:tc>
                <w:tcPr>
                  <w:tcW w:w="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72"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3</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运输车辆装载高度最高点不得超过车辆槽帮上沿40厘米，两侧边缘应当低于槽帮上缘10厘米，车斗应采用苫布覆盖，苫布边缘至少要遮住槽帮上沿以下15厘米，禁止厂内露天转运散状物料</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运输车辆装载高度最高点未超过车辆槽帮上沿40厘米，两侧边缘低于槽帮上缘10厘米，车斗采用封布覆盖，封布边缘能够遮住槽帮上沿以下15厘米，厂区内散状物料转运均在</w:t>
                  </w:r>
                  <w:r>
                    <w:rPr>
                      <w:rStyle w:val="53"/>
                      <w:rFonts w:hint="eastAsia" w:ascii="Times New Roman" w:hAnsi="Times New Roman"/>
                      <w:b w:val="0"/>
                      <w:bCs/>
                      <w:color w:val="auto"/>
                      <w:sz w:val="21"/>
                      <w:szCs w:val="21"/>
                      <w:u w:val="none"/>
                      <w:lang w:val="en-US" w:eastAsia="zh-CN"/>
                    </w:rPr>
                    <w:t>原料库</w:t>
                  </w:r>
                  <w:r>
                    <w:rPr>
                      <w:rStyle w:val="53"/>
                      <w:rFonts w:hint="eastAsia" w:ascii="Times New Roman" w:hAnsi="Times New Roman"/>
                      <w:b w:val="0"/>
                      <w:bCs/>
                      <w:color w:val="auto"/>
                      <w:sz w:val="21"/>
                      <w:szCs w:val="21"/>
                      <w:u w:val="none"/>
                    </w:rPr>
                    <w:t>进行</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69"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4</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除尘器卸灰不直接卸落到地面，卸灰区封闭。除尘灰采用气力输送、罐车等密闭方式运输；采用非密闭方式运输的，车辆应苫盖，装卸车时应采取加湿等措施抑尘</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ascii="Times New Roman" w:cs="Times New Roman"/>
                      <w:sz w:val="21"/>
                      <w:szCs w:val="21"/>
                      <w:highlight w:val="none"/>
                      <w:u w:val="none"/>
                      <w:lang w:val="en-US" w:eastAsia="zh-CN"/>
                    </w:rPr>
                    <w:t>本项目袋式除尘器设置</w:t>
                  </w:r>
                  <w:r>
                    <w:rPr>
                      <w:rFonts w:hint="default" w:ascii="Times New Roman" w:hAnsi="Times New Roman" w:eastAsia="宋体" w:cs="Times New Roman"/>
                      <w:sz w:val="21"/>
                      <w:szCs w:val="21"/>
                      <w:highlight w:val="none"/>
                      <w:u w:val="none"/>
                    </w:rPr>
                    <w:t>密闭灰仓并及时卸灰，</w:t>
                  </w:r>
                  <w:r>
                    <w:rPr>
                      <w:rFonts w:hint="eastAsia" w:ascii="Times New Roman" w:hAnsi="Times New Roman" w:eastAsia="宋体" w:cs="Times New Roman"/>
                      <w:sz w:val="21"/>
                      <w:szCs w:val="21"/>
                      <w:highlight w:val="none"/>
                      <w:u w:val="none"/>
                      <w:lang w:val="en-US" w:eastAsia="zh-CN"/>
                    </w:rPr>
                    <w:t>卸灰过程中做到灰不落地，定期收集暂存</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05" w:hRule="atLeast"/>
                <w:jc w:val="center"/>
              </w:trPr>
              <w:tc>
                <w:tcPr>
                  <w:tcW w:w="44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生产环节治理</w:t>
                  </w: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1</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上料口半封闭并安装除尘设施。主要生产工艺产尘节点安装封闭集尘装置并配备处理系统，厂房内设置喷干雾抑尘措施</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本项目废泡沫再利用破碎工序产尘点配备集气设施，将粉尘引入袋式除尘器处理，最终经20m排气筒达标排放</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40"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2</w:t>
                  </w:r>
                </w:p>
              </w:tc>
              <w:tc>
                <w:tcPr>
                  <w:tcW w:w="1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产生</w:t>
                  </w:r>
                  <w:r>
                    <w:rPr>
                      <w:rStyle w:val="53"/>
                      <w:rFonts w:ascii="Times New Roman" w:hAnsi="Times New Roman"/>
                      <w:b w:val="0"/>
                      <w:bCs/>
                      <w:color w:val="auto"/>
                      <w:sz w:val="21"/>
                      <w:szCs w:val="21"/>
                      <w:u w:val="none"/>
                    </w:rPr>
                    <w:t>VOC</w:t>
                  </w:r>
                  <w:r>
                    <w:rPr>
                      <w:rStyle w:val="53"/>
                      <w:rFonts w:ascii="Times New Roman" w:hAnsi="Times New Roman"/>
                      <w:b w:val="0"/>
                      <w:bCs/>
                      <w:color w:val="auto"/>
                      <w:sz w:val="21"/>
                      <w:szCs w:val="21"/>
                      <w:u w:val="none"/>
                      <w:vertAlign w:val="subscript"/>
                    </w:rPr>
                    <w:t>S</w:t>
                  </w:r>
                  <w:r>
                    <w:rPr>
                      <w:rStyle w:val="53"/>
                      <w:rFonts w:hint="eastAsia" w:ascii="Times New Roman" w:hAnsi="Times New Roman"/>
                      <w:b w:val="0"/>
                      <w:bCs/>
                      <w:color w:val="auto"/>
                      <w:sz w:val="21"/>
                      <w:szCs w:val="21"/>
                      <w:u w:val="none"/>
                    </w:rPr>
                    <w:t>工序应有完善的废气收集及处理系统</w:t>
                  </w:r>
                </w:p>
              </w:tc>
              <w:tc>
                <w:tcPr>
                  <w:tcW w:w="1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本项目熔融挤出</w:t>
                  </w:r>
                  <w:r>
                    <w:rPr>
                      <w:rFonts w:hint="default" w:ascii="Times New Roman" w:hAnsi="Times New Roman" w:eastAsia="宋体" w:cs="Times New Roman"/>
                      <w:b w:val="0"/>
                      <w:bCs/>
                      <w:color w:val="auto"/>
                      <w:sz w:val="21"/>
                      <w:szCs w:val="21"/>
                      <w:u w:val="none"/>
                      <w:lang w:val="en-US" w:eastAsia="zh-CN"/>
                    </w:rPr>
                    <w:t>工序产生的</w:t>
                  </w:r>
                  <w:r>
                    <w:rPr>
                      <w:rFonts w:hint="eastAsia" w:cs="Times New Roman"/>
                      <w:b w:val="0"/>
                      <w:bCs/>
                      <w:color w:val="auto"/>
                      <w:sz w:val="21"/>
                      <w:szCs w:val="21"/>
                      <w:u w:val="none"/>
                      <w:lang w:val="en-US" w:eastAsia="zh-CN"/>
                    </w:rPr>
                    <w:t>有机</w:t>
                  </w:r>
                  <w:r>
                    <w:rPr>
                      <w:rFonts w:hint="default" w:ascii="Times New Roman" w:hAnsi="Times New Roman" w:eastAsia="宋体" w:cs="Times New Roman"/>
                      <w:b w:val="0"/>
                      <w:bCs/>
                      <w:color w:val="auto"/>
                      <w:sz w:val="21"/>
                      <w:szCs w:val="21"/>
                      <w:u w:val="none"/>
                      <w:lang w:val="en-US" w:eastAsia="zh-CN"/>
                    </w:rPr>
                    <w:t>废气（主要为非甲烷总烃</w:t>
                  </w:r>
                  <w:r>
                    <w:rPr>
                      <w:rFonts w:hint="eastAsia" w:cs="Times New Roman"/>
                      <w:b w:val="0"/>
                      <w:bCs/>
                      <w:color w:val="auto"/>
                      <w:sz w:val="21"/>
                      <w:szCs w:val="21"/>
                      <w:u w:val="none"/>
                      <w:lang w:val="en-US" w:eastAsia="zh-CN"/>
                    </w:rPr>
                    <w:t>、</w:t>
                  </w:r>
                  <w:r>
                    <w:rPr>
                      <w:rFonts w:hint="default" w:ascii="Times New Roman" w:hAnsi="Times New Roman" w:eastAsia="宋体" w:cs="Times New Roman"/>
                      <w:b w:val="0"/>
                      <w:bCs/>
                      <w:color w:val="auto"/>
                      <w:sz w:val="21"/>
                      <w:szCs w:val="21"/>
                      <w:u w:val="none"/>
                      <w:lang w:val="en-US" w:eastAsia="zh-CN"/>
                    </w:rPr>
                    <w:t>二甲苯）经</w:t>
                  </w:r>
                  <w:r>
                    <w:rPr>
                      <w:rFonts w:hint="eastAsia" w:cs="Times New Roman"/>
                      <w:b w:val="0"/>
                      <w:bCs/>
                      <w:color w:val="auto"/>
                      <w:sz w:val="21"/>
                      <w:szCs w:val="21"/>
                      <w:u w:val="none"/>
                      <w:lang w:val="en-US" w:eastAsia="zh-CN"/>
                    </w:rPr>
                    <w:t>负压</w:t>
                  </w:r>
                  <w:r>
                    <w:rPr>
                      <w:rFonts w:hint="eastAsia"/>
                      <w:color w:val="auto"/>
                      <w:szCs w:val="21"/>
                      <w:lang w:val="en-US" w:eastAsia="zh-CN"/>
                    </w:rPr>
                    <w:t>全密闭</w:t>
                  </w:r>
                  <w:r>
                    <w:rPr>
                      <w:rFonts w:hint="eastAsia" w:cs="Times New Roman"/>
                      <w:b w:val="0"/>
                      <w:bCs/>
                      <w:color w:val="auto"/>
                      <w:sz w:val="21"/>
                      <w:szCs w:val="21"/>
                      <w:u w:val="none"/>
                      <w:lang w:val="en-US" w:eastAsia="zh-CN"/>
                    </w:rPr>
                    <w:t>集气系统</w:t>
                  </w:r>
                  <w:r>
                    <w:rPr>
                      <w:rFonts w:hint="default" w:ascii="Times New Roman" w:hAnsi="Times New Roman" w:eastAsia="宋体" w:cs="Times New Roman"/>
                      <w:b w:val="0"/>
                      <w:bCs/>
                      <w:color w:val="auto"/>
                      <w:sz w:val="21"/>
                      <w:szCs w:val="21"/>
                      <w:u w:val="none"/>
                      <w:lang w:val="en-US" w:eastAsia="zh-CN"/>
                    </w:rPr>
                    <w:t>+干式过滤除尘（过滤棉）</w:t>
                  </w:r>
                  <w:r>
                    <w:rPr>
                      <w:rFonts w:hint="eastAsia" w:cs="Times New Roman"/>
                      <w:b w:val="0"/>
                      <w:bCs/>
                      <w:color w:val="auto"/>
                      <w:sz w:val="21"/>
                      <w:szCs w:val="21"/>
                      <w:u w:val="none"/>
                      <w:lang w:val="en-US" w:eastAsia="zh-CN"/>
                    </w:rPr>
                    <w:t>+</w:t>
                  </w:r>
                  <w:r>
                    <w:rPr>
                      <w:rFonts w:hint="default" w:ascii="Times New Roman" w:hAnsi="Times New Roman" w:eastAsia="宋体" w:cs="Times New Roman"/>
                      <w:b w:val="0"/>
                      <w:bCs/>
                      <w:color w:val="auto"/>
                      <w:sz w:val="21"/>
                      <w:szCs w:val="21"/>
                      <w:u w:val="none"/>
                      <w:lang w:val="en-US" w:eastAsia="zh-CN"/>
                    </w:rPr>
                    <w:t>活性炭吸附</w:t>
                  </w:r>
                  <w:r>
                    <w:rPr>
                      <w:rFonts w:hint="eastAsia" w:cs="Times New Roman"/>
                      <w:b w:val="0"/>
                      <w:bCs/>
                      <w:color w:val="auto"/>
                      <w:sz w:val="21"/>
                      <w:szCs w:val="21"/>
                      <w:u w:val="none"/>
                      <w:lang w:val="en-US" w:eastAsia="zh-CN"/>
                    </w:rPr>
                    <w:t>浓缩+催化燃烧（RCO）</w:t>
                  </w:r>
                  <w:r>
                    <w:rPr>
                      <w:rFonts w:hint="default" w:ascii="Times New Roman" w:hAnsi="Times New Roman" w:eastAsia="宋体" w:cs="Times New Roman"/>
                      <w:b w:val="0"/>
                      <w:bCs/>
                      <w:color w:val="auto"/>
                      <w:sz w:val="21"/>
                      <w:szCs w:val="21"/>
                      <w:u w:val="none"/>
                      <w:lang w:val="en-US" w:eastAsia="zh-CN"/>
                    </w:rPr>
                    <w:t>+</w:t>
                  </w:r>
                  <w:r>
                    <w:rPr>
                      <w:rFonts w:hint="eastAsia" w:cs="Times New Roman"/>
                      <w:b w:val="0"/>
                      <w:bCs/>
                      <w:color w:val="auto"/>
                      <w:sz w:val="21"/>
                      <w:szCs w:val="21"/>
                      <w:u w:val="none"/>
                      <w:lang w:val="en-US" w:eastAsia="zh-CN"/>
                    </w:rPr>
                    <w:t>20</w:t>
                  </w:r>
                  <w:r>
                    <w:rPr>
                      <w:rFonts w:hint="default" w:ascii="Times New Roman" w:hAnsi="Times New Roman" w:eastAsia="宋体" w:cs="Times New Roman"/>
                      <w:b w:val="0"/>
                      <w:bCs/>
                      <w:color w:val="auto"/>
                      <w:sz w:val="21"/>
                      <w:szCs w:val="21"/>
                      <w:u w:val="none"/>
                      <w:lang w:val="en-US" w:eastAsia="zh-CN"/>
                    </w:rPr>
                    <w:t>m排气筒处理后达标排放。</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562"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3</w:t>
                  </w:r>
                </w:p>
              </w:tc>
              <w:tc>
                <w:tcPr>
                  <w:tcW w:w="1943" w:type="pct"/>
                  <w:tcBorders>
                    <w:tl2br w:val="nil"/>
                    <w:tr2bl w:val="nil"/>
                  </w:tcBorders>
                  <w:noWrap w:val="0"/>
                  <w:vAlign w:val="center"/>
                </w:tcPr>
                <w:p>
                  <w:pPr>
                    <w:widowControl/>
                    <w:snapToGrid w:val="0"/>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其他方面：禁止生产车间内散放原料，需采用全封闭式</w:t>
                  </w:r>
                  <w:r>
                    <w:rPr>
                      <w:rStyle w:val="53"/>
                      <w:rFonts w:ascii="Times New Roman" w:hAnsi="Times New Roman"/>
                      <w:b w:val="0"/>
                      <w:bCs/>
                      <w:color w:val="auto"/>
                      <w:sz w:val="21"/>
                      <w:szCs w:val="21"/>
                      <w:u w:val="none"/>
                    </w:rPr>
                    <w:t>/</w:t>
                  </w:r>
                  <w:r>
                    <w:rPr>
                      <w:rStyle w:val="53"/>
                      <w:rFonts w:hint="eastAsia" w:ascii="Times New Roman" w:hAnsi="Times New Roman"/>
                      <w:b w:val="0"/>
                      <w:bCs/>
                      <w:color w:val="auto"/>
                      <w:sz w:val="21"/>
                      <w:szCs w:val="21"/>
                      <w:u w:val="none"/>
                    </w:rPr>
                    <w:t>地下料仓并配备完备的废气收集和处理系统；生产环节必须在密闭良好的车间内运行，并配备完备的废气收集和处理系统</w:t>
                  </w:r>
                </w:p>
              </w:tc>
              <w:tc>
                <w:tcPr>
                  <w:tcW w:w="1774" w:type="pct"/>
                  <w:tcBorders>
                    <w:tl2br w:val="nil"/>
                    <w:tr2bl w:val="nil"/>
                  </w:tcBorders>
                  <w:noWrap w:val="0"/>
                  <w:vAlign w:val="center"/>
                </w:tcPr>
                <w:p>
                  <w:pPr>
                    <w:pStyle w:val="52"/>
                    <w:snapToGrid w:val="0"/>
                    <w:jc w:val="both"/>
                    <w:rPr>
                      <w:rFonts w:hint="default" w:ascii="Times New Roman" w:hAnsi="Times New Roman" w:eastAsia="宋体" w:cs="Times New Roman"/>
                      <w:b w:val="0"/>
                      <w:bCs/>
                      <w:color w:val="auto"/>
                      <w:sz w:val="21"/>
                      <w:szCs w:val="21"/>
                      <w:u w:val="none"/>
                      <w:lang w:val="en-US" w:eastAsia="zh-CN"/>
                    </w:rPr>
                  </w:pPr>
                  <w:r>
                    <w:rPr>
                      <w:rStyle w:val="53"/>
                      <w:rFonts w:hint="eastAsia" w:ascii="Times New Roman" w:hAnsi="Times New Roman"/>
                      <w:b w:val="0"/>
                      <w:bCs/>
                      <w:color w:val="auto"/>
                      <w:sz w:val="21"/>
                      <w:szCs w:val="21"/>
                      <w:u w:val="none"/>
                    </w:rPr>
                    <w:t>生产环节均在密闭良好的</w:t>
                  </w:r>
                  <w:r>
                    <w:rPr>
                      <w:rStyle w:val="53"/>
                      <w:rFonts w:hint="eastAsia"/>
                      <w:b w:val="0"/>
                      <w:bCs/>
                      <w:color w:val="auto"/>
                      <w:sz w:val="21"/>
                      <w:szCs w:val="21"/>
                      <w:u w:val="none"/>
                      <w:lang w:val="en-US" w:eastAsia="zh-CN"/>
                    </w:rPr>
                    <w:t>厂房</w:t>
                  </w:r>
                  <w:r>
                    <w:rPr>
                      <w:rStyle w:val="53"/>
                      <w:rFonts w:hint="eastAsia" w:ascii="Times New Roman" w:hAnsi="Times New Roman"/>
                      <w:b w:val="0"/>
                      <w:bCs/>
                      <w:color w:val="auto"/>
                      <w:sz w:val="21"/>
                      <w:szCs w:val="21"/>
                      <w:u w:val="none"/>
                    </w:rPr>
                    <w:t>内运行，并配备有完善的</w:t>
                  </w:r>
                  <w:r>
                    <w:rPr>
                      <w:rStyle w:val="53"/>
                      <w:rFonts w:hint="eastAsia"/>
                      <w:b w:val="0"/>
                      <w:bCs/>
                      <w:color w:val="auto"/>
                      <w:sz w:val="21"/>
                      <w:szCs w:val="21"/>
                      <w:u w:val="none"/>
                      <w:lang w:val="en-US" w:eastAsia="zh-CN"/>
                    </w:rPr>
                    <w:t>废气</w:t>
                  </w:r>
                  <w:r>
                    <w:rPr>
                      <w:rStyle w:val="53"/>
                      <w:rFonts w:hint="eastAsia" w:ascii="Times New Roman" w:hAnsi="Times New Roman"/>
                      <w:b w:val="0"/>
                      <w:bCs/>
                      <w:color w:val="auto"/>
                      <w:sz w:val="21"/>
                      <w:szCs w:val="21"/>
                      <w:u w:val="none"/>
                    </w:rPr>
                    <w:t>收集和处理装置</w:t>
                  </w:r>
                  <w:r>
                    <w:rPr>
                      <w:rStyle w:val="53"/>
                      <w:rFonts w:hint="eastAsia"/>
                      <w:b w:val="0"/>
                      <w:bCs/>
                      <w:color w:val="auto"/>
                      <w:sz w:val="21"/>
                      <w:szCs w:val="21"/>
                      <w:u w:val="none"/>
                      <w:lang w:eastAsia="zh-CN"/>
                    </w:rPr>
                    <w:t>，</w:t>
                  </w:r>
                  <w:r>
                    <w:rPr>
                      <w:rStyle w:val="53"/>
                      <w:rFonts w:hint="eastAsia"/>
                      <w:b w:val="0"/>
                      <w:bCs/>
                      <w:color w:val="auto"/>
                      <w:sz w:val="21"/>
                      <w:szCs w:val="21"/>
                      <w:u w:val="none"/>
                      <w:lang w:val="en-US" w:eastAsia="zh-CN"/>
                    </w:rPr>
                    <w:t>能够做到废气达标排放</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040" w:hRule="atLeast"/>
                <w:jc w:val="center"/>
              </w:trPr>
              <w:tc>
                <w:tcPr>
                  <w:tcW w:w="44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厂区、车辆治理</w:t>
                  </w: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1</w:t>
                  </w:r>
                </w:p>
              </w:tc>
              <w:tc>
                <w:tcPr>
                  <w:tcW w:w="1943" w:type="pct"/>
                  <w:tcBorders>
                    <w:tl2br w:val="nil"/>
                    <w:tr2bl w:val="nil"/>
                  </w:tcBorders>
                  <w:noWrap w:val="0"/>
                  <w:vAlign w:val="center"/>
                </w:tcPr>
                <w:p>
                  <w:pPr>
                    <w:pStyle w:val="52"/>
                    <w:snapToGrid w:val="0"/>
                    <w:jc w:val="both"/>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厂区道路硬化，平整无破损，无积尘，厂区无裸露空地，闲置裸露空地绿化</w:t>
                  </w:r>
                </w:p>
              </w:tc>
              <w:tc>
                <w:tcPr>
                  <w:tcW w:w="1774" w:type="pct"/>
                  <w:tcBorders>
                    <w:tl2br w:val="nil"/>
                    <w:tr2bl w:val="nil"/>
                  </w:tcBorders>
                  <w:noWrap w:val="0"/>
                  <w:vAlign w:val="center"/>
                </w:tcPr>
                <w:p>
                  <w:pPr>
                    <w:pStyle w:val="52"/>
                    <w:snapToGrid w:val="0"/>
                    <w:jc w:val="both"/>
                    <w:rPr>
                      <w:rFonts w:hint="default" w:ascii="Times New Roman" w:hAnsi="Times New Roman" w:cs="Times New Roman"/>
                      <w:b w:val="0"/>
                      <w:bCs/>
                      <w:color w:val="auto"/>
                      <w:sz w:val="21"/>
                      <w:szCs w:val="21"/>
                      <w:u w:val="none"/>
                    </w:rPr>
                  </w:pPr>
                  <w:r>
                    <w:rPr>
                      <w:rStyle w:val="53"/>
                      <w:rFonts w:hint="eastAsia"/>
                      <w:b w:val="0"/>
                      <w:bCs/>
                      <w:color w:val="auto"/>
                      <w:sz w:val="21"/>
                      <w:szCs w:val="21"/>
                      <w:u w:val="none"/>
                      <w:lang w:val="en-US" w:eastAsia="zh-CN"/>
                    </w:rPr>
                    <w:t>通过现场调查，本项目租赁厂房内部地面均已硬化，厂房外</w:t>
                  </w:r>
                  <w:r>
                    <w:rPr>
                      <w:rStyle w:val="53"/>
                      <w:rFonts w:hint="eastAsia" w:ascii="Times New Roman" w:hAnsi="Times New Roman"/>
                      <w:b w:val="0"/>
                      <w:bCs/>
                      <w:color w:val="auto"/>
                      <w:sz w:val="21"/>
                      <w:szCs w:val="21"/>
                      <w:u w:val="none"/>
                    </w:rPr>
                    <w:t>除绿化外的所有地面完成硬化</w:t>
                  </w:r>
                  <w:r>
                    <w:rPr>
                      <w:rStyle w:val="53"/>
                      <w:rFonts w:hint="eastAsia"/>
                      <w:b w:val="0"/>
                      <w:bCs/>
                      <w:color w:val="auto"/>
                      <w:sz w:val="21"/>
                      <w:szCs w:val="21"/>
                      <w:u w:val="none"/>
                      <w:lang w:eastAsia="zh-CN"/>
                    </w:rPr>
                    <w:t>。</w:t>
                  </w:r>
                  <w:r>
                    <w:rPr>
                      <w:rStyle w:val="53"/>
                      <w:rFonts w:hint="eastAsia"/>
                      <w:b w:val="0"/>
                      <w:bCs/>
                      <w:color w:val="auto"/>
                      <w:sz w:val="21"/>
                      <w:szCs w:val="21"/>
                      <w:u w:val="none"/>
                      <w:lang w:val="en-US" w:eastAsia="zh-CN"/>
                    </w:rPr>
                    <w:t>本项目安排专人定期打扫</w:t>
                  </w:r>
                  <w:r>
                    <w:rPr>
                      <w:rStyle w:val="53"/>
                      <w:rFonts w:hint="eastAsia" w:ascii="Times New Roman" w:hAnsi="Times New Roman"/>
                      <w:b w:val="0"/>
                      <w:bCs/>
                      <w:color w:val="auto"/>
                      <w:sz w:val="21"/>
                      <w:szCs w:val="21"/>
                      <w:u w:val="none"/>
                    </w:rPr>
                    <w:t>，保证</w:t>
                  </w:r>
                  <w:r>
                    <w:rPr>
                      <w:rStyle w:val="53"/>
                      <w:rFonts w:hint="eastAsia" w:ascii="Times New Roman" w:hAnsi="Times New Roman"/>
                      <w:b w:val="0"/>
                      <w:bCs/>
                      <w:color w:val="auto"/>
                      <w:sz w:val="21"/>
                      <w:szCs w:val="21"/>
                      <w:u w:val="none"/>
                      <w:lang w:val="en-US" w:eastAsia="zh-CN"/>
                    </w:rPr>
                    <w:t>厂区地面</w:t>
                  </w:r>
                  <w:r>
                    <w:rPr>
                      <w:rStyle w:val="53"/>
                      <w:rFonts w:hint="eastAsia" w:ascii="Times New Roman" w:hAnsi="Times New Roman"/>
                      <w:b w:val="0"/>
                      <w:bCs/>
                      <w:color w:val="auto"/>
                      <w:sz w:val="21"/>
                      <w:szCs w:val="21"/>
                      <w:u w:val="none"/>
                    </w:rPr>
                    <w:t>没有明显积尘</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8"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2</w:t>
                  </w:r>
                </w:p>
              </w:tc>
              <w:tc>
                <w:tcPr>
                  <w:tcW w:w="1943" w:type="pct"/>
                  <w:tcBorders>
                    <w:tl2br w:val="nil"/>
                    <w:tr2bl w:val="nil"/>
                  </w:tcBorders>
                  <w:noWrap w:val="0"/>
                  <w:vAlign w:val="center"/>
                </w:tcPr>
                <w:p>
                  <w:pPr>
                    <w:widowControl/>
                    <w:snapToGrid w:val="0"/>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对厂区道路定期洒水清扫</w:t>
                  </w:r>
                </w:p>
              </w:tc>
              <w:tc>
                <w:tcPr>
                  <w:tcW w:w="1774" w:type="pct"/>
                  <w:tcBorders>
                    <w:tl2br w:val="nil"/>
                    <w:tr2bl w:val="nil"/>
                  </w:tcBorders>
                  <w:noWrap w:val="0"/>
                  <w:vAlign w:val="center"/>
                </w:tcPr>
                <w:p>
                  <w:pPr>
                    <w:pStyle w:val="52"/>
                    <w:snapToGrid w:val="0"/>
                    <w:jc w:val="both"/>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企业可保证厂区道路每天进行清扫、洒水，并有记录，遇特殊天气增加洒水频次</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3</w:t>
                  </w:r>
                </w:p>
              </w:tc>
              <w:tc>
                <w:tcPr>
                  <w:tcW w:w="1943" w:type="pct"/>
                  <w:tcBorders>
                    <w:tl2br w:val="nil"/>
                    <w:tr2bl w:val="nil"/>
                  </w:tcBorders>
                  <w:noWrap w:val="0"/>
                  <w:vAlign w:val="center"/>
                </w:tcPr>
                <w:p>
                  <w:pPr>
                    <w:widowControl/>
                    <w:snapToGrid w:val="0"/>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企业出厂口和料场出口处配备高压清洗装置对所有车辆车轮、底盘进行冲洗，严禁带泥上路。洗车平台四周应设置洗车废水收集防治设施</w:t>
                  </w:r>
                </w:p>
              </w:tc>
              <w:tc>
                <w:tcPr>
                  <w:tcW w:w="1774" w:type="pct"/>
                  <w:tcBorders>
                    <w:tl2br w:val="nil"/>
                    <w:tr2bl w:val="nil"/>
                  </w:tcBorders>
                  <w:noWrap w:val="0"/>
                  <w:vAlign w:val="center"/>
                </w:tcPr>
                <w:p>
                  <w:pPr>
                    <w:pStyle w:val="52"/>
                    <w:snapToGrid w:val="0"/>
                    <w:jc w:val="both"/>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企业出厂口和料场出口处配置有感应式车辆冲洗装置，对所有车辆车轮、底盘进行冲洗。洗车平台配套有沉淀池</w:t>
                  </w:r>
                </w:p>
              </w:tc>
              <w:tc>
                <w:tcPr>
                  <w:tcW w:w="51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46" w:hRule="atLeast"/>
                <w:jc w:val="center"/>
              </w:trPr>
              <w:tc>
                <w:tcPr>
                  <w:tcW w:w="44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建设完善监测系统</w:t>
                  </w: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1</w:t>
                  </w:r>
                </w:p>
              </w:tc>
              <w:tc>
                <w:tcPr>
                  <w:tcW w:w="1943" w:type="pct"/>
                  <w:tcBorders>
                    <w:tl2br w:val="nil"/>
                    <w:tr2bl w:val="nil"/>
                  </w:tcBorders>
                  <w:noWrap w:val="0"/>
                  <w:vAlign w:val="center"/>
                </w:tcPr>
                <w:p>
                  <w:pPr>
                    <w:widowControl/>
                    <w:snapToGrid w:val="0"/>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因企制宜安装视频、空气微站、降尘缸、TSP（总悬浮颗粒物）等监控设施</w:t>
                  </w:r>
                </w:p>
              </w:tc>
              <w:tc>
                <w:tcPr>
                  <w:tcW w:w="1774"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根据当地环保部门的要求进行相关设施的安装</w:t>
                  </w:r>
                </w:p>
              </w:tc>
              <w:tc>
                <w:tcPr>
                  <w:tcW w:w="511"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131" w:hRule="atLeast"/>
                <w:jc w:val="center"/>
              </w:trPr>
              <w:tc>
                <w:tcPr>
                  <w:tcW w:w="44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320"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2</w:t>
                  </w:r>
                </w:p>
              </w:tc>
              <w:tc>
                <w:tcPr>
                  <w:tcW w:w="1943" w:type="pct"/>
                  <w:tcBorders>
                    <w:tl2br w:val="nil"/>
                    <w:tr2bl w:val="nil"/>
                  </w:tcBorders>
                  <w:noWrap w:val="0"/>
                  <w:vAlign w:val="center"/>
                </w:tcPr>
                <w:p>
                  <w:pPr>
                    <w:widowControl/>
                    <w:snapToGrid w:val="0"/>
                    <w:rPr>
                      <w:rFonts w:hint="default" w:ascii="Times New Roman" w:hAnsi="Times New Roman" w:cs="Times New Roman"/>
                      <w:b w:val="0"/>
                      <w:bCs/>
                      <w:color w:val="auto"/>
                      <w:sz w:val="21"/>
                      <w:szCs w:val="21"/>
                      <w:u w:val="none"/>
                    </w:rPr>
                  </w:pPr>
                  <w:r>
                    <w:rPr>
                      <w:rStyle w:val="53"/>
                      <w:rFonts w:hint="eastAsia" w:ascii="Times New Roman" w:hAnsi="Times New Roman"/>
                      <w:b w:val="0"/>
                      <w:bCs/>
                      <w:color w:val="auto"/>
                      <w:sz w:val="21"/>
                      <w:szCs w:val="21"/>
                      <w:u w:val="none"/>
                    </w:rPr>
                    <w:t>安装在线监测、监控和空气质量监测等综合监控信息平台，主要排放数据等应在企业显眼位置随时公开</w:t>
                  </w:r>
                </w:p>
              </w:tc>
              <w:tc>
                <w:tcPr>
                  <w:tcW w:w="1774"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c>
                <w:tcPr>
                  <w:tcW w:w="511"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before="0" w:after="0" w:line="360" w:lineRule="exact"/>
                    <w:ind w:right="0" w:firstLine="0" w:firstLineChars="0"/>
                    <w:jc w:val="center"/>
                    <w:textAlignment w:val="auto"/>
                    <w:rPr>
                      <w:rFonts w:hint="default" w:ascii="Times New Roman" w:hAnsi="Times New Roman" w:cs="Times New Roman"/>
                      <w:b w:val="0"/>
                      <w:bCs/>
                      <w:color w:val="auto"/>
                      <w:sz w:val="21"/>
                      <w:szCs w:val="21"/>
                      <w:u w:val="none"/>
                    </w:rPr>
                  </w:pPr>
                </w:p>
              </w:tc>
            </w:tr>
          </w:tbl>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b/>
                <w:bCs/>
                <w:sz w:val="24"/>
              </w:rPr>
            </w:pPr>
            <w:r>
              <w:rPr>
                <w:rFonts w:hint="eastAsia"/>
                <w:b/>
                <w:bCs/>
                <w:sz w:val="24"/>
                <w:lang w:val="en-US" w:eastAsia="zh-CN"/>
              </w:rPr>
              <w:t>（9）本项目与相关行业规范符合性分析</w:t>
            </w:r>
          </w:p>
          <w:p>
            <w:pPr>
              <w:pStyle w:val="15"/>
              <w:keepNext w:val="0"/>
              <w:keepLines w:val="0"/>
              <w:pageBreakBefore w:val="0"/>
              <w:widowControl w:val="0"/>
              <w:kinsoku/>
              <w:wordWrap/>
              <w:overflowPunct/>
              <w:topLinePunct w:val="0"/>
              <w:bidi w:val="0"/>
              <w:snapToGrid/>
              <w:spacing w:line="360" w:lineRule="auto"/>
              <w:rPr>
                <w:rFonts w:hint="default" w:ascii="Times New Roman" w:hAnsi="Times New Roman" w:cs="Times New Roman"/>
                <w:b/>
                <w:sz w:val="24"/>
                <w:szCs w:val="28"/>
                <w:lang w:val="en-US" w:eastAsia="zh-CN" w:bidi="ar"/>
              </w:rPr>
            </w:pPr>
            <w:r>
              <w:rPr>
                <w:rFonts w:hint="eastAsia" w:ascii="微软雅黑" w:hAnsi="微软雅黑" w:eastAsia="微软雅黑" w:cs="微软雅黑"/>
                <w:b/>
                <w:sz w:val="24"/>
                <w:szCs w:val="28"/>
                <w:lang w:val="en-US" w:eastAsia="zh-CN" w:bidi="ar"/>
              </w:rPr>
              <w:t>①</w:t>
            </w:r>
            <w:r>
              <w:rPr>
                <w:rFonts w:hint="default" w:ascii="Times New Roman" w:hAnsi="Times New Roman" w:cs="Times New Roman"/>
                <w:b/>
                <w:sz w:val="24"/>
                <w:szCs w:val="28"/>
                <w:lang w:val="en-US" w:eastAsia="zh-CN" w:bidi="ar"/>
              </w:rPr>
              <w:t>本项目与《废塑料综合利用行业规范条件》符合性分析</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96" w:firstLineChars="200"/>
              <w:jc w:val="both"/>
              <w:textAlignment w:val="baseline"/>
              <w:rPr>
                <w:rFonts w:hint="default" w:ascii="Times New Roman" w:hAnsi="Times New Roman" w:eastAsia="宋体" w:cs="Times New Roman"/>
                <w:b w:val="0"/>
                <w:bCs/>
                <w:color w:val="auto"/>
                <w:spacing w:val="4"/>
                <w:kern w:val="2"/>
                <w:sz w:val="24"/>
                <w:szCs w:val="24"/>
                <w:u w:val="none"/>
                <w:lang w:val="en-US" w:eastAsia="zh-CN" w:bidi="ar-SA"/>
              </w:rPr>
            </w:pPr>
            <w:r>
              <w:rPr>
                <w:rFonts w:hint="default" w:ascii="Times New Roman" w:hAnsi="Times New Roman" w:eastAsia="宋体" w:cs="Times New Roman"/>
                <w:b w:val="0"/>
                <w:bCs/>
                <w:color w:val="auto"/>
                <w:spacing w:val="4"/>
                <w:kern w:val="2"/>
                <w:sz w:val="24"/>
                <w:szCs w:val="24"/>
                <w:u w:val="none"/>
                <w:lang w:val="en-US" w:eastAsia="zh-CN" w:bidi="ar-SA"/>
              </w:rPr>
              <w:t>根据中华人民共和国工业和信息部公告《废塑料综合利用行业规范条件》及《废塑料综合利用行业规范条件公告管理暂行办法》发布（2015年第81号），本项目与《废塑料综合利用行业规范条件》的符合性见表</w:t>
            </w:r>
            <w:r>
              <w:rPr>
                <w:rFonts w:hint="eastAsia" w:ascii="Times New Roman" w:eastAsia="宋体" w:cs="Times New Roman"/>
                <w:b w:val="0"/>
                <w:bCs/>
                <w:color w:val="auto"/>
                <w:spacing w:val="4"/>
                <w:kern w:val="2"/>
                <w:sz w:val="24"/>
                <w:szCs w:val="24"/>
                <w:u w:val="none"/>
                <w:lang w:val="en-US" w:eastAsia="zh-CN" w:bidi="ar-SA"/>
              </w:rPr>
              <w:t>1-10</w:t>
            </w:r>
            <w:r>
              <w:rPr>
                <w:rFonts w:hint="default" w:ascii="Times New Roman" w:hAnsi="Times New Roman" w:eastAsia="宋体" w:cs="Times New Roman"/>
                <w:b w:val="0"/>
                <w:bCs/>
                <w:color w:val="auto"/>
                <w:spacing w:val="4"/>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auto"/>
                <w:sz w:val="24"/>
                <w:szCs w:val="24"/>
                <w:u w:val="none"/>
                <w:lang w:val="en-US" w:eastAsia="zh-CN"/>
              </w:rPr>
            </w:pPr>
            <w:r>
              <w:rPr>
                <w:rFonts w:hint="default" w:ascii="Times New Roman" w:hAnsi="Times New Roman" w:eastAsia="宋体" w:cs="Times New Roman"/>
                <w:b/>
                <w:bCs w:val="0"/>
                <w:color w:val="auto"/>
                <w:sz w:val="24"/>
                <w:szCs w:val="24"/>
                <w:u w:val="none"/>
              </w:rPr>
              <w:t>表</w:t>
            </w:r>
            <w:r>
              <w:rPr>
                <w:rFonts w:hint="eastAsia" w:cs="Times New Roman"/>
                <w:b/>
                <w:bCs w:val="0"/>
                <w:color w:val="auto"/>
                <w:sz w:val="24"/>
                <w:szCs w:val="24"/>
                <w:u w:val="none"/>
                <w:lang w:val="en-US" w:eastAsia="zh-CN"/>
              </w:rPr>
              <w:t>1-10</w:t>
            </w:r>
            <w:r>
              <w:rPr>
                <w:rFonts w:hint="default" w:ascii="Times New Roman" w:hAnsi="Times New Roman" w:eastAsia="宋体" w:cs="Times New Roman"/>
                <w:b/>
                <w:bCs w:val="0"/>
                <w:color w:val="auto"/>
                <w:sz w:val="24"/>
                <w:szCs w:val="24"/>
                <w:u w:val="none"/>
                <w:lang w:val="en-US" w:eastAsia="zh-CN"/>
              </w:rPr>
              <w:t>本项目与《废塑料综合利用行业规范条件》的符合性一览表</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1"/>
              <w:gridCol w:w="3960"/>
              <w:gridCol w:w="2310"/>
              <w:gridCol w:w="8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trPr>
              <w:tc>
                <w:tcPr>
                  <w:tcW w:w="651"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项目</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b/>
                      <w:bCs/>
                      <w:color w:val="000000"/>
                      <w:szCs w:val="21"/>
                    </w:rPr>
                  </w:pPr>
                  <w:r>
                    <w:rPr>
                      <w:rFonts w:hint="eastAsia" w:ascii="Times New Roman" w:hAnsi="Times New Roman" w:cs="Times New Roman"/>
                      <w:b/>
                      <w:bCs/>
                      <w:color w:val="000000"/>
                      <w:szCs w:val="21"/>
                      <w:lang w:val="en-US" w:eastAsia="zh-CN"/>
                    </w:rPr>
                    <w:t>规范</w:t>
                  </w:r>
                  <w:r>
                    <w:rPr>
                      <w:rFonts w:hint="default" w:ascii="Times New Roman" w:hAnsi="Times New Roman" w:cs="Times New Roman"/>
                      <w:b/>
                      <w:bCs/>
                      <w:color w:val="000000"/>
                      <w:szCs w:val="21"/>
                    </w:rPr>
                    <w:t>要求</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51"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r>
                    <w:rPr>
                      <w:rFonts w:hint="default" w:ascii="Times New Roman" w:hAnsi="Times New Roman" w:cs="Times New Roman"/>
                      <w:szCs w:val="21"/>
                    </w:rPr>
                    <w:t>一、</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r>
                    <w:rPr>
                      <w:rFonts w:hint="default" w:ascii="Times New Roman" w:hAnsi="Times New Roman" w:cs="Times New Roman"/>
                      <w:szCs w:val="21"/>
                    </w:rPr>
                    <w:t>企业</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r>
                    <w:rPr>
                      <w:rFonts w:hint="default" w:ascii="Times New Roman" w:hAnsi="Times New Roman" w:cs="Times New Roman"/>
                      <w:szCs w:val="21"/>
                    </w:rPr>
                    <w:t>的建</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r>
                    <w:rPr>
                      <w:rFonts w:hint="default" w:ascii="Times New Roman" w:hAnsi="Times New Roman" w:cs="Times New Roman"/>
                      <w:szCs w:val="21"/>
                    </w:rPr>
                    <w:t>立和</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r>
                    <w:rPr>
                      <w:rFonts w:hint="default" w:ascii="Times New Roman" w:hAnsi="Times New Roman" w:cs="Times New Roman"/>
                      <w:szCs w:val="21"/>
                    </w:rPr>
                    <w:t>布局</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（一）废塑料综合利用企业是指采用物理机械法对热塑性废塑料进行再生加工的企业，企业类型主要包括PET再生瓶片类企业、废塑料破碎清洗分选类企业以及塑料再生造粒类企业。</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eastAsia="宋体" w:cs="Times New Roman"/>
                      <w:b w:val="0"/>
                      <w:bCs w:val="0"/>
                      <w:color w:val="000000"/>
                      <w:szCs w:val="21"/>
                      <w:u w:val="none"/>
                      <w:lang w:eastAsia="zh-CN"/>
                    </w:rPr>
                  </w:pPr>
                  <w:r>
                    <w:rPr>
                      <w:rFonts w:hint="default" w:ascii="Times New Roman" w:hAnsi="Times New Roman" w:eastAsia="宋体" w:cs="Times New Roman"/>
                      <w:b w:val="0"/>
                      <w:bCs w:val="0"/>
                      <w:color w:val="000000"/>
                      <w:szCs w:val="21"/>
                      <w:u w:val="none"/>
                      <w:lang w:eastAsia="zh-CN"/>
                    </w:rPr>
                    <w:t>本项目以外购</w:t>
                  </w:r>
                  <w:r>
                    <w:rPr>
                      <w:rFonts w:hint="eastAsia" w:cs="Times New Roman"/>
                      <w:b w:val="0"/>
                      <w:bCs w:val="0"/>
                      <w:color w:val="000000"/>
                      <w:szCs w:val="21"/>
                      <w:u w:val="none"/>
                      <w:lang w:val="en-US" w:eastAsia="zh-CN"/>
                    </w:rPr>
                    <w:t>废泡沫和废编织袋</w:t>
                  </w:r>
                  <w:r>
                    <w:rPr>
                      <w:rFonts w:hint="default" w:ascii="Times New Roman" w:hAnsi="Times New Roman" w:eastAsia="宋体" w:cs="Times New Roman"/>
                      <w:b w:val="0"/>
                      <w:bCs w:val="0"/>
                      <w:color w:val="000000"/>
                      <w:szCs w:val="21"/>
                      <w:u w:val="none"/>
                      <w:lang w:eastAsia="zh-CN"/>
                    </w:rPr>
                    <w:t>为原料，生产再生塑料颗粒</w:t>
                  </w:r>
                  <w:r>
                    <w:rPr>
                      <w:rFonts w:hint="eastAsia" w:cs="Times New Roman"/>
                      <w:b w:val="0"/>
                      <w:bCs w:val="0"/>
                      <w:color w:val="000000"/>
                      <w:szCs w:val="21"/>
                      <w:u w:val="none"/>
                      <w:lang w:eastAsia="zh-CN"/>
                    </w:rPr>
                    <w:t>，</w:t>
                  </w:r>
                  <w:r>
                    <w:rPr>
                      <w:rFonts w:hint="default" w:ascii="Times New Roman" w:hAnsi="Times New Roman" w:eastAsia="宋体" w:cs="Times New Roman"/>
                      <w:b w:val="0"/>
                      <w:bCs w:val="0"/>
                      <w:color w:val="000000"/>
                      <w:szCs w:val="21"/>
                      <w:u w:val="none"/>
                      <w:lang w:eastAsia="zh-CN"/>
                    </w:rPr>
                    <w:t>属于废塑料综合利用企业</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（二）废塑料综合利用企业所涉及的热塑性废塑料原料，不包括受到危险化学品、农药等污染的废弃塑料包装物、废弃一次性医疗用塑料制品等塑料类危险废物，以及氟塑料等特种工程塑料。</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b w:val="0"/>
                      <w:bCs w:val="0"/>
                      <w:color w:val="000000"/>
                      <w:szCs w:val="21"/>
                      <w:u w:val="none"/>
                      <w:lang w:val="en-US" w:eastAsia="zh-CN"/>
                    </w:rPr>
                  </w:pPr>
                  <w:r>
                    <w:rPr>
                      <w:rFonts w:hint="default" w:ascii="Times New Roman" w:hAnsi="Times New Roman" w:cs="Times New Roman"/>
                      <w:b w:val="0"/>
                      <w:bCs w:val="0"/>
                      <w:color w:val="000000"/>
                      <w:szCs w:val="21"/>
                      <w:u w:val="none"/>
                      <w:lang w:val="en-US" w:eastAsia="zh-CN"/>
                    </w:rPr>
                    <w:t>本项目以外购</w:t>
                  </w:r>
                  <w:r>
                    <w:rPr>
                      <w:rFonts w:hint="eastAsia" w:cs="Times New Roman"/>
                      <w:b w:val="0"/>
                      <w:bCs w:val="0"/>
                      <w:color w:val="000000"/>
                      <w:szCs w:val="21"/>
                      <w:u w:val="none"/>
                      <w:lang w:val="en-US" w:eastAsia="zh-CN"/>
                    </w:rPr>
                    <w:t>废编织袋和废泡沫为</w:t>
                  </w:r>
                  <w:r>
                    <w:rPr>
                      <w:rFonts w:hint="default" w:ascii="Times New Roman" w:hAnsi="Times New Roman" w:cs="Times New Roman"/>
                      <w:b w:val="0"/>
                      <w:bCs w:val="0"/>
                      <w:color w:val="000000"/>
                      <w:szCs w:val="21"/>
                      <w:u w:val="none"/>
                      <w:lang w:val="en-US" w:eastAsia="zh-CN"/>
                    </w:rPr>
                    <w:t>原料，不涉及受到危险化学品、农药等污染的废弃塑料包装物、废弃一次性医疗用塑料制品等塑料类危险废物，以及氟塑料等特种工程塑料</w:t>
                  </w:r>
                  <w:r>
                    <w:rPr>
                      <w:rFonts w:hint="eastAsia" w:ascii="Times New Roman" w:hAnsi="Times New Roman" w:cs="Times New Roman"/>
                      <w:b w:val="0"/>
                      <w:bCs w:val="0"/>
                      <w:color w:val="000000"/>
                      <w:szCs w:val="21"/>
                      <w:u w:val="none"/>
                      <w:lang w:val="en-US" w:eastAsia="zh-CN"/>
                    </w:rPr>
                    <w:t>、聚氯乙烯为成分的废旧塑料</w:t>
                  </w:r>
                  <w:r>
                    <w:rPr>
                      <w:rFonts w:hint="eastAsia" w:cs="Times New Roman"/>
                      <w:b w:val="0"/>
                      <w:bCs w:val="0"/>
                      <w:color w:val="000000"/>
                      <w:szCs w:val="21"/>
                      <w:u w:val="none"/>
                      <w:lang w:val="en-US" w:eastAsia="zh-CN"/>
                    </w:rPr>
                    <w:t>。</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73"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（三）新建及改造、扩建废塑料加工企业应符合国家产业政策及所在地区土地利用总体规划、城乡建设规划、环境保护、污染防治规划。企业建设应有规范化设计要求，采用节能环保技术及生产装备。</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本项目为新建项目，为鼓励类项目，符合国家产业政策及当地规划要求</w:t>
                  </w:r>
                  <w:r>
                    <w:rPr>
                      <w:rFonts w:hint="eastAsia" w:cs="Times New Roman"/>
                      <w:color w:val="000000"/>
                      <w:szCs w:val="21"/>
                      <w:lang w:val="en-US" w:eastAsia="zh-CN"/>
                    </w:rPr>
                    <w:t>。</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89"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四）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本项目为新建项目，建设地点位于</w:t>
                  </w:r>
                  <w:r>
                    <w:rPr>
                      <w:rFonts w:hint="eastAsia" w:cs="Times New Roman"/>
                      <w:color w:val="000000"/>
                      <w:szCs w:val="21"/>
                      <w:lang w:val="en-US" w:eastAsia="zh-CN"/>
                    </w:rPr>
                    <w:t>平顶山市宝丰县宝丰高新技术产业开发区旭原不锈钢院内8号厂房</w:t>
                  </w:r>
                  <w:r>
                    <w:rPr>
                      <w:rFonts w:hint="eastAsia" w:ascii="Times New Roman" w:hAnsi="Times New Roman" w:cs="Times New Roman"/>
                      <w:color w:val="000000"/>
                      <w:szCs w:val="21"/>
                      <w:lang w:val="en-US" w:eastAsia="zh-CN"/>
                    </w:rPr>
                    <w:t>，</w:t>
                  </w:r>
                  <w:r>
                    <w:rPr>
                      <w:rFonts w:hint="eastAsia" w:ascii="Times New Roman" w:hAnsi="Times New Roman" w:cs="Times New Roman"/>
                      <w:color w:val="auto"/>
                      <w:szCs w:val="21"/>
                      <w:lang w:val="en-US" w:eastAsia="zh-CN"/>
                    </w:rPr>
                    <w:t>最近的敏感点为东南侧约</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50m的宝丰县产业集聚区公租房小区</w:t>
                  </w:r>
                  <w:r>
                    <w:rPr>
                      <w:rFonts w:hint="eastAsia" w:cs="Times New Roman"/>
                      <w:color w:val="auto"/>
                      <w:szCs w:val="21"/>
                      <w:lang w:val="en-US" w:eastAsia="zh-CN"/>
                    </w:rPr>
                    <w:t>。</w:t>
                  </w:r>
                  <w:r>
                    <w:rPr>
                      <w:rFonts w:hint="eastAsia" w:ascii="Times New Roman" w:hAnsi="Times New Roman" w:cs="Times New Roman"/>
                      <w:color w:val="000000"/>
                      <w:szCs w:val="21"/>
                      <w:lang w:val="en-US" w:eastAsia="zh-CN"/>
                    </w:rPr>
                    <w:t>本项目未建在城市居民区、商业区及其他环境敏感区内，不涉及自然保护区、风景名胜区、饮用水源保护区、基本农田保护区和其他需要特别保护的区域</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48" w:hRule="atLeast"/>
              </w:trPr>
              <w:tc>
                <w:tcPr>
                  <w:tcW w:w="651" w:type="dxa"/>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二、</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生产</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经营</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color w:val="000000"/>
                      <w:szCs w:val="21"/>
                    </w:rPr>
                    <w:t>规模</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（五）PET再生瓶片类企业：新建企业年废塑料处理能力不低于30000吨；已建企业年废塑料处理能力不低于20000吨。</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（六）废塑料破碎、清洗、分选类企业：新建企业年废塑料处理能力不低于30000吨；已建企业年废塑料处理能力不低于20000吨。</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（七）塑料再生造粒类企业：新建企业年废塑料处理能力不低于5000吨；已建企业年废塑料处理能力不低于3000吨。</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Cs w:val="21"/>
                      <w:lang w:eastAsia="zh-CN"/>
                    </w:rPr>
                  </w:pPr>
                  <w:r>
                    <w:rPr>
                      <w:rFonts w:hint="eastAsia"/>
                      <w:color w:val="000000"/>
                      <w:szCs w:val="21"/>
                    </w:rPr>
                    <w:t>（八）企业应具有与生产能力相匹配的厂区作业场地面积</w:t>
                  </w:r>
                  <w:r>
                    <w:rPr>
                      <w:rFonts w:hint="eastAsia"/>
                      <w:color w:val="000000"/>
                      <w:szCs w:val="21"/>
                      <w:lang w:eastAsia="zh-CN"/>
                    </w:rPr>
                    <w:t>。</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r>
                    <w:rPr>
                      <w:rFonts w:hint="default" w:eastAsia="宋体"/>
                      <w:b w:val="0"/>
                      <w:bCs w:val="0"/>
                      <w:color w:val="000000"/>
                      <w:szCs w:val="21"/>
                      <w:u w:val="none"/>
                      <w:lang w:val="en-US" w:eastAsia="zh-CN"/>
                    </w:rPr>
                    <w:t>项目属于塑料再生造粒类企业，年</w:t>
                  </w:r>
                  <w:r>
                    <w:rPr>
                      <w:rFonts w:hint="eastAsia"/>
                      <w:b w:val="0"/>
                      <w:bCs w:val="0"/>
                      <w:color w:val="000000"/>
                      <w:szCs w:val="21"/>
                      <w:u w:val="none"/>
                      <w:lang w:val="en-US" w:eastAsia="zh-CN"/>
                    </w:rPr>
                    <w:t>生产再生资源</w:t>
                  </w:r>
                  <w:r>
                    <w:rPr>
                      <w:rFonts w:hint="default" w:eastAsia="宋体"/>
                      <w:b w:val="0"/>
                      <w:bCs w:val="0"/>
                      <w:color w:val="000000"/>
                      <w:szCs w:val="21"/>
                      <w:u w:val="none"/>
                      <w:lang w:val="en-US" w:eastAsia="zh-CN"/>
                    </w:rPr>
                    <w:t>颗粒1</w:t>
                  </w:r>
                  <w:r>
                    <w:rPr>
                      <w:rFonts w:hint="eastAsia"/>
                      <w:b w:val="0"/>
                      <w:bCs w:val="0"/>
                      <w:color w:val="000000"/>
                      <w:szCs w:val="21"/>
                      <w:u w:val="none"/>
                      <w:lang w:val="en-US" w:eastAsia="zh-CN"/>
                    </w:rPr>
                    <w:t>0</w:t>
                  </w:r>
                  <w:r>
                    <w:rPr>
                      <w:rFonts w:hint="default" w:eastAsia="宋体"/>
                      <w:b w:val="0"/>
                      <w:bCs w:val="0"/>
                      <w:color w:val="000000"/>
                      <w:szCs w:val="21"/>
                      <w:u w:val="none"/>
                      <w:lang w:val="en-US" w:eastAsia="zh-CN"/>
                    </w:rPr>
                    <w:t>000吨，符合要求</w:t>
                  </w:r>
                  <w:r>
                    <w:rPr>
                      <w:rFonts w:hint="eastAsia" w:eastAsia="宋体"/>
                      <w:b w:val="0"/>
                      <w:bCs w:val="0"/>
                      <w:color w:val="000000"/>
                      <w:szCs w:val="21"/>
                      <w:u w:val="none"/>
                      <w:lang w:val="en-US" w:eastAsia="zh-CN"/>
                    </w:rPr>
                    <w:t>；项目厂区占地</w:t>
                  </w:r>
                  <w:r>
                    <w:rPr>
                      <w:rFonts w:hint="eastAsia"/>
                      <w:b w:val="0"/>
                      <w:bCs w:val="0"/>
                      <w:color w:val="000000"/>
                      <w:szCs w:val="21"/>
                      <w:u w:val="none"/>
                      <w:lang w:val="en-US" w:eastAsia="zh-CN"/>
                    </w:rPr>
                    <w:t>5000</w:t>
                  </w:r>
                  <w:r>
                    <w:rPr>
                      <w:rFonts w:hint="eastAsia" w:eastAsia="宋体"/>
                      <w:b w:val="0"/>
                      <w:bCs w:val="0"/>
                      <w:color w:val="000000"/>
                      <w:szCs w:val="21"/>
                      <w:u w:val="none"/>
                      <w:lang w:val="en-US" w:eastAsia="zh-CN"/>
                    </w:rPr>
                    <w:t>m</w:t>
                  </w:r>
                  <w:r>
                    <w:rPr>
                      <w:rFonts w:hint="eastAsia" w:eastAsia="宋体"/>
                      <w:b w:val="0"/>
                      <w:bCs w:val="0"/>
                      <w:color w:val="000000"/>
                      <w:szCs w:val="21"/>
                      <w:u w:val="none"/>
                      <w:vertAlign w:val="superscript"/>
                      <w:lang w:val="en-US" w:eastAsia="zh-CN"/>
                    </w:rPr>
                    <w:t>2</w:t>
                  </w:r>
                  <w:r>
                    <w:rPr>
                      <w:rFonts w:hint="eastAsia" w:eastAsia="宋体"/>
                      <w:b w:val="0"/>
                      <w:bCs w:val="0"/>
                      <w:color w:val="000000"/>
                      <w:szCs w:val="21"/>
                      <w:u w:val="none"/>
                      <w:lang w:val="en-US" w:eastAsia="zh-CN"/>
                    </w:rPr>
                    <w:t>，与生产能力匹配</w:t>
                  </w:r>
                  <w:r>
                    <w:rPr>
                      <w:rFonts w:hint="eastAsia"/>
                      <w:b w:val="0"/>
                      <w:bCs w:val="0"/>
                      <w:color w:val="000000"/>
                      <w:szCs w:val="21"/>
                      <w:u w:val="none"/>
                      <w:lang w:val="en-US" w:eastAsia="zh-CN"/>
                    </w:rPr>
                    <w:t>。</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color w:val="000000"/>
                      <w:szCs w:val="21"/>
                    </w:rPr>
                  </w:pPr>
                  <w:r>
                    <w:rPr>
                      <w:rFonts w:hint="eastAsia"/>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5" w:hRule="atLeast"/>
              </w:trPr>
              <w:tc>
                <w:tcPr>
                  <w:tcW w:w="651" w:type="dxa"/>
                  <w:vMerge w:val="restar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三、</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资源</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综合</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利用</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及能</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耗</w:t>
                  </w:r>
                </w:p>
              </w:tc>
              <w:tc>
                <w:tcPr>
                  <w:tcW w:w="3960" w:type="dxa"/>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（九）企业应对收集的废塑料进行充分利</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用，提高资源回收利用效率，不得倾倒、焚烧与填埋。</w:t>
                  </w:r>
                </w:p>
              </w:tc>
              <w:tc>
                <w:tcPr>
                  <w:tcW w:w="2310" w:type="dxa"/>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r>
                    <w:rPr>
                      <w:rFonts w:hint="default" w:eastAsia="宋体"/>
                      <w:b w:val="0"/>
                      <w:bCs w:val="0"/>
                      <w:color w:val="000000"/>
                      <w:szCs w:val="21"/>
                      <w:u w:val="none"/>
                      <w:lang w:val="en-US" w:eastAsia="zh-CN"/>
                    </w:rPr>
                    <w:t>企业对收集的</w:t>
                  </w:r>
                  <w:r>
                    <w:rPr>
                      <w:rFonts w:hint="eastAsia"/>
                      <w:b w:val="0"/>
                      <w:bCs w:val="0"/>
                      <w:color w:val="000000"/>
                      <w:szCs w:val="21"/>
                      <w:u w:val="none"/>
                      <w:lang w:val="en-US" w:eastAsia="zh-CN"/>
                    </w:rPr>
                    <w:t>废编织袋和废泡沫</w:t>
                  </w:r>
                  <w:r>
                    <w:rPr>
                      <w:rFonts w:hint="default" w:eastAsia="宋体"/>
                      <w:b w:val="0"/>
                      <w:bCs w:val="0"/>
                      <w:color w:val="000000"/>
                      <w:szCs w:val="21"/>
                      <w:u w:val="none"/>
                      <w:lang w:val="en-US" w:eastAsia="zh-CN"/>
                    </w:rPr>
                    <w:t>进行充分利用，提高资源回收利用效率，不</w:t>
                  </w:r>
                  <w:r>
                    <w:rPr>
                      <w:rFonts w:hint="eastAsia" w:eastAsia="宋体"/>
                      <w:b w:val="0"/>
                      <w:bCs w:val="0"/>
                      <w:color w:val="000000"/>
                      <w:szCs w:val="21"/>
                      <w:u w:val="none"/>
                      <w:lang w:val="en-US" w:eastAsia="zh-CN"/>
                    </w:rPr>
                    <w:t>进行</w:t>
                  </w:r>
                  <w:r>
                    <w:rPr>
                      <w:rFonts w:hint="default" w:eastAsia="宋体"/>
                      <w:b w:val="0"/>
                      <w:bCs w:val="0"/>
                      <w:color w:val="000000"/>
                      <w:szCs w:val="21"/>
                      <w:u w:val="none"/>
                      <w:lang w:val="en-US" w:eastAsia="zh-CN"/>
                    </w:rPr>
                    <w:t>倾倒、焚烧与填埋。</w:t>
                  </w:r>
                </w:p>
              </w:tc>
              <w:tc>
                <w:tcPr>
                  <w:tcW w:w="877" w:type="dxa"/>
                  <w:tcBorders>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c>
                <w:tcPr>
                  <w:tcW w:w="3960" w:type="dxa"/>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（十）塑料再生加工相关生产环节的综合电耗低于500千瓦时/吨废塑料。</w:t>
                  </w:r>
                </w:p>
              </w:tc>
              <w:tc>
                <w:tcPr>
                  <w:tcW w:w="2310" w:type="dxa"/>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highlight w:val="yellow"/>
                      <w:lang w:val="en-US" w:eastAsia="zh-CN"/>
                    </w:rPr>
                  </w:pPr>
                  <w:r>
                    <w:rPr>
                      <w:rFonts w:hint="default" w:eastAsia="宋体"/>
                      <w:color w:val="000000"/>
                      <w:szCs w:val="21"/>
                      <w:highlight w:val="none"/>
                      <w:lang w:val="en-US" w:eastAsia="zh-CN"/>
                    </w:rPr>
                    <w:t>根据建设单位提供的资料，项目电耗约</w:t>
                  </w:r>
                  <w:r>
                    <w:rPr>
                      <w:rFonts w:hint="eastAsia"/>
                      <w:color w:val="000000"/>
                      <w:szCs w:val="21"/>
                      <w:highlight w:val="none"/>
                      <w:lang w:val="en-US" w:eastAsia="zh-CN"/>
                    </w:rPr>
                    <w:t>70千</w:t>
                  </w:r>
                  <w:r>
                    <w:rPr>
                      <w:rFonts w:hint="default" w:eastAsia="宋体"/>
                      <w:color w:val="000000"/>
                      <w:szCs w:val="21"/>
                      <w:highlight w:val="none"/>
                      <w:lang w:val="en-US" w:eastAsia="zh-CN"/>
                    </w:rPr>
                    <w:t>瓦时/吨废塑料</w:t>
                  </w:r>
                </w:p>
              </w:tc>
              <w:tc>
                <w:tcPr>
                  <w:tcW w:w="877"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olor w:val="000000"/>
                      <w:szCs w:val="21"/>
                      <w:highlight w:val="none"/>
                    </w:rPr>
                  </w:pPr>
                  <w:r>
                    <w:rPr>
                      <w:rFonts w:hint="default" w:ascii="Times New Roman" w:hAnsi="Times New Roman" w:cs="Times New Roman"/>
                      <w:color w:val="000000"/>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7"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c>
                <w:tcPr>
                  <w:tcW w:w="3960" w:type="dxa"/>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（十一）PET再生瓶片类企业与废塑料破</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碎、清洗、分选类企业的综合新水消耗低于1.5吨/吨废塑料。塑料再生造粒类企业的综合新水消耗低于0.2吨/吨废塑料。</w:t>
                  </w:r>
                </w:p>
              </w:tc>
              <w:tc>
                <w:tcPr>
                  <w:tcW w:w="2310" w:type="dxa"/>
                  <w:vMerge w:val="restar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highlight w:val="yellow"/>
                      <w:lang w:val="en-US" w:eastAsia="zh-CN"/>
                    </w:rPr>
                  </w:pPr>
                  <w:r>
                    <w:rPr>
                      <w:rFonts w:hint="default" w:eastAsia="宋体"/>
                      <w:b w:val="0"/>
                      <w:bCs w:val="0"/>
                      <w:color w:val="000000"/>
                      <w:szCs w:val="21"/>
                      <w:highlight w:val="none"/>
                      <w:u w:val="none"/>
                      <w:lang w:val="en-US" w:eastAsia="zh-CN"/>
                    </w:rPr>
                    <w:t>本项目</w:t>
                  </w:r>
                  <w:r>
                    <w:rPr>
                      <w:rFonts w:hint="eastAsia"/>
                      <w:color w:val="000000"/>
                      <w:szCs w:val="21"/>
                      <w:highlight w:val="none"/>
                    </w:rPr>
                    <w:t>塑料再生造粒类企业的综合新水消耗</w:t>
                  </w:r>
                  <w:r>
                    <w:rPr>
                      <w:rFonts w:hint="eastAsia"/>
                      <w:color w:val="000000"/>
                      <w:szCs w:val="21"/>
                      <w:highlight w:val="none"/>
                      <w:lang w:val="en-US" w:eastAsia="zh-CN"/>
                    </w:rPr>
                    <w:t>约为0.055</w:t>
                  </w:r>
                  <w:r>
                    <w:rPr>
                      <w:rFonts w:hint="eastAsia"/>
                      <w:color w:val="000000"/>
                      <w:szCs w:val="21"/>
                      <w:highlight w:val="none"/>
                    </w:rPr>
                    <w:t>吨/吨废塑料</w:t>
                  </w:r>
                  <w:r>
                    <w:rPr>
                      <w:rFonts w:hint="eastAsia"/>
                      <w:color w:val="000000"/>
                      <w:szCs w:val="21"/>
                      <w:highlight w:val="none"/>
                      <w:lang w:eastAsia="zh-CN"/>
                    </w:rPr>
                    <w:t>（</w:t>
                  </w:r>
                  <w:r>
                    <w:rPr>
                      <w:rFonts w:hint="eastAsia"/>
                      <w:color w:val="000000"/>
                      <w:szCs w:val="21"/>
                      <w:highlight w:val="none"/>
                      <w:lang w:val="en-US" w:eastAsia="zh-CN"/>
                    </w:rPr>
                    <w:t>废编织袋</w:t>
                  </w:r>
                  <w:r>
                    <w:rPr>
                      <w:rFonts w:hint="eastAsia"/>
                      <w:color w:val="000000"/>
                      <w:szCs w:val="21"/>
                      <w:highlight w:val="none"/>
                      <w:lang w:eastAsia="zh-CN"/>
                    </w:rPr>
                    <w:t>）</w:t>
                  </w:r>
                  <w:r>
                    <w:rPr>
                      <w:rFonts w:hint="eastAsia"/>
                      <w:color w:val="000000"/>
                      <w:szCs w:val="21"/>
                      <w:highlight w:val="none"/>
                    </w:rPr>
                    <w:t>低于</w:t>
                  </w:r>
                  <w:r>
                    <w:rPr>
                      <w:rFonts w:hint="eastAsia"/>
                      <w:color w:val="000000"/>
                      <w:szCs w:val="21"/>
                      <w:highlight w:val="none"/>
                      <w:lang w:val="en-US" w:eastAsia="zh-CN"/>
                    </w:rPr>
                    <w:t>0.2</w:t>
                  </w:r>
                  <w:r>
                    <w:rPr>
                      <w:rFonts w:hint="eastAsia"/>
                      <w:color w:val="000000"/>
                      <w:szCs w:val="21"/>
                      <w:highlight w:val="none"/>
                    </w:rPr>
                    <w:t>吨/吨废塑料</w:t>
                  </w:r>
                  <w:r>
                    <w:rPr>
                      <w:rFonts w:hint="default" w:eastAsia="宋体"/>
                      <w:b w:val="0"/>
                      <w:bCs w:val="0"/>
                      <w:color w:val="000000"/>
                      <w:szCs w:val="21"/>
                      <w:highlight w:val="none"/>
                      <w:u w:val="none"/>
                      <w:lang w:val="en-US" w:eastAsia="zh-CN"/>
                    </w:rPr>
                    <w:t>，符合相关要求</w:t>
                  </w:r>
                </w:p>
              </w:tc>
              <w:tc>
                <w:tcPr>
                  <w:tcW w:w="877" w:type="dxa"/>
                  <w:vMerge w:val="restart"/>
                  <w:tcBorders>
                    <w:top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olor w:val="000000"/>
                      <w:szCs w:val="21"/>
                      <w:highlight w:val="none"/>
                    </w:rPr>
                  </w:pPr>
                  <w:r>
                    <w:rPr>
                      <w:rFonts w:hint="default" w:ascii="Times New Roman" w:hAnsi="Times New Roman" w:cs="Times New Roman"/>
                      <w:color w:val="000000"/>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c>
                <w:tcPr>
                  <w:tcW w:w="3960" w:type="dxa"/>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（十二）其他生产单耗需满足国家相关标</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准。</w:t>
                  </w:r>
                </w:p>
              </w:tc>
              <w:tc>
                <w:tcPr>
                  <w:tcW w:w="231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p>
              </w:tc>
              <w:tc>
                <w:tcPr>
                  <w:tcW w:w="877" w:type="dxa"/>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651"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四、</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工艺</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与装</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备</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（十三）新建及改造、扩建废塑料综合利用企业应采用先进技术、工艺和装备，提高废塑料再生加工过程的自动化水平。</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1.PET再生瓶片类企业。应实现自动进料、自动包装与加工过程的自动控制。其中，破碎工序应采用具有减振与降噪功能的密闭破碎设备；湿法破碎、脱标、清洗等工序应实现洗涤流程自动控制和清洗液循环利用，降低耗水量与耗药量；应使用低发泡、低残留、易处理的清洗药剂。</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2.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3.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Cs w:val="21"/>
                      <w:lang w:eastAsia="zh-CN"/>
                    </w:rPr>
                  </w:pPr>
                  <w:r>
                    <w:rPr>
                      <w:rFonts w:hint="eastAsia"/>
                      <w:color w:val="000000"/>
                      <w:szCs w:val="21"/>
                    </w:rPr>
                    <w:t>4.鼓励废塑料综合利用企业研发和使用生产效率高、工艺技术先进、能耗物耗低的加工生产系统。</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r>
                    <w:rPr>
                      <w:rFonts w:hint="default" w:eastAsia="宋体"/>
                      <w:b w:val="0"/>
                      <w:bCs w:val="0"/>
                      <w:color w:val="000000"/>
                      <w:szCs w:val="21"/>
                      <w:u w:val="none"/>
                      <w:lang w:val="en-US" w:eastAsia="zh-CN"/>
                    </w:rPr>
                    <w:t>本项目为新建项目，采用全自动挤塑造粒机进行废塑料再生颗粒的生产加工；设备采用电能，实行全自动操作</w:t>
                  </w:r>
                  <w:r>
                    <w:rPr>
                      <w:rFonts w:hint="eastAsia" w:eastAsia="宋体"/>
                      <w:b w:val="0"/>
                      <w:bCs w:val="0"/>
                      <w:color w:val="000000"/>
                      <w:szCs w:val="21"/>
                      <w:u w:val="none"/>
                      <w:lang w:val="en-US" w:eastAsia="zh-CN"/>
                    </w:rPr>
                    <w:t>。项目为塑料再生造粒企业，</w:t>
                  </w:r>
                  <w:r>
                    <w:rPr>
                      <w:rFonts w:hint="eastAsia"/>
                      <w:b w:val="0"/>
                      <w:bCs w:val="0"/>
                      <w:color w:val="000000"/>
                      <w:szCs w:val="21"/>
                      <w:u w:val="none"/>
                      <w:lang w:val="en-US" w:eastAsia="zh-CN"/>
                    </w:rPr>
                    <w:t>项目</w:t>
                  </w:r>
                  <w:r>
                    <w:rPr>
                      <w:rFonts w:hint="eastAsia" w:eastAsia="宋体"/>
                      <w:b w:val="0"/>
                      <w:bCs w:val="0"/>
                      <w:color w:val="000000"/>
                      <w:szCs w:val="21"/>
                      <w:u w:val="none"/>
                      <w:lang w:val="en-US" w:eastAsia="zh-CN"/>
                    </w:rPr>
                    <w:t>配备与加工能力相适应的造粒设备，设置有强制排气系统，可通过</w:t>
                  </w:r>
                  <w:r>
                    <w:rPr>
                      <w:rFonts w:hint="eastAsia"/>
                      <w:b w:val="0"/>
                      <w:bCs w:val="0"/>
                      <w:color w:val="000000"/>
                      <w:szCs w:val="21"/>
                      <w:u w:val="none"/>
                      <w:lang w:val="en-US" w:eastAsia="zh-CN"/>
                    </w:rPr>
                    <w:t>全密闭</w:t>
                  </w:r>
                  <w:r>
                    <w:rPr>
                      <w:rFonts w:hint="eastAsia" w:eastAsia="宋体"/>
                      <w:b w:val="0"/>
                      <w:bCs w:val="0"/>
                      <w:color w:val="000000"/>
                      <w:szCs w:val="21"/>
                      <w:u w:val="none"/>
                      <w:lang w:val="en-US" w:eastAsia="zh-CN"/>
                    </w:rPr>
                    <w:t>集气装置实现废气的集中处理；过滤装置的废弃过滤网交由</w:t>
                  </w:r>
                  <w:r>
                    <w:rPr>
                      <w:rFonts w:hint="eastAsia"/>
                      <w:b w:val="0"/>
                      <w:bCs w:val="0"/>
                      <w:color w:val="000000"/>
                      <w:szCs w:val="21"/>
                      <w:u w:val="none"/>
                      <w:lang w:val="en-US" w:eastAsia="zh-CN"/>
                    </w:rPr>
                    <w:t>符合环保要求单位（当地环卫部门）</w:t>
                  </w:r>
                  <w:r>
                    <w:rPr>
                      <w:rFonts w:hint="eastAsia" w:eastAsia="宋体"/>
                      <w:b w:val="0"/>
                      <w:bCs w:val="0"/>
                      <w:color w:val="000000"/>
                      <w:szCs w:val="21"/>
                      <w:u w:val="none"/>
                      <w:lang w:val="en-US" w:eastAsia="zh-CN"/>
                    </w:rPr>
                    <w:t>处理，禁止露天焚烧。</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olor w:val="000000"/>
                      <w:szCs w:val="21"/>
                    </w:rPr>
                  </w:pPr>
                  <w:r>
                    <w:rPr>
                      <w:rFonts w:hint="eastAsia"/>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35" w:hRule="atLeast"/>
              </w:trPr>
              <w:tc>
                <w:tcPr>
                  <w:tcW w:w="651" w:type="dxa"/>
                  <w:vMerge w:val="restart"/>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五、</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环境</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color w:val="000000"/>
                      <w:szCs w:val="21"/>
                    </w:rPr>
                    <w:t>保护</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 w:val="21"/>
                      <w:szCs w:val="21"/>
                    </w:rPr>
                  </w:pPr>
                  <w:r>
                    <w:rPr>
                      <w:rFonts w:hint="eastAsia"/>
                      <w:sz w:val="21"/>
                      <w:szCs w:val="21"/>
                    </w:rPr>
                    <w:t>（十四）废塑料综合利用企业应严格执行</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 w:val="21"/>
                      <w:szCs w:val="21"/>
                      <w:lang w:eastAsia="zh-CN"/>
                    </w:rPr>
                  </w:pPr>
                  <w:r>
                    <w:rPr>
                      <w:rFonts w:hint="eastAsia"/>
                      <w:sz w:val="21"/>
                      <w:szCs w:val="21"/>
                    </w:rPr>
                    <w:t>《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2310" w:type="dxa"/>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 w:val="21"/>
                      <w:szCs w:val="21"/>
                      <w:lang w:val="en-US" w:eastAsia="zh-CN"/>
                    </w:rPr>
                  </w:pPr>
                  <w:r>
                    <w:rPr>
                      <w:rFonts w:hint="eastAsia"/>
                      <w:sz w:val="21"/>
                      <w:szCs w:val="21"/>
                      <w:lang w:val="en-US" w:eastAsia="zh-CN"/>
                    </w:rPr>
                    <w:t>本项目严格执行“三同时”制度，并编制环境风险应急预案，并依法</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 w:val="21"/>
                      <w:szCs w:val="21"/>
                    </w:rPr>
                  </w:pPr>
                  <w:r>
                    <w:rPr>
                      <w:rFonts w:hint="eastAsia"/>
                      <w:sz w:val="21"/>
                      <w:szCs w:val="21"/>
                      <w:lang w:val="en-US" w:eastAsia="zh-CN"/>
                    </w:rPr>
                    <w:t>申请项目竣工环境保护验收。</w:t>
                  </w:r>
                </w:p>
              </w:tc>
              <w:tc>
                <w:tcPr>
                  <w:tcW w:w="877" w:type="dxa"/>
                  <w:tcBorders>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color w:val="000000"/>
                      <w:szCs w:val="21"/>
                    </w:rPr>
                  </w:pPr>
                  <w:r>
                    <w:rPr>
                      <w:rFonts w:hint="eastAsia"/>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szCs w:val="21"/>
                    </w:rPr>
                    <w:t>（十五）企业加工存储场地应建有围墙，在园区内的企业可为单独厂房，地面全部硬化且无明显破损现象。</w:t>
                  </w:r>
                </w:p>
              </w:tc>
              <w:tc>
                <w:tcPr>
                  <w:tcW w:w="2310" w:type="dxa"/>
                  <w:tcBorders>
                    <w:top w:val="single" w:color="auto" w:sz="4" w:space="0"/>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b w:val="0"/>
                      <w:bCs w:val="0"/>
                      <w:color w:val="000000"/>
                      <w:szCs w:val="21"/>
                      <w:u w:val="none"/>
                    </w:rPr>
                    <w:t>本项目</w:t>
                  </w:r>
                  <w:r>
                    <w:rPr>
                      <w:rFonts w:hint="eastAsia"/>
                      <w:b w:val="0"/>
                      <w:bCs w:val="0"/>
                      <w:color w:val="000000"/>
                      <w:szCs w:val="21"/>
                      <w:u w:val="none"/>
                      <w:lang w:eastAsia="zh-CN"/>
                    </w:rPr>
                    <w:t>位于平顶山市宝丰县宝丰高新技术产业开发区旭原不锈钢院内8号厂房，有单独厂房，地面全部硬化且无明显破损现象</w:t>
                  </w:r>
                </w:p>
              </w:tc>
              <w:tc>
                <w:tcPr>
                  <w:tcW w:w="877"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（十六）企业必须配备废塑料分类存放场</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所。原料、产品、本企业不能利用废塑料及不可利用废物贮存在具有防雨、防风、防渗等功能的厂房或加盖雨棚的专门贮存场地内，无露天堆放现象。企业厂区管网建设应达到“雨污分流”要求。</w:t>
                  </w:r>
                </w:p>
              </w:tc>
              <w:tc>
                <w:tcPr>
                  <w:tcW w:w="2310" w:type="dxa"/>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color w:val="000000"/>
                      <w:szCs w:val="21"/>
                    </w:rPr>
                    <w:t>项目外购的原料单独堆放在厂房的原料区，厂房为标准化厂房，</w:t>
                  </w:r>
                  <w:r>
                    <w:rPr>
                      <w:rFonts w:hint="eastAsia"/>
                      <w:color w:val="000000"/>
                      <w:szCs w:val="21"/>
                      <w:lang w:val="en-US" w:eastAsia="zh-CN"/>
                    </w:rPr>
                    <w:t>为封闭厂房</w:t>
                  </w:r>
                  <w:r>
                    <w:rPr>
                      <w:rFonts w:hint="eastAsia"/>
                      <w:color w:val="000000"/>
                      <w:szCs w:val="21"/>
                    </w:rPr>
                    <w:t>，并做好防雨、防风、防渗措施，无露天堆放现象。项目所在厂区管网“雨污分流”。</w:t>
                  </w:r>
                </w:p>
              </w:tc>
              <w:tc>
                <w:tcPr>
                  <w:tcW w:w="877" w:type="dxa"/>
                  <w:tcBorders>
                    <w:top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（十七）企业对收集的废塑料中的金属、橡胶、纤维、渣土、油脂、添加物等夹杂物，应采取相应的处理措施。如企业不具备处理条件，应委托其他具有处理能力的企业处理，不得擅自丢弃、倾倒、焚烧与填埋。</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Cs w:val="21"/>
                      <w:lang w:eastAsia="zh-CN"/>
                    </w:rPr>
                  </w:pPr>
                  <w:r>
                    <w:rPr>
                      <w:rFonts w:hint="eastAsia"/>
                      <w:b w:val="0"/>
                      <w:bCs w:val="0"/>
                      <w:color w:val="000000"/>
                      <w:szCs w:val="21"/>
                      <w:u w:val="none"/>
                    </w:rPr>
                    <w:t>项目外购</w:t>
                  </w:r>
                  <w:r>
                    <w:rPr>
                      <w:rFonts w:hint="eastAsia"/>
                      <w:b w:val="0"/>
                      <w:bCs w:val="0"/>
                      <w:color w:val="000000"/>
                      <w:szCs w:val="21"/>
                      <w:u w:val="none"/>
                      <w:lang w:val="en-US" w:eastAsia="zh-CN"/>
                    </w:rPr>
                    <w:t>废塑料和废泡沫</w:t>
                  </w:r>
                  <w:r>
                    <w:rPr>
                      <w:rFonts w:hint="eastAsia"/>
                      <w:b w:val="0"/>
                      <w:bCs w:val="0"/>
                      <w:color w:val="000000"/>
                      <w:szCs w:val="21"/>
                      <w:u w:val="none"/>
                    </w:rPr>
                    <w:t>为原料，</w:t>
                  </w:r>
                  <w:r>
                    <w:rPr>
                      <w:rFonts w:hint="eastAsia"/>
                      <w:b w:val="0"/>
                      <w:bCs w:val="0"/>
                      <w:color w:val="000000"/>
                      <w:szCs w:val="21"/>
                      <w:u w:val="none"/>
                      <w:lang w:eastAsia="zh-CN"/>
                    </w:rPr>
                    <w:t>只需人工</w:t>
                  </w:r>
                  <w:r>
                    <w:rPr>
                      <w:rFonts w:hint="eastAsia"/>
                      <w:b w:val="0"/>
                      <w:bCs w:val="0"/>
                      <w:color w:val="000000"/>
                      <w:szCs w:val="21"/>
                      <w:u w:val="none"/>
                    </w:rPr>
                    <w:t>分拣出杂物主要为</w:t>
                  </w:r>
                  <w:r>
                    <w:rPr>
                      <w:rFonts w:hint="eastAsia"/>
                      <w:b w:val="0"/>
                      <w:bCs w:val="0"/>
                      <w:color w:val="000000"/>
                      <w:szCs w:val="21"/>
                      <w:u w:val="none"/>
                      <w:lang w:eastAsia="zh-CN"/>
                    </w:rPr>
                    <w:t>少量废纸、棉制品等；分拣垃圾</w:t>
                  </w:r>
                  <w:r>
                    <w:rPr>
                      <w:rFonts w:hint="eastAsia"/>
                      <w:b w:val="0"/>
                      <w:bCs w:val="0"/>
                      <w:color w:val="000000"/>
                      <w:szCs w:val="21"/>
                      <w:u w:val="none"/>
                      <w:lang w:val="en-US" w:eastAsia="zh-CN"/>
                    </w:rPr>
                    <w:t>收集</w:t>
                  </w:r>
                  <w:r>
                    <w:rPr>
                      <w:rFonts w:hint="eastAsia"/>
                      <w:b w:val="0"/>
                      <w:bCs w:val="0"/>
                      <w:color w:val="000000"/>
                      <w:szCs w:val="21"/>
                      <w:u w:val="none"/>
                    </w:rPr>
                    <w:t>暂存后</w:t>
                  </w:r>
                  <w:r>
                    <w:rPr>
                      <w:rFonts w:hint="eastAsia"/>
                      <w:b w:val="0"/>
                      <w:bCs w:val="0"/>
                      <w:color w:val="000000"/>
                      <w:szCs w:val="21"/>
                      <w:u w:val="none"/>
                      <w:lang w:val="en-US" w:eastAsia="zh-CN"/>
                    </w:rPr>
                    <w:t>交由当地环卫部门清运</w:t>
                  </w:r>
                  <w:r>
                    <w:rPr>
                      <w:rFonts w:hint="eastAsia"/>
                      <w:b w:val="0"/>
                      <w:bCs w:val="0"/>
                      <w:color w:val="000000"/>
                      <w:szCs w:val="21"/>
                      <w:u w:val="none"/>
                    </w:rPr>
                    <w:t>处理</w:t>
                  </w:r>
                  <w:r>
                    <w:rPr>
                      <w:rFonts w:hint="eastAsia"/>
                      <w:b w:val="0"/>
                      <w:bCs w:val="0"/>
                      <w:color w:val="000000"/>
                      <w:szCs w:val="21"/>
                      <w:u w:val="none"/>
                      <w:lang w:eastAsia="zh-CN"/>
                    </w:rPr>
                    <w:t>，不擅自丢弃、倾倒、焚烧与填埋。</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十八）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r>
                    <w:rPr>
                      <w:rFonts w:hint="default" w:eastAsia="宋体"/>
                      <w:color w:val="000000"/>
                      <w:szCs w:val="21"/>
                      <w:lang w:val="en-US" w:eastAsia="zh-CN"/>
                    </w:rPr>
                    <w:t>项目营运期废水主要为生活污水、清洗废水、车辆冲洗废水以及冷却水。生活污水经化粪池收集后可直接进入污水管网，最终进入</w:t>
                  </w:r>
                  <w:r>
                    <w:rPr>
                      <w:rFonts w:hint="eastAsia"/>
                      <w:color w:val="000000"/>
                      <w:szCs w:val="21"/>
                      <w:lang w:val="en-US" w:eastAsia="zh-CN"/>
                    </w:rPr>
                    <w:t>宝丰县产业集聚区污水处理厂</w:t>
                  </w:r>
                  <w:r>
                    <w:rPr>
                      <w:rFonts w:hint="default" w:eastAsia="宋体"/>
                      <w:color w:val="000000"/>
                      <w:szCs w:val="21"/>
                      <w:lang w:val="en-US" w:eastAsia="zh-CN"/>
                    </w:rPr>
                    <w:t>进行处理；清洗废水经</w:t>
                  </w:r>
                  <w:r>
                    <w:rPr>
                      <w:rFonts w:hint="eastAsia" w:cs="Times New Roman"/>
                      <w:b w:val="0"/>
                      <w:bCs w:val="0"/>
                      <w:color w:val="000000"/>
                      <w:sz w:val="21"/>
                      <w:szCs w:val="21"/>
                      <w:u w:val="none"/>
                      <w:lang w:val="en-US" w:eastAsia="zh-CN"/>
                    </w:rPr>
                    <w:t>一体化环保设施</w:t>
                  </w:r>
                  <w:r>
                    <w:rPr>
                      <w:rFonts w:hint="default" w:eastAsia="宋体"/>
                      <w:color w:val="000000"/>
                      <w:szCs w:val="21"/>
                      <w:lang w:val="en-US" w:eastAsia="zh-CN"/>
                    </w:rPr>
                    <w:t>净化处理后循环使用不外排；车辆冲洗废水经沉淀池处理后，循环使用不外排；冷却水定期补充，循环使用不外排。</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szCs w:val="21"/>
                      <w:lang w:eastAsia="zh-CN"/>
                    </w:rPr>
                  </w:pPr>
                  <w:r>
                    <w:rPr>
                      <w:rFonts w:hint="eastAsia"/>
                      <w:szCs w:val="21"/>
                    </w:rPr>
                    <w:t>（十九）再生加工过程中产生废气、粉尘的加工车间应设置废气、粉尘收集处理设施，通过净化处理，达标后排放。</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Cs w:val="21"/>
                      <w:lang w:eastAsia="zh-CN"/>
                    </w:rPr>
                  </w:pPr>
                  <w:r>
                    <w:rPr>
                      <w:rFonts w:hint="eastAsia"/>
                      <w:color w:val="000000"/>
                      <w:szCs w:val="21"/>
                    </w:rPr>
                    <w:t>项目再生加工过程废气、粉尘均采取废气治理措施后达标排放</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90"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（二十）对于加工过程中</w:t>
                  </w:r>
                  <w:r>
                    <w:rPr>
                      <w:rFonts w:hint="eastAsia"/>
                      <w:szCs w:val="21"/>
                      <w:lang w:eastAsia="zh-CN"/>
                    </w:rPr>
                    <w:t>噪声</w:t>
                  </w:r>
                  <w:r>
                    <w:rPr>
                      <w:rFonts w:hint="eastAsia"/>
                      <w:szCs w:val="21"/>
                    </w:rPr>
                    <w:t>污染大的设</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szCs w:val="21"/>
                    </w:rPr>
                  </w:pPr>
                  <w:r>
                    <w:rPr>
                      <w:rFonts w:hint="eastAsia"/>
                      <w:szCs w:val="21"/>
                    </w:rPr>
                    <w:t>备，必须采取降噪和隔音措施，企业噪声应达到《工业企业厂界环境噪声排放标准》</w:t>
                  </w:r>
                </w:p>
              </w:tc>
              <w:tc>
                <w:tcPr>
                  <w:tcW w:w="231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color w:val="000000"/>
                      <w:szCs w:val="21"/>
                    </w:rPr>
                    <w:t>按照要求采取隔声降噪措施，经降噪、隔声后，项目厂界噪声达标</w:t>
                  </w:r>
                </w:p>
              </w:tc>
              <w:tc>
                <w:tcPr>
                  <w:tcW w:w="877" w:type="dxa"/>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58" w:hRule="atLeast"/>
              </w:trPr>
              <w:tc>
                <w:tcPr>
                  <w:tcW w:w="651"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六、</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防火</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color w:val="000000"/>
                      <w:szCs w:val="21"/>
                    </w:rPr>
                  </w:pPr>
                  <w:r>
                    <w:rPr>
                      <w:rFonts w:hint="eastAsia"/>
                      <w:color w:val="000000"/>
                      <w:szCs w:val="21"/>
                    </w:rPr>
                    <w:t>安全</w:t>
                  </w: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eastAsia="宋体"/>
                      <w:color w:val="000000"/>
                      <w:szCs w:val="21"/>
                      <w:lang w:eastAsia="zh-CN"/>
                    </w:rPr>
                  </w:pPr>
                  <w:r>
                    <w:rPr>
                      <w:rFonts w:hint="eastAsia"/>
                      <w:color w:val="000000"/>
                      <w:szCs w:val="21"/>
                    </w:rPr>
                    <w:t>（二十一）企业应严格执行《中华人民共和国消防法》的各项规定。生产厂房、仓库、堆场等场所的防火设计、施工和验收应符合国家现行相关标准的要求。</w:t>
                  </w:r>
                </w:p>
              </w:tc>
              <w:tc>
                <w:tcPr>
                  <w:tcW w:w="2310"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lang w:val="en-US" w:eastAsia="zh-CN"/>
                    </w:rPr>
                  </w:pPr>
                  <w:r>
                    <w:rPr>
                      <w:rFonts w:hint="eastAsia"/>
                      <w:color w:val="000000"/>
                      <w:szCs w:val="21"/>
                      <w:lang w:val="en-US" w:eastAsia="zh-CN"/>
                    </w:rPr>
                    <w:t>本项目建议建设单位的生产厂房按照防火要求建设，并设置严禁烟火标志。</w:t>
                  </w:r>
                </w:p>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eastAsia="宋体"/>
                      <w:color w:val="000000"/>
                      <w:szCs w:val="21"/>
                      <w:lang w:val="en-US" w:eastAsia="zh-CN"/>
                    </w:rPr>
                  </w:pPr>
                </w:p>
              </w:tc>
              <w:tc>
                <w:tcPr>
                  <w:tcW w:w="877" w:type="dxa"/>
                  <w:vMerge w:val="restar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8"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（二十二）生产厂房、仓库、堆场等场所内符合应严禁烟火，不可存放任何易燃性物质，并应设置严禁烟火标志。</w:t>
                  </w:r>
                </w:p>
              </w:tc>
              <w:tc>
                <w:tcPr>
                  <w:tcW w:w="231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lang w:val="en-US" w:eastAsia="zh-CN"/>
                    </w:rPr>
                  </w:pPr>
                </w:p>
              </w:tc>
              <w:tc>
                <w:tcPr>
                  <w:tcW w:w="877" w:type="dxa"/>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651"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p>
              </w:tc>
              <w:tc>
                <w:tcPr>
                  <w:tcW w:w="396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rPr>
                  </w:pPr>
                  <w:r>
                    <w:rPr>
                      <w:rFonts w:hint="eastAsia"/>
                      <w:color w:val="000000"/>
                      <w:szCs w:val="21"/>
                    </w:rPr>
                    <w:t>（二十三）生产与使用化学药剂的生产区域应符合相关防火、防爆的要求。</w:t>
                  </w:r>
                </w:p>
              </w:tc>
              <w:tc>
                <w:tcPr>
                  <w:tcW w:w="231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lang w:val="en-US" w:eastAsia="zh-CN"/>
                    </w:rPr>
                  </w:pPr>
                </w:p>
              </w:tc>
              <w:tc>
                <w:tcPr>
                  <w:tcW w:w="877" w:type="dxa"/>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eastAsia"/>
                      <w:color w:val="000000"/>
                      <w:szCs w:val="21"/>
                      <w:lang w:val="en-US" w:eastAsia="zh-CN"/>
                    </w:rPr>
                  </w:pPr>
                </w:p>
              </w:tc>
            </w:tr>
          </w:tbl>
          <w:p>
            <w:pPr>
              <w:pStyle w:val="15"/>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sz w:val="24"/>
                <w:szCs w:val="28"/>
                <w:lang w:val="en-US" w:eastAsia="zh-CN" w:bidi="ar"/>
              </w:rPr>
            </w:pPr>
            <w:r>
              <w:rPr>
                <w:rFonts w:hint="default" w:ascii="Times New Roman" w:hAnsi="Times New Roman" w:eastAsia="微软雅黑" w:cs="Times New Roman"/>
                <w:b/>
                <w:sz w:val="24"/>
                <w:szCs w:val="28"/>
                <w:lang w:val="en-US" w:eastAsia="zh-CN" w:bidi="ar"/>
              </w:rPr>
              <w:t>②</w:t>
            </w:r>
            <w:r>
              <w:rPr>
                <w:rFonts w:hint="default" w:ascii="Times New Roman" w:hAnsi="Times New Roman" w:eastAsia="宋体" w:cs="Times New Roman"/>
                <w:b/>
                <w:sz w:val="24"/>
                <w:szCs w:val="28"/>
                <w:lang w:val="en-US" w:eastAsia="zh-CN" w:bidi="ar"/>
              </w:rPr>
              <w:t>本项目与《废塑料加工利用污染防治管理规定》（环境保护部、国家发展和改革委员会、商务部公告2012年第55号）符合性分析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auto"/>
                <w:sz w:val="24"/>
                <w:szCs w:val="24"/>
                <w:u w:val="none"/>
                <w:lang w:val="en-US" w:eastAsia="zh-CN"/>
              </w:rPr>
            </w:pPr>
            <w:r>
              <w:rPr>
                <w:rFonts w:hint="default" w:ascii="Times New Roman" w:hAnsi="Times New Roman" w:eastAsia="宋体" w:cs="Times New Roman"/>
                <w:b/>
                <w:bCs w:val="0"/>
                <w:color w:val="auto"/>
                <w:sz w:val="24"/>
                <w:szCs w:val="24"/>
                <w:u w:val="none"/>
              </w:rPr>
              <w:t>表</w:t>
            </w:r>
            <w:r>
              <w:rPr>
                <w:rFonts w:hint="eastAsia" w:cs="Times New Roman"/>
                <w:b/>
                <w:bCs w:val="0"/>
                <w:color w:val="auto"/>
                <w:sz w:val="24"/>
                <w:szCs w:val="24"/>
                <w:u w:val="none"/>
                <w:lang w:val="en-US" w:eastAsia="zh-CN"/>
              </w:rPr>
              <w:t>1-11</w:t>
            </w:r>
            <w:r>
              <w:rPr>
                <w:rFonts w:hint="default" w:ascii="Times New Roman" w:hAnsi="Times New Roman" w:eastAsia="宋体" w:cs="Times New Roman"/>
                <w:b/>
                <w:bCs w:val="0"/>
                <w:color w:val="auto"/>
                <w:sz w:val="24"/>
                <w:szCs w:val="24"/>
                <w:u w:val="none"/>
                <w:lang w:val="en-US" w:eastAsia="zh-CN"/>
              </w:rPr>
              <w:t>本项目与《废塑料加工利用污染防治管理规定》的符合性一览表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04"/>
              <w:gridCol w:w="2510"/>
              <w:gridCol w:w="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2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b/>
                      <w:bCs/>
                      <w:color w:val="000000"/>
                      <w:szCs w:val="21"/>
                    </w:rPr>
                  </w:pPr>
                  <w:r>
                    <w:rPr>
                      <w:rFonts w:hint="eastAsia" w:ascii="Times New Roman" w:hAnsi="Times New Roman" w:cs="Times New Roman"/>
                      <w:b/>
                      <w:bCs/>
                      <w:color w:val="000000"/>
                      <w:szCs w:val="21"/>
                      <w:lang w:val="en-US" w:eastAsia="zh-CN"/>
                    </w:rPr>
                    <w:t>规范</w:t>
                  </w:r>
                  <w:r>
                    <w:rPr>
                      <w:rFonts w:hint="default" w:ascii="Times New Roman" w:hAnsi="Times New Roman" w:cs="Times New Roman"/>
                      <w:b/>
                      <w:bCs/>
                      <w:color w:val="000000"/>
                      <w:szCs w:val="21"/>
                    </w:rPr>
                    <w:t>要求</w:t>
                  </w:r>
                </w:p>
              </w:tc>
              <w:tc>
                <w:tcPr>
                  <w:tcW w:w="158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575"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废塑料加工利用必须符合国家相关产业政策规定及《废塑料回收与再生利用污染控制技术规范》，防止二次污染。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158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00"/>
                      <w:szCs w:val="21"/>
                      <w:lang w:val="en-US" w:eastAsia="zh-CN"/>
                    </w:rPr>
                  </w:pPr>
                  <w:r>
                    <w:rPr>
                      <w:rFonts w:hint="eastAsia" w:ascii="Times New Roman" w:hAnsi="Times New Roman" w:cs="Times New Roman"/>
                      <w:b w:val="0"/>
                      <w:bCs w:val="0"/>
                      <w:color w:val="000000"/>
                      <w:szCs w:val="21"/>
                      <w:u w:val="none"/>
                      <w:lang w:val="en-US" w:eastAsia="zh-CN"/>
                    </w:rPr>
                    <w:t>本项目建设地点位于平顶山市宝丰县宝丰高新技术产业开发区旭原不锈钢院内8号厂房，最近的敏感点为东南侧约</w:t>
                  </w:r>
                  <w:r>
                    <w:rPr>
                      <w:rFonts w:hint="eastAsia" w:cs="Times New Roman"/>
                      <w:b w:val="0"/>
                      <w:bCs w:val="0"/>
                      <w:color w:val="000000"/>
                      <w:szCs w:val="21"/>
                      <w:u w:val="none"/>
                      <w:lang w:val="en-US" w:eastAsia="zh-CN"/>
                    </w:rPr>
                    <w:t>3</w:t>
                  </w:r>
                  <w:r>
                    <w:rPr>
                      <w:rFonts w:hint="eastAsia" w:ascii="Times New Roman" w:hAnsi="Times New Roman" w:cs="Times New Roman"/>
                      <w:b w:val="0"/>
                      <w:bCs w:val="0"/>
                      <w:color w:val="000000"/>
                      <w:szCs w:val="21"/>
                      <w:u w:val="none"/>
                      <w:lang w:val="en-US" w:eastAsia="zh-CN"/>
                    </w:rPr>
                    <w:t>50m的宝丰县产业集聚区公租房小区，不在居民区进行加工生产，项目产品为再生塑料颗粒，不生产厚度小于0.025mm的超薄塑料购物袋和厚度小于0.015mm超薄塑料袋、食品用塑料袋；项目原料为外购</w:t>
                  </w:r>
                  <w:r>
                    <w:rPr>
                      <w:rFonts w:hint="eastAsia" w:cs="Times New Roman"/>
                      <w:b w:val="0"/>
                      <w:bCs w:val="0"/>
                      <w:color w:val="000000"/>
                      <w:szCs w:val="21"/>
                      <w:u w:val="none"/>
                      <w:lang w:val="en-US" w:eastAsia="zh-CN"/>
                    </w:rPr>
                    <w:t>废编织袋和废泡沫</w:t>
                  </w:r>
                  <w:r>
                    <w:rPr>
                      <w:rFonts w:hint="eastAsia" w:ascii="Times New Roman" w:hAnsi="Times New Roman" w:cs="Times New Roman"/>
                      <w:b w:val="0"/>
                      <w:bCs w:val="0"/>
                      <w:color w:val="000000"/>
                      <w:szCs w:val="21"/>
                      <w:u w:val="none"/>
                      <w:lang w:val="en-US" w:eastAsia="zh-CN"/>
                    </w:rPr>
                    <w:t>为原料，不从事废塑料类危险废物回收利用</w:t>
                  </w:r>
                </w:p>
              </w:tc>
              <w:tc>
                <w:tcPr>
                  <w:tcW w:w="575"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2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158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lang w:val="en-US" w:eastAsia="zh-CN"/>
                    </w:rPr>
                  </w:pPr>
                  <w:r>
                    <w:rPr>
                      <w:rFonts w:hint="eastAsia" w:cs="Times New Roman"/>
                      <w:color w:val="000000"/>
                      <w:sz w:val="21"/>
                      <w:szCs w:val="21"/>
                      <w:lang w:val="en-US" w:eastAsia="zh-CN"/>
                    </w:rPr>
                    <w:t>生活垃圾定期收集后，交由当地环卫部门清运；人工分拣杂物收集后定期交由当地环卫部门；废过滤棉收集后定期交由当地环卫部门；</w:t>
                  </w:r>
                  <w:r>
                    <w:rPr>
                      <w:rFonts w:hint="default" w:ascii="Times New Roman" w:hAnsi="Times New Roman" w:eastAsia="宋体" w:cs="Times New Roman"/>
                      <w:color w:val="000000"/>
                      <w:sz w:val="21"/>
                      <w:szCs w:val="21"/>
                    </w:rPr>
                    <w:t>项目</w:t>
                  </w:r>
                  <w:r>
                    <w:rPr>
                      <w:rFonts w:hint="eastAsia" w:ascii="Times New Roman" w:hAnsi="Times New Roman" w:eastAsia="宋体" w:cs="Times New Roman"/>
                      <w:color w:val="000000"/>
                      <w:sz w:val="21"/>
                      <w:szCs w:val="21"/>
                      <w:lang w:eastAsia="zh-CN"/>
                    </w:rPr>
                    <w:t>除尘器收集粉尘收集后</w:t>
                  </w:r>
                  <w:r>
                    <w:rPr>
                      <w:rFonts w:hint="eastAsia" w:cs="Times New Roman"/>
                      <w:color w:val="000000"/>
                      <w:sz w:val="21"/>
                      <w:szCs w:val="21"/>
                      <w:lang w:val="en-US" w:eastAsia="zh-CN"/>
                    </w:rPr>
                    <w:t>定期交由当地环卫部门</w:t>
                  </w:r>
                  <w:r>
                    <w:rPr>
                      <w:rFonts w:hint="default" w:ascii="Times New Roman" w:hAnsi="Times New Roman" w:eastAsia="宋体" w:cs="Times New Roman"/>
                      <w:color w:val="000000"/>
                      <w:sz w:val="21"/>
                      <w:szCs w:val="21"/>
                    </w:rPr>
                    <w:t>；</w:t>
                  </w:r>
                  <w:r>
                    <w:rPr>
                      <w:rFonts w:hint="eastAsia" w:cs="Times New Roman"/>
                      <w:color w:val="000000"/>
                      <w:sz w:val="21"/>
                      <w:szCs w:val="21"/>
                      <w:lang w:val="en-US" w:eastAsia="zh-CN"/>
                    </w:rPr>
                    <w:t>熔融</w:t>
                  </w:r>
                  <w:r>
                    <w:rPr>
                      <w:rFonts w:hint="default" w:ascii="Times New Roman" w:hAnsi="Times New Roman" w:eastAsia="宋体" w:cs="Times New Roman"/>
                      <w:color w:val="000000"/>
                      <w:sz w:val="21"/>
                      <w:szCs w:val="21"/>
                    </w:rPr>
                    <w:t>挤出</w:t>
                  </w:r>
                  <w:r>
                    <w:rPr>
                      <w:rFonts w:hint="eastAsia" w:cs="Times New Roman"/>
                      <w:color w:val="000000"/>
                      <w:sz w:val="21"/>
                      <w:szCs w:val="21"/>
                      <w:lang w:val="en-US" w:eastAsia="zh-CN"/>
                    </w:rPr>
                    <w:t>工序产生的废</w:t>
                  </w:r>
                  <w:r>
                    <w:rPr>
                      <w:rFonts w:hint="eastAsia" w:ascii="Times New Roman" w:hAnsi="Times New Roman" w:eastAsia="宋体" w:cs="Times New Roman"/>
                      <w:color w:val="000000"/>
                      <w:sz w:val="21"/>
                      <w:szCs w:val="21"/>
                      <w:lang w:eastAsia="zh-CN"/>
                    </w:rPr>
                    <w:t>滤网</w:t>
                  </w:r>
                  <w:r>
                    <w:rPr>
                      <w:rFonts w:hint="default" w:ascii="Times New Roman" w:hAnsi="Times New Roman" w:eastAsia="宋体" w:cs="Times New Roman"/>
                      <w:color w:val="000000"/>
                      <w:sz w:val="21"/>
                      <w:szCs w:val="21"/>
                    </w:rPr>
                    <w:t>集中收集后</w:t>
                  </w:r>
                  <w:r>
                    <w:rPr>
                      <w:rFonts w:hint="eastAsia" w:ascii="Times New Roman" w:hAnsi="Times New Roman" w:eastAsia="宋体" w:cs="Times New Roman"/>
                      <w:color w:val="000000"/>
                      <w:sz w:val="21"/>
                      <w:szCs w:val="21"/>
                      <w:lang w:eastAsia="zh-CN"/>
                    </w:rPr>
                    <w:t>交符合环保要求的单位</w:t>
                  </w:r>
                  <w:r>
                    <w:rPr>
                      <w:rFonts w:hint="eastAsia" w:cs="Times New Roman"/>
                      <w:color w:val="000000"/>
                      <w:sz w:val="21"/>
                      <w:szCs w:val="21"/>
                      <w:lang w:eastAsia="zh-CN"/>
                    </w:rPr>
                    <w:t>（</w:t>
                  </w:r>
                  <w:r>
                    <w:rPr>
                      <w:rFonts w:hint="eastAsia" w:cs="Times New Roman"/>
                      <w:color w:val="000000"/>
                      <w:sz w:val="21"/>
                      <w:szCs w:val="21"/>
                      <w:lang w:val="en-US" w:eastAsia="zh-CN"/>
                    </w:rPr>
                    <w:t>当地环卫部门</w:t>
                  </w:r>
                  <w:r>
                    <w:rPr>
                      <w:rFonts w:hint="eastAsia" w:cs="Times New Roman"/>
                      <w:color w:val="000000"/>
                      <w:sz w:val="21"/>
                      <w:szCs w:val="21"/>
                      <w:lang w:eastAsia="zh-CN"/>
                    </w:rPr>
                    <w:t>）</w:t>
                  </w:r>
                  <w:r>
                    <w:rPr>
                      <w:rFonts w:hint="eastAsia" w:ascii="Times New Roman" w:hAnsi="Times New Roman" w:eastAsia="宋体" w:cs="Times New Roman"/>
                      <w:color w:val="000000"/>
                      <w:sz w:val="21"/>
                      <w:szCs w:val="21"/>
                      <w:lang w:eastAsia="zh-CN"/>
                    </w:rPr>
                    <w:t>处理</w:t>
                  </w:r>
                  <w:r>
                    <w:rPr>
                      <w:rFonts w:hint="default" w:ascii="Times New Roman" w:hAnsi="Times New Roman" w:eastAsia="宋体" w:cs="Times New Roman"/>
                      <w:color w:val="000000"/>
                      <w:sz w:val="21"/>
                      <w:szCs w:val="21"/>
                    </w:rPr>
                    <w:t>；</w:t>
                  </w:r>
                  <w:r>
                    <w:rPr>
                      <w:rFonts w:hint="eastAsia" w:cs="Times New Roman"/>
                      <w:color w:val="000000"/>
                      <w:sz w:val="21"/>
                      <w:szCs w:val="21"/>
                      <w:lang w:val="en-US" w:eastAsia="zh-CN"/>
                    </w:rPr>
                    <w:t>清洗废水沉淀物经板框压滤机处理后，定期交由当地环卫部门清运。项目生产过程中产生的危险废物</w:t>
                  </w:r>
                  <w:r>
                    <w:rPr>
                      <w:rFonts w:hint="default" w:ascii="Times New Roman" w:hAnsi="Times New Roman" w:eastAsia="宋体" w:cs="Times New Roman"/>
                      <w:color w:val="000000"/>
                      <w:sz w:val="21"/>
                      <w:szCs w:val="21"/>
                    </w:rPr>
                    <w:t>交由有资质单位处置；</w:t>
                  </w:r>
                  <w:r>
                    <w:rPr>
                      <w:rFonts w:hint="eastAsia" w:cs="Times New Roman"/>
                      <w:color w:val="000000"/>
                      <w:sz w:val="21"/>
                      <w:szCs w:val="21"/>
                      <w:lang w:val="en-US" w:eastAsia="zh-CN"/>
                    </w:rPr>
                    <w:t>一般固体废物收集后，交由</w:t>
                  </w:r>
                  <w:r>
                    <w:rPr>
                      <w:rFonts w:hint="default" w:ascii="Times New Roman" w:hAnsi="Times New Roman" w:eastAsia="宋体" w:cs="Times New Roman"/>
                      <w:color w:val="000000"/>
                      <w:sz w:val="21"/>
                      <w:szCs w:val="21"/>
                    </w:rPr>
                    <w:t>当地环卫部门集中处置</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不存在露天焚烧</w:t>
                  </w:r>
                </w:p>
              </w:tc>
              <w:tc>
                <w:tcPr>
                  <w:tcW w:w="575"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2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w:t>
                  </w:r>
                </w:p>
              </w:tc>
              <w:tc>
                <w:tcPr>
                  <w:tcW w:w="158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lang w:val="en-US" w:eastAsia="zh-CN"/>
                    </w:rPr>
                  </w:pPr>
                </w:p>
              </w:tc>
              <w:tc>
                <w:tcPr>
                  <w:tcW w:w="575"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jc w:val="center"/>
              </w:trPr>
              <w:tc>
                <w:tcPr>
                  <w:tcW w:w="2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进口废塑料加工利用企业应当符合《固体废物进口管理办法》以及环境保护部关于进口可用作原料的固体废物和废塑料环境保护管理相关规定。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进口废塑料加工利用企业发现属于国家禁止进口类或者不符合环境保护控制标准的进口废塑料，应当立即向口岸海关、检验检疫部门和所在地环保部门报告并配合做好相关处理工作。省级环保、商务主管部门应当组织核查并公布合格的废塑料加工利用企业名单；对核查发现问题的，应当依法处理并将处理结果向社会公布。自2013年1月1日起，未经环保核查合格的企业，不予批准进口废塑料。</w:t>
                  </w:r>
                </w:p>
              </w:tc>
              <w:tc>
                <w:tcPr>
                  <w:tcW w:w="158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本项目不使用进口废塑料。</w:t>
                  </w:r>
                </w:p>
              </w:tc>
              <w:tc>
                <w:tcPr>
                  <w:tcW w:w="575"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3"/>
              <w:rPr>
                <w:rFonts w:hint="default" w:ascii="Times New Roman" w:hAnsi="Times New Roman" w:eastAsia="宋体" w:cs="Times New Roman"/>
                <w:b/>
                <w:kern w:val="0"/>
                <w:sz w:val="24"/>
                <w:szCs w:val="22"/>
                <w:highlight w:val="none"/>
              </w:rPr>
            </w:pPr>
            <w:r>
              <w:rPr>
                <w:rFonts w:hint="default" w:ascii="Times New Roman" w:hAnsi="Times New Roman" w:eastAsia="微软雅黑" w:cs="Times New Roman"/>
                <w:b/>
                <w:sz w:val="24"/>
                <w:szCs w:val="28"/>
                <w:lang w:val="en-US" w:eastAsia="zh-CN" w:bidi="ar"/>
              </w:rPr>
              <w:t>③</w:t>
            </w:r>
            <w:r>
              <w:rPr>
                <w:rFonts w:hint="default" w:ascii="Times New Roman" w:hAnsi="Times New Roman" w:eastAsia="宋体" w:cs="Times New Roman"/>
                <w:b/>
                <w:kern w:val="0"/>
                <w:sz w:val="24"/>
                <w:szCs w:val="22"/>
                <w:highlight w:val="none"/>
              </w:rPr>
              <w:t>与《废塑料</w:t>
            </w:r>
            <w:r>
              <w:rPr>
                <w:rFonts w:hint="default" w:ascii="Times New Roman" w:hAnsi="Times New Roman" w:eastAsia="宋体" w:cs="Times New Roman"/>
                <w:b/>
                <w:kern w:val="0"/>
                <w:sz w:val="24"/>
                <w:szCs w:val="22"/>
                <w:highlight w:val="none"/>
                <w:lang w:eastAsia="zh-CN"/>
              </w:rPr>
              <w:t>污染控制技术规范</w:t>
            </w:r>
            <w:r>
              <w:rPr>
                <w:rFonts w:hint="default" w:ascii="Times New Roman" w:hAnsi="Times New Roman" w:eastAsia="宋体" w:cs="Times New Roman"/>
                <w:b/>
                <w:kern w:val="0"/>
                <w:sz w:val="24"/>
                <w:szCs w:val="22"/>
                <w:highlight w:val="none"/>
              </w:rPr>
              <w:t>》</w:t>
            </w:r>
            <w:r>
              <w:rPr>
                <w:rFonts w:hint="default" w:ascii="Times New Roman" w:hAnsi="Times New Roman" w:eastAsia="宋体" w:cs="Times New Roman"/>
                <w:b/>
                <w:kern w:val="0"/>
                <w:sz w:val="24"/>
                <w:szCs w:val="22"/>
                <w:highlight w:val="none"/>
                <w:lang w:eastAsia="zh-CN"/>
              </w:rPr>
              <w:t>（</w:t>
            </w:r>
            <w:r>
              <w:rPr>
                <w:rFonts w:hint="default" w:ascii="Times New Roman" w:hAnsi="Times New Roman" w:eastAsia="宋体" w:cs="Times New Roman"/>
                <w:b/>
                <w:kern w:val="0"/>
                <w:sz w:val="24"/>
                <w:szCs w:val="22"/>
                <w:highlight w:val="none"/>
                <w:lang w:val="en-US" w:eastAsia="zh-CN"/>
              </w:rPr>
              <w:t>HJ364-2022</w:t>
            </w:r>
            <w:r>
              <w:rPr>
                <w:rFonts w:hint="default" w:ascii="Times New Roman" w:hAnsi="Times New Roman" w:eastAsia="宋体" w:cs="Times New Roman"/>
                <w:b/>
                <w:kern w:val="0"/>
                <w:sz w:val="24"/>
                <w:szCs w:val="22"/>
                <w:highlight w:val="none"/>
                <w:lang w:eastAsia="zh-CN"/>
              </w:rPr>
              <w:t>）</w:t>
            </w:r>
            <w:r>
              <w:rPr>
                <w:rFonts w:hint="default" w:ascii="Times New Roman" w:hAnsi="Times New Roman" w:eastAsia="宋体" w:cs="Times New Roman"/>
                <w:b/>
                <w:kern w:val="0"/>
                <w:sz w:val="24"/>
                <w:szCs w:val="22"/>
                <w:highlight w:val="none"/>
              </w:rPr>
              <w:t>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项目与《废塑料污染控制技术规范》（HJ364-2022）（</w:t>
            </w:r>
            <w:r>
              <w:rPr>
                <w:rFonts w:hint="default" w:ascii="Times New Roman" w:hAnsi="Times New Roman" w:eastAsia="宋体" w:cs="Times New Roman"/>
                <w:sz w:val="24"/>
                <w:lang w:eastAsia="zh-CN"/>
              </w:rPr>
              <w:t>生态环境部，</w:t>
            </w:r>
            <w:r>
              <w:rPr>
                <w:rFonts w:hint="default" w:ascii="Times New Roman" w:hAnsi="Times New Roman" w:eastAsia="宋体" w:cs="Times New Roman"/>
                <w:sz w:val="24"/>
                <w:lang w:val="en-US" w:eastAsia="zh-CN"/>
              </w:rPr>
              <w:t>2022年5月31日</w:t>
            </w:r>
            <w:r>
              <w:rPr>
                <w:rFonts w:hint="default" w:ascii="Times New Roman" w:hAnsi="Times New Roman" w:eastAsia="宋体" w:cs="Times New Roman"/>
                <w:sz w:val="24"/>
              </w:rPr>
              <w:t>）相关要求的符合性分析具体见表</w:t>
            </w:r>
            <w:r>
              <w:rPr>
                <w:rFonts w:hint="eastAsia" w:cs="Times New Roman"/>
                <w:sz w:val="24"/>
                <w:lang w:val="en-US" w:eastAsia="zh-CN"/>
              </w:rPr>
              <w:t>1-12</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val="0"/>
                <w:color w:val="auto"/>
                <w:sz w:val="24"/>
                <w:szCs w:val="24"/>
                <w:u w:val="none"/>
                <w:lang w:val="en-US" w:eastAsia="zh-CN"/>
              </w:rPr>
            </w:pPr>
            <w:r>
              <w:rPr>
                <w:rFonts w:hint="default" w:ascii="Times New Roman" w:hAnsi="Times New Roman" w:eastAsia="宋体" w:cs="Times New Roman"/>
                <w:b/>
                <w:bCs w:val="0"/>
                <w:color w:val="auto"/>
                <w:sz w:val="24"/>
                <w:szCs w:val="24"/>
                <w:u w:val="none"/>
              </w:rPr>
              <w:t>表</w:t>
            </w:r>
            <w:r>
              <w:rPr>
                <w:rFonts w:hint="eastAsia" w:ascii="Times New Roman" w:hAnsi="Times New Roman" w:eastAsia="宋体" w:cs="Times New Roman"/>
                <w:b/>
                <w:bCs w:val="0"/>
                <w:color w:val="auto"/>
                <w:sz w:val="24"/>
                <w:szCs w:val="24"/>
                <w:u w:val="none"/>
                <w:lang w:val="en-US" w:eastAsia="zh-CN"/>
              </w:rPr>
              <w:t>1-1</w:t>
            </w:r>
            <w:r>
              <w:rPr>
                <w:rFonts w:hint="eastAsia" w:cs="Times New Roman"/>
                <w:b/>
                <w:bCs w:val="0"/>
                <w:color w:val="auto"/>
                <w:sz w:val="24"/>
                <w:szCs w:val="24"/>
                <w:u w:val="none"/>
                <w:lang w:val="en-US" w:eastAsia="zh-CN"/>
              </w:rPr>
              <w:t>2</w:t>
            </w:r>
            <w:r>
              <w:rPr>
                <w:rFonts w:hint="default" w:ascii="Times New Roman" w:hAnsi="Times New Roman" w:eastAsia="宋体" w:cs="Times New Roman"/>
                <w:b/>
                <w:bCs w:val="0"/>
                <w:color w:val="auto"/>
                <w:sz w:val="24"/>
                <w:szCs w:val="24"/>
                <w:u w:val="none"/>
                <w:lang w:val="en-US" w:eastAsia="zh-CN"/>
              </w:rPr>
              <w:t>本项目与</w:t>
            </w:r>
            <w:r>
              <w:rPr>
                <w:rFonts w:hint="default" w:ascii="Times New Roman" w:hAnsi="Times New Roman" w:eastAsia="宋体" w:cs="Times New Roman"/>
                <w:b/>
                <w:kern w:val="0"/>
                <w:sz w:val="24"/>
                <w:szCs w:val="22"/>
                <w:highlight w:val="none"/>
              </w:rPr>
              <w:t>《废塑料</w:t>
            </w:r>
            <w:r>
              <w:rPr>
                <w:rFonts w:hint="default" w:ascii="Times New Roman" w:hAnsi="Times New Roman" w:eastAsia="宋体" w:cs="Times New Roman"/>
                <w:b/>
                <w:kern w:val="0"/>
                <w:sz w:val="24"/>
                <w:szCs w:val="22"/>
                <w:highlight w:val="none"/>
                <w:lang w:eastAsia="zh-CN"/>
              </w:rPr>
              <w:t>污染控制技术规范</w:t>
            </w:r>
            <w:r>
              <w:rPr>
                <w:rFonts w:hint="default" w:ascii="Times New Roman" w:hAnsi="Times New Roman" w:eastAsia="宋体" w:cs="Times New Roman"/>
                <w:b/>
                <w:kern w:val="0"/>
                <w:sz w:val="24"/>
                <w:szCs w:val="22"/>
                <w:highlight w:val="none"/>
              </w:rPr>
              <w:t>》</w:t>
            </w:r>
            <w:r>
              <w:rPr>
                <w:rFonts w:hint="default" w:ascii="Times New Roman" w:hAnsi="Times New Roman" w:eastAsia="宋体" w:cs="Times New Roman"/>
                <w:b/>
                <w:bCs w:val="0"/>
                <w:color w:val="auto"/>
                <w:sz w:val="24"/>
                <w:szCs w:val="24"/>
                <w:u w:val="none"/>
                <w:lang w:val="en-US" w:eastAsia="zh-CN"/>
              </w:rPr>
              <w:t>（HJ364-2022）的符合性一览表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0"/>
              <w:gridCol w:w="4548"/>
              <w:gridCol w:w="1982"/>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416" w:type="pct"/>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项目</w:t>
                  </w:r>
                </w:p>
              </w:tc>
              <w:tc>
                <w:tcPr>
                  <w:tcW w:w="2868" w:type="pct"/>
                  <w:noWrap w:val="0"/>
                  <w:vAlign w:val="center"/>
                </w:tcPr>
                <w:p>
                  <w:pPr>
                    <w:jc w:val="center"/>
                    <w:rPr>
                      <w:rFonts w:hint="default" w:ascii="Times New Roman" w:hAnsi="Times New Roman" w:cs="Times New Roman"/>
                      <w:b/>
                      <w:bCs/>
                      <w:color w:val="000000"/>
                      <w:szCs w:val="21"/>
                    </w:rPr>
                  </w:pPr>
                  <w:r>
                    <w:rPr>
                      <w:rFonts w:hint="eastAsia" w:ascii="Times New Roman" w:hAnsi="Times New Roman" w:cs="Times New Roman"/>
                      <w:b/>
                      <w:bCs/>
                      <w:color w:val="000000"/>
                      <w:szCs w:val="21"/>
                      <w:lang w:val="en-US" w:eastAsia="zh-CN"/>
                    </w:rPr>
                    <w:t>规范</w:t>
                  </w:r>
                  <w:r>
                    <w:rPr>
                      <w:rFonts w:hint="default" w:ascii="Times New Roman" w:hAnsi="Times New Roman" w:cs="Times New Roman"/>
                      <w:b/>
                      <w:bCs/>
                      <w:color w:val="000000"/>
                      <w:szCs w:val="21"/>
                    </w:rPr>
                    <w:t>要求</w:t>
                  </w:r>
                </w:p>
              </w:tc>
              <w:tc>
                <w:tcPr>
                  <w:tcW w:w="1250" w:type="pct"/>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本项目情况</w:t>
                  </w:r>
                </w:p>
              </w:tc>
              <w:tc>
                <w:tcPr>
                  <w:tcW w:w="464" w:type="pct"/>
                  <w:tcBorders>
                    <w:right w:val="single" w:color="auto" w:sz="4" w:space="0"/>
                  </w:tcBorders>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6" w:type="pct"/>
                  <w:tcBorders>
                    <w:bottom w:val="single" w:color="000000" w:sz="8" w:space="0"/>
                  </w:tcBorders>
                  <w:noWrap w:val="0"/>
                  <w:vAlign w:val="center"/>
                </w:tcPr>
                <w:p>
                  <w:pP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总体要求</w:t>
                  </w:r>
                </w:p>
              </w:tc>
              <w:tc>
                <w:tcPr>
                  <w:tcW w:w="2868" w:type="pct"/>
                  <w:noWrap w:val="0"/>
                  <w:vAlign w:val="center"/>
                </w:tcPr>
                <w:p>
                  <w:pPr>
                    <w:rPr>
                      <w:rFonts w:hint="default"/>
                      <w:lang w:val="en-US" w:eastAsia="zh-CN"/>
                    </w:rPr>
                  </w:pPr>
                  <w:r>
                    <w:rPr>
                      <w:rFonts w:hint="default"/>
                      <w:lang w:val="en-US" w:eastAsia="zh-CN"/>
                    </w:rPr>
                    <w:t>4.1应加强塑料制品的绿色设计，以便于重复使用和利用处置。</w:t>
                  </w:r>
                </w:p>
                <w:p>
                  <w:pPr>
                    <w:rPr>
                      <w:rFonts w:hint="default"/>
                      <w:lang w:val="en-US" w:eastAsia="zh-CN"/>
                    </w:rPr>
                  </w:pPr>
                  <w:r>
                    <w:rPr>
                      <w:rFonts w:hint="default"/>
                      <w:lang w:val="en-US" w:eastAsia="zh-CN"/>
                    </w:rPr>
                    <w:t>4.2宜以提高资源利用率和减少环境影响为原则，按照重复使用、再生利用和处置的顺序，选择合理可行的废塑料利用处置技术路线。</w:t>
                  </w:r>
                </w:p>
                <w:p>
                  <w:pPr>
                    <w:rPr>
                      <w:rFonts w:hint="default"/>
                      <w:lang w:val="en-US" w:eastAsia="zh-CN"/>
                    </w:rPr>
                  </w:pPr>
                  <w:r>
                    <w:rPr>
                      <w:rFonts w:hint="default"/>
                      <w:lang w:val="en-US" w:eastAsia="zh-CN"/>
                    </w:rPr>
                    <w:t>4.3涉及废塑料的产生、收集、运输、贮存、利用、处置的单位和其他生产经营者，应根据产生的污染物采取防扬散、防流失、防渗漏或者其他防止污染环境的措施，并执行国家和地方相关排放标准。</w:t>
                  </w:r>
                </w:p>
                <w:p>
                  <w:pPr>
                    <w:rPr>
                      <w:rFonts w:hint="default"/>
                      <w:lang w:val="en-US" w:eastAsia="zh-CN"/>
                    </w:rPr>
                  </w:pPr>
                  <w:r>
                    <w:rPr>
                      <w:rFonts w:hint="default"/>
                      <w:lang w:val="en-US" w:eastAsia="zh-CN"/>
                    </w:rPr>
                    <w:t>4.4废塑料的产生、收集、贮存、预处理和再生利用企业内应单独划分贮存场地，不同种类的废塑料宜分开贮存，贮存场地应具有防雨、防扬散、防渗漏等措施，并按GB15562.2的要求设置标识。</w:t>
                  </w:r>
                </w:p>
                <w:p>
                  <w:pPr>
                    <w:rPr>
                      <w:rFonts w:hint="default"/>
                      <w:lang w:val="en-US" w:eastAsia="zh-CN"/>
                    </w:rPr>
                  </w:pPr>
                  <w:r>
                    <w:rPr>
                      <w:rFonts w:hint="default"/>
                      <w:lang w:val="en-US" w:eastAsia="zh-CN"/>
                    </w:rPr>
                    <w:t>4.5含卤素废塑料的预处理与再生利用，宜与其他废塑料分开进行。</w:t>
                  </w:r>
                </w:p>
                <w:p>
                  <w:pPr>
                    <w:rPr>
                      <w:rFonts w:hint="default"/>
                      <w:lang w:val="en-US" w:eastAsia="zh-CN"/>
                    </w:rPr>
                  </w:pPr>
                  <w:r>
                    <w:rPr>
                      <w:rFonts w:hint="default"/>
                      <w:lang w:val="en-US" w:eastAsia="zh-CN"/>
                    </w:rPr>
                    <w:t>4.6废塑料的收集、再生利用和处置企业，应建立废塑料管理台账，内容包括废塑料的来源、种类、数量、去向等，相关台账应保存至少3年。</w:t>
                  </w:r>
                </w:p>
                <w:p>
                  <w:pPr>
                    <w:rPr>
                      <w:rFonts w:hint="default"/>
                      <w:lang w:val="en-US" w:eastAsia="zh-CN"/>
                    </w:rPr>
                  </w:pPr>
                  <w:r>
                    <w:rPr>
                      <w:rFonts w:hint="default"/>
                      <w:lang w:val="en-US" w:eastAsia="zh-CN"/>
                    </w:rPr>
                    <w:t>4.7属于危险废物的废塑料，按照危险废物进行管理和利用处置。</w:t>
                  </w:r>
                </w:p>
                <w:p>
                  <w:pPr>
                    <w:rPr>
                      <w:rFonts w:hint="default"/>
                    </w:rPr>
                  </w:pPr>
                  <w:r>
                    <w:rPr>
                      <w:rFonts w:hint="default"/>
                    </w:rPr>
                    <w:t>4.8废塑料的产生、收集、再生利用和处置过程除应满足生态环境保护相关要求外，还应符合国家安全生产、职业健康、交通运输、消防等法规、标准的相关要求。</w:t>
                  </w:r>
                </w:p>
              </w:tc>
              <w:tc>
                <w:tcPr>
                  <w:tcW w:w="1250" w:type="pct"/>
                  <w:noWrap w:val="0"/>
                  <w:vAlign w:val="center"/>
                </w:tcPr>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b w:val="0"/>
                      <w:bCs w:val="0"/>
                      <w:color w:val="000000"/>
                      <w:szCs w:val="21"/>
                      <w:u w:val="none"/>
                      <w:lang w:eastAsia="zh-CN"/>
                    </w:rPr>
                    <w:t>本项目以外购</w:t>
                  </w:r>
                  <w:r>
                    <w:rPr>
                      <w:rFonts w:hint="eastAsia" w:cs="Times New Roman"/>
                      <w:b w:val="0"/>
                      <w:bCs w:val="0"/>
                      <w:color w:val="000000"/>
                      <w:szCs w:val="21"/>
                      <w:u w:val="none"/>
                      <w:lang w:val="en-US" w:eastAsia="zh-CN"/>
                    </w:rPr>
                    <w:t>废编织袋和废泡沫</w:t>
                  </w:r>
                  <w:r>
                    <w:rPr>
                      <w:rFonts w:hint="default" w:ascii="Times New Roman" w:hAnsi="Times New Roman" w:eastAsia="宋体" w:cs="Times New Roman"/>
                      <w:b w:val="0"/>
                      <w:bCs w:val="0"/>
                      <w:color w:val="000000"/>
                      <w:szCs w:val="21"/>
                      <w:u w:val="none"/>
                      <w:lang w:eastAsia="zh-CN"/>
                    </w:rPr>
                    <w:t>为原料，不含卤素，不包含危险废物</w:t>
                  </w:r>
                  <w:r>
                    <w:rPr>
                      <w:rFonts w:hint="eastAsia" w:ascii="Times New Roman" w:hAnsi="Times New Roman" w:eastAsia="宋体" w:cs="Times New Roman"/>
                      <w:b w:val="0"/>
                      <w:bCs w:val="0"/>
                      <w:color w:val="000000"/>
                      <w:szCs w:val="21"/>
                      <w:u w:val="none"/>
                      <w:lang w:eastAsia="zh-CN"/>
                    </w:rPr>
                    <w:t>；原料、产品均按种类划分贮存场地，按要求贮存；</w:t>
                  </w:r>
                  <w:r>
                    <w:rPr>
                      <w:rFonts w:hint="eastAsia" w:ascii="Times New Roman" w:hAnsi="Times New Roman" w:eastAsia="宋体" w:cs="Times New Roman"/>
                      <w:b w:val="0"/>
                      <w:bCs w:val="0"/>
                      <w:color w:val="000000"/>
                      <w:szCs w:val="21"/>
                      <w:u w:val="none"/>
                      <w:lang w:val="en-US" w:eastAsia="zh-CN"/>
                    </w:rPr>
                    <w:t>严格按要求记录建立废塑料管理台账，相关台账应保存至少3年；生产过程中按要求采取环保治理措施，其他均按要求建设</w:t>
                  </w:r>
                </w:p>
              </w:tc>
              <w:tc>
                <w:tcPr>
                  <w:tcW w:w="464" w:type="pct"/>
                  <w:tcBorders>
                    <w:right w:val="single" w:color="auto" w:sz="4" w:space="0"/>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416" w:type="pct"/>
                  <w:tcBorders>
                    <w:top w:val="single" w:color="000000" w:sz="8" w:space="0"/>
                    <w:bottom w:val="single" w:color="000000" w:sz="8"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产生环节污染控制要求</w:t>
                  </w: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工业源废塑料污染控制要求</w:t>
                  </w:r>
                  <w:r>
                    <w:rPr>
                      <w:rFonts w:hint="eastAsia"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废塑料产生企业应根据材质特性以及再生利用和处置方式，对下脚料、边角料、残次品、废弃塑料制品、废弃塑料包装物等进行分类收集、贮存，并建立废塑料管理台账，内容包括废塑料的种类、数量、去向等，相关台账应保存至少3年。</w:t>
                  </w:r>
                </w:p>
              </w:tc>
              <w:tc>
                <w:tcPr>
                  <w:tcW w:w="1250" w:type="pct"/>
                  <w:noWrap w:val="0"/>
                  <w:vAlign w:val="center"/>
                </w:tcPr>
                <w:p>
                  <w:pPr>
                    <w:rPr>
                      <w:rFonts w:hint="default" w:ascii="Times New Roman" w:hAnsi="Times New Roman" w:cs="Times New Roman"/>
                      <w:color w:val="000000"/>
                      <w:szCs w:val="21"/>
                      <w:lang w:val="en-US" w:eastAsia="zh-CN"/>
                    </w:rPr>
                  </w:pPr>
                  <w:r>
                    <w:rPr>
                      <w:rFonts w:hint="default" w:ascii="Times New Roman" w:hAnsi="Times New Roman" w:eastAsia="宋体" w:cs="Times New Roman"/>
                      <w:b w:val="0"/>
                      <w:bCs w:val="0"/>
                      <w:color w:val="000000"/>
                      <w:szCs w:val="21"/>
                      <w:u w:val="none"/>
                      <w:lang w:eastAsia="zh-CN"/>
                    </w:rPr>
                    <w:t>本项目以外购</w:t>
                  </w:r>
                  <w:r>
                    <w:rPr>
                      <w:rFonts w:hint="eastAsia" w:cs="Times New Roman"/>
                      <w:b w:val="0"/>
                      <w:bCs w:val="0"/>
                      <w:color w:val="000000"/>
                      <w:szCs w:val="21"/>
                      <w:u w:val="none"/>
                      <w:lang w:val="en-US" w:eastAsia="zh-CN"/>
                    </w:rPr>
                    <w:t>废编织袋和废泡沫</w:t>
                  </w:r>
                  <w:r>
                    <w:rPr>
                      <w:rFonts w:hint="default" w:ascii="Times New Roman" w:hAnsi="Times New Roman" w:eastAsia="宋体" w:cs="Times New Roman"/>
                      <w:b w:val="0"/>
                      <w:bCs w:val="0"/>
                      <w:color w:val="000000"/>
                      <w:szCs w:val="21"/>
                      <w:u w:val="none"/>
                      <w:lang w:eastAsia="zh-CN"/>
                    </w:rPr>
                    <w:t>为原料，</w:t>
                  </w:r>
                  <w:r>
                    <w:rPr>
                      <w:rFonts w:hint="default" w:ascii="Times New Roman" w:hAnsi="Times New Roman" w:cs="Times New Roman"/>
                      <w:b w:val="0"/>
                      <w:bCs w:val="0"/>
                      <w:color w:val="000000"/>
                      <w:szCs w:val="21"/>
                      <w:u w:val="none"/>
                      <w:lang w:val="en-US" w:eastAsia="zh-CN"/>
                    </w:rPr>
                    <w:t>原料、产品均按种类划分贮存场地，按要求贮存；</w:t>
                  </w:r>
                  <w:r>
                    <w:rPr>
                      <w:rFonts w:hint="eastAsia" w:ascii="Times New Roman" w:hAnsi="Times New Roman" w:cs="Times New Roman"/>
                      <w:b w:val="0"/>
                      <w:bCs w:val="0"/>
                      <w:color w:val="000000"/>
                      <w:szCs w:val="21"/>
                      <w:u w:val="none"/>
                      <w:lang w:val="en-US" w:eastAsia="zh-CN"/>
                    </w:rPr>
                    <w:t>分类收集，</w:t>
                  </w:r>
                  <w:r>
                    <w:rPr>
                      <w:rFonts w:hint="default" w:ascii="Times New Roman" w:hAnsi="Times New Roman" w:cs="Times New Roman"/>
                      <w:b w:val="0"/>
                      <w:bCs w:val="0"/>
                      <w:color w:val="000000"/>
                      <w:szCs w:val="21"/>
                      <w:u w:val="none"/>
                      <w:lang w:val="en-US" w:eastAsia="zh-CN"/>
                    </w:rPr>
                    <w:t>严格按要求记录建立废塑料管理台账，相关台账应保存至少3年</w:t>
                  </w:r>
                </w:p>
              </w:tc>
              <w:tc>
                <w:tcPr>
                  <w:tcW w:w="464" w:type="pct"/>
                  <w:tcBorders>
                    <w:right w:val="single" w:color="auto" w:sz="4" w:space="0"/>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7" w:hRule="atLeast"/>
              </w:trPr>
              <w:tc>
                <w:tcPr>
                  <w:tcW w:w="416" w:type="pct"/>
                  <w:tcBorders>
                    <w:top w:val="single" w:color="000000" w:sz="8"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收集和运输污染控制要求</w:t>
                  </w:r>
                </w:p>
              </w:tc>
              <w:tc>
                <w:tcPr>
                  <w:tcW w:w="2868" w:type="pct"/>
                  <w:noWrap w:val="0"/>
                  <w:vAlign w:val="center"/>
                </w:tcPr>
                <w:p>
                  <w:pPr>
                    <w:rPr>
                      <w:rFonts w:hint="default"/>
                    </w:rPr>
                  </w:pPr>
                  <w:r>
                    <w:rPr>
                      <w:rFonts w:hint="default"/>
                    </w:rPr>
                    <w:t>6.1收集要求</w:t>
                  </w:r>
                </w:p>
                <w:p>
                  <w:pPr>
                    <w:rPr>
                      <w:rFonts w:hint="default"/>
                    </w:rPr>
                  </w:pPr>
                  <w:r>
                    <w:rPr>
                      <w:rFonts w:hint="default"/>
                    </w:rPr>
                    <w:t>6.1.1废塑料收集企业应参照GB/T37547，根据废塑料来源、特性及使用过程对废塑料进行分类收集。</w:t>
                  </w:r>
                </w:p>
                <w:p>
                  <w:pPr>
                    <w:rPr>
                      <w:rFonts w:hint="default"/>
                    </w:rPr>
                  </w:pPr>
                  <w:r>
                    <w:rPr>
                      <w:rFonts w:hint="default"/>
                    </w:rPr>
                    <w:t>6.1.2废塑料收集过程中应避免扬散，不得随意倾倒残液及清洗。</w:t>
                  </w:r>
                </w:p>
                <w:p>
                  <w:pPr>
                    <w:rPr>
                      <w:rFonts w:hint="default"/>
                    </w:rPr>
                  </w:pPr>
                  <w:r>
                    <w:rPr>
                      <w:rFonts w:hint="default"/>
                    </w:rPr>
                    <w:t>6.2运输要求</w:t>
                  </w:r>
                </w:p>
                <w:p>
                  <w:pPr>
                    <w:rPr>
                      <w:rFonts w:hint="default"/>
                    </w:rPr>
                  </w:pPr>
                  <w:r>
                    <w:rPr>
                      <w:rFonts w:hint="default"/>
                    </w:rPr>
                    <w:t>废塑料及其预处理产物的装卸及运输过程中，应采取必要的防扬散、防渗漏措施，应保持运输车辆的洁净，避免二次污染。</w:t>
                  </w:r>
                </w:p>
              </w:tc>
              <w:tc>
                <w:tcPr>
                  <w:tcW w:w="1250" w:type="pct"/>
                  <w:noWrap w:val="0"/>
                  <w:vAlign w:val="center"/>
                </w:tcPr>
                <w:p>
                  <w:pPr>
                    <w:rPr>
                      <w:rFonts w:hint="default" w:ascii="Times New Roman" w:hAnsi="Times New Roman" w:cs="Times New Roman"/>
                      <w:color w:val="000000"/>
                      <w:szCs w:val="21"/>
                      <w:lang w:val="en-US" w:eastAsia="zh-CN"/>
                    </w:rPr>
                  </w:pPr>
                  <w:r>
                    <w:rPr>
                      <w:rFonts w:hint="default" w:ascii="Times New Roman" w:hAnsi="Times New Roman" w:eastAsia="宋体" w:cs="Times New Roman"/>
                      <w:b w:val="0"/>
                      <w:bCs w:val="0"/>
                      <w:color w:val="000000"/>
                      <w:szCs w:val="21"/>
                      <w:u w:val="none"/>
                      <w:lang w:eastAsia="zh-CN"/>
                    </w:rPr>
                    <w:t>本项目以外购</w:t>
                  </w:r>
                  <w:r>
                    <w:rPr>
                      <w:rFonts w:hint="eastAsia" w:cs="Times New Roman"/>
                      <w:b w:val="0"/>
                      <w:bCs w:val="0"/>
                      <w:color w:val="000000"/>
                      <w:szCs w:val="21"/>
                      <w:u w:val="none"/>
                      <w:lang w:val="en-US" w:eastAsia="zh-CN"/>
                    </w:rPr>
                    <w:t>废编织袋和废泡沫</w:t>
                  </w:r>
                  <w:r>
                    <w:rPr>
                      <w:rFonts w:hint="default" w:ascii="Times New Roman" w:hAnsi="Times New Roman" w:eastAsia="宋体" w:cs="Times New Roman"/>
                      <w:b w:val="0"/>
                      <w:bCs w:val="0"/>
                      <w:color w:val="000000"/>
                      <w:szCs w:val="21"/>
                      <w:u w:val="none"/>
                      <w:lang w:eastAsia="zh-CN"/>
                    </w:rPr>
                    <w:t>为原料，</w:t>
                  </w:r>
                  <w:r>
                    <w:rPr>
                      <w:rFonts w:hint="eastAsia" w:ascii="Times New Roman" w:hAnsi="Times New Roman" w:cs="Times New Roman"/>
                      <w:color w:val="000000"/>
                      <w:szCs w:val="21"/>
                      <w:lang w:val="en-US" w:eastAsia="zh-CN"/>
                    </w:rPr>
                    <w:t>不自行收集废塑料；外购的原料及项目产品运输过程中做好</w:t>
                  </w:r>
                  <w:r>
                    <w:rPr>
                      <w:rFonts w:hint="default" w:ascii="Times New Roman" w:hAnsi="Times New Roman" w:cs="Times New Roman"/>
                      <w:color w:val="000000"/>
                      <w:szCs w:val="21"/>
                      <w:lang w:val="en-US" w:eastAsia="zh-CN"/>
                    </w:rPr>
                    <w:t>防扬散、防渗漏措施，应保持运输车辆的洁净，避免二次污染</w:t>
                  </w:r>
                </w:p>
              </w:tc>
              <w:tc>
                <w:tcPr>
                  <w:tcW w:w="464" w:type="pct"/>
                  <w:tcBorders>
                    <w:right w:val="single" w:color="auto" w:sz="4" w:space="0"/>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0" w:hRule="atLeast"/>
              </w:trPr>
              <w:tc>
                <w:tcPr>
                  <w:tcW w:w="416" w:type="pct"/>
                  <w:tcBorders>
                    <w:top w:val="single" w:color="000000" w:sz="8"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预处理污染控制要求</w:t>
                  </w:r>
                </w:p>
              </w:tc>
              <w:tc>
                <w:tcPr>
                  <w:tcW w:w="2868" w:type="pct"/>
                  <w:noWrap w:val="0"/>
                  <w:vAlign w:val="center"/>
                </w:tcPr>
                <w:p>
                  <w:pPr>
                    <w:rPr>
                      <w:rFonts w:hint="default"/>
                    </w:rPr>
                  </w:pPr>
                  <w:r>
                    <w:rPr>
                      <w:rFonts w:hint="default"/>
                    </w:rPr>
                    <w:t>7.2分选要求</w:t>
                  </w:r>
                </w:p>
                <w:p>
                  <w:pPr>
                    <w:rPr>
                      <w:rFonts w:hint="default"/>
                    </w:rPr>
                  </w:pPr>
                  <w:r>
                    <w:rPr>
                      <w:rFonts w:hint="default"/>
                    </w:rPr>
                    <w:t>7.2.1应采用预分选工艺，将废塑料与其他废物分开，提高下游自动化分选的效率。</w:t>
                  </w:r>
                </w:p>
                <w:p>
                  <w:pPr>
                    <w:rPr>
                      <w:rFonts w:hint="default"/>
                    </w:rPr>
                  </w:pPr>
                  <w:r>
                    <w:rPr>
                      <w:rFonts w:hint="default"/>
                    </w:rPr>
                    <w:t>7.2.2废塑料分选应遵循稳定、二次污染可控的原则，根据废塑料特性，宜采用气流分选、静电分选、X射线荧光分选、近红外分选、熔融过滤分选、低温破碎分选及其他新型的自动化分选等单一或集成化分选技术。</w:t>
                  </w:r>
                </w:p>
                <w:p>
                  <w:pPr>
                    <w:rPr>
                      <w:rFonts w:hint="default"/>
                    </w:rPr>
                  </w:pPr>
                  <w:r>
                    <w:rPr>
                      <w:rFonts w:hint="default"/>
                    </w:rPr>
                    <w:t>7.3破碎要求</w:t>
                  </w:r>
                </w:p>
                <w:p>
                  <w:pPr>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default"/>
                    </w:rPr>
                  </w:pPr>
                  <w:r>
                    <w:rPr>
                      <w:rFonts w:hint="default"/>
                    </w:rPr>
                    <w:t>废塑料的破碎方法可分为干法破碎和湿法破碎。使用干法破碎时，应配备相应的防尘、防噪声设备。使用湿法破碎时，应有配套的污水收集和处理设施。</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textAlignment w:val="auto"/>
                    <w:rPr>
                      <w:rFonts w:hint="default"/>
                    </w:rPr>
                  </w:pPr>
                  <w:r>
                    <w:rPr>
                      <w:rFonts w:hint="default"/>
                    </w:rPr>
                    <w:t>7.4清洗要求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textAlignment w:val="auto"/>
                    <w:rPr>
                      <w:rFonts w:hint="default"/>
                    </w:rPr>
                  </w:pPr>
                  <w:r>
                    <w:rPr>
                      <w:rFonts w:hint="default"/>
                    </w:rPr>
                    <w:t>7.4.1宜采用节水的自动化清洗技术，宜采用无磷清洗剂或其他绿色清洗剂，不得使用有毒有害的清洗剂。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textAlignment w:val="auto"/>
                    <w:rPr>
                      <w:rFonts w:hint="default"/>
                    </w:rPr>
                  </w:pPr>
                  <w:r>
                    <w:rPr>
                      <w:rFonts w:hint="default"/>
                    </w:rPr>
                    <w:t>7.4.2应根据清洗废水中污染物的种类和浓度，配备相应的废水收集和处理设施，清洗废水处理后宜循环使用。</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textAlignment w:val="auto"/>
                    <w:rPr>
                      <w:rFonts w:hint="default"/>
                    </w:rPr>
                  </w:pPr>
                  <w:r>
                    <w:rPr>
                      <w:rFonts w:hint="default"/>
                    </w:rPr>
                    <w:t>7.5干燥要求</w:t>
                  </w:r>
                </w:p>
                <w:p>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textAlignment w:val="auto"/>
                    <w:rPr>
                      <w:rFonts w:hint="default"/>
                    </w:rPr>
                  </w:pPr>
                  <w:r>
                    <w:rPr>
                      <w:rFonts w:hint="default"/>
                    </w:rPr>
                    <w:t>宜选择闭路循环式干燥设备。干燥环节应配备废气收集和处理设施，防止二次污染。</w:t>
                  </w:r>
                </w:p>
              </w:tc>
              <w:tc>
                <w:tcPr>
                  <w:tcW w:w="1250" w:type="pct"/>
                  <w:noWrap w:val="0"/>
                  <w:vAlign w:val="center"/>
                </w:tcPr>
                <w:p>
                  <w:pP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项目</w:t>
                  </w:r>
                  <w:r>
                    <w:rPr>
                      <w:rFonts w:hint="eastAsia" w:ascii="Times New Roman" w:hAnsi="Times New Roman" w:cs="Times New Roman"/>
                      <w:color w:val="000000"/>
                      <w:szCs w:val="21"/>
                      <w:lang w:val="en-US" w:eastAsia="zh-CN"/>
                    </w:rPr>
                    <w:t>收购的原料为</w:t>
                  </w:r>
                  <w:r>
                    <w:rPr>
                      <w:rFonts w:hint="eastAsia" w:cs="Times New Roman"/>
                      <w:color w:val="000000"/>
                      <w:szCs w:val="21"/>
                      <w:lang w:val="en-US" w:eastAsia="zh-CN"/>
                    </w:rPr>
                    <w:t>废编织袋和废泡沫</w:t>
                  </w:r>
                  <w:r>
                    <w:rPr>
                      <w:rFonts w:hint="eastAsia" w:ascii="Times New Roman" w:hAnsi="Times New Roman" w:cs="Times New Roman"/>
                      <w:color w:val="000000"/>
                      <w:szCs w:val="21"/>
                      <w:lang w:val="en-US" w:eastAsia="zh-CN"/>
                    </w:rPr>
                    <w:t>，在进厂前已进行了简单的分类分拣，</w:t>
                  </w:r>
                  <w:r>
                    <w:rPr>
                      <w:rFonts w:hint="eastAsia" w:cs="Times New Roman"/>
                      <w:color w:val="000000"/>
                      <w:szCs w:val="21"/>
                      <w:lang w:val="en-US" w:eastAsia="zh-CN"/>
                    </w:rPr>
                    <w:t>原料进入</w:t>
                  </w:r>
                  <w:r>
                    <w:rPr>
                      <w:rFonts w:hint="eastAsia" w:ascii="Times New Roman" w:hAnsi="Times New Roman" w:cs="Times New Roman"/>
                      <w:color w:val="000000"/>
                      <w:szCs w:val="21"/>
                      <w:lang w:val="en-US" w:eastAsia="zh-CN"/>
                    </w:rPr>
                    <w:t>厂区</w:t>
                  </w:r>
                  <w:r>
                    <w:rPr>
                      <w:rFonts w:hint="eastAsia" w:cs="Times New Roman"/>
                      <w:color w:val="000000"/>
                      <w:szCs w:val="21"/>
                      <w:lang w:val="en-US" w:eastAsia="zh-CN"/>
                    </w:rPr>
                    <w:t>进行</w:t>
                  </w:r>
                  <w:r>
                    <w:rPr>
                      <w:rFonts w:hint="eastAsia" w:ascii="Times New Roman" w:hAnsi="Times New Roman" w:cs="Times New Roman"/>
                      <w:color w:val="000000"/>
                      <w:szCs w:val="21"/>
                      <w:lang w:val="en-US" w:eastAsia="zh-CN"/>
                    </w:rPr>
                    <w:t>简单的</w:t>
                  </w:r>
                  <w:r>
                    <w:rPr>
                      <w:rFonts w:hint="default" w:ascii="Times New Roman" w:hAnsi="Times New Roman" w:cs="Times New Roman"/>
                      <w:color w:val="000000"/>
                      <w:szCs w:val="21"/>
                      <w:lang w:val="en-US" w:eastAsia="zh-CN"/>
                    </w:rPr>
                    <w:t>人工分拣，挑出不符合本项目生产要求的物料</w:t>
                  </w:r>
                  <w:r>
                    <w:rPr>
                      <w:rFonts w:hint="eastAsia" w:cs="Times New Roman"/>
                      <w:color w:val="000000"/>
                      <w:szCs w:val="21"/>
                      <w:lang w:val="en-US" w:eastAsia="zh-CN"/>
                    </w:rPr>
                    <w:t>等</w:t>
                  </w:r>
                  <w:r>
                    <w:rPr>
                      <w:rFonts w:hint="default" w:ascii="Times New Roman" w:hAnsi="Times New Roman" w:cs="Times New Roman"/>
                      <w:color w:val="000000"/>
                      <w:szCs w:val="21"/>
                      <w:lang w:val="en-US" w:eastAsia="zh-CN"/>
                    </w:rPr>
                    <w:t>，</w:t>
                  </w:r>
                  <w:r>
                    <w:rPr>
                      <w:rFonts w:hint="eastAsia" w:cs="Times New Roman"/>
                      <w:color w:val="000000"/>
                      <w:szCs w:val="21"/>
                      <w:lang w:val="en-US" w:eastAsia="zh-CN"/>
                    </w:rPr>
                    <w:t>项目</w:t>
                  </w:r>
                  <w:r>
                    <w:rPr>
                      <w:rFonts w:hint="default" w:ascii="Times New Roman" w:hAnsi="Times New Roman" w:cs="Times New Roman"/>
                      <w:color w:val="000000"/>
                      <w:szCs w:val="21"/>
                      <w:lang w:val="en-US" w:eastAsia="zh-CN"/>
                    </w:rPr>
                    <w:t>不涉及简易强酸强碱浸泡工艺和简易焚烧工艺等进行废塑料分选</w:t>
                  </w:r>
                  <w:r>
                    <w:rPr>
                      <w:rFonts w:hint="eastAsia" w:ascii="Times New Roman" w:hAnsi="Times New Roman" w:cs="Times New Roman"/>
                      <w:color w:val="000000"/>
                      <w:szCs w:val="21"/>
                      <w:lang w:val="en-US" w:eastAsia="zh-CN"/>
                    </w:rPr>
                    <w:t>；</w:t>
                  </w:r>
                  <w:r>
                    <w:rPr>
                      <w:rFonts w:hint="eastAsia" w:cs="Times New Roman"/>
                      <w:color w:val="000000"/>
                      <w:szCs w:val="21"/>
                      <w:lang w:val="en-US" w:eastAsia="zh-CN"/>
                    </w:rPr>
                    <w:t>项目</w:t>
                  </w:r>
                  <w:r>
                    <w:rPr>
                      <w:rFonts w:hint="default" w:ascii="Times New Roman" w:hAnsi="Times New Roman" w:cs="Times New Roman"/>
                      <w:color w:val="000000"/>
                      <w:szCs w:val="21"/>
                      <w:lang w:val="en-US" w:eastAsia="zh-CN"/>
                    </w:rPr>
                    <w:t>采用破碎机破碎，</w:t>
                  </w:r>
                  <w:r>
                    <w:rPr>
                      <w:rFonts w:hint="eastAsia" w:cs="Times New Roman"/>
                      <w:color w:val="000000"/>
                      <w:szCs w:val="21"/>
                      <w:lang w:val="en-US" w:eastAsia="zh-CN"/>
                    </w:rPr>
                    <w:t>其中废泡沫再利用破碎工序</w:t>
                  </w:r>
                  <w:r>
                    <w:rPr>
                      <w:rFonts w:hint="default" w:ascii="Times New Roman" w:hAnsi="Times New Roman" w:cs="Times New Roman"/>
                      <w:color w:val="000000"/>
                      <w:szCs w:val="21"/>
                      <w:lang w:val="en-US" w:eastAsia="zh-CN"/>
                    </w:rPr>
                    <w:t>为</w:t>
                  </w:r>
                  <w:r>
                    <w:rPr>
                      <w:rFonts w:hint="eastAsia" w:ascii="Times New Roman" w:hAnsi="Times New Roman" w:cs="Times New Roman"/>
                      <w:color w:val="000000"/>
                      <w:szCs w:val="21"/>
                      <w:lang w:val="en-US" w:eastAsia="zh-CN"/>
                    </w:rPr>
                    <w:t>干法</w:t>
                  </w:r>
                  <w:r>
                    <w:rPr>
                      <w:rFonts w:hint="default" w:ascii="Times New Roman" w:hAnsi="Times New Roman" w:cs="Times New Roman"/>
                      <w:color w:val="000000"/>
                      <w:szCs w:val="21"/>
                      <w:lang w:val="en-US" w:eastAsia="zh-CN"/>
                    </w:rPr>
                    <w:t>破碎，</w:t>
                  </w:r>
                  <w:r>
                    <w:rPr>
                      <w:rFonts w:hint="eastAsia" w:ascii="Times New Roman" w:hAnsi="Times New Roman" w:cs="Times New Roman"/>
                      <w:color w:val="000000"/>
                      <w:szCs w:val="21"/>
                      <w:lang w:val="en-US" w:eastAsia="zh-CN"/>
                    </w:rPr>
                    <w:t>采用袋式除尘器处理；项目</w:t>
                  </w:r>
                  <w:r>
                    <w:rPr>
                      <w:rFonts w:hint="eastAsia" w:cs="Times New Roman"/>
                      <w:color w:val="000000"/>
                      <w:szCs w:val="21"/>
                      <w:lang w:val="en-US" w:eastAsia="zh-CN"/>
                    </w:rPr>
                    <w:t>废编织袋生产线</w:t>
                  </w:r>
                  <w:r>
                    <w:rPr>
                      <w:rFonts w:hint="eastAsia" w:ascii="Times New Roman" w:hAnsi="Times New Roman" w:cs="Times New Roman"/>
                      <w:color w:val="000000"/>
                      <w:szCs w:val="21"/>
                      <w:lang w:val="en-US" w:eastAsia="zh-CN"/>
                    </w:rPr>
                    <w:t>清洗</w:t>
                  </w:r>
                  <w:r>
                    <w:rPr>
                      <w:rFonts w:hint="eastAsia" w:cs="Times New Roman"/>
                      <w:color w:val="000000"/>
                      <w:szCs w:val="21"/>
                      <w:lang w:val="en-US" w:eastAsia="zh-CN"/>
                    </w:rPr>
                    <w:t>工序采用</w:t>
                  </w:r>
                  <w:r>
                    <w:rPr>
                      <w:rFonts w:hint="default"/>
                    </w:rPr>
                    <w:t>自动化清洗技术</w:t>
                  </w:r>
                  <w:r>
                    <w:rPr>
                      <w:rFonts w:hint="eastAsia"/>
                      <w:lang w:eastAsia="zh-CN"/>
                    </w:rPr>
                    <w:t>，</w:t>
                  </w:r>
                  <w:r>
                    <w:rPr>
                      <w:rFonts w:hint="eastAsia"/>
                      <w:lang w:val="en-US" w:eastAsia="zh-CN"/>
                    </w:rPr>
                    <w:t>清洗过程不添加任何清洗剂</w:t>
                  </w:r>
                  <w:r>
                    <w:rPr>
                      <w:rFonts w:hint="eastAsia" w:ascii="Times New Roman" w:hAnsi="Times New Roman" w:cs="Times New Roman"/>
                      <w:color w:val="000000"/>
                      <w:szCs w:val="21"/>
                      <w:lang w:val="en-US" w:eastAsia="zh-CN"/>
                    </w:rPr>
                    <w:t>；项目原料经人工分拣后，直接进入下一步工序；厂区不涉及干燥</w:t>
                  </w:r>
                </w:p>
              </w:tc>
              <w:tc>
                <w:tcPr>
                  <w:tcW w:w="464" w:type="pct"/>
                  <w:tcBorders>
                    <w:right w:val="single" w:color="auto" w:sz="4" w:space="0"/>
                  </w:tcBorders>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7" w:hRule="atLeast"/>
              </w:trPr>
              <w:tc>
                <w:tcPr>
                  <w:tcW w:w="416" w:type="pct"/>
                  <w:tcBorders>
                    <w:bottom w:val="single" w:color="auto" w:sz="4"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再生利用和处置污染控制要求</w:t>
                  </w:r>
                </w:p>
              </w:tc>
              <w:tc>
                <w:tcPr>
                  <w:tcW w:w="2868" w:type="pct"/>
                  <w:noWrap w:val="0"/>
                  <w:vAlign w:val="center"/>
                </w:tcPr>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8.1一般性要求</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8.1.1应根据废塑料材质特性、混杂程度、洁净度、当地环境和产业情况，选择适当的利用处置工艺。</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8.1.2应在符合《产业结构调整指导目录》的前提下，综合考虑所在区域废塑料产生情况、社会经济发展水平、产业布局及规划、再生利用产品市场需求、再生利用技术污染防治水平等因素，合理确定再生利用设施的生产规模与技术路线。</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8.1.3应根据废塑料再生利用过程产生的废水中污染物种类和浓度，配备相应的废水收集和处理设施，处理后的废水宜进行循环使用，排放的废水应根据出水受纳水体功能要求或纳管要求，执行国家和地方相关排放标准，重点控制的污染物指标包括化学需氧量、悬浮物、pH值、色度、石油类、可吸附有机卤化物等。</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8.1.4应加强新污染物和优先控制化学品的监测评估与治理。</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8.1.5应收集并处理废塑料再生利用过程中产生的废气，大气污染物排放应符合GB31572或GB16297、GB37822等标准的规定，恶臭污染物排放应符合GB14554的规定。</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8.1.6废塑料再生利用过程中应控制噪声污染，噪声排放应符合GB12348的规定。</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8.1.7废塑料中的金属、橡胶、纤维、渣土、油脂等夹杂物，以及废塑料再生利用过程中产生的不可利用废物应建立台账，不得擅自丢弃、倾倒、焚烧与填埋，属于危险废物的应交由有相关资质单位进行利用处置。</w:t>
                  </w:r>
                </w:p>
                <w:p>
                  <w:pP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lang w:eastAsia="zh-CN"/>
                    </w:rPr>
                    <w:t>8.1.8再生塑料制品或材料在生产过程中不得使用全氯氟烃作发泡剂；制造人体接触的再生塑料制品或材料时，不得添加有毒有害的化学助剂</w:t>
                  </w:r>
                </w:p>
              </w:tc>
              <w:tc>
                <w:tcPr>
                  <w:tcW w:w="1250" w:type="pct"/>
                  <w:noWrap w:val="0"/>
                  <w:vAlign w:val="center"/>
                </w:tcPr>
                <w:p>
                  <w:pPr>
                    <w:rPr>
                      <w:rFonts w:hint="default" w:eastAsia="宋体"/>
                      <w:color w:val="000000"/>
                      <w:szCs w:val="21"/>
                      <w:lang w:val="en-US" w:eastAsia="zh-CN"/>
                    </w:rPr>
                  </w:pPr>
                  <w:r>
                    <w:rPr>
                      <w:rFonts w:hint="eastAsia" w:eastAsia="宋体"/>
                      <w:color w:val="000000"/>
                      <w:szCs w:val="21"/>
                      <w:lang w:val="en-US" w:eastAsia="zh-CN"/>
                    </w:rPr>
                    <w:t>本项目以外购</w:t>
                  </w:r>
                  <w:r>
                    <w:rPr>
                      <w:rFonts w:hint="eastAsia"/>
                      <w:color w:val="000000"/>
                      <w:szCs w:val="21"/>
                      <w:lang w:val="en-US" w:eastAsia="zh-CN"/>
                    </w:rPr>
                    <w:t>废编织袋和废泡沫</w:t>
                  </w:r>
                  <w:r>
                    <w:rPr>
                      <w:rFonts w:hint="eastAsia" w:eastAsia="宋体"/>
                      <w:color w:val="000000"/>
                      <w:szCs w:val="21"/>
                      <w:lang w:val="en-US" w:eastAsia="zh-CN"/>
                    </w:rPr>
                    <w:t>为原料，</w:t>
                  </w:r>
                  <w:r>
                    <w:rPr>
                      <w:rFonts w:hint="eastAsia" w:ascii="Times New Roman" w:hAnsi="Times New Roman" w:cs="Times New Roman"/>
                      <w:color w:val="000000"/>
                      <w:szCs w:val="21"/>
                      <w:lang w:val="en-US" w:eastAsia="zh-CN"/>
                    </w:rPr>
                    <w:t>在进厂前已进行了简单的分类分拣，</w:t>
                  </w:r>
                  <w:r>
                    <w:rPr>
                      <w:rFonts w:hint="eastAsia" w:cs="Times New Roman"/>
                      <w:color w:val="000000"/>
                      <w:szCs w:val="21"/>
                      <w:lang w:val="en-US" w:eastAsia="zh-CN"/>
                    </w:rPr>
                    <w:t>原料进入</w:t>
                  </w:r>
                  <w:r>
                    <w:rPr>
                      <w:rFonts w:hint="eastAsia" w:ascii="Times New Roman" w:hAnsi="Times New Roman" w:cs="Times New Roman"/>
                      <w:color w:val="000000"/>
                      <w:szCs w:val="21"/>
                      <w:lang w:val="en-US" w:eastAsia="zh-CN"/>
                    </w:rPr>
                    <w:t>厂区</w:t>
                  </w:r>
                  <w:r>
                    <w:rPr>
                      <w:rFonts w:hint="eastAsia" w:cs="Times New Roman"/>
                      <w:color w:val="000000"/>
                      <w:szCs w:val="21"/>
                      <w:lang w:val="en-US" w:eastAsia="zh-CN"/>
                    </w:rPr>
                    <w:t>进行</w:t>
                  </w:r>
                  <w:r>
                    <w:rPr>
                      <w:rFonts w:hint="eastAsia" w:ascii="Times New Roman" w:hAnsi="Times New Roman" w:cs="Times New Roman"/>
                      <w:color w:val="000000"/>
                      <w:szCs w:val="21"/>
                      <w:lang w:val="en-US" w:eastAsia="zh-CN"/>
                    </w:rPr>
                    <w:t>简单的</w:t>
                  </w:r>
                  <w:r>
                    <w:rPr>
                      <w:rFonts w:hint="default" w:ascii="Times New Roman" w:hAnsi="Times New Roman" w:cs="Times New Roman"/>
                      <w:color w:val="000000"/>
                      <w:szCs w:val="21"/>
                      <w:lang w:val="en-US" w:eastAsia="zh-CN"/>
                    </w:rPr>
                    <w:t>人工分拣，挑出不符合本项目生产要求的物料</w:t>
                  </w:r>
                  <w:r>
                    <w:rPr>
                      <w:rFonts w:hint="eastAsia" w:cs="Times New Roman"/>
                      <w:color w:val="000000"/>
                      <w:szCs w:val="21"/>
                      <w:lang w:val="en-US" w:eastAsia="zh-CN"/>
                    </w:rPr>
                    <w:t>等</w:t>
                  </w:r>
                  <w:r>
                    <w:rPr>
                      <w:rFonts w:hint="eastAsia" w:eastAsia="宋体"/>
                      <w:color w:val="000000"/>
                      <w:szCs w:val="21"/>
                      <w:lang w:val="en-US" w:eastAsia="zh-CN"/>
                    </w:rPr>
                    <w:t>；项目工艺不涉及生产废水排放；</w:t>
                  </w:r>
                  <w:r>
                    <w:rPr>
                      <w:rFonts w:hint="eastAsia"/>
                      <w:color w:val="000000"/>
                      <w:szCs w:val="21"/>
                      <w:lang w:val="en-US" w:eastAsia="zh-CN"/>
                    </w:rPr>
                    <w:t>破碎工序产生的废气和熔融挤出</w:t>
                  </w:r>
                  <w:r>
                    <w:rPr>
                      <w:rFonts w:hint="eastAsia" w:eastAsia="宋体"/>
                      <w:color w:val="000000"/>
                      <w:szCs w:val="21"/>
                      <w:lang w:val="en-US" w:eastAsia="zh-CN"/>
                    </w:rPr>
                    <w:t>废气采取废气治理措施后达标排放；噪声采取隔声、减震、消声等措施，也可以实现达标排放；项目袋式除尘器收集粉尘</w:t>
                  </w:r>
                  <w:r>
                    <w:rPr>
                      <w:rFonts w:hint="eastAsia"/>
                      <w:color w:val="000000"/>
                      <w:szCs w:val="21"/>
                      <w:lang w:val="en-US" w:eastAsia="zh-CN"/>
                    </w:rPr>
                    <w:t>定期收集，最终交由当地环卫部门清理</w:t>
                  </w:r>
                  <w:r>
                    <w:rPr>
                      <w:rFonts w:hint="eastAsia" w:eastAsia="宋体"/>
                      <w:color w:val="000000"/>
                      <w:szCs w:val="21"/>
                      <w:lang w:val="en-US" w:eastAsia="zh-CN"/>
                    </w:rPr>
                    <w:t>；</w:t>
                  </w:r>
                  <w:r>
                    <w:rPr>
                      <w:rFonts w:hint="eastAsia"/>
                      <w:color w:val="000000"/>
                      <w:szCs w:val="21"/>
                      <w:lang w:val="en-US" w:eastAsia="zh-CN"/>
                    </w:rPr>
                    <w:t>废过滤棉</w:t>
                  </w:r>
                  <w:r>
                    <w:rPr>
                      <w:rFonts w:hint="eastAsia" w:cs="Times New Roman"/>
                      <w:color w:val="000000"/>
                      <w:sz w:val="21"/>
                      <w:szCs w:val="21"/>
                      <w:lang w:val="en-US" w:eastAsia="zh-CN"/>
                    </w:rPr>
                    <w:t>收集后定期交由当地环卫部门；</w:t>
                  </w:r>
                  <w:r>
                    <w:rPr>
                      <w:rFonts w:hint="eastAsia"/>
                      <w:color w:val="000000"/>
                      <w:szCs w:val="21"/>
                      <w:lang w:val="en-US" w:eastAsia="zh-CN"/>
                    </w:rPr>
                    <w:t>人工分拣的杂物收集后，交由当地环卫部门清运；熔融挤出产生的废</w:t>
                  </w:r>
                  <w:r>
                    <w:rPr>
                      <w:rFonts w:hint="eastAsia" w:eastAsia="宋体"/>
                      <w:color w:val="000000"/>
                      <w:szCs w:val="21"/>
                      <w:lang w:val="en-US" w:eastAsia="zh-CN"/>
                    </w:rPr>
                    <w:t>滤网集中收集后交符合环保要求的单位处理；</w:t>
                  </w:r>
                  <w:r>
                    <w:rPr>
                      <w:rFonts w:hint="eastAsia"/>
                      <w:color w:val="000000"/>
                      <w:szCs w:val="21"/>
                      <w:lang w:val="en-US" w:eastAsia="zh-CN"/>
                    </w:rPr>
                    <w:t>清洗废水沉淀物经板框压滤机处理后，交由当地环卫部门清运；</w:t>
                  </w:r>
                  <w:r>
                    <w:rPr>
                      <w:rFonts w:hint="eastAsia" w:eastAsia="宋体"/>
                      <w:color w:val="000000"/>
                      <w:szCs w:val="21"/>
                      <w:lang w:val="en-US" w:eastAsia="zh-CN"/>
                    </w:rPr>
                    <w:t>危险废物交由有资质单位处置；生活垃圾交由当地环卫部门集中处置，不存在露天焚烧、擅自丢弃、倾倒。项目生产过程中不使用全氯氟烃作发泡剂；项目不制造人体接触的再生塑料制品或材料，且项目不使用有毒有害的化学助剂</w:t>
                  </w:r>
                </w:p>
              </w:tc>
              <w:tc>
                <w:tcPr>
                  <w:tcW w:w="464" w:type="pct"/>
                  <w:tcBorders>
                    <w:right w:val="single" w:color="auto" w:sz="4" w:space="0"/>
                  </w:tcBorders>
                  <w:noWrap w:val="0"/>
                  <w:vAlign w:val="center"/>
                </w:tcPr>
                <w:p>
                  <w:pPr>
                    <w:jc w:val="center"/>
                    <w:rPr>
                      <w:color w:val="000000"/>
                      <w:szCs w:val="21"/>
                    </w:rPr>
                  </w:pPr>
                  <w:r>
                    <w:rPr>
                      <w:rFonts w:hint="eastAsia"/>
                      <w:color w:val="00000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8" w:hRule="atLeast"/>
              </w:trPr>
              <w:tc>
                <w:tcPr>
                  <w:tcW w:w="416" w:type="pct"/>
                  <w:tcBorders>
                    <w:top w:val="single" w:color="auto" w:sz="4" w:space="0"/>
                    <w:bottom w:val="single" w:color="auto" w:sz="4"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再生利用和处置污染控制要求</w:t>
                  </w: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8.2物理再生要求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8.2.1废塑料的物理再生工艺中，熔融造粒车间应安装废气收集及处理装置，挤出工艺的冷却废水宜循环使用。</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8.2.2宜采用节能熔融造粒技术，含卤素废塑料宜采用低温熔融造粒工艺。</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8.2.3宜使用无丝网过滤器造粒机，减少废滤网产生。采用焚烧方式处理塑料挤出机过滤网片时，应配备烟气净化装置。</w:t>
                  </w:r>
                </w:p>
              </w:tc>
              <w:tc>
                <w:tcPr>
                  <w:tcW w:w="1250" w:type="pct"/>
                  <w:noWrap w:val="0"/>
                  <w:vAlign w:val="center"/>
                </w:tcPr>
                <w:p>
                  <w:pPr>
                    <w:rPr>
                      <w:rFonts w:hint="default" w:eastAsia="宋体"/>
                      <w:color w:val="000000"/>
                      <w:szCs w:val="21"/>
                      <w:lang w:val="en-US" w:eastAsia="zh-CN"/>
                    </w:rPr>
                  </w:pPr>
                  <w:r>
                    <w:rPr>
                      <w:rFonts w:hint="eastAsia" w:eastAsia="宋体"/>
                      <w:color w:val="000000"/>
                      <w:szCs w:val="21"/>
                      <w:lang w:val="en-US" w:eastAsia="zh-CN"/>
                    </w:rPr>
                    <w:t>项目</w:t>
                  </w:r>
                  <w:r>
                    <w:rPr>
                      <w:rFonts w:hint="eastAsia"/>
                      <w:color w:val="000000"/>
                      <w:szCs w:val="21"/>
                      <w:lang w:val="en-US" w:eastAsia="zh-CN"/>
                    </w:rPr>
                    <w:t>熔融挤出工序</w:t>
                  </w:r>
                  <w:r>
                    <w:rPr>
                      <w:rFonts w:hint="eastAsia" w:eastAsia="宋体"/>
                      <w:color w:val="000000"/>
                      <w:szCs w:val="21"/>
                      <w:lang w:val="en-US" w:eastAsia="zh-CN"/>
                    </w:rPr>
                    <w:t>安装废气</w:t>
                  </w:r>
                  <w:r>
                    <w:rPr>
                      <w:rFonts w:hint="eastAsia"/>
                      <w:color w:val="000000"/>
                      <w:szCs w:val="21"/>
                      <w:lang w:val="en-US" w:eastAsia="zh-CN"/>
                    </w:rPr>
                    <w:t>负压</w:t>
                  </w:r>
                  <w:r>
                    <w:rPr>
                      <w:rFonts w:hint="eastAsia" w:eastAsia="宋体"/>
                      <w:color w:val="000000"/>
                      <w:szCs w:val="21"/>
                      <w:lang w:val="en-US" w:eastAsia="zh-CN"/>
                    </w:rPr>
                    <w:t>收集及处理装置，挤出工艺的冷却废水循环使用；项目采用节能熔融造粒技术，项目不涉及卤素废塑料；废滤网交由符合环保要求的处理单位（当地环卫部门）处理</w:t>
                  </w:r>
                  <w:r>
                    <w:rPr>
                      <w:rFonts w:hint="eastAsia"/>
                      <w:color w:val="000000"/>
                      <w:szCs w:val="21"/>
                      <w:lang w:val="en-US" w:eastAsia="zh-CN"/>
                    </w:rPr>
                    <w:t>。</w:t>
                  </w:r>
                </w:p>
              </w:tc>
              <w:tc>
                <w:tcPr>
                  <w:tcW w:w="464" w:type="pct"/>
                  <w:tcBorders>
                    <w:right w:val="single" w:color="auto" w:sz="4" w:space="0"/>
                  </w:tcBorders>
                  <w:noWrap w:val="0"/>
                  <w:vAlign w:val="center"/>
                </w:tcPr>
                <w:p>
                  <w:pPr>
                    <w:jc w:val="center"/>
                    <w:rPr>
                      <w:rFonts w:hint="eastAsia" w:eastAsia="宋体"/>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3" w:hRule="atLeast"/>
              </w:trPr>
              <w:tc>
                <w:tcPr>
                  <w:tcW w:w="416" w:type="pct"/>
                  <w:vMerge w:val="restart"/>
                  <w:tcBorders>
                    <w:top w:val="single" w:color="auto" w:sz="4" w:space="0"/>
                  </w:tcBorders>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运行环境管理要求</w:t>
                  </w: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9.1一般性要求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9.1.1废塑料的产生、收集、运输、贮存和再生利用企业，应按照GB/T19001、GB/T24001、GB/T45001等标准建立管理体系，设置专门的部门或者专（兼）职人员，负责废塑料收集和再生利用过程中的相关环境管理工作。</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9.1.2废塑料的产生和再生利用企业，应按照排污许可证规定严格控制污染物排放。</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9.1.3废塑料的产生、收集、运输、贮存和再生利用企业，应对从业人员进行环境保护培训。</w:t>
                  </w:r>
                </w:p>
              </w:tc>
              <w:tc>
                <w:tcPr>
                  <w:tcW w:w="1250" w:type="pct"/>
                  <w:noWrap w:val="0"/>
                  <w:vAlign w:val="center"/>
                </w:tcPr>
                <w:p>
                  <w:pPr>
                    <w:rPr>
                      <w:rFonts w:hint="eastAsia" w:eastAsia="宋体"/>
                      <w:color w:val="000000"/>
                      <w:szCs w:val="21"/>
                      <w:lang w:val="en-US" w:eastAsia="zh-CN"/>
                    </w:rPr>
                  </w:pPr>
                  <w:r>
                    <w:rPr>
                      <w:rFonts w:hint="eastAsia" w:eastAsia="宋体"/>
                      <w:color w:val="000000"/>
                      <w:szCs w:val="21"/>
                      <w:lang w:val="en-US" w:eastAsia="zh-CN"/>
                    </w:rPr>
                    <w:t>项目严格按要求建立管理体系，设置专门的部门或者专（兼）职人员，按照排污许可证规定严格控制污染物排放，从业人员进行环境保护培训</w:t>
                  </w:r>
                </w:p>
              </w:tc>
              <w:tc>
                <w:tcPr>
                  <w:tcW w:w="464" w:type="pct"/>
                  <w:tcBorders>
                    <w:right w:val="single" w:color="auto" w:sz="4" w:space="0"/>
                  </w:tcBorders>
                  <w:noWrap w:val="0"/>
                  <w:vAlign w:val="center"/>
                </w:tcPr>
                <w:p>
                  <w:pPr>
                    <w:jc w:val="center"/>
                    <w:rPr>
                      <w:rFonts w:hint="eastAsia"/>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93" w:hRule="atLeast"/>
              </w:trPr>
              <w:tc>
                <w:tcPr>
                  <w:tcW w:w="416" w:type="pct"/>
                  <w:vMerge w:val="continue"/>
                  <w:noWrap w:val="0"/>
                  <w:vAlign w:val="center"/>
                </w:tcPr>
                <w:p>
                  <w:pPr>
                    <w:rPr>
                      <w:rFonts w:hint="default" w:ascii="Times New Roman" w:hAnsi="Times New Roman" w:eastAsia="宋体" w:cs="Times New Roman"/>
                      <w:color w:val="000000"/>
                      <w:szCs w:val="21"/>
                    </w:rPr>
                  </w:pP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9.2项目建设的环境管理要求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9.2.1废塑料的再生利用项目应严格执行环境影响评价和“三同时”制度。</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9.2.2新建和改扩建废塑料再生利用项目的选址应符合当地城市总体发展规划、用地规划、生态环境分区管控方案、规划环评及其他环境保护要求。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9.2.3废塑料再生利用项目应按功能划分厂区，包括管理区、原料贮存区、生产区、产品贮存区、不可利用废物的贮存和处理区等，各功能区应有明显的界线或标识。</w:t>
                  </w:r>
                </w:p>
              </w:tc>
              <w:tc>
                <w:tcPr>
                  <w:tcW w:w="1250" w:type="pct"/>
                  <w:noWrap w:val="0"/>
                  <w:vAlign w:val="center"/>
                </w:tcPr>
                <w:p>
                  <w:pPr>
                    <w:rPr>
                      <w:rFonts w:hint="eastAsia" w:eastAsia="宋体"/>
                      <w:color w:val="000000"/>
                      <w:szCs w:val="21"/>
                      <w:lang w:val="en-US" w:eastAsia="zh-CN"/>
                    </w:rPr>
                  </w:pPr>
                  <w:r>
                    <w:rPr>
                      <w:rFonts w:hint="eastAsia" w:eastAsia="宋体"/>
                      <w:color w:val="000000"/>
                      <w:szCs w:val="21"/>
                      <w:lang w:val="en-US" w:eastAsia="zh-CN"/>
                    </w:rPr>
                    <w:t>项目正在办理环评手续，后续按要求执行；经分析，项目选址</w:t>
                  </w:r>
                  <w:r>
                    <w:rPr>
                      <w:rFonts w:hint="eastAsia"/>
                      <w:color w:val="000000"/>
                      <w:szCs w:val="21"/>
                      <w:lang w:val="en-US" w:eastAsia="zh-CN"/>
                    </w:rPr>
                    <w:t>位于平顶山市宝丰县宝丰高新技术产业开发区旭原不锈钢院内8号厂房</w:t>
                  </w:r>
                  <w:r>
                    <w:rPr>
                      <w:rFonts w:hint="eastAsia" w:eastAsia="宋体"/>
                      <w:color w:val="000000"/>
                      <w:szCs w:val="21"/>
                      <w:lang w:val="en-US" w:eastAsia="zh-CN"/>
                    </w:rPr>
                    <w:t>，</w:t>
                  </w:r>
                  <w:r>
                    <w:rPr>
                      <w:rFonts w:hint="eastAsia"/>
                      <w:color w:val="000000"/>
                      <w:szCs w:val="21"/>
                      <w:lang w:val="en-US" w:eastAsia="zh-CN"/>
                    </w:rPr>
                    <w:t>项目用地属于工业用地，符合园区规划；</w:t>
                  </w:r>
                  <w:r>
                    <w:rPr>
                      <w:rFonts w:hint="eastAsia" w:eastAsia="宋体"/>
                      <w:color w:val="000000"/>
                      <w:szCs w:val="21"/>
                      <w:lang w:val="en-US" w:eastAsia="zh-CN"/>
                    </w:rPr>
                    <w:t>符合生态环境分区管控方案等；项目按功能划分厂区，各功能区应有明显的界线或标识。</w:t>
                  </w:r>
                </w:p>
              </w:tc>
              <w:tc>
                <w:tcPr>
                  <w:tcW w:w="464" w:type="pct"/>
                  <w:tcBorders>
                    <w:right w:val="single" w:color="auto" w:sz="4" w:space="0"/>
                  </w:tcBorders>
                  <w:noWrap w:val="0"/>
                  <w:vAlign w:val="center"/>
                </w:tcPr>
                <w:p>
                  <w:pPr>
                    <w:jc w:val="center"/>
                    <w:rPr>
                      <w:rFonts w:hint="eastAsia"/>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5" w:hRule="atLeast"/>
              </w:trPr>
              <w:tc>
                <w:tcPr>
                  <w:tcW w:w="416" w:type="pct"/>
                  <w:vMerge w:val="continue"/>
                  <w:noWrap w:val="0"/>
                  <w:vAlign w:val="center"/>
                </w:tcPr>
                <w:p>
                  <w:pPr>
                    <w:rPr>
                      <w:rFonts w:hint="default" w:ascii="Times New Roman" w:hAnsi="Times New Roman" w:eastAsia="宋体" w:cs="Times New Roman"/>
                      <w:color w:val="000000"/>
                      <w:szCs w:val="21"/>
                    </w:rPr>
                  </w:pP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9.3清洁生产要求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9.3.1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9.3.2实施强制性清洁生产审核的废塑料再生利用企业，应按照《清洁生产审核办法》的要求开展清洁生产审核，逐步淘汰技术落后、能耗高、资源综合利用率低和环境污染严重的工艺和设备。</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9.3.3废塑料的再生利用企业，应积极推进工艺、技术和设备提升改造，积极应用先进的清洁生产技术。</w:t>
                  </w:r>
                </w:p>
              </w:tc>
              <w:tc>
                <w:tcPr>
                  <w:tcW w:w="1250" w:type="pct"/>
                  <w:noWrap w:val="0"/>
                  <w:vAlign w:val="center"/>
                </w:tcPr>
                <w:p>
                  <w:pPr>
                    <w:jc w:val="center"/>
                    <w:rPr>
                      <w:rFonts w:hint="eastAsia" w:eastAsia="宋体"/>
                      <w:color w:val="000000"/>
                      <w:szCs w:val="21"/>
                      <w:lang w:val="en-US" w:eastAsia="zh-CN"/>
                    </w:rPr>
                  </w:pPr>
                  <w:r>
                    <w:rPr>
                      <w:rFonts w:hint="eastAsia" w:eastAsia="宋体"/>
                      <w:color w:val="000000"/>
                      <w:szCs w:val="21"/>
                      <w:lang w:val="en-US" w:eastAsia="zh-CN"/>
                    </w:rPr>
                    <w:t>项目按要求建设</w:t>
                  </w:r>
                </w:p>
              </w:tc>
              <w:tc>
                <w:tcPr>
                  <w:tcW w:w="464" w:type="pct"/>
                  <w:tcBorders>
                    <w:right w:val="single" w:color="auto" w:sz="4" w:space="0"/>
                  </w:tcBorders>
                  <w:noWrap w:val="0"/>
                  <w:vAlign w:val="center"/>
                </w:tcPr>
                <w:p>
                  <w:pPr>
                    <w:jc w:val="center"/>
                    <w:rPr>
                      <w:rFonts w:hint="eastAsia"/>
                      <w:color w:val="000000"/>
                      <w:szCs w:val="21"/>
                      <w:lang w:val="en-US" w:eastAsia="zh-CN"/>
                    </w:rPr>
                  </w:pPr>
                  <w:r>
                    <w:rPr>
                      <w:rFonts w:hint="eastAsia"/>
                      <w:color w:val="000000"/>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8" w:hRule="atLeast"/>
              </w:trPr>
              <w:tc>
                <w:tcPr>
                  <w:tcW w:w="416" w:type="pct"/>
                  <w:vMerge w:val="continue"/>
                  <w:tcBorders>
                    <w:bottom w:val="single" w:color="auto" w:sz="4" w:space="0"/>
                  </w:tcBorders>
                  <w:noWrap w:val="0"/>
                  <w:vAlign w:val="center"/>
                </w:tcPr>
                <w:p>
                  <w:pPr>
                    <w:rPr>
                      <w:rFonts w:hint="default" w:ascii="Times New Roman" w:hAnsi="Times New Roman" w:eastAsia="宋体" w:cs="Times New Roman"/>
                      <w:color w:val="000000"/>
                      <w:szCs w:val="21"/>
                    </w:rPr>
                  </w:pPr>
                </w:p>
              </w:tc>
              <w:tc>
                <w:tcPr>
                  <w:tcW w:w="2868" w:type="pct"/>
                  <w:noWrap w:val="0"/>
                  <w:vAlign w:val="center"/>
                </w:tcPr>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9.4监测要求</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9.4.1废塑料的再生利用和处置企业，应按照排污许可证、HJ819以及本标准的要求，制定自行监测方案，对废塑料的利用处置过程污染物排放状况及周边环境质量的影响开展自行监测，保存原始监测记录，并依规进行信息公开。</w:t>
                  </w:r>
                </w:p>
                <w:p>
                  <w:pP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9.4.2不同污染物的采样监测方法和频次执行相关国家和行业标准，保留监测记录以及特殊情况记录。</w:t>
                  </w:r>
                </w:p>
              </w:tc>
              <w:tc>
                <w:tcPr>
                  <w:tcW w:w="1250" w:type="pct"/>
                  <w:noWrap w:val="0"/>
                  <w:vAlign w:val="center"/>
                </w:tcPr>
                <w:p>
                  <w:pPr>
                    <w:rPr>
                      <w:rFonts w:hint="eastAsia" w:eastAsia="宋体"/>
                      <w:color w:val="000000"/>
                      <w:szCs w:val="21"/>
                      <w:lang w:val="en-US" w:eastAsia="zh-CN"/>
                    </w:rPr>
                  </w:pPr>
                  <w:r>
                    <w:rPr>
                      <w:rFonts w:hint="eastAsia" w:eastAsia="宋体"/>
                      <w:color w:val="000000"/>
                      <w:szCs w:val="21"/>
                      <w:lang w:val="en-US" w:eastAsia="zh-CN"/>
                    </w:rPr>
                    <w:t>项目将严格按要求制定自行监测方案，开展自行监测，保存原始监测记录，并依规进行信息公开。按要求</w:t>
                  </w:r>
                  <w:r>
                    <w:rPr>
                      <w:rFonts w:hint="default" w:ascii="Times New Roman" w:hAnsi="Times New Roman" w:eastAsia="宋体" w:cs="Times New Roman"/>
                      <w:color w:val="000000"/>
                      <w:szCs w:val="21"/>
                    </w:rPr>
                    <w:t>保留监测记录以及特殊情况记录。</w:t>
                  </w:r>
                </w:p>
              </w:tc>
              <w:tc>
                <w:tcPr>
                  <w:tcW w:w="464" w:type="pct"/>
                  <w:tcBorders>
                    <w:right w:val="single" w:color="auto" w:sz="4" w:space="0"/>
                  </w:tcBorders>
                  <w:noWrap w:val="0"/>
                  <w:vAlign w:val="center"/>
                </w:tcPr>
                <w:p>
                  <w:pPr>
                    <w:jc w:val="center"/>
                    <w:rPr>
                      <w:rFonts w:hint="eastAsia"/>
                      <w:color w:val="000000"/>
                      <w:szCs w:val="21"/>
                      <w:lang w:val="en-US" w:eastAsia="zh-CN"/>
                    </w:rPr>
                  </w:pPr>
                  <w:r>
                    <w:rPr>
                      <w:rFonts w:hint="eastAsia"/>
                      <w:color w:val="000000"/>
                      <w:szCs w:val="21"/>
                      <w:lang w:val="en-US" w:eastAsia="zh-CN"/>
                    </w:rPr>
                    <w:t>符合</w:t>
                  </w:r>
                </w:p>
              </w:tc>
            </w:tr>
          </w:tbl>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p>
        </w:tc>
      </w:tr>
    </w:tbl>
    <w:p>
      <w:pPr>
        <w:spacing w:line="360" w:lineRule="auto"/>
        <w:outlineLvl w:val="0"/>
        <w:rPr>
          <w:rFonts w:eastAsia="黑体"/>
          <w:sz w:val="30"/>
        </w:rPr>
        <w:sectPr>
          <w:footerReference r:id="rId5" w:type="default"/>
          <w:pgSz w:w="11906" w:h="16838"/>
          <w:pgMar w:top="1440" w:right="1080" w:bottom="1440" w:left="1080"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二、建设项目工程分析</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8"/>
        <w:gridCol w:w="94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250" w:type="pct"/>
            <w:noWrap w:val="0"/>
            <w:vAlign w:val="center"/>
          </w:tcPr>
          <w:p>
            <w:pPr>
              <w:pStyle w:val="22"/>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sz w:val="24"/>
                <w:szCs w:val="24"/>
              </w:rPr>
              <w:t>建设内容</w:t>
            </w:r>
          </w:p>
        </w:tc>
        <w:tc>
          <w:tcPr>
            <w:tcW w:w="4749" w:type="pct"/>
            <w:noWrap w:val="0"/>
            <w:vAlign w:val="top"/>
          </w:tcPr>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sz w:val="24"/>
              </w:rPr>
            </w:pPr>
            <w:r>
              <w:rPr>
                <w:rFonts w:hint="eastAsia" w:cs="Times New Roman"/>
                <w:b/>
                <w:sz w:val="24"/>
                <w:lang w:val="en-US" w:eastAsia="zh-CN"/>
              </w:rPr>
              <w:t>一、</w:t>
            </w:r>
            <w:r>
              <w:rPr>
                <w:rFonts w:hint="default" w:ascii="Times New Roman" w:hAnsi="Times New Roman" w:cs="Times New Roman"/>
                <w:b/>
                <w:sz w:val="24"/>
              </w:rPr>
              <w:t>项目基本情况与项目内容</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sz w:val="24"/>
              </w:rPr>
            </w:pPr>
            <w:r>
              <w:rPr>
                <w:rFonts w:hint="default" w:ascii="Times New Roman" w:hAnsi="Times New Roman" w:cs="Times New Roman"/>
                <w:b/>
                <w:sz w:val="24"/>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u w:val="single"/>
                <w:lang w:eastAsia="zh-CN"/>
              </w:rPr>
            </w:pPr>
            <w:r>
              <w:rPr>
                <w:rFonts w:hint="default" w:ascii="Times New Roman" w:hAnsi="Times New Roman" w:cs="Times New Roman"/>
                <w:sz w:val="24"/>
                <w:szCs w:val="24"/>
                <w:u w:val="single"/>
                <w:lang w:eastAsia="zh-CN"/>
              </w:rPr>
              <w:t>塑料与钢铁、木材、水泥一起共同构成了现代工业四大基础材料，在国民经济发展中占有重要地位。塑料具有材料综合性能优异，加工方便，生产和使用中可以显著节约能源等优点，被广泛应用于工农业及人民的日常生活中。随着塑料工业的蓬勃发展及其大规模的使用，废旧塑料产生量猛增。为了消除或减少废旧塑料造成的污染，世界各国给予了足够重视，加大了对其研究的投资力度，经过多年的努力，对处理废旧塑料已基本形成比较有效的四种技术，即焚烧回收能量、填埋、回收再生利用和化学热解回收。经过长期实践证明，回收再生利用是最为适用，应该大力提倡的技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val="en-US" w:eastAsia="zh-CN"/>
              </w:rPr>
            </w:pPr>
            <w:r>
              <w:rPr>
                <w:rFonts w:hint="default" w:ascii="Times New Roman" w:hAnsi="Times New Roman" w:cs="Times New Roman"/>
                <w:color w:val="auto"/>
                <w:sz w:val="24"/>
              </w:rPr>
              <w:t>经过长期的市场调研，</w:t>
            </w:r>
            <w:r>
              <w:rPr>
                <w:rFonts w:hint="eastAsia" w:cs="Times New Roman"/>
                <w:color w:val="auto"/>
                <w:sz w:val="24"/>
                <w:lang w:val="en-US" w:eastAsia="zh-CN"/>
              </w:rPr>
              <w:t>2022年11月份</w:t>
            </w:r>
            <w:r>
              <w:rPr>
                <w:rFonts w:hint="eastAsia" w:cs="Times New Roman"/>
                <w:sz w:val="24"/>
                <w:szCs w:val="24"/>
                <w:lang w:eastAsia="zh-CN"/>
              </w:rPr>
              <w:t>宝丰县盛祥再生资源有限公司</w:t>
            </w:r>
            <w:r>
              <w:rPr>
                <w:rFonts w:hint="eastAsia" w:cs="Times New Roman"/>
                <w:color w:val="auto"/>
                <w:sz w:val="24"/>
                <w:lang w:val="en-US" w:eastAsia="zh-CN"/>
              </w:rPr>
              <w:t>投资2000万元在</w:t>
            </w:r>
            <w:r>
              <w:rPr>
                <w:rFonts w:hint="eastAsia" w:cs="Times New Roman"/>
                <w:color w:val="auto"/>
                <w:sz w:val="24"/>
                <w:szCs w:val="24"/>
                <w:lang w:val="en-US" w:eastAsia="zh-CN"/>
              </w:rPr>
              <w:t>平顶山市宝丰县宝丰高新技术产业开发区旭原不锈钢院内租赁闲置厂房（租赁协议见附件四）</w:t>
            </w:r>
            <w:r>
              <w:rPr>
                <w:rFonts w:hint="eastAsia" w:cs="Times New Roman"/>
                <w:color w:val="auto"/>
                <w:sz w:val="24"/>
                <w:lang w:val="en-US" w:eastAsia="zh-CN"/>
              </w:rPr>
              <w:t>建设年产10000吨再生资源颗粒项目。其中厂房面积约为5000m</w:t>
            </w:r>
            <w:r>
              <w:rPr>
                <w:rFonts w:hint="eastAsia" w:cs="Times New Roman"/>
                <w:color w:val="auto"/>
                <w:sz w:val="24"/>
                <w:vertAlign w:val="superscript"/>
                <w:lang w:val="en-US" w:eastAsia="zh-CN"/>
              </w:rPr>
              <w:t>2</w:t>
            </w:r>
            <w:r>
              <w:rPr>
                <w:rFonts w:hint="eastAsia" w:cs="Times New Roman"/>
                <w:color w:val="auto"/>
                <w:sz w:val="24"/>
                <w:vertAlign w:val="baseline"/>
                <w:lang w:val="en-US" w:eastAsia="zh-CN"/>
              </w:rPr>
              <w:t>，占地性质为工业工地（土地手续见附件五）。</w:t>
            </w:r>
            <w:r>
              <w:rPr>
                <w:rFonts w:hint="default" w:ascii="Times New Roman" w:hAnsi="Times New Roman" w:cs="Times New Roman"/>
                <w:sz w:val="24"/>
                <w:szCs w:val="24"/>
              </w:rPr>
              <w:t>经查阅国民经济行业划分（GB/T4754-2017），本项目属于C</w:t>
            </w:r>
            <w:r>
              <w:rPr>
                <w:rFonts w:hint="eastAsia" w:ascii="Times New Roman" w:hAnsi="Times New Roman" w:cs="Times New Roman"/>
                <w:sz w:val="24"/>
                <w:szCs w:val="24"/>
                <w:lang w:val="en-US" w:eastAsia="zh-CN"/>
              </w:rPr>
              <w:t>4220</w:t>
            </w:r>
            <w:r>
              <w:rPr>
                <w:rFonts w:hint="default" w:ascii="Times New Roman" w:hAnsi="Times New Roman" w:cs="Times New Roman"/>
                <w:sz w:val="24"/>
                <w:szCs w:val="24"/>
              </w:rPr>
              <w:t>非金属废料和碎屑加工处理。根据《产业结构调整指导目录（2019年本）》，项目属于鼓励类</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四十三、环境保护与资源节约综合利用27、废旧木材、废旧电器电子产品、废印刷电路板、废旧电池、废旧船舶、废旧农机、废塑料、废旧纺织品及纺织废料和边角料、废（碎）玻璃、废橡胶、废弃油脂等废旧物资等资源循环再利用技术、设备开发及应用</w:t>
            </w:r>
            <w:r>
              <w:rPr>
                <w:rFonts w:hint="eastAsia" w:ascii="Times New Roman" w:hAnsi="Times New Roman" w:cs="Times New Roman"/>
                <w:sz w:val="24"/>
                <w:szCs w:val="24"/>
                <w:lang w:eastAsia="zh-CN"/>
              </w:rPr>
              <w:t>”。</w:t>
            </w:r>
            <w:r>
              <w:rPr>
                <w:rFonts w:hint="eastAsia" w:cs="Times New Roman"/>
                <w:color w:val="auto"/>
                <w:sz w:val="24"/>
                <w:lang w:val="en-US" w:eastAsia="zh-CN"/>
              </w:rPr>
              <w:t>2023年1月5日</w:t>
            </w:r>
            <w:r>
              <w:rPr>
                <w:rFonts w:hint="eastAsia" w:cs="Times New Roman"/>
                <w:sz w:val="24"/>
                <w:lang w:eastAsia="zh-CN"/>
              </w:rPr>
              <w:t>宝丰县盛祥再生资源有限公司</w:t>
            </w:r>
            <w:r>
              <w:rPr>
                <w:rFonts w:hint="eastAsia" w:ascii="Times New Roman" w:hAnsi="Times New Roman" w:cs="Times New Roman"/>
                <w:sz w:val="24"/>
                <w:lang w:val="en-US" w:eastAsia="zh-CN"/>
              </w:rPr>
              <w:t>在</w:t>
            </w:r>
            <w:r>
              <w:rPr>
                <w:rFonts w:hint="eastAsia" w:cs="Times New Roman"/>
                <w:color w:val="auto"/>
                <w:sz w:val="24"/>
                <w:szCs w:val="24"/>
                <w:lang w:eastAsia="zh-CN"/>
              </w:rPr>
              <w:t>宝丰</w:t>
            </w:r>
            <w:r>
              <w:rPr>
                <w:rFonts w:hint="eastAsia" w:cs="Times New Roman"/>
                <w:color w:val="auto"/>
                <w:sz w:val="24"/>
                <w:szCs w:val="24"/>
                <w:lang w:val="en-US" w:eastAsia="zh-CN"/>
              </w:rPr>
              <w:t>高新技术产业开发区管理委员会</w:t>
            </w:r>
            <w:r>
              <w:rPr>
                <w:rFonts w:hint="eastAsia" w:ascii="Times New Roman" w:hAnsi="Times New Roman" w:cs="Times New Roman"/>
                <w:sz w:val="24"/>
                <w:lang w:val="en-US" w:eastAsia="zh-CN"/>
              </w:rPr>
              <w:t>备案了</w:t>
            </w:r>
            <w:r>
              <w:rPr>
                <w:rFonts w:hint="eastAsia" w:cs="Times New Roman"/>
                <w:color w:val="auto"/>
                <w:sz w:val="24"/>
                <w:lang w:val="en-US" w:eastAsia="zh-CN"/>
              </w:rPr>
              <w:t>年生产1万吨塑料颗粒项目</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备案文号为</w:t>
            </w:r>
            <w:r>
              <w:rPr>
                <w:rFonts w:hint="eastAsia" w:cs="Times New Roman"/>
                <w:color w:val="auto"/>
                <w:sz w:val="24"/>
                <w:szCs w:val="24"/>
                <w:lang w:val="en-US" w:eastAsia="zh-CN"/>
              </w:rPr>
              <w:t>2301-410421-04-01-693430</w:t>
            </w:r>
            <w:r>
              <w:rPr>
                <w:rFonts w:hint="eastAsia" w:ascii="Times New Roman" w:hAnsi="Times New Roman" w:cs="Times New Roman"/>
                <w:color w:val="auto"/>
                <w:sz w:val="24"/>
                <w:lang w:eastAsia="zh-CN"/>
              </w:rPr>
              <w:t>）</w:t>
            </w:r>
            <w:r>
              <w:rPr>
                <w:rFonts w:hint="eastAsia"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cs="Times New Roman"/>
                <w:sz w:val="24"/>
              </w:rPr>
              <w:t>根据《中华人民共和国环境影响评价法</w:t>
            </w:r>
            <w:r>
              <w:rPr>
                <w:rFonts w:hint="eastAsia" w:cs="Times New Roman"/>
                <w:sz w:val="24"/>
                <w:lang w:eastAsia="zh-CN"/>
              </w:rPr>
              <w:t>》《</w:t>
            </w:r>
            <w:r>
              <w:rPr>
                <w:rFonts w:hint="default" w:ascii="Times New Roman" w:hAnsi="Times New Roman" w:cs="Times New Roman"/>
                <w:sz w:val="24"/>
              </w:rPr>
              <w:t>建设项目环境保护管理条例</w:t>
            </w:r>
            <w:r>
              <w:rPr>
                <w:rFonts w:hint="eastAsia" w:cs="Times New Roman"/>
                <w:sz w:val="24"/>
                <w:lang w:eastAsia="zh-CN"/>
              </w:rPr>
              <w:t>》《</w:t>
            </w:r>
            <w:r>
              <w:rPr>
                <w:rFonts w:hint="default" w:ascii="Times New Roman" w:hAnsi="Times New Roman" w:cs="Times New Roman"/>
                <w:sz w:val="24"/>
              </w:rPr>
              <w:t>河南省建设项目环境保护条例》等法律、法规的规定及要求，该项目需进行环境影响评价。</w:t>
            </w:r>
            <w:r>
              <w:rPr>
                <w:rFonts w:hint="eastAsia" w:ascii="Times New Roman" w:hAnsi="Times New Roman" w:cs="Times New Roman"/>
                <w:sz w:val="24"/>
                <w:lang w:val="en-US" w:eastAsia="zh-CN"/>
              </w:rPr>
              <w:t>根据</w:t>
            </w:r>
            <w:r>
              <w:rPr>
                <w:rFonts w:hint="default" w:ascii="Times New Roman" w:hAnsi="Times New Roman" w:cs="Times New Roman"/>
                <w:sz w:val="24"/>
              </w:rPr>
              <w:t>《建设项目环境影响评价分类管理名录》（</w:t>
            </w:r>
            <w:r>
              <w:rPr>
                <w:rFonts w:hint="eastAsia" w:cs="Times New Roman"/>
                <w:sz w:val="24"/>
                <w:lang w:val="en-US" w:eastAsia="zh-CN"/>
              </w:rPr>
              <w:t>2021版</w:t>
            </w:r>
            <w:r>
              <w:rPr>
                <w:rFonts w:hint="default" w:ascii="Times New Roman" w:hAnsi="Times New Roman" w:cs="Times New Roman"/>
                <w:sz w:val="24"/>
              </w:rPr>
              <w:t>）的规定</w:t>
            </w:r>
            <w:r>
              <w:rPr>
                <w:rFonts w:hint="default" w:ascii="Times New Roman" w:hAnsi="Times New Roman" w:cs="Times New Roman"/>
                <w:color w:val="auto"/>
                <w:sz w:val="24"/>
              </w:rPr>
              <w:t>，本项目属于</w:t>
            </w:r>
            <w:r>
              <w:rPr>
                <w:rFonts w:hint="eastAsia" w:cs="Times New Roman"/>
                <w:color w:val="auto"/>
                <w:sz w:val="24"/>
                <w:lang w:eastAsia="zh-CN"/>
              </w:rPr>
              <w:t>“</w:t>
            </w:r>
            <w:r>
              <w:rPr>
                <w:rFonts w:hint="default" w:ascii="Times New Roman" w:hAnsi="Times New Roman" w:cs="Times New Roman"/>
                <w:sz w:val="24"/>
                <w:szCs w:val="24"/>
              </w:rPr>
              <w:t>三十九、废弃资源综合利用业</w:t>
            </w:r>
            <w:r>
              <w:rPr>
                <w:rFonts w:hint="eastAsia" w:cs="Times New Roman"/>
                <w:sz w:val="24"/>
                <w:szCs w:val="24"/>
                <w:lang w:val="en-US" w:eastAsia="zh-CN"/>
              </w:rPr>
              <w:t>42</w:t>
            </w:r>
            <w:r>
              <w:rPr>
                <w:rFonts w:hint="eastAsia" w:cs="Times New Roman"/>
                <w:sz w:val="24"/>
                <w:szCs w:val="24"/>
                <w:lang w:eastAsia="zh-CN"/>
              </w:rPr>
              <w:t>—</w:t>
            </w:r>
            <w:r>
              <w:rPr>
                <w:rFonts w:hint="default" w:ascii="Times New Roman" w:hAnsi="Times New Roman" w:cs="Times New Roman"/>
                <w:sz w:val="24"/>
                <w:szCs w:val="24"/>
              </w:rPr>
              <w:t>85</w:t>
            </w:r>
            <w:r>
              <w:rPr>
                <w:rFonts w:hint="eastAsia" w:ascii="Times New Roman" w:hAnsi="Times New Roman" w:cs="Times New Roman"/>
                <w:sz w:val="24"/>
                <w:szCs w:val="24"/>
                <w:lang w:val="en-US" w:eastAsia="zh-CN"/>
              </w:rPr>
              <w:t>非金属废料和碎屑加工处理422</w:t>
            </w:r>
            <w:r>
              <w:rPr>
                <w:rFonts w:hint="eastAsia" w:ascii="Times New Roman" w:hAnsi="Times New Roman" w:cs="Times New Roman"/>
                <w:sz w:val="24"/>
                <w:szCs w:val="24"/>
                <w:lang w:eastAsia="zh-CN"/>
              </w:rPr>
              <w:t>（不含原料为危险废物的，均不含仅分拣、破碎的）</w:t>
            </w:r>
            <w:r>
              <w:rPr>
                <w:rFonts w:hint="eastAsia" w:cs="Times New Roman"/>
                <w:sz w:val="24"/>
                <w:szCs w:val="24"/>
                <w:lang w:val="en-US" w:eastAsia="zh-CN"/>
              </w:rPr>
              <w:t>—</w:t>
            </w:r>
            <w:r>
              <w:rPr>
                <w:rFonts w:hint="default" w:ascii="Times New Roman" w:hAnsi="Times New Roman" w:cs="Times New Roman"/>
                <w:sz w:val="24"/>
                <w:szCs w:val="24"/>
                <w:lang w:val="en-US" w:eastAsia="zh-CN"/>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eastAsia" w:cs="Times New Roman"/>
                <w:sz w:val="24"/>
                <w:szCs w:val="24"/>
                <w:lang w:val="en-US" w:eastAsia="zh-CN"/>
              </w:rPr>
              <w:t>”；</w:t>
            </w:r>
            <w:r>
              <w:rPr>
                <w:rFonts w:hint="default" w:ascii="Times New Roman" w:hAnsi="Times New Roman" w:cs="Times New Roman"/>
                <w:color w:val="auto"/>
                <w:sz w:val="24"/>
              </w:rPr>
              <w:t>应编制环境影响报告表。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受</w:t>
            </w:r>
            <w:r>
              <w:rPr>
                <w:rFonts w:hint="eastAsia" w:cs="Times New Roman"/>
                <w:sz w:val="24"/>
                <w:lang w:eastAsia="zh-CN"/>
              </w:rPr>
              <w:t>宝丰县盛祥再生资源有限公司</w:t>
            </w:r>
            <w:r>
              <w:rPr>
                <w:rFonts w:hint="default" w:ascii="Times New Roman" w:hAnsi="Times New Roman" w:cs="Times New Roman"/>
                <w:sz w:val="24"/>
              </w:rPr>
              <w:t>委托</w:t>
            </w:r>
            <w:r>
              <w:rPr>
                <w:rFonts w:hint="default" w:ascii="Times New Roman" w:hAnsi="Times New Roman" w:cs="Times New Roman"/>
                <w:color w:val="auto"/>
                <w:sz w:val="24"/>
              </w:rPr>
              <w:t>，</w:t>
            </w:r>
            <w:r>
              <w:rPr>
                <w:rFonts w:hint="eastAsia" w:cs="Times New Roman"/>
                <w:color w:val="auto"/>
                <w:sz w:val="24"/>
                <w:lang w:val="en-US" w:eastAsia="zh-CN"/>
              </w:rPr>
              <w:t>我</w:t>
            </w:r>
            <w:r>
              <w:rPr>
                <w:rFonts w:hint="default" w:ascii="Times New Roman" w:hAnsi="Times New Roman" w:cs="Times New Roman"/>
                <w:color w:val="auto"/>
                <w:sz w:val="24"/>
              </w:rPr>
              <w:t>公司</w:t>
            </w:r>
            <w:r>
              <w:rPr>
                <w:rFonts w:hint="default" w:ascii="Times New Roman" w:hAnsi="Times New Roman" w:cs="Times New Roman"/>
                <w:sz w:val="24"/>
              </w:rPr>
              <w:t>承担了该项目环境影响评价工作（委托书见附件</w:t>
            </w:r>
            <w:r>
              <w:rPr>
                <w:rFonts w:hint="eastAsia" w:cs="Times New Roman"/>
                <w:sz w:val="24"/>
                <w:lang w:val="en-US" w:eastAsia="zh-CN"/>
              </w:rPr>
              <w:t>一</w:t>
            </w:r>
            <w:r>
              <w:rPr>
                <w:rFonts w:hint="default" w:ascii="Times New Roman" w:hAnsi="Times New Roman" w:cs="Times New Roman"/>
                <w:sz w:val="24"/>
              </w:rPr>
              <w:t>）。接受委托后，我单位评价人员在对项目建设进行现场勘察及收集有关资料进行分析的基础上，依据国家有关法规和环境影响评价技术导则，编制了该项目环境影响报告表，报请环保主管部门审查、审批，为项目决策、设计、建设和环境管理提供科学依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2、地理位置及周围环境</w:t>
            </w:r>
          </w:p>
          <w:p>
            <w:pPr>
              <w:adjustRightInd w:val="0"/>
              <w:snapToGrid w:val="0"/>
              <w:spacing w:line="360" w:lineRule="auto"/>
              <w:ind w:firstLine="480" w:firstLineChars="200"/>
              <w:rPr>
                <w:b w:val="0"/>
                <w:bCs w:val="0"/>
                <w:color w:val="auto"/>
                <w:sz w:val="24"/>
                <w:u w:val="single"/>
                <w:lang w:val="zh-CN"/>
              </w:rPr>
            </w:pPr>
            <w:r>
              <w:rPr>
                <w:b w:val="0"/>
                <w:bCs w:val="0"/>
                <w:color w:val="auto"/>
                <w:sz w:val="24"/>
                <w:u w:val="single"/>
                <w:lang w:val="zh-CN"/>
              </w:rPr>
              <w:t>本项目位于</w:t>
            </w:r>
            <w:r>
              <w:rPr>
                <w:rFonts w:hint="eastAsia"/>
                <w:b w:val="0"/>
                <w:bCs w:val="0"/>
                <w:color w:val="auto"/>
                <w:sz w:val="24"/>
                <w:u w:val="single"/>
                <w:lang w:val="zh-CN"/>
              </w:rPr>
              <w:t>平顶山市宝丰县宝丰高新技术产业开发区旭原不锈钢院内8号厂房</w:t>
            </w:r>
            <w:r>
              <w:rPr>
                <w:b w:val="0"/>
                <w:bCs w:val="0"/>
                <w:color w:val="auto"/>
                <w:sz w:val="24"/>
                <w:u w:val="single"/>
                <w:lang w:val="zh-CN"/>
              </w:rPr>
              <w:t>，</w:t>
            </w:r>
            <w:r>
              <w:rPr>
                <w:rFonts w:hint="eastAsia"/>
                <w:b w:val="0"/>
                <w:bCs w:val="0"/>
                <w:color w:val="auto"/>
                <w:sz w:val="24"/>
                <w:u w:val="single"/>
                <w:lang w:val="en-US" w:eastAsia="zh-CN"/>
              </w:rPr>
              <w:t>本项目西南方向210m为兴宝二路，</w:t>
            </w:r>
            <w:r>
              <w:rPr>
                <w:b w:val="0"/>
                <w:bCs w:val="0"/>
                <w:color w:val="auto"/>
                <w:sz w:val="24"/>
                <w:u w:val="single"/>
                <w:lang w:val="zh-CN"/>
              </w:rPr>
              <w:t>项目</w:t>
            </w:r>
            <w:r>
              <w:rPr>
                <w:rFonts w:hint="eastAsia"/>
                <w:b w:val="0"/>
                <w:bCs w:val="0"/>
                <w:color w:val="auto"/>
                <w:sz w:val="24"/>
                <w:u w:val="single"/>
                <w:lang w:val="en-US" w:eastAsia="zh-CN"/>
              </w:rPr>
              <w:t>厂界西</w:t>
            </w:r>
            <w:r>
              <w:rPr>
                <w:b w:val="0"/>
                <w:bCs w:val="0"/>
                <w:color w:val="auto"/>
                <w:sz w:val="24"/>
                <w:u w:val="single"/>
                <w:lang w:val="zh-CN"/>
              </w:rPr>
              <w:t>北</w:t>
            </w:r>
            <w:r>
              <w:rPr>
                <w:rFonts w:hint="eastAsia"/>
                <w:b w:val="0"/>
                <w:bCs w:val="0"/>
                <w:color w:val="auto"/>
                <w:sz w:val="24"/>
                <w:u w:val="single"/>
                <w:lang w:val="en-US" w:eastAsia="zh-CN"/>
              </w:rPr>
              <w:t>方向65m为父城大道</w:t>
            </w:r>
            <w:r>
              <w:rPr>
                <w:b w:val="0"/>
                <w:bCs w:val="0"/>
                <w:color w:val="auto"/>
                <w:sz w:val="24"/>
                <w:u w:val="single"/>
              </w:rPr>
              <w:t>，</w:t>
            </w:r>
            <w:r>
              <w:rPr>
                <w:rFonts w:hint="eastAsia"/>
                <w:b w:val="0"/>
                <w:bCs w:val="0"/>
                <w:color w:val="auto"/>
                <w:sz w:val="24"/>
                <w:u w:val="single"/>
                <w:lang w:val="en-US" w:eastAsia="zh-CN"/>
              </w:rPr>
              <w:t>项目东北方向30m为兴宝一路，项目厂界东南</w:t>
            </w:r>
            <w:r>
              <w:rPr>
                <w:rFonts w:hint="eastAsia"/>
                <w:b w:val="0"/>
                <w:bCs w:val="0"/>
                <w:color w:val="auto"/>
                <w:sz w:val="24"/>
                <w:u w:val="single"/>
              </w:rPr>
              <w:t>方向</w:t>
            </w:r>
            <w:r>
              <w:rPr>
                <w:rFonts w:hint="eastAsia"/>
                <w:b w:val="0"/>
                <w:bCs w:val="0"/>
                <w:color w:val="auto"/>
                <w:sz w:val="24"/>
                <w:u w:val="single"/>
                <w:lang w:val="en-US" w:eastAsia="zh-CN"/>
              </w:rPr>
              <w:t>350</w:t>
            </w:r>
            <w:r>
              <w:rPr>
                <w:rFonts w:hint="eastAsia"/>
                <w:b w:val="0"/>
                <w:bCs w:val="0"/>
                <w:color w:val="auto"/>
                <w:sz w:val="24"/>
                <w:u w:val="single"/>
              </w:rPr>
              <w:t>m为宝丰县产业集聚区公租房小区，</w:t>
            </w:r>
            <w:r>
              <w:rPr>
                <w:rFonts w:hint="eastAsia"/>
                <w:b w:val="0"/>
                <w:bCs w:val="0"/>
                <w:color w:val="auto"/>
                <w:sz w:val="24"/>
                <w:u w:val="single"/>
                <w:lang w:val="en-US" w:eastAsia="zh-CN"/>
              </w:rPr>
              <w:t>项目厂界北侧355m为石洼村。</w:t>
            </w:r>
            <w:r>
              <w:rPr>
                <w:b w:val="0"/>
                <w:bCs w:val="0"/>
                <w:color w:val="auto"/>
                <w:sz w:val="24"/>
                <w:u w:val="single"/>
                <w:lang w:val="zh-CN"/>
              </w:rPr>
              <w:t>项目地理位置见附图一，周围环境概况见附图</w:t>
            </w:r>
            <w:r>
              <w:rPr>
                <w:rFonts w:hint="eastAsia"/>
                <w:b w:val="0"/>
                <w:bCs w:val="0"/>
                <w:color w:val="auto"/>
                <w:sz w:val="24"/>
                <w:u w:val="single"/>
                <w:lang w:val="en-US" w:eastAsia="zh-CN"/>
              </w:rPr>
              <w:t>二</w:t>
            </w:r>
            <w:r>
              <w:rPr>
                <w:b w:val="0"/>
                <w:bCs w:val="0"/>
                <w:color w:val="auto"/>
                <w:sz w:val="24"/>
                <w:u w:val="singl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rPr>
            </w:pPr>
            <w:r>
              <w:rPr>
                <w:rFonts w:hint="default" w:ascii="Times New Roman" w:hAnsi="Times New Roman" w:cs="Times New Roman"/>
                <w:b/>
                <w:sz w:val="24"/>
              </w:rPr>
              <w:t>3、项目基本情况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kern w:val="0"/>
                <w:sz w:val="24"/>
              </w:rPr>
              <w:t>基本情况</w:t>
            </w:r>
            <w:r>
              <w:rPr>
                <w:rFonts w:hint="default" w:ascii="Times New Roman" w:hAnsi="Times New Roman" w:cs="Times New Roman"/>
                <w:sz w:val="24"/>
              </w:rPr>
              <w:t>见表</w:t>
            </w:r>
            <w:r>
              <w:rPr>
                <w:rFonts w:hint="eastAsia" w:ascii="Times New Roman" w:hAnsi="Times New Roman" w:cs="Times New Roman"/>
                <w:sz w:val="24"/>
                <w:lang w:val="en-US" w:eastAsia="zh-CN"/>
              </w:rPr>
              <w:t>2-</w:t>
            </w:r>
            <w:r>
              <w:rPr>
                <w:rFonts w:hint="default" w:ascii="Times New Roman" w:hAnsi="Times New Roman" w:cs="Times New Roman"/>
                <w:sz w:val="24"/>
              </w:rPr>
              <w:t>1，项目</w:t>
            </w:r>
            <w:r>
              <w:rPr>
                <w:rFonts w:hint="eastAsia" w:cs="Times New Roman"/>
                <w:sz w:val="24"/>
                <w:lang w:val="en-US" w:eastAsia="zh-CN"/>
              </w:rPr>
              <w:t>主要建设内容</w:t>
            </w:r>
            <w:r>
              <w:rPr>
                <w:rFonts w:hint="default" w:ascii="Times New Roman" w:hAnsi="Times New Roman" w:cs="Times New Roman"/>
                <w:sz w:val="24"/>
              </w:rPr>
              <w:t>见表</w:t>
            </w:r>
            <w:r>
              <w:rPr>
                <w:rFonts w:hint="eastAsia" w:ascii="Times New Roman" w:hAnsi="Times New Roman" w:cs="Times New Roman"/>
                <w:sz w:val="24"/>
                <w:lang w:val="en-US" w:eastAsia="zh-CN"/>
              </w:rPr>
              <w:t>2-</w:t>
            </w:r>
            <w:r>
              <w:rPr>
                <w:rFonts w:hint="default" w:ascii="Times New Roman" w:hAnsi="Times New Roman" w:cs="Times New Roman"/>
                <w:sz w:val="24"/>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rPr>
              <w:t>1本建设项目基本情况</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742"/>
              <w:gridCol w:w="1511"/>
              <w:gridCol w:w="697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宝丰县盛祥再生资源有限公司年产10000吨再生资源颗粒项目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建设单位</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eastAsia="zh-CN"/>
                    </w:rPr>
                    <w:t>宝丰县盛祥再生资源有限公司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eastAsia="zh-CN"/>
                    </w:rPr>
                    <w:t>平顶山市宝丰县宝丰高新技术产业开发区旭原不锈钢院内8号厂房</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工程建设性质</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kern w:val="0"/>
                      <w:sz w:val="21"/>
                      <w:szCs w:val="21"/>
                      <w:lang w:eastAsia="zh-CN"/>
                    </w:rPr>
                  </w:pPr>
                  <w:r>
                    <w:rPr>
                      <w:rFonts w:hint="eastAsia" w:cs="Times New Roman"/>
                      <w:kern w:val="0"/>
                      <w:sz w:val="21"/>
                      <w:szCs w:val="21"/>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所属行业</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非金属废料和碎屑加工处理（C4220）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总投资</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eastAsia" w:cs="Times New Roman"/>
                      <w:sz w:val="21"/>
                      <w:szCs w:val="21"/>
                      <w:lang w:val="en-US" w:eastAsia="zh-CN"/>
                    </w:rPr>
                    <w:t>2000</w:t>
                  </w:r>
                  <w:r>
                    <w:rPr>
                      <w:rFonts w:hint="default" w:ascii="Times New Roman" w:hAnsi="Times New Roman" w:cs="Times New Roman"/>
                      <w:sz w:val="21"/>
                      <w:szCs w:val="21"/>
                    </w:rPr>
                    <w:t>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建筑面积</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5000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8</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职工人数</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30</w:t>
                  </w:r>
                  <w:r>
                    <w:rPr>
                      <w:rFonts w:hint="default" w:ascii="Times New Roman" w:hAnsi="Times New Roman" w:cs="Times New Roman"/>
                      <w:color w:val="auto"/>
                      <w:sz w:val="21"/>
                      <w:szCs w:val="21"/>
                    </w:rPr>
                    <w:t>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8" w:hRule="atLeast"/>
                <w:tblHeader/>
                <w:jc w:val="center"/>
              </w:trPr>
              <w:tc>
                <w:tcPr>
                  <w:tcW w:w="40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9</w:t>
                  </w:r>
                </w:p>
              </w:tc>
              <w:tc>
                <w:tcPr>
                  <w:tcW w:w="8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年工作日</w:t>
                  </w:r>
                </w:p>
              </w:tc>
              <w:tc>
                <w:tcPr>
                  <w:tcW w:w="377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年工作</w:t>
                  </w:r>
                  <w:r>
                    <w:rPr>
                      <w:rFonts w:hint="default" w:ascii="Times New Roman" w:hAnsi="Times New Roman" w:cs="Times New Roman"/>
                      <w:color w:val="auto"/>
                      <w:sz w:val="21"/>
                      <w:szCs w:val="21"/>
                    </w:rPr>
                    <w:t>300天，</w:t>
                  </w:r>
                  <w:r>
                    <w:rPr>
                      <w:rFonts w:hint="eastAsia" w:cs="Times New Roman"/>
                      <w:color w:val="auto"/>
                      <w:sz w:val="21"/>
                      <w:szCs w:val="21"/>
                      <w:lang w:val="en-US" w:eastAsia="zh-CN"/>
                    </w:rPr>
                    <w:t>每天三班制，每班工作8</w:t>
                  </w:r>
                  <w:r>
                    <w:rPr>
                      <w:rFonts w:hint="default" w:ascii="Times New Roman" w:hAnsi="Times New Roman" w:cs="Times New Roman"/>
                      <w:color w:val="auto"/>
                      <w:sz w:val="21"/>
                      <w:szCs w:val="21"/>
                    </w:rPr>
                    <w:t>小时</w:t>
                  </w:r>
                  <w:r>
                    <w:rPr>
                      <w:rFonts w:hint="eastAsia" w:cs="Times New Roman"/>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rPr>
              <w:t>2项目组成及建设规模</w:t>
            </w:r>
          </w:p>
          <w:tbl>
            <w:tblPr>
              <w:tblStyle w:val="24"/>
              <w:tblW w:w="497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675"/>
              <w:gridCol w:w="123"/>
              <w:gridCol w:w="727"/>
              <w:gridCol w:w="939"/>
              <w:gridCol w:w="3766"/>
              <w:gridCol w:w="183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分类</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建设内容</w:t>
                  </w:r>
                </w:p>
              </w:tc>
              <w:tc>
                <w:tcPr>
                  <w:tcW w:w="2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建筑面积及设备配置</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120" w:hRule="atLeast"/>
                <w:jc w:val="center"/>
              </w:trPr>
              <w:tc>
                <w:tcPr>
                  <w:tcW w:w="6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主体工程</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eastAsia"/>
                      <w:lang w:val="en-US" w:eastAsia="zh-CN"/>
                    </w:rPr>
                    <w:t>废编织袋再利用</w:t>
                  </w:r>
                  <w:r>
                    <w:rPr>
                      <w:rFonts w:hint="default"/>
                    </w:rPr>
                    <w:t>生产线</w:t>
                  </w:r>
                </w:p>
              </w:tc>
              <w:tc>
                <w:tcPr>
                  <w:tcW w:w="2049" w:type="pct"/>
                  <w:tcBorders>
                    <w:tl2br w:val="nil"/>
                    <w:tr2bl w:val="nil"/>
                  </w:tcBorders>
                  <w:noWrap w:val="0"/>
                  <w:vAlign w:val="center"/>
                </w:tcPr>
                <w:p>
                  <w:pPr>
                    <w:jc w:val="both"/>
                    <w:rPr>
                      <w:rFonts w:hint="default" w:eastAsia="宋体"/>
                      <w:color w:val="auto"/>
                      <w:lang w:val="en-US" w:eastAsia="zh-CN"/>
                    </w:rPr>
                  </w:pPr>
                  <w:r>
                    <w:rPr>
                      <w:rFonts w:hint="eastAsia"/>
                      <w:color w:val="auto"/>
                      <w:lang w:val="en-US" w:eastAsia="zh-CN"/>
                    </w:rPr>
                    <w:t>建设2条废编织袋再利用加工生产线，每条线建筑面积约为120m</w:t>
                  </w:r>
                  <w:r>
                    <w:rPr>
                      <w:rFonts w:hint="eastAsia"/>
                      <w:color w:val="auto"/>
                      <w:vertAlign w:val="superscript"/>
                      <w:lang w:val="en-US" w:eastAsia="zh-CN"/>
                    </w:rPr>
                    <w:t>2</w:t>
                  </w:r>
                  <w:r>
                    <w:rPr>
                      <w:rFonts w:hint="eastAsia"/>
                      <w:color w:val="auto"/>
                      <w:lang w:val="en-US" w:eastAsia="zh-CN"/>
                    </w:rPr>
                    <w:t>，主体设备为破碎机提升机、清洗水池、喂料机、造粒机、冷却水槽以及切粒机等</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eastAsia"/>
                      <w:lang w:val="en-US" w:eastAsia="zh-CN"/>
                    </w:rPr>
                    <w:t>在租赁厂房内</w:t>
                  </w:r>
                  <w:r>
                    <w:rPr>
                      <w:rFonts w:hint="default"/>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92"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eastAsia"/>
                      <w:lang w:val="en-US" w:eastAsia="zh-CN"/>
                    </w:rPr>
                    <w:t>废泡沫再利用</w:t>
                  </w:r>
                  <w:r>
                    <w:rPr>
                      <w:rFonts w:hint="default"/>
                    </w:rPr>
                    <w:t>生产线</w:t>
                  </w:r>
                </w:p>
              </w:tc>
              <w:tc>
                <w:tcPr>
                  <w:tcW w:w="2049" w:type="pct"/>
                  <w:tcBorders>
                    <w:tl2br w:val="nil"/>
                    <w:tr2bl w:val="nil"/>
                  </w:tcBorders>
                  <w:noWrap w:val="0"/>
                  <w:vAlign w:val="center"/>
                </w:tcPr>
                <w:p>
                  <w:pPr>
                    <w:jc w:val="both"/>
                    <w:rPr>
                      <w:rFonts w:hint="default" w:eastAsia="宋体"/>
                      <w:color w:val="auto"/>
                      <w:lang w:val="en-US" w:eastAsia="zh-CN"/>
                    </w:rPr>
                  </w:pPr>
                  <w:r>
                    <w:rPr>
                      <w:rFonts w:hint="eastAsia"/>
                      <w:color w:val="auto"/>
                      <w:lang w:val="en-US" w:eastAsia="zh-CN"/>
                    </w:rPr>
                    <w:t>建设2条废泡沫再利用加工生产线，每条线建筑面积约为40m</w:t>
                  </w:r>
                  <w:r>
                    <w:rPr>
                      <w:rFonts w:hint="eastAsia"/>
                      <w:color w:val="auto"/>
                      <w:vertAlign w:val="superscript"/>
                      <w:lang w:val="en-US" w:eastAsia="zh-CN"/>
                    </w:rPr>
                    <w:t>2</w:t>
                  </w:r>
                  <w:r>
                    <w:rPr>
                      <w:rFonts w:hint="eastAsia"/>
                      <w:color w:val="auto"/>
                      <w:lang w:val="en-US" w:eastAsia="zh-CN"/>
                    </w:rPr>
                    <w:t>，主体设备为破碎机、上料机、螺旋挤塑机、冷却水槽以及切粒机等</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lang w:val="en-US" w:eastAsia="zh-CN"/>
                    </w:rPr>
                  </w:pPr>
                  <w:r>
                    <w:rPr>
                      <w:rFonts w:hint="eastAsia"/>
                      <w:lang w:val="en-US" w:eastAsia="zh-CN"/>
                    </w:rPr>
                    <w:t>在租赁厂房内新建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辅助工程</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lang w:val="en-US" w:eastAsia="zh-CN"/>
                    </w:rPr>
                  </w:pPr>
                  <w:r>
                    <w:rPr>
                      <w:rFonts w:hint="eastAsia"/>
                      <w:color w:val="auto"/>
                      <w:lang w:val="en-US" w:eastAsia="zh-CN"/>
                    </w:rPr>
                    <w:t>办公区</w:t>
                  </w:r>
                </w:p>
              </w:tc>
              <w:tc>
                <w:tcPr>
                  <w:tcW w:w="2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eastAsia"/>
                      <w:color w:val="auto"/>
                      <w:lang w:val="en-US" w:eastAsia="zh-CN"/>
                    </w:rPr>
                    <w:t>车间内东北角为</w:t>
                  </w:r>
                  <w:r>
                    <w:rPr>
                      <w:rFonts w:hint="default"/>
                      <w:color w:val="auto"/>
                    </w:rPr>
                    <w:t>办公区域，占地</w:t>
                  </w:r>
                  <w:r>
                    <w:rPr>
                      <w:rFonts w:hint="eastAsia"/>
                      <w:color w:val="auto"/>
                      <w:lang w:val="en-US" w:eastAsia="zh-CN"/>
                    </w:rPr>
                    <w:t>30</w:t>
                  </w:r>
                  <w:r>
                    <w:rPr>
                      <w:rFonts w:hint="default"/>
                      <w:color w:val="auto"/>
                    </w:rPr>
                    <w:t>m</w:t>
                  </w:r>
                  <w:r>
                    <w:rPr>
                      <w:rFonts w:hint="default"/>
                      <w:color w:val="auto"/>
                      <w:vertAlign w:val="superscript"/>
                    </w:rPr>
                    <w:t>2</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lang w:val="en-US" w:eastAsia="zh-CN"/>
                    </w:rPr>
                    <w:t>在租赁厂房内新建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储运工程</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原料堆存区</w:t>
                  </w:r>
                </w:p>
              </w:tc>
              <w:tc>
                <w:tcPr>
                  <w:tcW w:w="2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default"/>
                      <w:color w:val="auto"/>
                    </w:rPr>
                    <w:t>位于厂房内东</w:t>
                  </w:r>
                  <w:r>
                    <w:rPr>
                      <w:rFonts w:hint="eastAsia"/>
                      <w:color w:val="auto"/>
                      <w:lang w:val="en-US" w:eastAsia="zh-CN"/>
                    </w:rPr>
                    <w:t>北方向区域</w:t>
                  </w:r>
                  <w:r>
                    <w:rPr>
                      <w:rFonts w:hint="default"/>
                      <w:color w:val="auto"/>
                    </w:rPr>
                    <w:t>，占地面积为</w:t>
                  </w:r>
                  <w:r>
                    <w:rPr>
                      <w:rFonts w:hint="eastAsia"/>
                      <w:color w:val="auto"/>
                      <w:lang w:val="en-US" w:eastAsia="zh-CN"/>
                    </w:rPr>
                    <w:t>500</w:t>
                  </w:r>
                  <w:r>
                    <w:rPr>
                      <w:rFonts w:hint="default"/>
                      <w:color w:val="auto"/>
                    </w:rPr>
                    <w:t>m</w:t>
                  </w:r>
                  <w:r>
                    <w:rPr>
                      <w:rFonts w:hint="default"/>
                      <w:color w:val="auto"/>
                      <w:vertAlign w:val="superscript"/>
                    </w:rPr>
                    <w:t>2</w:t>
                  </w:r>
                  <w:r>
                    <w:rPr>
                      <w:rFonts w:hint="default"/>
                      <w:color w:val="auto"/>
                    </w:rPr>
                    <w:t>，用作项目原料的储存。</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eastAsia"/>
                      <w:lang w:val="en-US" w:eastAsia="zh-CN"/>
                    </w:rPr>
                    <w:t>在租赁厂房内</w:t>
                  </w:r>
                  <w:r>
                    <w:rPr>
                      <w:rFonts w:hint="default"/>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pP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lang w:val="en-US" w:eastAsia="zh-CN"/>
                    </w:rPr>
                  </w:pPr>
                  <w:r>
                    <w:rPr>
                      <w:rFonts w:hint="eastAsia"/>
                      <w:color w:val="auto"/>
                      <w:lang w:val="en-US" w:eastAsia="zh-CN"/>
                    </w:rPr>
                    <w:t>成品堆存区</w:t>
                  </w:r>
                </w:p>
              </w:tc>
              <w:tc>
                <w:tcPr>
                  <w:tcW w:w="20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rPr>
                  </w:pPr>
                  <w:r>
                    <w:rPr>
                      <w:rFonts w:hint="default"/>
                      <w:color w:val="auto"/>
                    </w:rPr>
                    <w:t>位于厂房内</w:t>
                  </w:r>
                  <w:r>
                    <w:rPr>
                      <w:rFonts w:hint="eastAsia"/>
                      <w:color w:val="auto"/>
                      <w:lang w:val="en-US" w:eastAsia="zh-CN"/>
                    </w:rPr>
                    <w:t>南</w:t>
                  </w:r>
                  <w:r>
                    <w:rPr>
                      <w:rFonts w:hint="default"/>
                      <w:color w:val="auto"/>
                    </w:rPr>
                    <w:t>侧，占地面积</w:t>
                  </w:r>
                  <w:r>
                    <w:rPr>
                      <w:rFonts w:hint="eastAsia"/>
                      <w:color w:val="auto"/>
                      <w:lang w:val="en-US" w:eastAsia="zh-CN"/>
                    </w:rPr>
                    <w:t>3</w:t>
                  </w:r>
                  <w:r>
                    <w:rPr>
                      <w:rFonts w:hint="default"/>
                      <w:color w:val="auto"/>
                    </w:rPr>
                    <w:t>00m</w:t>
                  </w:r>
                  <w:r>
                    <w:rPr>
                      <w:rFonts w:hint="default"/>
                      <w:color w:val="auto"/>
                      <w:vertAlign w:val="superscript"/>
                    </w:rPr>
                    <w:t>2</w:t>
                  </w:r>
                  <w:r>
                    <w:rPr>
                      <w:rFonts w:hint="default"/>
                      <w:color w:val="auto"/>
                    </w:rPr>
                    <w:t>，用作项目成品的储存。</w:t>
                  </w:r>
                </w:p>
              </w:tc>
              <w:tc>
                <w:tcPr>
                  <w:tcW w:w="9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eastAsia"/>
                      <w:lang w:val="en-US" w:eastAsia="zh-CN"/>
                    </w:rPr>
                    <w:t>在租赁厂房内</w:t>
                  </w:r>
                  <w:r>
                    <w:rPr>
                      <w:rFonts w:hint="default"/>
                    </w:rPr>
                    <w:t>新建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公用工程</w:t>
                  </w: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供水系统</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cs="Times New Roman"/>
                      <w:b w:val="0"/>
                      <w:bCs w:val="0"/>
                      <w:color w:val="auto"/>
                      <w:kern w:val="0"/>
                      <w:sz w:val="21"/>
                      <w:szCs w:val="21"/>
                      <w:u w:val="none"/>
                      <w:lang w:val="en-US" w:eastAsia="zh-CN" w:bidi="ar"/>
                    </w:rPr>
                    <w:t>由集聚区供水管网供给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排水系统</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eastAsia="宋体"/>
                      <w:lang w:eastAsia="zh-CN"/>
                    </w:rPr>
                  </w:pPr>
                  <w:r>
                    <w:rPr>
                      <w:rFonts w:hint="eastAsia"/>
                      <w:lang w:val="en-US" w:eastAsia="zh-CN"/>
                    </w:rPr>
                    <w:t>项目采取雨污分流雨水经河南旭原不锈钢有限公司厂区内已有雨水管网收纳。</w:t>
                  </w:r>
                  <w:r>
                    <w:rPr>
                      <w:rFonts w:hint="eastAsia" w:eastAsia="宋体"/>
                      <w:lang w:eastAsia="zh-CN"/>
                    </w:rPr>
                    <w:t>项目营运期废水主要为生活污水、清洗废水、车辆冲洗废水以及冷却水。生活污水经化粪池收集后可直接进入污水管网，最终进入</w:t>
                  </w:r>
                  <w:r>
                    <w:rPr>
                      <w:rFonts w:hint="eastAsia"/>
                      <w:lang w:eastAsia="zh-CN"/>
                    </w:rPr>
                    <w:t>宝丰县产业集聚区污水处理厂</w:t>
                  </w:r>
                  <w:r>
                    <w:rPr>
                      <w:rFonts w:hint="eastAsia" w:eastAsia="宋体"/>
                      <w:lang w:eastAsia="zh-CN"/>
                    </w:rPr>
                    <w:t>进行处理；清洗废水经</w:t>
                  </w:r>
                  <w:r>
                    <w:rPr>
                      <w:rFonts w:hint="eastAsia"/>
                      <w:lang w:val="en-US" w:eastAsia="zh-CN"/>
                    </w:rPr>
                    <w:t>一体化环保设施</w:t>
                  </w:r>
                  <w:r>
                    <w:rPr>
                      <w:rFonts w:hint="eastAsia" w:eastAsia="宋体"/>
                      <w:lang w:eastAsia="zh-CN"/>
                    </w:rPr>
                    <w:t>净化处理后循环使用不外排；车辆冲洗废水经沉淀池处理后，循环使用不外排；冷却水定期补充，循环使用不外排。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供电系统</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cs="Times New Roman"/>
                      <w:b w:val="0"/>
                      <w:bCs w:val="0"/>
                      <w:color w:val="auto"/>
                      <w:kern w:val="0"/>
                      <w:sz w:val="21"/>
                      <w:szCs w:val="21"/>
                      <w:u w:val="none"/>
                      <w:lang w:val="en-US" w:eastAsia="zh-CN" w:bidi="ar"/>
                    </w:rPr>
                    <w:t>由集聚区供电管网供给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635" w:hRule="atLeast"/>
                <w:jc w:val="center"/>
              </w:trPr>
              <w:tc>
                <w:tcPr>
                  <w:tcW w:w="6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环保工程</w:t>
                  </w:r>
                </w:p>
              </w:tc>
              <w:tc>
                <w:tcPr>
                  <w:tcW w:w="3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废气处理</w:t>
                  </w:r>
                </w:p>
              </w:tc>
              <w:tc>
                <w:tcPr>
                  <w:tcW w:w="4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废编织袋再利用生产线（2条）</w:t>
                  </w:r>
                </w:p>
              </w:tc>
              <w:tc>
                <w:tcPr>
                  <w:tcW w:w="510" w:type="pct"/>
                  <w:tcBorders>
                    <w:tl2br w:val="nil"/>
                    <w:tr2bl w:val="nil"/>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熔融挤出工序废气</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根据企业提供设计资料可知，项目外购的废编织袋在熔融挤出工序会产生一定量的有机废气。本项目针对熔融挤出设备的排气口、连接处和挤出机的出口处安装全密闭集气系统做到负压收集，将有机废气通过管道排入废气处理系统（干式过滤除尘（过滤棉）+活性炭吸附浓缩+催化燃烧（RCO））处理，最终经20m排气筒P1（DA001）达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609" w:type="pct"/>
                  <w:vMerge w:val="continue"/>
                  <w:tcBorders>
                    <w:tl2br w:val="nil"/>
                    <w:tr2bl w:val="nil"/>
                  </w:tcBorders>
                  <w:noWrap w:val="0"/>
                  <w:vAlign w:val="center"/>
                </w:tcPr>
                <w:p>
                  <w:pPr>
                    <w:pStyle w:val="23"/>
                    <w:ind w:left="0" w:leftChars="0" w:firstLine="0" w:firstLineChars="0"/>
                  </w:pPr>
                </w:p>
              </w:tc>
              <w:tc>
                <w:tcPr>
                  <w:tcW w:w="367" w:type="pct"/>
                  <w:vMerge w:val="continue"/>
                  <w:tcBorders>
                    <w:tl2br w:val="nil"/>
                    <w:tr2bl w:val="nil"/>
                  </w:tcBorders>
                  <w:noWrap w:val="0"/>
                  <w:vAlign w:val="center"/>
                </w:tcPr>
                <w:p>
                  <w:pPr>
                    <w:pStyle w:val="23"/>
                    <w:ind w:left="0" w:leftChars="0" w:firstLine="0" w:firstLineChars="0"/>
                  </w:pPr>
                </w:p>
              </w:tc>
              <w:tc>
                <w:tcPr>
                  <w:tcW w:w="462" w:type="pct"/>
                  <w:gridSpan w:val="2"/>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lang w:val="en-US" w:eastAsia="zh-CN"/>
                    </w:rPr>
                  </w:pPr>
                  <w:r>
                    <w:rPr>
                      <w:rFonts w:hint="eastAsia"/>
                      <w:lang w:val="en-US" w:eastAsia="zh-CN"/>
                    </w:rPr>
                    <w:t>废泡沫再利用生产线（2条）</w:t>
                  </w:r>
                </w:p>
              </w:tc>
              <w:tc>
                <w:tcPr>
                  <w:tcW w:w="51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pPr>
                  <w:r>
                    <w:rPr>
                      <w:rFonts w:hint="eastAsia" w:cs="Times New Roman"/>
                      <w:kern w:val="2"/>
                      <w:sz w:val="21"/>
                      <w:szCs w:val="24"/>
                      <w:lang w:val="en-US" w:eastAsia="zh-CN" w:bidi="ar-SA"/>
                    </w:rPr>
                    <w:t>破碎工序废气</w:t>
                  </w:r>
                </w:p>
              </w:tc>
              <w:tc>
                <w:tcPr>
                  <w:tcW w:w="3049" w:type="pct"/>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both"/>
                    <w:textAlignment w:val="auto"/>
                    <w:rPr>
                      <w:rFonts w:hint="eastAsia"/>
                      <w:lang w:eastAsia="zh-CN"/>
                    </w:rPr>
                  </w:pPr>
                  <w:r>
                    <w:rPr>
                      <w:rFonts w:hint="eastAsia"/>
                      <w:lang w:val="en-US" w:eastAsia="zh-CN"/>
                    </w:rPr>
                    <w:t>根据企业提供设计资料可知，项目外购的废泡沫在破碎工序会产生一定量的粉尘。本项目针对该工序产尘点配备集气设施进行收集，其中破碎设备进料口采取三面封闭，上方配备集气系统进行负压收集；下料口四面封闭并接入管道进行负压收集；最终将废气引入袋式除尘器处理，通过20m排气筒P2（DA002）高空达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609" w:type="pct"/>
                  <w:vMerge w:val="continue"/>
                  <w:tcBorders>
                    <w:tl2br w:val="nil"/>
                    <w:tr2bl w:val="nil"/>
                  </w:tcBorders>
                  <w:noWrap w:val="0"/>
                  <w:vAlign w:val="center"/>
                </w:tcPr>
                <w:p>
                  <w:pPr>
                    <w:pStyle w:val="23"/>
                    <w:ind w:left="0" w:leftChars="0" w:firstLine="0" w:firstLineChars="0"/>
                  </w:pPr>
                </w:p>
              </w:tc>
              <w:tc>
                <w:tcPr>
                  <w:tcW w:w="367" w:type="pct"/>
                  <w:vMerge w:val="continue"/>
                  <w:tcBorders>
                    <w:tl2br w:val="nil"/>
                    <w:tr2bl w:val="nil"/>
                  </w:tcBorders>
                  <w:noWrap w:val="0"/>
                  <w:vAlign w:val="center"/>
                </w:tcPr>
                <w:p>
                  <w:pPr>
                    <w:pStyle w:val="23"/>
                    <w:ind w:left="0" w:leftChars="0" w:firstLine="0" w:firstLineChars="0"/>
                  </w:pPr>
                </w:p>
              </w:tc>
              <w:tc>
                <w:tcPr>
                  <w:tcW w:w="462" w:type="pct"/>
                  <w:gridSpan w:val="2"/>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pPr>
                </w:p>
              </w:tc>
              <w:tc>
                <w:tcPr>
                  <w:tcW w:w="510"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pPr>
                  <w:r>
                    <w:rPr>
                      <w:rFonts w:hint="eastAsia" w:cs="Times New Roman"/>
                      <w:kern w:val="2"/>
                      <w:sz w:val="21"/>
                      <w:szCs w:val="24"/>
                      <w:lang w:val="en-US" w:eastAsia="zh-CN" w:bidi="ar-SA"/>
                    </w:rPr>
                    <w:t>熔融挤出工序废气</w:t>
                  </w:r>
                </w:p>
              </w:tc>
              <w:tc>
                <w:tcPr>
                  <w:tcW w:w="3049" w:type="pct"/>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both"/>
                    <w:textAlignment w:val="auto"/>
                    <w:rPr>
                      <w:rFonts w:hint="eastAsia"/>
                      <w:lang w:eastAsia="zh-CN"/>
                    </w:rPr>
                  </w:pPr>
                  <w:r>
                    <w:rPr>
                      <w:rFonts w:hint="eastAsia"/>
                      <w:lang w:val="en-US" w:eastAsia="zh-CN"/>
                    </w:rPr>
                    <w:t>根据企业提供设计资料可知，项目外购的废泡沫在熔融挤出工序会产生一定量的有机废气。本项目针对熔融挤出设备的排气口、连接处和挤出机的出口处安装全密闭集气系统做到负压收集，将有机废气通过管道排入废气处理系统（干式过滤除尘（过滤棉）+活性炭吸附浓缩+催化燃烧（RCO））处理，最终经20m排气筒P3（DA003）达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609" w:type="pct"/>
                  <w:vMerge w:val="continue"/>
                  <w:tcBorders>
                    <w:tl2br w:val="nil"/>
                    <w:tr2bl w:val="nil"/>
                  </w:tcBorders>
                  <w:noWrap w:val="0"/>
                  <w:vAlign w:val="center"/>
                </w:tcPr>
                <w:p>
                  <w:pPr>
                    <w:pStyle w:val="23"/>
                    <w:ind w:left="0" w:leftChars="0" w:firstLine="0" w:firstLineChars="0"/>
                  </w:pPr>
                </w:p>
              </w:tc>
              <w:tc>
                <w:tcPr>
                  <w:tcW w:w="367" w:type="pct"/>
                  <w:vMerge w:val="continue"/>
                  <w:tcBorders>
                    <w:tl2br w:val="nil"/>
                    <w:tr2bl w:val="nil"/>
                  </w:tcBorders>
                  <w:noWrap w:val="0"/>
                  <w:vAlign w:val="center"/>
                </w:tcPr>
                <w:p>
                  <w:pPr>
                    <w:pStyle w:val="23"/>
                    <w:ind w:left="0" w:leftChars="0" w:firstLine="0" w:firstLineChars="0"/>
                  </w:pPr>
                </w:p>
              </w:tc>
              <w:tc>
                <w:tcPr>
                  <w:tcW w:w="973" w:type="pct"/>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厂区道路扬尘</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rPr>
                  </w:pPr>
                  <w:r>
                    <w:rPr>
                      <w:rFonts w:hint="default"/>
                    </w:rPr>
                    <w:t>①及时对厂区内地面进行洒水降尘、清扫；</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rPr>
                  </w:pPr>
                  <w:r>
                    <w:rPr>
                      <w:rFonts w:hint="default"/>
                    </w:rPr>
                    <w:t>②汽车进入厂区后要减速慢行，运输车辆均全封闭遮盖，减少原料的散落；</w:t>
                  </w:r>
                </w:p>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left"/>
                    <w:textAlignment w:val="auto"/>
                    <w:rPr>
                      <w:rFonts w:hint="eastAsia" w:ascii="Times New Roman" w:hAnsi="Times New Roman" w:eastAsia="宋体" w:cs="Times New Roman"/>
                      <w:kern w:val="2"/>
                      <w:sz w:val="21"/>
                      <w:szCs w:val="24"/>
                      <w:lang w:val="en-US" w:eastAsia="zh-CN" w:bidi="ar-SA"/>
                    </w:rPr>
                  </w:pPr>
                  <w:r>
                    <w:rPr>
                      <w:rFonts w:hint="default"/>
                    </w:rPr>
                    <w:t>③厂区门口设置车辆清洗设施，车辆离场时确保冲洗干净后方可上路。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609" w:type="pct"/>
                  <w:vMerge w:val="continue"/>
                  <w:tcBorders>
                    <w:tl2br w:val="nil"/>
                    <w:tr2bl w:val="nil"/>
                  </w:tcBorders>
                  <w:noWrap w:val="0"/>
                  <w:vAlign w:val="center"/>
                </w:tcPr>
                <w:p>
                  <w:pPr>
                    <w:pStyle w:val="23"/>
                    <w:ind w:left="0" w:leftChars="0" w:firstLine="0" w:firstLineChars="0"/>
                  </w:pPr>
                </w:p>
              </w:tc>
              <w:tc>
                <w:tcPr>
                  <w:tcW w:w="367" w:type="pct"/>
                  <w:vMerge w:val="continue"/>
                  <w:tcBorders>
                    <w:tl2br w:val="nil"/>
                    <w:tr2bl w:val="nil"/>
                  </w:tcBorders>
                  <w:noWrap w:val="0"/>
                  <w:vAlign w:val="center"/>
                </w:tcPr>
                <w:p>
                  <w:pPr>
                    <w:pStyle w:val="23"/>
                    <w:ind w:left="0" w:leftChars="0" w:firstLine="0" w:firstLineChars="0"/>
                  </w:pPr>
                </w:p>
              </w:tc>
              <w:tc>
                <w:tcPr>
                  <w:tcW w:w="973" w:type="pct"/>
                  <w:gridSpan w:val="3"/>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s="Times New Roman"/>
                      <w:kern w:val="2"/>
                      <w:sz w:val="21"/>
                      <w:szCs w:val="24"/>
                      <w:lang w:val="en-US" w:eastAsia="zh-CN" w:bidi="ar-SA"/>
                    </w:rPr>
                  </w:pPr>
                  <w:r>
                    <w:rPr>
                      <w:rFonts w:hint="eastAsia" w:cs="Times New Roman"/>
                      <w:kern w:val="2"/>
                      <w:sz w:val="21"/>
                      <w:szCs w:val="24"/>
                      <w:lang w:val="en-US" w:eastAsia="zh-CN" w:bidi="ar-SA"/>
                    </w:rPr>
                    <w:t>一体化处理设施废气（</w:t>
                  </w:r>
                  <w:r>
                    <w:rPr>
                      <w:rFonts w:hint="default" w:ascii="Times New Roman" w:hAnsi="Times New Roman" w:cs="Times New Roman"/>
                    </w:rPr>
                    <w:t>NH</w:t>
                  </w:r>
                  <w:r>
                    <w:rPr>
                      <w:rFonts w:hint="default" w:ascii="Times New Roman" w:hAnsi="Times New Roman" w:cs="Times New Roman"/>
                      <w:vertAlign w:val="subscript"/>
                    </w:rPr>
                    <w:t>3</w:t>
                  </w:r>
                  <w:r>
                    <w:rPr>
                      <w:rFonts w:hint="eastAsia" w:cs="Times New Roman"/>
                      <w:vertAlign w:val="baseline"/>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r>
                    <w:rPr>
                      <w:rFonts w:hint="eastAsia" w:cs="Times New Roman"/>
                      <w:kern w:val="2"/>
                      <w:sz w:val="21"/>
                      <w:szCs w:val="24"/>
                      <w:lang w:val="en-US" w:eastAsia="zh-CN" w:bidi="ar-SA"/>
                    </w:rPr>
                    <w:t>）</w:t>
                  </w:r>
                </w:p>
              </w:tc>
              <w:tc>
                <w:tcPr>
                  <w:tcW w:w="3049" w:type="pct"/>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left"/>
                    <w:textAlignment w:val="auto"/>
                    <w:rPr>
                      <w:rFonts w:hint="default"/>
                    </w:rPr>
                  </w:pPr>
                  <w:r>
                    <w:rPr>
                      <w:rFonts w:hint="eastAsia" w:cs="Times New Roman"/>
                      <w:lang w:val="en-US" w:eastAsia="zh-CN"/>
                    </w:rPr>
                    <w:t>一体污水处理设施各处理单元加盖密闭，加强车间通风，车间周围绿化</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5"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134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废水处理</w:t>
                  </w:r>
                </w:p>
              </w:tc>
              <w:tc>
                <w:tcPr>
                  <w:tcW w:w="3049" w:type="pct"/>
                  <w:gridSpan w:val="2"/>
                  <w:tcBorders>
                    <w:tl2br w:val="nil"/>
                    <w:tr2bl w:val="nil"/>
                  </w:tcBorders>
                  <w:noWrap w:val="0"/>
                  <w:vAlign w:val="center"/>
                </w:tcPr>
                <w:p>
                  <w:pPr>
                    <w:rPr>
                      <w:rFonts w:hint="default" w:eastAsia="宋体"/>
                      <w:lang w:val="en-US" w:eastAsia="zh-CN"/>
                    </w:rPr>
                  </w:pPr>
                  <w:r>
                    <w:rPr>
                      <w:rFonts w:hint="default" w:eastAsia="宋体"/>
                      <w:lang w:val="en-US" w:eastAsia="zh-CN"/>
                    </w:rPr>
                    <w:t>项目营运期废水主要为生活污水、清洗废水、车辆冲洗废水以及冷却水。生活污水经化粪池收集后可直接进入</w:t>
                  </w:r>
                  <w:r>
                    <w:rPr>
                      <w:rFonts w:hint="eastAsia"/>
                      <w:lang w:val="en-US" w:eastAsia="zh-CN"/>
                    </w:rPr>
                    <w:t>集聚区</w:t>
                  </w:r>
                  <w:r>
                    <w:rPr>
                      <w:rFonts w:hint="default" w:eastAsia="宋体"/>
                      <w:lang w:val="en-US" w:eastAsia="zh-CN"/>
                    </w:rPr>
                    <w:t>污水管网，最终进入</w:t>
                  </w:r>
                  <w:r>
                    <w:rPr>
                      <w:rFonts w:hint="eastAsia"/>
                      <w:lang w:val="en-US" w:eastAsia="zh-CN"/>
                    </w:rPr>
                    <w:t>宝丰县产业集聚区污水处理厂</w:t>
                  </w:r>
                  <w:r>
                    <w:rPr>
                      <w:rFonts w:hint="default" w:eastAsia="宋体"/>
                      <w:lang w:val="en-US" w:eastAsia="zh-CN"/>
                    </w:rPr>
                    <w:t>进行处理</w:t>
                  </w:r>
                  <w:r>
                    <w:rPr>
                      <w:rFonts w:hint="eastAsia"/>
                      <w:lang w:val="en-US" w:eastAsia="zh-CN"/>
                    </w:rPr>
                    <w:t>，最终达标排放</w:t>
                  </w:r>
                  <w:r>
                    <w:rPr>
                      <w:rFonts w:hint="default" w:eastAsia="宋体"/>
                      <w:lang w:val="en-US" w:eastAsia="zh-CN"/>
                    </w:rPr>
                    <w:t>；清洗废水经环保</w:t>
                  </w:r>
                  <w:r>
                    <w:rPr>
                      <w:rFonts w:hint="eastAsia"/>
                      <w:lang w:val="en-US" w:eastAsia="zh-CN"/>
                    </w:rPr>
                    <w:t>设施（初沉池+调节池+A/O+二沉池+消毒池）</w:t>
                  </w:r>
                  <w:r>
                    <w:rPr>
                      <w:rFonts w:hint="default" w:eastAsia="宋体"/>
                      <w:lang w:val="en-US" w:eastAsia="zh-CN"/>
                    </w:rPr>
                    <w:t>净化处理后循环使用不外排；车辆冲洗废水经沉淀池处理后，循环使用不外排；冷却水定期补充，循环使用不外排。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140"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34"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固废处置</w:t>
                  </w:r>
                </w:p>
              </w:tc>
              <w:tc>
                <w:tcPr>
                  <w:tcW w:w="90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一般固体废物</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eastAsia="宋体"/>
                      <w:lang w:val="en-US" w:eastAsia="zh-CN"/>
                    </w:rPr>
                  </w:pPr>
                  <w:r>
                    <w:rPr>
                      <w:rFonts w:hint="eastAsia"/>
                      <w:lang w:val="en-US" w:eastAsia="zh-CN"/>
                    </w:rPr>
                    <w:t>生活垃圾：在厂区设置生活垃圾桶，定期交由当地环卫部门清运；废过滤棉</w:t>
                  </w:r>
                  <w:r>
                    <w:rPr>
                      <w:rFonts w:hint="eastAsia" w:cs="Times New Roman"/>
                      <w:color w:val="000000"/>
                      <w:sz w:val="21"/>
                      <w:szCs w:val="21"/>
                      <w:lang w:val="en-US" w:eastAsia="zh-CN"/>
                    </w:rPr>
                    <w:t>收集后定期交由当地环卫部门清运；</w:t>
                  </w:r>
                  <w:r>
                    <w:rPr>
                      <w:rFonts w:hint="default"/>
                    </w:rPr>
                    <w:t>除尘器收集的粉尘收集后</w:t>
                  </w:r>
                  <w:r>
                    <w:rPr>
                      <w:rFonts w:hint="eastAsia"/>
                      <w:lang w:val="en-US" w:eastAsia="zh-CN"/>
                    </w:rPr>
                    <w:t>，定期交由当地环卫部门清运；人工分拣出的杂物收集后，定期交由当地环卫部门清运；</w:t>
                  </w:r>
                  <w:r>
                    <w:rPr>
                      <w:rFonts w:hint="eastAsia" w:cs="Times New Roman"/>
                      <w:color w:val="000000"/>
                      <w:sz w:val="21"/>
                      <w:szCs w:val="21"/>
                      <w:lang w:val="en-US" w:eastAsia="zh-CN"/>
                    </w:rPr>
                    <w:t>熔融挤出工序产生的废</w:t>
                  </w:r>
                  <w:r>
                    <w:rPr>
                      <w:rFonts w:hint="eastAsia" w:ascii="Times New Roman" w:hAnsi="Times New Roman" w:eastAsia="宋体" w:cs="Times New Roman"/>
                      <w:color w:val="000000"/>
                      <w:sz w:val="21"/>
                      <w:szCs w:val="21"/>
                      <w:lang w:eastAsia="zh-CN"/>
                    </w:rPr>
                    <w:t>滤网</w:t>
                  </w:r>
                  <w:r>
                    <w:rPr>
                      <w:rFonts w:hint="default" w:ascii="Times New Roman" w:hAnsi="Times New Roman" w:eastAsia="宋体" w:cs="Times New Roman"/>
                      <w:color w:val="000000"/>
                      <w:sz w:val="21"/>
                      <w:szCs w:val="21"/>
                    </w:rPr>
                    <w:t>收集后</w:t>
                  </w:r>
                  <w:r>
                    <w:rPr>
                      <w:rFonts w:hint="eastAsia" w:ascii="Times New Roman" w:hAnsi="Times New Roman" w:eastAsia="宋体" w:cs="Times New Roman"/>
                      <w:color w:val="000000"/>
                      <w:sz w:val="21"/>
                      <w:szCs w:val="21"/>
                      <w:lang w:eastAsia="zh-CN"/>
                    </w:rPr>
                    <w:t>交由</w:t>
                  </w:r>
                  <w:r>
                    <w:rPr>
                      <w:rFonts w:hint="eastAsia" w:cs="Times New Roman"/>
                      <w:color w:val="000000"/>
                      <w:sz w:val="21"/>
                      <w:szCs w:val="21"/>
                      <w:lang w:val="en-US" w:eastAsia="zh-CN"/>
                    </w:rPr>
                    <w:t>当地环卫部门清运</w:t>
                  </w:r>
                  <w:r>
                    <w:rPr>
                      <w:rFonts w:hint="eastAsia" w:cs="Times New Roman"/>
                      <w:color w:val="000000"/>
                      <w:sz w:val="21"/>
                      <w:szCs w:val="21"/>
                      <w:lang w:eastAsia="zh-CN"/>
                    </w:rPr>
                    <w:t>；</w:t>
                  </w:r>
                  <w:r>
                    <w:rPr>
                      <w:rFonts w:hint="eastAsia" w:cs="Times New Roman"/>
                      <w:color w:val="000000"/>
                      <w:sz w:val="21"/>
                      <w:szCs w:val="21"/>
                      <w:lang w:val="en-US" w:eastAsia="zh-CN"/>
                    </w:rPr>
                    <w:t>清洗废水处理设施沉淀物经板框压滤机处理后，定期收集交由当地环卫部门清运。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9"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34"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90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lang w:val="en-US" w:eastAsia="zh-CN"/>
                    </w:rPr>
                  </w:pPr>
                  <w:r>
                    <w:rPr>
                      <w:rFonts w:hint="eastAsia"/>
                      <w:lang w:val="en-US" w:eastAsia="zh-CN"/>
                    </w:rPr>
                    <w:t>危险废物</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宋体"/>
                      <w:lang w:val="en-US" w:eastAsia="zh-CN"/>
                    </w:rPr>
                  </w:pPr>
                  <w:r>
                    <w:rPr>
                      <w:rFonts w:hint="eastAsia"/>
                      <w:color w:val="auto"/>
                      <w:lang w:val="en-US" w:eastAsia="zh-CN"/>
                    </w:rPr>
                    <w:t>生产过程中产生的危险废物主要包括废活性炭、设备保养产生的废机油以及催化燃烧产生的废催化剂（需做固体废物浸出实验）。针对生产过程中产生的危险废物本项目主要将其暂存于危废暂存间，定期交由具有危废资质单位处置。危废暂存间符合《危险废物贮存污染控制标准》（GB18597-2001）及2013修改单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76"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p>
              </w:tc>
              <w:tc>
                <w:tcPr>
                  <w:tcW w:w="4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rPr>
                  </w:pPr>
                  <w:r>
                    <w:rPr>
                      <w:rFonts w:hint="default"/>
                    </w:rPr>
                    <w:t>噪声治理</w:t>
                  </w:r>
                </w:p>
              </w:tc>
              <w:tc>
                <w:tcPr>
                  <w:tcW w:w="395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rPr>
                  </w:pPr>
                  <w:r>
                    <w:rPr>
                      <w:rFonts w:hint="default" w:ascii="Times New Roman" w:hAnsi="Times New Roman" w:cs="Times New Roman"/>
                    </w:rPr>
                    <w:t>采用低噪声生产工艺及设备</w:t>
                  </w:r>
                  <w:r>
                    <w:rPr>
                      <w:rFonts w:hint="eastAsia" w:cs="Times New Roman"/>
                      <w:lang w:eastAsia="zh-CN"/>
                    </w:rPr>
                    <w:t>，</w:t>
                  </w:r>
                  <w:r>
                    <w:rPr>
                      <w:rFonts w:hint="eastAsia" w:cs="Times New Roman"/>
                      <w:lang w:val="en-US" w:eastAsia="zh-CN"/>
                    </w:rPr>
                    <w:t>并定期维护、保养设备和车辆</w:t>
                  </w:r>
                  <w:r>
                    <w:rPr>
                      <w:rFonts w:hint="default" w:ascii="Times New Roman" w:hAnsi="Times New Roman" w:cs="Times New Roman"/>
                    </w:rPr>
                    <w:t>；使用低噪声设备、基础减振</w:t>
                  </w:r>
                  <w:r>
                    <w:rPr>
                      <w:rFonts w:hint="default" w:ascii="Times New Roman" w:hAnsi="Times New Roman" w:cs="Times New Roman"/>
                      <w:lang w:val="en-US" w:eastAsia="zh-CN"/>
                    </w:rPr>
                    <w:t>以及</w:t>
                  </w:r>
                  <w:r>
                    <w:rPr>
                      <w:rFonts w:hint="default" w:ascii="Times New Roman" w:hAnsi="Times New Roman" w:cs="Times New Roman"/>
                    </w:rPr>
                    <w:t>厂房隔声等措施，降低噪声强度</w:t>
                  </w:r>
                </w:p>
              </w:tc>
            </w:tr>
          </w:tbl>
          <w:p>
            <w:pPr>
              <w:keepNext w:val="0"/>
              <w:keepLines w:val="0"/>
              <w:pageBreakBefore w:val="0"/>
              <w:widowControl w:val="0"/>
              <w:kinsoku/>
              <w:wordWrap/>
              <w:overflowPunct/>
              <w:topLinePunct w:val="0"/>
              <w:bidi w:val="0"/>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b/>
                <w:sz w:val="24"/>
              </w:rPr>
              <w:t>4、项目产品方案及规模</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本项目</w:t>
            </w:r>
            <w:r>
              <w:rPr>
                <w:rFonts w:hint="default" w:ascii="Times New Roman" w:hAnsi="Times New Roman" w:cs="Times New Roman"/>
                <w:color w:val="auto"/>
                <w:sz w:val="24"/>
              </w:rPr>
              <w:t>产品生产方案见表</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3。</w:t>
            </w: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3本项目产品方案一览表</w:t>
            </w:r>
          </w:p>
          <w:tbl>
            <w:tblPr>
              <w:tblStyle w:val="24"/>
              <w:tblW w:w="4981"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383"/>
              <w:gridCol w:w="1261"/>
              <w:gridCol w:w="1129"/>
              <w:gridCol w:w="217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5" w:hRule="atLeast"/>
                <w:jc w:val="center"/>
              </w:trPr>
              <w:tc>
                <w:tcPr>
                  <w:tcW w:w="1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生产线</w:t>
                  </w:r>
                </w:p>
              </w:tc>
              <w:tc>
                <w:tcPr>
                  <w:tcW w:w="12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szCs w:val="21"/>
                      <w:lang w:val="en-US" w:eastAsia="zh-CN"/>
                    </w:rPr>
                  </w:pPr>
                  <w:r>
                    <w:rPr>
                      <w:rFonts w:hint="eastAsia" w:cs="Times New Roman"/>
                      <w:color w:val="auto"/>
                      <w:szCs w:val="21"/>
                      <w:lang w:val="en-US" w:eastAsia="zh-CN"/>
                    </w:rPr>
                    <w:t>产品</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w:t>
                  </w:r>
                </w:p>
              </w:tc>
              <w:tc>
                <w:tcPr>
                  <w:tcW w:w="6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生产规模</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包装及储运方式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223"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黑体" w:cs="Times New Roman"/>
                      <w:color w:val="auto"/>
                      <w:szCs w:val="21"/>
                      <w:lang w:val="en-US" w:eastAsia="zh-CN"/>
                    </w:rPr>
                  </w:pPr>
                  <w:r>
                    <w:rPr>
                      <w:rFonts w:hint="eastAsia"/>
                      <w:lang w:val="en-US" w:eastAsia="zh-CN"/>
                    </w:rPr>
                    <w:t>废编织袋再利用生产线（2条）</w:t>
                  </w:r>
                </w:p>
              </w:tc>
              <w:tc>
                <w:tcPr>
                  <w:tcW w:w="1296"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lang w:val="en-US" w:eastAsia="zh-CN"/>
                    </w:rPr>
                  </w:pPr>
                  <w:r>
                    <w:rPr>
                      <w:rFonts w:hint="eastAsia"/>
                      <w:lang w:val="en-US" w:eastAsia="zh-CN"/>
                    </w:rPr>
                    <w:t>再生聚丙烯颗粒（PP）</w:t>
                  </w:r>
                </w:p>
              </w:tc>
              <w:tc>
                <w:tcPr>
                  <w:tcW w:w="685"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2—5mm</w:t>
                  </w:r>
                </w:p>
              </w:tc>
              <w:tc>
                <w:tcPr>
                  <w:tcW w:w="613"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7000t/a</w:t>
                  </w:r>
                </w:p>
              </w:tc>
              <w:tc>
                <w:tcPr>
                  <w:tcW w:w="118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袋装</w:t>
                  </w:r>
                  <w:r>
                    <w:rPr>
                      <w:rFonts w:hint="eastAsia" w:cs="Times New Roman"/>
                      <w:color w:val="auto"/>
                      <w:szCs w:val="21"/>
                      <w:lang w:val="en-US" w:eastAsia="zh-CN"/>
                    </w:rPr>
                    <w:t>，汽车运输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23" w:type="pct"/>
                  <w:vMerge w:val="restar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黑体" w:cs="Times New Roman"/>
                      <w:color w:val="auto"/>
                      <w:szCs w:val="21"/>
                      <w:lang w:val="en-US" w:eastAsia="zh-CN"/>
                    </w:rPr>
                  </w:pPr>
                  <w:r>
                    <w:rPr>
                      <w:rFonts w:hint="eastAsia" w:cs="Times New Roman"/>
                      <w:color w:val="auto"/>
                      <w:kern w:val="2"/>
                      <w:sz w:val="21"/>
                      <w:szCs w:val="21"/>
                      <w:vertAlign w:val="baseline"/>
                      <w:lang w:val="en-US" w:eastAsia="zh-CN" w:bidi="ar-SA"/>
                    </w:rPr>
                    <w:t>废泡沫再利用生产线</w:t>
                  </w:r>
                  <w:r>
                    <w:rPr>
                      <w:rFonts w:hint="eastAsia"/>
                      <w:lang w:val="en-US" w:eastAsia="zh-CN"/>
                    </w:rPr>
                    <w:t>（2条）</w:t>
                  </w:r>
                </w:p>
              </w:tc>
              <w:tc>
                <w:tcPr>
                  <w:tcW w:w="1296"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lang w:val="en-US" w:eastAsia="zh-CN"/>
                    </w:rPr>
                  </w:pPr>
                  <w:r>
                    <w:rPr>
                      <w:rFonts w:hint="eastAsia"/>
                      <w:lang w:val="en-US" w:eastAsia="zh-CN"/>
                    </w:rPr>
                    <w:t>再生聚苯乙烯颗粒（PS）</w:t>
                  </w:r>
                </w:p>
              </w:tc>
              <w:tc>
                <w:tcPr>
                  <w:tcW w:w="685" w:type="pct"/>
                  <w:vMerge w:val="restar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2—5mm</w:t>
                  </w:r>
                </w:p>
              </w:tc>
              <w:tc>
                <w:tcPr>
                  <w:tcW w:w="613"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2000t/a</w:t>
                  </w:r>
                </w:p>
              </w:tc>
              <w:tc>
                <w:tcPr>
                  <w:tcW w:w="118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袋装</w:t>
                  </w:r>
                  <w:r>
                    <w:rPr>
                      <w:rFonts w:hint="eastAsia" w:cs="Times New Roman"/>
                      <w:color w:val="auto"/>
                      <w:szCs w:val="21"/>
                      <w:lang w:val="en-US" w:eastAsia="zh-CN"/>
                    </w:rPr>
                    <w:t>，汽车运输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23" w:type="pct"/>
                  <w:vMerge w:val="continue"/>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lang w:val="en-US" w:eastAsia="zh-CN"/>
                    </w:rPr>
                  </w:pPr>
                </w:p>
              </w:tc>
              <w:tc>
                <w:tcPr>
                  <w:tcW w:w="1296"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lang w:val="en-US" w:eastAsia="zh-CN"/>
                    </w:rPr>
                  </w:pPr>
                  <w:r>
                    <w:rPr>
                      <w:rFonts w:hint="eastAsia"/>
                      <w:lang w:val="en-US" w:eastAsia="zh-CN"/>
                    </w:rPr>
                    <w:t>再生聚丙烯颗粒（PP）</w:t>
                  </w:r>
                </w:p>
              </w:tc>
              <w:tc>
                <w:tcPr>
                  <w:tcW w:w="685" w:type="pct"/>
                  <w:vMerge w:val="continue"/>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cs="Times New Roman"/>
                      <w:color w:val="auto"/>
                      <w:szCs w:val="21"/>
                      <w:lang w:val="en-US" w:eastAsia="zh-CN"/>
                    </w:rPr>
                  </w:pPr>
                </w:p>
              </w:tc>
              <w:tc>
                <w:tcPr>
                  <w:tcW w:w="613"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cs="Times New Roman"/>
                      <w:color w:val="auto"/>
                      <w:szCs w:val="21"/>
                      <w:lang w:val="en-US" w:eastAsia="zh-CN"/>
                    </w:rPr>
                  </w:pPr>
                  <w:r>
                    <w:rPr>
                      <w:rFonts w:hint="eastAsia" w:cs="Times New Roman"/>
                      <w:color w:val="auto"/>
                      <w:szCs w:val="21"/>
                      <w:lang w:val="en-US" w:eastAsia="zh-CN"/>
                    </w:rPr>
                    <w:t>500t/a</w:t>
                  </w:r>
                </w:p>
              </w:tc>
              <w:tc>
                <w:tcPr>
                  <w:tcW w:w="118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袋装</w:t>
                  </w:r>
                  <w:r>
                    <w:rPr>
                      <w:rFonts w:hint="eastAsia" w:cs="Times New Roman"/>
                      <w:color w:val="auto"/>
                      <w:szCs w:val="21"/>
                      <w:lang w:val="en-US" w:eastAsia="zh-CN"/>
                    </w:rPr>
                    <w:t>，汽车运输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23" w:type="pct"/>
                  <w:vMerge w:val="continue"/>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lang w:val="en-US" w:eastAsia="zh-CN"/>
                    </w:rPr>
                  </w:pPr>
                </w:p>
              </w:tc>
              <w:tc>
                <w:tcPr>
                  <w:tcW w:w="1296"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lang w:val="en-US" w:eastAsia="zh-CN"/>
                    </w:rPr>
                  </w:pPr>
                  <w:r>
                    <w:rPr>
                      <w:rFonts w:hint="eastAsia"/>
                      <w:lang w:val="en-US" w:eastAsia="zh-CN"/>
                    </w:rPr>
                    <w:t>再生聚乙烯颗粒（PE）</w:t>
                  </w:r>
                </w:p>
              </w:tc>
              <w:tc>
                <w:tcPr>
                  <w:tcW w:w="685" w:type="pct"/>
                  <w:vMerge w:val="continue"/>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cs="Times New Roman"/>
                      <w:color w:val="auto"/>
                      <w:szCs w:val="21"/>
                      <w:lang w:val="en-US" w:eastAsia="zh-CN"/>
                    </w:rPr>
                  </w:pPr>
                </w:p>
              </w:tc>
              <w:tc>
                <w:tcPr>
                  <w:tcW w:w="613"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cs="Times New Roman"/>
                      <w:color w:val="auto"/>
                      <w:szCs w:val="21"/>
                      <w:lang w:val="en-US" w:eastAsia="zh-CN"/>
                    </w:rPr>
                  </w:pPr>
                  <w:r>
                    <w:rPr>
                      <w:rFonts w:hint="eastAsia" w:cs="Times New Roman"/>
                      <w:color w:val="auto"/>
                      <w:szCs w:val="21"/>
                      <w:lang w:val="en-US" w:eastAsia="zh-CN"/>
                    </w:rPr>
                    <w:t>500t/a</w:t>
                  </w:r>
                </w:p>
              </w:tc>
              <w:tc>
                <w:tcPr>
                  <w:tcW w:w="1181" w:type="pct"/>
                  <w:tcBorders>
                    <w:tl2br w:val="nil"/>
                    <w:tr2bl w:val="nil"/>
                  </w:tcBorders>
                  <w:noWrap w:val="0"/>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袋装</w:t>
                  </w:r>
                  <w:r>
                    <w:rPr>
                      <w:rFonts w:hint="eastAsia" w:cs="Times New Roman"/>
                      <w:color w:val="auto"/>
                      <w:szCs w:val="21"/>
                      <w:lang w:val="en-US" w:eastAsia="zh-CN"/>
                    </w:rPr>
                    <w:t>，汽车运输</w:t>
                  </w:r>
                </w:p>
              </w:tc>
            </w:tr>
          </w:tbl>
          <w:p>
            <w:pPr>
              <w:keepNext w:val="0"/>
              <w:keepLines w:val="0"/>
              <w:pageBreakBefore w:val="0"/>
              <w:widowControl w:val="0"/>
              <w:kinsoku/>
              <w:wordWrap/>
              <w:overflowPunct/>
              <w:topLinePunct w:val="0"/>
              <w:bidi w:val="0"/>
              <w:adjustRightInd w:val="0"/>
              <w:snapToGrid w:val="0"/>
              <w:spacing w:line="520" w:lineRule="exact"/>
              <w:rPr>
                <w:rFonts w:hint="default" w:ascii="Times New Roman" w:hAnsi="Times New Roman" w:cs="Times New Roman"/>
                <w:b/>
                <w:sz w:val="24"/>
              </w:rPr>
            </w:pPr>
            <w:r>
              <w:rPr>
                <w:rFonts w:hint="default" w:ascii="Times New Roman" w:hAnsi="Times New Roman" w:cs="Times New Roman"/>
                <w:b/>
                <w:sz w:val="24"/>
              </w:rPr>
              <w:t>5、主要原辅材料及能源消耗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本项目原辅材料、水及能源消耗情况见表</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4</w:t>
            </w:r>
            <w:r>
              <w:rPr>
                <w:rFonts w:hint="default" w:ascii="Times New Roman" w:hAnsi="Times New Roman" w:cs="Times New Roman"/>
                <w:color w:val="auto"/>
                <w:sz w:val="24"/>
              </w:rPr>
              <w:t>。</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4</w:t>
            </w:r>
            <w:r>
              <w:rPr>
                <w:rFonts w:hint="default" w:ascii="Times New Roman" w:hAnsi="Times New Roman" w:eastAsia="宋体" w:cs="Times New Roman"/>
                <w:b/>
                <w:bCs/>
                <w:color w:val="auto"/>
                <w:sz w:val="24"/>
              </w:rPr>
              <w:t>本项目原辅材料、水及能源消耗一览表</w:t>
            </w:r>
          </w:p>
          <w:tbl>
            <w:tblPr>
              <w:tblStyle w:val="24"/>
              <w:tblW w:w="494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344"/>
              <w:gridCol w:w="2609"/>
              <w:gridCol w:w="1320"/>
              <w:gridCol w:w="975"/>
              <w:gridCol w:w="208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7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项目</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名称</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单位</w:t>
                  </w:r>
                </w:p>
              </w:tc>
              <w:tc>
                <w:tcPr>
                  <w:tcW w:w="53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数量</w:t>
                  </w:r>
                </w:p>
              </w:tc>
              <w:tc>
                <w:tcPr>
                  <w:tcW w:w="114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73" w:type="pct"/>
                  <w:gridSpan w:val="2"/>
                  <w:tcBorders>
                    <w:tl2br w:val="nil"/>
                    <w:tr2bl w:val="nil"/>
                  </w:tcBorders>
                  <w:vAlign w:val="center"/>
                </w:tcPr>
                <w:p>
                  <w:pPr>
                    <w:keepNext w:val="0"/>
                    <w:keepLines w:val="0"/>
                    <w:pageBreakBefore w:val="0"/>
                    <w:widowControl w:val="0"/>
                    <w:tabs>
                      <w:tab w:val="left" w:pos="63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黑体" w:cs="Times New Roman"/>
                      <w:color w:val="auto"/>
                      <w:kern w:val="2"/>
                      <w:sz w:val="21"/>
                      <w:szCs w:val="21"/>
                      <w:lang w:val="en-US" w:eastAsia="zh-CN" w:bidi="ar-SA"/>
                    </w:rPr>
                  </w:pPr>
                  <w:r>
                    <w:rPr>
                      <w:rFonts w:hint="eastAsia"/>
                      <w:color w:val="auto"/>
                      <w:sz w:val="21"/>
                      <w:szCs w:val="21"/>
                      <w:vertAlign w:val="baseline"/>
                      <w:lang w:val="en-US" w:eastAsia="zh-CN"/>
                    </w:rPr>
                    <w:t>废编织袋再利用生产线</w:t>
                  </w:r>
                  <w:r>
                    <w:rPr>
                      <w:rFonts w:hint="eastAsia"/>
                      <w:lang w:val="en-US" w:eastAsia="zh-CN"/>
                    </w:rPr>
                    <w:t>（2条）</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废编织袋（PP）</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t/a</w:t>
                  </w:r>
                </w:p>
              </w:tc>
              <w:tc>
                <w:tcPr>
                  <w:tcW w:w="5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7029.1</w:t>
                  </w:r>
                </w:p>
              </w:tc>
              <w:tc>
                <w:tcPr>
                  <w:tcW w:w="11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b w:val="0"/>
                      <w:bCs w:val="0"/>
                      <w:szCs w:val="21"/>
                      <w:u w:val="none"/>
                    </w:rPr>
                  </w:pPr>
                  <w:r>
                    <w:rPr>
                      <w:rFonts w:hint="default" w:ascii="Times New Roman" w:hAnsi="Times New Roman" w:cs="Times New Roman"/>
                    </w:rPr>
                    <w:t>采用密闭运输车</w:t>
                  </w:r>
                  <w:r>
                    <w:rPr>
                      <w:rFonts w:hint="eastAsia" w:cs="Times New Roman"/>
                      <w:lang w:eastAsia="zh-CN"/>
                    </w:rPr>
                    <w:t>进入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7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eastAsia="zh-CN"/>
                    </w:rPr>
                  </w:pPr>
                  <w:r>
                    <w:rPr>
                      <w:rFonts w:hint="eastAsia" w:cs="Times New Roman"/>
                      <w:color w:val="auto"/>
                      <w:kern w:val="2"/>
                      <w:sz w:val="21"/>
                      <w:szCs w:val="21"/>
                      <w:vertAlign w:val="baseline"/>
                      <w:lang w:val="en-US" w:eastAsia="zh-CN" w:bidi="ar-SA"/>
                    </w:rPr>
                    <w:t>废泡沫再利用生产线</w:t>
                  </w:r>
                  <w:r>
                    <w:rPr>
                      <w:rFonts w:hint="eastAsia"/>
                      <w:lang w:val="en-US" w:eastAsia="zh-CN"/>
                    </w:rPr>
                    <w:t>（2条）</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ascii="Times New Roman" w:hAnsi="Times New Roman" w:cs="Times New Roman"/>
                      <w:b w:val="0"/>
                      <w:bCs w:val="0"/>
                      <w:szCs w:val="21"/>
                      <w:u w:val="none"/>
                    </w:rPr>
                    <w:t>废塑料泡沫（PS）</w:t>
                  </w:r>
                  <w:r>
                    <w:rPr>
                      <w:rFonts w:hint="eastAsia" w:cs="Times New Roman"/>
                      <w:b w:val="0"/>
                      <w:bCs w:val="0"/>
                      <w:szCs w:val="21"/>
                      <w:u w:val="none"/>
                      <w:lang w:eastAsia="zh-CN"/>
                    </w:rPr>
                    <w:t>、废塑料泡沫（PP）</w:t>
                  </w:r>
                  <w:r>
                    <w:rPr>
                      <w:rFonts w:hint="eastAsia" w:cs="Times New Roman"/>
                      <w:b w:val="0"/>
                      <w:bCs w:val="0"/>
                      <w:szCs w:val="21"/>
                      <w:u w:val="none"/>
                      <w:lang w:val="en-US" w:eastAsia="zh-CN"/>
                    </w:rPr>
                    <w:t>以及废塑料泡沫（PE）</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t/a</w:t>
                  </w:r>
                </w:p>
              </w:tc>
              <w:tc>
                <w:tcPr>
                  <w:tcW w:w="5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kern w:val="0"/>
                      <w:szCs w:val="21"/>
                      <w:u w:val="none"/>
                      <w:lang w:val="en-US" w:eastAsia="zh-CN"/>
                    </w:rPr>
                  </w:pPr>
                  <w:r>
                    <w:rPr>
                      <w:rFonts w:hint="eastAsia" w:cs="Times New Roman"/>
                      <w:b w:val="0"/>
                      <w:bCs w:val="0"/>
                      <w:kern w:val="0"/>
                      <w:szCs w:val="21"/>
                      <w:u w:val="none"/>
                      <w:lang w:val="en-US" w:eastAsia="zh-CN"/>
                    </w:rPr>
                    <w:t>3010.15</w:t>
                  </w:r>
                </w:p>
              </w:tc>
              <w:tc>
                <w:tcPr>
                  <w:tcW w:w="114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eastAsia="zh-CN"/>
                    </w:rPr>
                  </w:pPr>
                  <w:r>
                    <w:rPr>
                      <w:rFonts w:hint="default" w:ascii="Times New Roman" w:hAnsi="Times New Roman" w:cs="Times New Roman"/>
                    </w:rPr>
                    <w:t>采用密闭运输车</w:t>
                  </w:r>
                  <w:r>
                    <w:rPr>
                      <w:rFonts w:hint="eastAsia" w:cs="Times New Roman"/>
                      <w:lang w:eastAsia="zh-CN"/>
                    </w:rPr>
                    <w:t>进入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7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lang w:val="en-US" w:eastAsia="zh-CN"/>
                    </w:rPr>
                  </w:pPr>
                  <w:r>
                    <w:rPr>
                      <w:rFonts w:hint="eastAsia"/>
                      <w:lang w:val="en-US" w:eastAsia="zh-CN"/>
                    </w:rPr>
                    <w:t>机油</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t/a</w:t>
                  </w:r>
                </w:p>
              </w:tc>
              <w:tc>
                <w:tcPr>
                  <w:tcW w:w="5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kern w:val="0"/>
                      <w:szCs w:val="21"/>
                      <w:u w:val="none"/>
                      <w:lang w:val="en-US" w:eastAsia="zh-CN"/>
                    </w:rPr>
                  </w:pPr>
                  <w:r>
                    <w:rPr>
                      <w:rFonts w:hint="eastAsia" w:cs="Times New Roman"/>
                      <w:b w:val="0"/>
                      <w:bCs w:val="0"/>
                      <w:kern w:val="0"/>
                      <w:szCs w:val="21"/>
                      <w:u w:val="none"/>
                      <w:lang w:val="en-US" w:eastAsia="zh-CN"/>
                    </w:rPr>
                    <w:t>0.6</w:t>
                  </w:r>
                </w:p>
              </w:tc>
              <w:tc>
                <w:tcPr>
                  <w:tcW w:w="114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用于设备保养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color w:val="auto"/>
                      <w:lang w:val="en-US" w:eastAsia="zh-CN"/>
                    </w:rPr>
                  </w:pPr>
                  <w:r>
                    <w:rPr>
                      <w:rFonts w:hint="eastAsia"/>
                      <w:color w:val="auto"/>
                      <w:lang w:val="en-US" w:eastAsia="zh-CN"/>
                    </w:rPr>
                    <w:t>絮凝剂</w:t>
                  </w:r>
                </w:p>
              </w:tc>
              <w:tc>
                <w:tcPr>
                  <w:tcW w:w="7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olor w:val="auto"/>
                      <w:lang w:val="en-US" w:eastAsia="zh-CN"/>
                    </w:rPr>
                  </w:pPr>
                  <w:r>
                    <w:rPr>
                      <w:rFonts w:hint="eastAsia"/>
                      <w:color w:val="auto"/>
                      <w:lang w:val="en-US" w:eastAsia="zh-CN"/>
                    </w:rPr>
                    <w:t>PAC（干粉）</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color w:val="auto"/>
                      <w:szCs w:val="21"/>
                      <w:u w:val="none"/>
                      <w:lang w:val="en-US" w:eastAsia="zh-CN"/>
                    </w:rPr>
                  </w:pPr>
                  <w:r>
                    <w:rPr>
                      <w:rFonts w:hint="eastAsia" w:cs="Times New Roman"/>
                      <w:b w:val="0"/>
                      <w:bCs w:val="0"/>
                      <w:color w:val="auto"/>
                      <w:szCs w:val="21"/>
                      <w:u w:val="none"/>
                      <w:lang w:val="en-US" w:eastAsia="zh-CN"/>
                    </w:rPr>
                    <w:t>/</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t/a</w:t>
                  </w:r>
                </w:p>
              </w:tc>
              <w:tc>
                <w:tcPr>
                  <w:tcW w:w="5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val="0"/>
                      <w:bCs w:val="0"/>
                      <w:color w:val="auto"/>
                      <w:kern w:val="0"/>
                      <w:szCs w:val="21"/>
                      <w:u w:val="none"/>
                      <w:lang w:val="en-US" w:eastAsia="zh-CN"/>
                    </w:rPr>
                  </w:pPr>
                  <w:r>
                    <w:rPr>
                      <w:rFonts w:hint="eastAsia" w:cs="Times New Roman"/>
                      <w:b w:val="0"/>
                      <w:bCs w:val="0"/>
                      <w:color w:val="auto"/>
                      <w:szCs w:val="21"/>
                      <w:u w:val="none"/>
                      <w:lang w:val="en-US" w:eastAsia="zh-CN"/>
                    </w:rPr>
                    <w:t>1.8</w:t>
                  </w:r>
                </w:p>
              </w:tc>
              <w:tc>
                <w:tcPr>
                  <w:tcW w:w="114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外购，袋装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olor w:val="auto"/>
                      <w:lang w:val="en-US" w:eastAsia="zh-CN"/>
                    </w:rPr>
                  </w:pPr>
                </w:p>
              </w:tc>
              <w:tc>
                <w:tcPr>
                  <w:tcW w:w="73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color w:val="auto"/>
                      <w:lang w:val="en-US" w:eastAsia="zh-CN"/>
                    </w:rPr>
                  </w:pPr>
                  <w:r>
                    <w:rPr>
                      <w:rFonts w:hint="eastAsia"/>
                      <w:color w:val="auto"/>
                      <w:lang w:val="en-US" w:eastAsia="zh-CN"/>
                    </w:rPr>
                    <w:t>PAM（干粉）</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cs="Times New Roman"/>
                      <w:b w:val="0"/>
                      <w:bCs w:val="0"/>
                      <w:color w:val="auto"/>
                      <w:szCs w:val="21"/>
                      <w:u w:val="none"/>
                      <w:lang w:val="en-US" w:eastAsia="zh-CN"/>
                    </w:rPr>
                  </w:pPr>
                  <w:r>
                    <w:rPr>
                      <w:rFonts w:hint="eastAsia" w:cs="Times New Roman"/>
                      <w:b w:val="0"/>
                      <w:bCs w:val="0"/>
                      <w:color w:val="auto"/>
                      <w:szCs w:val="21"/>
                      <w:u w:val="none"/>
                      <w:lang w:val="en-US" w:eastAsia="zh-CN"/>
                    </w:rPr>
                    <w:t>/</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color w:val="auto"/>
                      <w:szCs w:val="21"/>
                      <w:u w:val="none"/>
                    </w:rPr>
                  </w:pPr>
                  <w:r>
                    <w:rPr>
                      <w:rFonts w:ascii="Times New Roman" w:hAnsi="Times New Roman" w:cs="Times New Roman"/>
                      <w:b w:val="0"/>
                      <w:bCs w:val="0"/>
                      <w:color w:val="auto"/>
                      <w:szCs w:val="21"/>
                      <w:u w:val="none"/>
                    </w:rPr>
                    <w:t>t/a</w:t>
                  </w:r>
                </w:p>
              </w:tc>
              <w:tc>
                <w:tcPr>
                  <w:tcW w:w="53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cs="Times New Roman"/>
                      <w:b w:val="0"/>
                      <w:bCs w:val="0"/>
                      <w:color w:val="auto"/>
                      <w:szCs w:val="21"/>
                      <w:u w:val="none"/>
                      <w:lang w:val="en-US" w:eastAsia="zh-CN"/>
                    </w:rPr>
                  </w:pPr>
                  <w:r>
                    <w:rPr>
                      <w:rFonts w:hint="eastAsia" w:cs="Times New Roman"/>
                      <w:b w:val="0"/>
                      <w:bCs w:val="0"/>
                      <w:color w:val="auto"/>
                      <w:szCs w:val="21"/>
                      <w:u w:val="none"/>
                      <w:lang w:val="en-US" w:eastAsia="zh-CN"/>
                    </w:rPr>
                    <w:t>0.0053</w:t>
                  </w:r>
                </w:p>
              </w:tc>
              <w:tc>
                <w:tcPr>
                  <w:tcW w:w="114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Times New Roman"/>
                      <w:b w:val="0"/>
                      <w:bCs w:val="0"/>
                      <w:color w:val="auto"/>
                      <w:szCs w:val="21"/>
                      <w:u w:val="none"/>
                      <w:lang w:eastAsia="zh-CN"/>
                    </w:rPr>
                  </w:pPr>
                  <w:r>
                    <w:rPr>
                      <w:rFonts w:hint="eastAsia" w:ascii="Times New Roman" w:hAnsi="Times New Roman" w:eastAsia="宋体" w:cs="Times New Roman"/>
                      <w:b w:val="0"/>
                      <w:bCs w:val="0"/>
                      <w:color w:val="auto"/>
                      <w:szCs w:val="21"/>
                      <w:u w:val="none"/>
                      <w:lang w:eastAsia="zh-CN"/>
                    </w:rPr>
                    <w:t>外购，袋装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000" w:type="pct"/>
                  <w:gridSpan w:val="6"/>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能源消耗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7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1</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电</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万</w:t>
                  </w:r>
                  <w:r>
                    <w:rPr>
                      <w:rFonts w:hint="eastAsia" w:cs="Times New Roman" w:hAnsiTheme="minorEastAsia"/>
                      <w:b w:val="0"/>
                      <w:bCs w:val="0"/>
                      <w:szCs w:val="21"/>
                      <w:u w:val="none"/>
                      <w:lang w:eastAsia="zh-CN"/>
                    </w:rPr>
                    <w:t>kW</w:t>
                  </w:r>
                  <w:r>
                    <w:rPr>
                      <w:rFonts w:hint="eastAsia" w:ascii="微软雅黑" w:hAnsi="微软雅黑" w:eastAsia="微软雅黑" w:cs="微软雅黑"/>
                      <w:b w:val="0"/>
                      <w:bCs w:val="0"/>
                      <w:szCs w:val="21"/>
                      <w:u w:val="none"/>
                    </w:rPr>
                    <w:t>·</w:t>
                  </w:r>
                  <w:r>
                    <w:rPr>
                      <w:rFonts w:ascii="Times New Roman" w:hAnsi="Times New Roman" w:cs="Times New Roman"/>
                      <w:b w:val="0"/>
                      <w:bCs w:val="0"/>
                      <w:szCs w:val="21"/>
                      <w:u w:val="none"/>
                    </w:rPr>
                    <w:t>h/a</w:t>
                  </w:r>
                </w:p>
              </w:tc>
              <w:tc>
                <w:tcPr>
                  <w:tcW w:w="53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hint="eastAsia" w:cs="Times New Roman" w:hAnsiTheme="minorEastAsia"/>
                      <w:b w:val="0"/>
                      <w:bCs w:val="0"/>
                      <w:szCs w:val="21"/>
                      <w:u w:val="none"/>
                      <w:lang w:val="en-US" w:eastAsia="zh-CN"/>
                    </w:rPr>
                    <w:t>70</w:t>
                  </w:r>
                </w:p>
              </w:tc>
              <w:tc>
                <w:tcPr>
                  <w:tcW w:w="11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ascii="Times New Roman" w:hAnsi="Times New Roman" w:cs="Times New Roman"/>
                      <w:b w:val="0"/>
                      <w:bCs w:val="0"/>
                      <w:kern w:val="0"/>
                      <w:szCs w:val="21"/>
                      <w:u w:val="none"/>
                    </w:rPr>
                  </w:pPr>
                  <w:r>
                    <w:rPr>
                      <w:rFonts w:hint="eastAsia" w:cs="Times New Roman" w:hAnsiTheme="minorEastAsia"/>
                      <w:b w:val="0"/>
                      <w:bCs w:val="0"/>
                      <w:kern w:val="0"/>
                      <w:szCs w:val="21"/>
                      <w:u w:val="none"/>
                      <w:lang w:val="en-US" w:eastAsia="zh-CN"/>
                    </w:rPr>
                    <w:t>由当地国家电网</w:t>
                  </w:r>
                  <w:r>
                    <w:rPr>
                      <w:rFonts w:ascii="Times New Roman" w:cs="Times New Roman" w:hAnsiTheme="minorEastAsia"/>
                      <w:b w:val="0"/>
                      <w:bCs w:val="0"/>
                      <w:kern w:val="0"/>
                      <w:szCs w:val="21"/>
                      <w:u w:val="none"/>
                    </w:rPr>
                    <w:t>供电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173"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2</w:t>
                  </w:r>
                </w:p>
              </w:tc>
              <w:tc>
                <w:tcPr>
                  <w:tcW w:w="142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cs="Times New Roman" w:hAnsiTheme="minorEastAsia"/>
                      <w:b w:val="0"/>
                      <w:bCs w:val="0"/>
                      <w:szCs w:val="21"/>
                      <w:u w:val="none"/>
                    </w:rPr>
                    <w:t>水</w:t>
                  </w:r>
                </w:p>
              </w:tc>
              <w:tc>
                <w:tcPr>
                  <w:tcW w:w="722"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cs="Times New Roman"/>
                      <w:b w:val="0"/>
                      <w:bCs w:val="0"/>
                      <w:szCs w:val="21"/>
                      <w:u w:val="none"/>
                    </w:rPr>
                  </w:pPr>
                  <w:r>
                    <w:rPr>
                      <w:rFonts w:ascii="Times New Roman" w:hAnsi="Times New Roman" w:cs="Times New Roman"/>
                      <w:b w:val="0"/>
                      <w:bCs w:val="0"/>
                      <w:szCs w:val="21"/>
                      <w:u w:val="none"/>
                    </w:rPr>
                    <w:t>t/a</w:t>
                  </w:r>
                </w:p>
              </w:tc>
              <w:tc>
                <w:tcPr>
                  <w:tcW w:w="53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5794.2</w:t>
                  </w:r>
                </w:p>
              </w:tc>
              <w:tc>
                <w:tcPr>
                  <w:tcW w:w="11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b w:val="0"/>
                      <w:bCs w:val="0"/>
                      <w:kern w:val="0"/>
                      <w:szCs w:val="21"/>
                      <w:u w:val="none"/>
                      <w:lang w:val="en-US" w:eastAsia="zh-CN"/>
                    </w:rPr>
                  </w:pPr>
                  <w:r>
                    <w:rPr>
                      <w:rFonts w:hint="eastAsia" w:cs="Times New Roman"/>
                      <w:b w:val="0"/>
                      <w:bCs w:val="0"/>
                      <w:kern w:val="0"/>
                      <w:szCs w:val="21"/>
                      <w:u w:val="none"/>
                      <w:lang w:val="en-US" w:eastAsia="zh-CN"/>
                    </w:rPr>
                    <w:t>园区供水管网供给</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u w:val="single"/>
              </w:rPr>
            </w:pPr>
            <w:r>
              <w:rPr>
                <w:rFonts w:hint="default" w:ascii="Times New Roman" w:hAnsi="Times New Roman" w:eastAsia="宋体" w:cs="Times New Roman"/>
                <w:b/>
                <w:bCs/>
                <w:color w:val="auto"/>
                <w:kern w:val="0"/>
                <w:sz w:val="24"/>
                <w:szCs w:val="24"/>
                <w:u w:val="single"/>
                <w:lang w:val="en-US" w:eastAsia="zh-CN" w:bidi="ar"/>
              </w:rPr>
              <w:t>对于原料环评提出以下要求：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u w:val="single"/>
              </w:rPr>
            </w:pPr>
            <w:r>
              <w:rPr>
                <w:rFonts w:hint="default" w:ascii="Times New Roman" w:hAnsi="Times New Roman" w:eastAsia="宋体" w:cs="Times New Roman"/>
                <w:b/>
                <w:bCs/>
                <w:color w:val="auto"/>
                <w:kern w:val="0"/>
                <w:sz w:val="24"/>
                <w:szCs w:val="24"/>
                <w:u w:val="single"/>
                <w:lang w:val="en-US" w:eastAsia="zh-CN" w:bidi="ar"/>
              </w:rPr>
              <w:t>（1）废塑料来源、种类控制及准入制度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b w:val="0"/>
                <w:bCs w:val="0"/>
                <w:color w:val="auto"/>
                <w:kern w:val="0"/>
                <w:sz w:val="24"/>
                <w:szCs w:val="24"/>
                <w:u w:val="single"/>
                <w:lang w:val="en-US" w:eastAsia="zh-CN" w:bidi="ar"/>
              </w:rPr>
              <w:t>项目原材料为废塑料泡沫（PE/PP/PS），</w:t>
            </w:r>
            <w:r>
              <w:rPr>
                <w:rFonts w:hint="eastAsia" w:cs="Times New Roman"/>
                <w:b w:val="0"/>
                <w:bCs w:val="0"/>
                <w:color w:val="auto"/>
                <w:kern w:val="0"/>
                <w:sz w:val="24"/>
                <w:szCs w:val="24"/>
                <w:u w:val="single"/>
                <w:lang w:val="en-US" w:eastAsia="zh-CN" w:bidi="ar"/>
              </w:rPr>
              <w:t>本项目采购的原材料应</w:t>
            </w:r>
            <w:r>
              <w:rPr>
                <w:rFonts w:hint="default" w:ascii="Times New Roman" w:hAnsi="Times New Roman" w:eastAsia="宋体" w:cs="Times New Roman"/>
                <w:color w:val="auto"/>
                <w:kern w:val="0"/>
                <w:sz w:val="24"/>
                <w:szCs w:val="24"/>
                <w:u w:val="single"/>
                <w:lang w:val="en-US" w:eastAsia="zh-CN" w:bidi="ar"/>
              </w:rPr>
              <w:t>符合《废塑料加工利用污染防治规定》</w:t>
            </w:r>
            <w:r>
              <w:rPr>
                <w:rFonts w:hint="eastAsia" w:ascii="Times New Roman" w:hAnsi="Times New Roman" w:eastAsia="宋体" w:cs="Times New Roman"/>
                <w:color w:val="auto"/>
                <w:kern w:val="0"/>
                <w:sz w:val="24"/>
                <w:szCs w:val="24"/>
                <w:u w:val="single"/>
                <w:lang w:val="en-US" w:eastAsia="zh-CN" w:bidi="ar"/>
              </w:rPr>
              <w:t>和《</w:t>
            </w:r>
            <w:r>
              <w:rPr>
                <w:rFonts w:hint="default" w:ascii="Times New Roman" w:hAnsi="Times New Roman" w:eastAsia="宋体" w:cs="Times New Roman"/>
                <w:b w:val="0"/>
                <w:bCs/>
                <w:color w:val="auto"/>
                <w:spacing w:val="4"/>
                <w:kern w:val="2"/>
                <w:sz w:val="24"/>
                <w:szCs w:val="24"/>
                <w:u w:val="single"/>
                <w:lang w:val="en-US" w:eastAsia="zh-CN" w:bidi="ar-SA"/>
              </w:rPr>
              <w:t>废塑料综合利用行业规范条件</w:t>
            </w:r>
            <w:r>
              <w:rPr>
                <w:rFonts w:hint="eastAsia" w:ascii="Times New Roman" w:hAnsi="Times New Roman" w:eastAsia="宋体" w:cs="Times New Roman"/>
                <w:color w:val="auto"/>
                <w:kern w:val="0"/>
                <w:sz w:val="24"/>
                <w:szCs w:val="24"/>
                <w:u w:val="single"/>
                <w:lang w:val="en-US" w:eastAsia="zh-CN" w:bidi="ar"/>
              </w:rPr>
              <w:t>》</w:t>
            </w:r>
            <w:r>
              <w:rPr>
                <w:rFonts w:hint="default" w:ascii="Times New Roman" w:hAnsi="Times New Roman" w:eastAsia="宋体" w:cs="Times New Roman"/>
                <w:color w:val="auto"/>
                <w:kern w:val="0"/>
                <w:sz w:val="24"/>
                <w:szCs w:val="24"/>
                <w:u w:val="single"/>
                <w:lang w:val="en-US" w:eastAsia="zh-CN" w:bidi="ar"/>
              </w:rPr>
              <w:t>中的</w:t>
            </w:r>
            <w:r>
              <w:rPr>
                <w:rFonts w:hint="eastAsia" w:ascii="Times New Roman" w:hAnsi="Times New Roman" w:eastAsia="宋体" w:cs="Times New Roman"/>
                <w:color w:val="auto"/>
                <w:kern w:val="0"/>
                <w:sz w:val="24"/>
                <w:szCs w:val="24"/>
                <w:u w:val="single"/>
                <w:lang w:val="en-US" w:eastAsia="zh-CN" w:bidi="ar"/>
              </w:rPr>
              <w:t>相关</w:t>
            </w:r>
            <w:r>
              <w:rPr>
                <w:rFonts w:hint="default" w:ascii="Times New Roman" w:hAnsi="Times New Roman" w:eastAsia="宋体" w:cs="Times New Roman"/>
                <w:color w:val="auto"/>
                <w:kern w:val="0"/>
                <w:sz w:val="24"/>
                <w:szCs w:val="24"/>
                <w:u w:val="single"/>
                <w:lang w:val="en-US" w:eastAsia="zh-CN" w:bidi="ar"/>
              </w:rPr>
              <w:t>要求。本项目废塑料原料的回收、包装、运输和贮存应符合《废塑料污染控制技术规范》（HJ364-2022）的要求，对环境和人体健康不会造成危害。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color w:val="auto"/>
                <w:kern w:val="0"/>
                <w:sz w:val="24"/>
                <w:szCs w:val="24"/>
                <w:u w:val="single"/>
                <w:lang w:val="en-US" w:eastAsia="zh-CN" w:bidi="ar"/>
              </w:rPr>
              <w:t>环评要求建设单位不得回收受到危险化学品、农药等污染的废弃塑料包装物、废弃一次性医疗用塑料制品等塑料类危险废物，以及氟塑料等特种工程塑料。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u w:val="single"/>
                <w:lang w:val="en-US" w:eastAsia="zh-CN" w:bidi="ar"/>
              </w:rPr>
            </w:pPr>
            <w:r>
              <w:rPr>
                <w:rFonts w:hint="default" w:ascii="Times New Roman" w:hAnsi="Times New Roman" w:eastAsia="宋体" w:cs="Times New Roman"/>
                <w:b/>
                <w:bCs/>
                <w:color w:val="auto"/>
                <w:kern w:val="0"/>
                <w:sz w:val="24"/>
                <w:szCs w:val="24"/>
                <w:u w:val="single"/>
                <w:lang w:val="en-US" w:eastAsia="zh-CN" w:bidi="ar"/>
              </w:rPr>
              <w:t>（2）原料质量管理控制要求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color w:val="auto"/>
                <w:kern w:val="0"/>
                <w:sz w:val="24"/>
                <w:szCs w:val="24"/>
                <w:u w:val="single"/>
                <w:lang w:val="en-US" w:eastAsia="zh-CN" w:bidi="ar"/>
              </w:rPr>
              <w:t>根据《废塑料污染控制技术规范》（HJ364-2022）中明确提出该技术规范不适用于属于受到危险化学品、农药等污染的废弃塑料包装物、废弃一次性医疗用塑料制品等塑料类危险废物以及氟塑料等特种工程塑料。因此，本项目严禁回收该类塑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color w:val="auto"/>
                <w:kern w:val="0"/>
                <w:sz w:val="24"/>
                <w:szCs w:val="24"/>
                <w:u w:val="single"/>
                <w:lang w:val="en-US" w:eastAsia="zh-CN" w:bidi="ar"/>
              </w:rPr>
              <w:t>①本项目所回收的废旧塑料主要以PS、PP及PE为主，不包括含有卤素的废塑料。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color w:val="auto"/>
                <w:kern w:val="0"/>
                <w:sz w:val="24"/>
                <w:szCs w:val="24"/>
                <w:u w:val="single"/>
                <w:lang w:val="en-US" w:eastAsia="zh-CN" w:bidi="ar"/>
              </w:rPr>
              <w:t>②企业应按照《废塑料污染控制技术规范》（HJ364-2022）提出的回收要求、包装和运输要求、储存要求进行严格控制，在执行过程中如达不到要求，应整改或停止生产。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u w:val="single"/>
                <w:lang w:val="en-US" w:eastAsia="zh-CN" w:bidi="ar"/>
              </w:rPr>
            </w:pPr>
            <w:r>
              <w:rPr>
                <w:rFonts w:hint="default" w:ascii="Times New Roman" w:hAnsi="Times New Roman" w:eastAsia="宋体" w:cs="Times New Roman"/>
                <w:color w:val="auto"/>
                <w:kern w:val="0"/>
                <w:sz w:val="24"/>
                <w:szCs w:val="24"/>
                <w:u w:val="single"/>
                <w:lang w:val="en-US" w:eastAsia="zh-CN" w:bidi="ar"/>
              </w:rPr>
              <w:t>③本着保护环境、废旧物品资源化利用的原则，企业制定严格的管理制度，进行自查，以确保原料来源的适合性和合理性，禁止回收不符合本项目处理的任何废旧塑料。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u w:val="single"/>
                <w:lang w:val="en-US" w:eastAsia="zh-CN" w:bidi="ar"/>
              </w:rPr>
            </w:pPr>
            <w:r>
              <w:rPr>
                <w:rFonts w:hint="default" w:ascii="Times New Roman" w:hAnsi="Times New Roman" w:eastAsia="宋体" w:cs="Times New Roman"/>
                <w:b/>
                <w:bCs/>
                <w:color w:val="auto"/>
                <w:kern w:val="0"/>
                <w:sz w:val="24"/>
                <w:szCs w:val="24"/>
                <w:u w:val="single"/>
                <w:lang w:val="en-US" w:eastAsia="zh-CN" w:bidi="ar"/>
              </w:rPr>
              <w:t>（3）原料储存要求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u w:val="single"/>
              </w:rPr>
            </w:pPr>
            <w:r>
              <w:rPr>
                <w:rFonts w:hint="default" w:ascii="Times New Roman" w:hAnsi="Times New Roman" w:eastAsia="宋体" w:cs="Times New Roman"/>
                <w:color w:val="auto"/>
                <w:kern w:val="0"/>
                <w:sz w:val="24"/>
                <w:szCs w:val="24"/>
                <w:u w:val="single"/>
                <w:lang w:val="en-US" w:eastAsia="zh-CN" w:bidi="ar"/>
              </w:rPr>
              <w:t>环评要求建设单位在厂房内设置原料</w:t>
            </w:r>
            <w:r>
              <w:rPr>
                <w:rFonts w:hint="eastAsia" w:cs="Times New Roman"/>
                <w:color w:val="auto"/>
                <w:kern w:val="0"/>
                <w:sz w:val="24"/>
                <w:szCs w:val="24"/>
                <w:u w:val="single"/>
                <w:lang w:val="en-US" w:eastAsia="zh-CN" w:bidi="ar"/>
              </w:rPr>
              <w:t>储存区</w:t>
            </w:r>
            <w:r>
              <w:rPr>
                <w:rFonts w:hint="default" w:ascii="Times New Roman" w:hAnsi="Times New Roman" w:eastAsia="宋体" w:cs="Times New Roman"/>
                <w:color w:val="auto"/>
                <w:kern w:val="0"/>
                <w:sz w:val="24"/>
                <w:szCs w:val="24"/>
                <w:u w:val="single"/>
                <w:lang w:val="en-US" w:eastAsia="zh-CN" w:bidi="ar"/>
              </w:rPr>
              <w:t>，不同种类的废塑料宜分开贮存，贮存场地应具有防雨、防扬散、防渗漏等措施，并按GB15562.2的要求设置标识</w:t>
            </w:r>
            <w:r>
              <w:rPr>
                <w:rFonts w:hint="eastAsia" w:cs="Times New Roman"/>
                <w:color w:val="auto"/>
                <w:kern w:val="0"/>
                <w:sz w:val="24"/>
                <w:szCs w:val="24"/>
                <w:u w:val="single"/>
                <w:lang w:val="en-US" w:eastAsia="zh-CN" w:bidi="ar"/>
              </w:rPr>
              <w:t>；并且应做好相应的消防措施，严禁企业</w:t>
            </w:r>
            <w:r>
              <w:rPr>
                <w:rFonts w:hint="default" w:ascii="Times New Roman" w:hAnsi="Times New Roman" w:eastAsia="宋体" w:cs="Times New Roman"/>
                <w:color w:val="auto"/>
                <w:kern w:val="0"/>
                <w:sz w:val="24"/>
                <w:szCs w:val="24"/>
                <w:u w:val="single"/>
                <w:lang w:val="en-US" w:eastAsia="zh-CN" w:bidi="ar"/>
              </w:rPr>
              <w:t>露天堆放原料。</w:t>
            </w:r>
          </w:p>
          <w:p>
            <w:pPr>
              <w:pStyle w:val="54"/>
              <w:spacing w:before="0" w:line="360" w:lineRule="auto"/>
              <w:ind w:firstLine="48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原辅料理化性质：</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5原辅料理化性质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128"/>
              <w:gridCol w:w="6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物质名称</w:t>
                  </w:r>
                </w:p>
              </w:tc>
              <w:tc>
                <w:tcPr>
                  <w:tcW w:w="4108"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PAC</w:t>
                  </w:r>
                </w:p>
              </w:tc>
              <w:tc>
                <w:tcPr>
                  <w:tcW w:w="4108"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聚合氯化铝简称PAC，通常也称作碱式聚合氯化铝或絮凝剂，固体为白色或淡黄色粉，液体产品是淡黄色透明或半透明液体，无沉淀。由于氢氧根离子的架桥作用和多价阴离子的聚合作用而生成分子量较大，作为电荷较高的无机高分子水处理药剂，在净化各种水源（包括自来水）过程中作为絮凝剂，被广泛用于城镇供水、自来水、石油、排水、冶金、电力、工业污水处理等领域。絮凝体形成快，沉降速度大，比硫酸铝等传统产品适应的水pH值宽，在pH5.0～9.0范围均可凝聚。净化后水质优于硫酸铝等无机混凝剂，净水成本比其他无机混凝剂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PAM</w:t>
                  </w:r>
                </w:p>
              </w:tc>
              <w:tc>
                <w:tcPr>
                  <w:tcW w:w="4108"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聚丙烯酰胺又称PAM，国内常用的非离子型高分子絮凝剂，分子量150万</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2000万，商品浓度一般为8%。该产品的分子能与分散于溶液中的悬浮粒子架桥吸附，有着极强的絮凝作用，密度=1.3，在50-60°C下溶于水，水解度为5%</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35%，也溶于乙酸、丙酸、氯代乙酸、乙二醇、甘油和胺等有机溶剂。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物质名称</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化学式/化学结构</w:t>
                  </w:r>
                </w:p>
              </w:tc>
              <w:tc>
                <w:tcPr>
                  <w:tcW w:w="349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PS（聚苯乙烯）</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(C</w:t>
                  </w:r>
                  <w:r>
                    <w:rPr>
                      <w:rFonts w:hint="default" w:ascii="Times New Roman" w:hAnsi="Times New Roman" w:cs="Times New Roman"/>
                      <w:b w:val="0"/>
                      <w:bCs/>
                      <w:sz w:val="21"/>
                      <w:szCs w:val="21"/>
                      <w:vertAlign w:val="subscript"/>
                    </w:rPr>
                    <w:t>8</w:t>
                  </w:r>
                  <w:r>
                    <w:rPr>
                      <w:rFonts w:hint="default" w:ascii="Times New Roman" w:hAnsi="Times New Roman" w:cs="Times New Roman"/>
                      <w:b w:val="0"/>
                      <w:bCs/>
                      <w:sz w:val="21"/>
                      <w:szCs w:val="21"/>
                      <w:vertAlign w:val="baseline"/>
                    </w:rPr>
                    <w:t>H</w:t>
                  </w:r>
                  <w:r>
                    <w:rPr>
                      <w:rFonts w:hint="default" w:ascii="Times New Roman" w:hAnsi="Times New Roman" w:cs="Times New Roman"/>
                      <w:b w:val="0"/>
                      <w:bCs/>
                      <w:sz w:val="21"/>
                      <w:szCs w:val="21"/>
                      <w:vertAlign w:val="subscript"/>
                    </w:rPr>
                    <w:t>8</w:t>
                  </w:r>
                  <w:r>
                    <w:rPr>
                      <w:rFonts w:hint="default" w:ascii="Times New Roman" w:hAnsi="Times New Roman" w:cs="Times New Roman"/>
                      <w:b w:val="0"/>
                      <w:bCs/>
                      <w:sz w:val="21"/>
                      <w:szCs w:val="21"/>
                      <w:vertAlign w:val="baseline"/>
                    </w:rPr>
                    <w:t>)n</w:t>
                  </w:r>
                </w:p>
              </w:tc>
              <w:tc>
                <w:tcPr>
                  <w:tcW w:w="349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聚苯乙烯是指由苯乙烯单体经自由基加聚反应合成的聚合物，它是一种无色透明的热塑性塑料。聚苯乙烯无色透明，能自由着色。耐腐蚀较好，耐溶剂性、耐氧化较差。聚苯乙烯熔融温度为140～180℃，非晶态密度1.04～1.06g/c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vertAlign w:val="baseline"/>
                    </w:rPr>
                    <w:t>，晶体密度1.11～1.12g/cm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vertAlign w:val="baseline"/>
                    </w:rPr>
                    <w:t>，电阻率为1020～1022Ω</w:t>
                  </w:r>
                  <w:r>
                    <w:rPr>
                      <w:rFonts w:hint="eastAsia" w:ascii="微软雅黑" w:hAnsi="微软雅黑" w:eastAsia="微软雅黑" w:cs="微软雅黑"/>
                      <w:b w:val="0"/>
                      <w:bCs/>
                      <w:sz w:val="21"/>
                      <w:szCs w:val="21"/>
                      <w:vertAlign w:val="baseline"/>
                    </w:rPr>
                    <w:t>·</w:t>
                  </w:r>
                  <w:r>
                    <w:rPr>
                      <w:rFonts w:hint="default" w:ascii="Times New Roman" w:hAnsi="Times New Roman" w:cs="Times New Roman"/>
                      <w:b w:val="0"/>
                      <w:bCs/>
                      <w:sz w:val="21"/>
                      <w:szCs w:val="21"/>
                      <w:vertAlign w:val="baseline"/>
                    </w:rPr>
                    <w:t>cm。导热系数30℃时0.116瓦/</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米·开</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通常的聚苯乙烯为非晶态无规聚合物，具有优良的绝热、绝缘和透明性，长期使用温度0～70℃，但脆，低温易开裂。此外还有全同和间同以及无规立构聚苯乙烯。全同聚合物有高度结晶性，间同聚合物有部分结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PE（聚乙烯）</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(C</w:t>
                  </w:r>
                  <w:r>
                    <w:rPr>
                      <w:rFonts w:hint="eastAsia" w:cs="Times New Roman"/>
                      <w:b w:val="0"/>
                      <w:bCs/>
                      <w:sz w:val="21"/>
                      <w:szCs w:val="21"/>
                      <w:vertAlign w:val="subscript"/>
                      <w:lang w:val="en-US" w:eastAsia="zh-CN"/>
                    </w:rPr>
                    <w:t>3</w:t>
                  </w:r>
                  <w:r>
                    <w:rPr>
                      <w:rFonts w:hint="default" w:ascii="Times New Roman" w:hAnsi="Times New Roman" w:cs="Times New Roman"/>
                      <w:b w:val="0"/>
                      <w:bCs/>
                      <w:sz w:val="21"/>
                      <w:szCs w:val="21"/>
                      <w:vertAlign w:val="baseline"/>
                    </w:rPr>
                    <w:t>H</w:t>
                  </w:r>
                  <w:r>
                    <w:rPr>
                      <w:rFonts w:hint="eastAsia" w:cs="Times New Roman"/>
                      <w:b w:val="0"/>
                      <w:bCs/>
                      <w:sz w:val="21"/>
                      <w:szCs w:val="21"/>
                      <w:vertAlign w:val="subscript"/>
                      <w:lang w:val="en-US" w:eastAsia="zh-CN"/>
                    </w:rPr>
                    <w:t>6</w:t>
                  </w:r>
                  <w:r>
                    <w:rPr>
                      <w:rFonts w:hint="default" w:ascii="Times New Roman" w:hAnsi="Times New Roman" w:cs="Times New Roman"/>
                      <w:b w:val="0"/>
                      <w:bCs/>
                      <w:sz w:val="21"/>
                      <w:szCs w:val="21"/>
                      <w:vertAlign w:val="baseline"/>
                    </w:rPr>
                    <w:t>)n</w:t>
                  </w:r>
                </w:p>
              </w:tc>
              <w:tc>
                <w:tcPr>
                  <w:tcW w:w="349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聚乙烯为白色蜡状半透明材料，柔而韧，比水轻，比重为0.94</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0.96g/cm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vertAlign w:val="baseline"/>
                    </w:rPr>
                    <w:t>，具有优越的介电性能。透水率低，对有机蒸汽透过率则较大。聚乙烯的透明度随结晶增加而下降，在一定结晶度下，透明度随分子量增大而提高。高密度聚乙烯熔点范围为132~135℃，低密度聚乙烯熔点较低（112℃）。常温下不溶于任何已知容积，聚乙烯有优异的化学稳定性，室温下耐盐酸、氢氟酸、磷酸、甲酸、胺类、氢氧化钠、氢氧化钾等各种化学物质，硝酸和硫酸对聚乙烯有较强的破坏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PP（聚丙烯）</w:t>
                  </w:r>
                </w:p>
              </w:tc>
              <w:tc>
                <w:tcPr>
                  <w:tcW w:w="6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(C</w:t>
                  </w:r>
                  <w:r>
                    <w:rPr>
                      <w:rFonts w:hint="eastAsia" w:cs="Times New Roman"/>
                      <w:b w:val="0"/>
                      <w:bCs/>
                      <w:sz w:val="21"/>
                      <w:szCs w:val="21"/>
                      <w:vertAlign w:val="subscript"/>
                      <w:lang w:val="en-US" w:eastAsia="zh-CN"/>
                    </w:rPr>
                    <w:t>2</w:t>
                  </w:r>
                  <w:r>
                    <w:rPr>
                      <w:rFonts w:hint="default" w:ascii="Times New Roman" w:hAnsi="Times New Roman" w:cs="Times New Roman"/>
                      <w:b w:val="0"/>
                      <w:bCs/>
                      <w:sz w:val="21"/>
                      <w:szCs w:val="21"/>
                      <w:vertAlign w:val="baseline"/>
                    </w:rPr>
                    <w:t>H</w:t>
                  </w:r>
                  <w:r>
                    <w:rPr>
                      <w:rFonts w:hint="eastAsia" w:cs="Times New Roman"/>
                      <w:b w:val="0"/>
                      <w:bCs/>
                      <w:sz w:val="21"/>
                      <w:szCs w:val="21"/>
                      <w:vertAlign w:val="subscript"/>
                      <w:lang w:val="en-US" w:eastAsia="zh-CN"/>
                    </w:rPr>
                    <w:t>4</w:t>
                  </w:r>
                  <w:r>
                    <w:rPr>
                      <w:rFonts w:hint="default" w:ascii="Times New Roman" w:hAnsi="Times New Roman" w:cs="Times New Roman"/>
                      <w:b w:val="0"/>
                      <w:bCs/>
                      <w:sz w:val="21"/>
                      <w:szCs w:val="21"/>
                      <w:vertAlign w:val="baseline"/>
                    </w:rPr>
                    <w:t>)n</w:t>
                  </w:r>
                </w:p>
              </w:tc>
              <w:tc>
                <w:tcPr>
                  <w:tcW w:w="349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sz w:val="21"/>
                      <w:szCs w:val="21"/>
                      <w:vertAlign w:val="baseline"/>
                    </w:rPr>
                  </w:pPr>
                  <w:r>
                    <w:rPr>
                      <w:rFonts w:hint="default" w:ascii="Times New Roman" w:hAnsi="Times New Roman" w:cs="Times New Roman"/>
                      <w:b w:val="0"/>
                      <w:bCs/>
                      <w:sz w:val="21"/>
                      <w:szCs w:val="21"/>
                      <w:vertAlign w:val="baseline"/>
                    </w:rPr>
                    <w:t>聚丙烯为</w:t>
                  </w:r>
                  <w:r>
                    <w:rPr>
                      <w:rFonts w:hint="eastAsia" w:cs="Times New Roman"/>
                      <w:b w:val="0"/>
                      <w:bCs/>
                      <w:sz w:val="21"/>
                      <w:szCs w:val="21"/>
                      <w:vertAlign w:val="baseline"/>
                      <w:lang w:eastAsia="zh-CN"/>
                    </w:rPr>
                    <w:t>无毒</w:t>
                  </w:r>
                  <w:r>
                    <w:rPr>
                      <w:rFonts w:hint="default" w:ascii="Times New Roman" w:hAnsi="Times New Roman" w:cs="Times New Roman"/>
                      <w:b w:val="0"/>
                      <w:bCs/>
                      <w:sz w:val="21"/>
                      <w:szCs w:val="21"/>
                      <w:vertAlign w:val="baseline"/>
                    </w:rPr>
                    <w:t>、无臭、无味的乳白色高结晶的聚合物，密度只有0.90</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0.91g/cm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vertAlign w:val="baseline"/>
                    </w:rPr>
                    <w:t>，是目前所有塑料中最轻的品种之一。熔点189℃，在155℃左右软化；它对水特别稳定，在水中的吸水率仅为0.01%，分子量约8万</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15万。成型性好，但因收缩率大（为1%</w:t>
                  </w:r>
                  <w:r>
                    <w:rPr>
                      <w:rFonts w:hint="eastAsia" w:cs="Times New Roman"/>
                      <w:b w:val="0"/>
                      <w:bCs/>
                      <w:sz w:val="21"/>
                      <w:szCs w:val="21"/>
                      <w:vertAlign w:val="baseline"/>
                      <w:lang w:eastAsia="zh-CN"/>
                    </w:rPr>
                    <w:t>～</w:t>
                  </w:r>
                  <w:r>
                    <w:rPr>
                      <w:rFonts w:hint="default" w:ascii="Times New Roman" w:hAnsi="Times New Roman" w:cs="Times New Roman"/>
                      <w:b w:val="0"/>
                      <w:bCs/>
                      <w:sz w:val="21"/>
                      <w:szCs w:val="21"/>
                      <w:vertAlign w:val="baseline"/>
                    </w:rPr>
                    <w:t>2.5%）、厚壁制品易凹陷，对一些尺寸精度较高零件，还难于达到要求，制品表面光泽好，易于着色；聚丙烯的化学稳定性很好，除能被浓硫酸、浓硝酸侵蚀外，</w:t>
                  </w:r>
                  <w:r>
                    <w:rPr>
                      <w:rFonts w:hint="eastAsia" w:cs="Times New Roman"/>
                      <w:b w:val="0"/>
                      <w:bCs/>
                      <w:sz w:val="21"/>
                      <w:szCs w:val="21"/>
                      <w:vertAlign w:val="baseline"/>
                      <w:lang w:eastAsia="zh-CN"/>
                    </w:rPr>
                    <w:t>对其他</w:t>
                  </w:r>
                  <w:r>
                    <w:rPr>
                      <w:rFonts w:hint="default" w:ascii="Times New Roman" w:hAnsi="Times New Roman" w:cs="Times New Roman"/>
                      <w:b w:val="0"/>
                      <w:bCs/>
                      <w:sz w:val="21"/>
                      <w:szCs w:val="21"/>
                      <w:vertAlign w:val="baseline"/>
                    </w:rPr>
                    <w:t>各种化学试剂都比较稳定，但分量的脂肪烃、芳香烃和氯化氢化烃等能使聚丙烯软化或融化和溶胀，溶蚀它的化学稳定性随结晶度的增加还有所提高，所以聚丙烯适合制作各种化工管道和配件，防腐效果良好。</w:t>
                  </w:r>
                </w:p>
              </w:tc>
            </w:tr>
          </w:tbl>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sz w:val="24"/>
              </w:rPr>
            </w:pPr>
            <w:r>
              <w:rPr>
                <w:rFonts w:hint="default" w:ascii="Times New Roman" w:hAnsi="Times New Roman" w:cs="Times New Roman"/>
                <w:b/>
                <w:sz w:val="24"/>
              </w:rPr>
              <w:t>6、项目主要设备</w:t>
            </w:r>
          </w:p>
          <w:p>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根据甲方提供资料可知，本项目主要建设2条废编织袋再利用生产线和2条废泡沫再利用生产线。并同时配备相应的辅助设施。</w:t>
            </w:r>
            <w:r>
              <w:rPr>
                <w:rFonts w:hint="default" w:ascii="Times New Roman" w:hAnsi="Times New Roman" w:cs="Times New Roman"/>
                <w:color w:val="auto"/>
                <w:sz w:val="24"/>
              </w:rPr>
              <w:t>本项目所需要的生产设备见表</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6。</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6生产线</w:t>
            </w:r>
            <w:r>
              <w:rPr>
                <w:rFonts w:hint="default" w:ascii="Times New Roman" w:hAnsi="Times New Roman" w:eastAsia="宋体" w:cs="Times New Roman"/>
                <w:b/>
                <w:bCs/>
                <w:color w:val="auto"/>
                <w:sz w:val="24"/>
              </w:rPr>
              <w:t>主要设备</w:t>
            </w:r>
          </w:p>
          <w:tbl>
            <w:tblPr>
              <w:tblStyle w:val="25"/>
              <w:tblW w:w="494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885"/>
              <w:gridCol w:w="2867"/>
              <w:gridCol w:w="809"/>
              <w:gridCol w:w="245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16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名称</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t>规格</w:t>
                  </w:r>
                  <w:r>
                    <w:rPr>
                      <w:rFonts w:hint="eastAsia" w:cs="Times New Roman"/>
                      <w:lang w:val="en-US" w:eastAsia="zh-CN"/>
                    </w:rPr>
                    <w:t>/型号</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数量</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0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废编织袋再利用生产线（2条）</w:t>
                  </w: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破碎机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1350型</w:t>
                  </w:r>
                  <w:r>
                    <w:rPr>
                      <w:rFonts w:hint="eastAsia" w:cs="Times New Roman"/>
                      <w:lang w:val="en-US" w:eastAsia="zh-CN"/>
                    </w:rPr>
                    <w:t>，处理能力0.7t/h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粉碎原料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清洗水池</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业主自建，采用钢板焊接一体</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default" w:ascii="Times New Roman" w:hAnsi="Times New Roman" w:cs="Times New Roman"/>
                    </w:rPr>
                    <w:t>2</w:t>
                  </w:r>
                  <w:r>
                    <w:rPr>
                      <w:rFonts w:hint="eastAsia" w:cs="Times New Roman"/>
                      <w:lang w:val="en-US" w:eastAsia="zh-CN"/>
                    </w:rPr>
                    <w:t>个</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清洗原料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20"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rPr>
                  </w:pPr>
                  <w:r>
                    <w:rPr>
                      <w:rFonts w:hint="default" w:ascii="Times New Roman" w:hAnsi="Times New Roman" w:cs="Times New Roman"/>
                      <w:lang w:val="en-US"/>
                    </w:rPr>
                    <w:t>提料脱水机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处理能力0.5t/h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脱水甩干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default" w:ascii="Times New Roman" w:hAnsi="Times New Roman" w:cs="Times New Roman"/>
                      <w:lang w:val="en-US"/>
                    </w:rPr>
                    <w:t>塑化拉丝机</w:t>
                  </w:r>
                  <w:r>
                    <w:rPr>
                      <w:rFonts w:hint="eastAsia" w:cs="Times New Roman"/>
                      <w:lang w:val="en-US" w:eastAsia="zh-CN"/>
                    </w:rPr>
                    <w:t>（熔融挤出）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rPr>
                  </w:pPr>
                  <w:r>
                    <w:rPr>
                      <w:rFonts w:hint="default" w:ascii="Times New Roman" w:hAnsi="Times New Roman" w:cs="Times New Roman"/>
                      <w:lang w:val="en-US"/>
                    </w:rPr>
                    <w:t>240型</w:t>
                  </w:r>
                  <w:r>
                    <w:rPr>
                      <w:rFonts w:hint="eastAsia" w:cs="Times New Roman"/>
                      <w:lang w:val="en-US" w:eastAsia="zh-CN"/>
                    </w:rPr>
                    <w:t>，处理能力0.6t/h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加热熔化拉丝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冷却槽</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rPr>
                  </w:pPr>
                  <w:r>
                    <w:rPr>
                      <w:rFonts w:hint="default" w:ascii="Times New Roman" w:hAnsi="Times New Roman" w:cs="Times New Roman"/>
                      <w:lang w:val="en-US"/>
                    </w:rPr>
                    <w:t>350×500×5000mm</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lang w:val="en-US" w:eastAsia="zh-CN" w:bidi="ar-SA"/>
                    </w:rPr>
                  </w:pPr>
                  <w:r>
                    <w:rPr>
                      <w:rFonts w:hint="default" w:ascii="Times New Roman" w:hAnsi="Times New Roman" w:cs="Times New Roman"/>
                    </w:rPr>
                    <w:t>2</w:t>
                  </w:r>
                  <w:r>
                    <w:rPr>
                      <w:rFonts w:hint="eastAsia" w:cs="Times New Roman"/>
                      <w:lang w:val="en-US" w:eastAsia="zh-CN"/>
                    </w:rPr>
                    <w:t>个</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冷却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切粒机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处理能力0.6t/h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将塑料丝按客户要求切成一定规格的塑料颗粒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成品仓</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2个</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lang w:val="en-US" w:eastAsia="zh-CN"/>
                    </w:rPr>
                  </w:pPr>
                  <w:r>
                    <w:rPr>
                      <w:rFonts w:hint="eastAsia" w:cs="Times New Roman"/>
                      <w:lang w:val="en-US" w:eastAsia="zh-CN"/>
                    </w:rPr>
                    <w:t>成品暂存，装袋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65" w:hRule="atLeast"/>
                <w:jc w:val="center"/>
              </w:trPr>
              <w:tc>
                <w:tcPr>
                  <w:tcW w:w="60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废泡沫再利用生产线（2条）</w:t>
                  </w: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破碎机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eastAsia" w:cs="Times New Roman"/>
                      <w:lang w:val="en-US" w:eastAsia="zh-CN"/>
                    </w:rPr>
                    <w:t>8</w:t>
                  </w:r>
                  <w:r>
                    <w:rPr>
                      <w:rFonts w:hint="default" w:ascii="Times New Roman" w:hAnsi="Times New Roman" w:eastAsia="宋体" w:cs="Times New Roman"/>
                      <w:lang w:val="en-US" w:eastAsia="zh-CN"/>
                    </w:rPr>
                    <w:t>50型</w:t>
                  </w:r>
                  <w:r>
                    <w:rPr>
                      <w:rFonts w:hint="eastAsia" w:cs="Times New Roman"/>
                      <w:lang w:val="en-US" w:eastAsia="zh-CN"/>
                    </w:rPr>
                    <w:t>，处理能力0.3t/h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eastAsia="zh-CN"/>
                    </w:rPr>
                  </w:pPr>
                  <w:r>
                    <w:rPr>
                      <w:rFonts w:hint="eastAsia" w:cs="Times New Roman"/>
                      <w:lang w:val="en-US" w:eastAsia="zh-CN"/>
                    </w:rPr>
                    <w:t>粉碎原料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rPr>
                    <w:t>塑化拉丝机</w:t>
                  </w:r>
                  <w:r>
                    <w:rPr>
                      <w:rFonts w:hint="eastAsia" w:cs="Times New Roman"/>
                      <w:lang w:val="en-US" w:eastAsia="zh-CN"/>
                    </w:rPr>
                    <w:t>（熔融挤出）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lang w:val="en-US" w:eastAsia="zh-CN" w:bidi="ar-SA"/>
                    </w:rPr>
                  </w:pPr>
                  <w:r>
                    <w:rPr>
                      <w:rFonts w:hint="eastAsia" w:cs="Times New Roman"/>
                      <w:lang w:val="en-US" w:eastAsia="zh-CN"/>
                    </w:rPr>
                    <w:t>120</w:t>
                  </w:r>
                  <w:r>
                    <w:rPr>
                      <w:rFonts w:hint="default" w:ascii="Times New Roman" w:hAnsi="Times New Roman" w:cs="Times New Roman"/>
                      <w:lang w:val="en-US"/>
                    </w:rPr>
                    <w:t>型</w:t>
                  </w:r>
                  <w:r>
                    <w:rPr>
                      <w:rFonts w:hint="eastAsia" w:cs="Times New Roman"/>
                      <w:lang w:val="en-US" w:eastAsia="zh-CN"/>
                    </w:rPr>
                    <w:t>，处理能力0.4t/h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eastAsia="zh-CN"/>
                    </w:rPr>
                  </w:pPr>
                  <w:r>
                    <w:rPr>
                      <w:rFonts w:hint="eastAsia" w:cs="Times New Roman"/>
                      <w:lang w:val="en-US" w:eastAsia="zh-CN"/>
                    </w:rPr>
                    <w:t>加热熔化拉丝</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切粒机</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处理能力0.3t/h</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2台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将塑料丝按客户要求切成一定规格的塑料颗粒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成品仓</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2个</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lang w:val="en-US" w:eastAsia="zh-CN"/>
                    </w:rPr>
                    <w:t>成品暂存，装袋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其他</w:t>
                  </w:r>
                </w:p>
              </w:tc>
              <w:tc>
                <w:tcPr>
                  <w:tcW w:w="10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叉车</w:t>
                  </w:r>
                </w:p>
              </w:tc>
              <w:tc>
                <w:tcPr>
                  <w:tcW w:w="1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FB30</w:t>
                  </w:r>
                </w:p>
              </w:tc>
              <w:tc>
                <w:tcPr>
                  <w:tcW w:w="4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4台</w:t>
                  </w:r>
                </w:p>
              </w:tc>
              <w:tc>
                <w:tcPr>
                  <w:tcW w:w="13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物料转运</w:t>
                  </w:r>
                </w:p>
              </w:tc>
            </w:tr>
          </w:tbl>
          <w:p>
            <w:pPr>
              <w:pStyle w:val="17"/>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auto"/>
              </w:rPr>
            </w:pPr>
            <w:r>
              <w:rPr>
                <w:rFonts w:hint="default" w:ascii="Times New Roman" w:hAnsi="Times New Roman" w:cs="Times New Roman"/>
                <w:color w:val="auto"/>
              </w:rPr>
              <w:t>根据《产业结构调整指导目录（2019年本）》以及《部分工业行业淘汰落后生产工艺装备和产品指导目录2010年本》，项目所使用的生产设备不属于指导目录中淘汰设备。</w:t>
            </w:r>
          </w:p>
          <w:p>
            <w:pPr>
              <w:pStyle w:val="17"/>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b/>
                <w:bCs/>
                <w:color w:val="000000" w:themeColor="text1"/>
                <w:u w:val="single"/>
                <w14:textFill>
                  <w14:solidFill>
                    <w14:schemeClr w14:val="tx1"/>
                  </w14:solidFill>
                </w14:textFill>
              </w:rPr>
              <w:t>项目设备与产能分析：</w:t>
            </w:r>
            <w:r>
              <w:rPr>
                <w:rFonts w:hint="default" w:ascii="Times New Roman" w:hAnsi="Times New Roman" w:cs="Times New Roman"/>
                <w:color w:val="000000" w:themeColor="text1"/>
                <w:u w:val="single"/>
                <w14:textFill>
                  <w14:solidFill>
                    <w14:schemeClr w14:val="tx1"/>
                  </w14:solidFill>
                </w14:textFill>
              </w:rPr>
              <w:t>根据建设单位提供的资料，</w:t>
            </w:r>
            <w:r>
              <w:rPr>
                <w:rFonts w:hint="eastAsia" w:cs="Times New Roman"/>
                <w:color w:val="000000" w:themeColor="text1"/>
                <w:u w:val="single"/>
                <w:lang w:val="en-US" w:eastAsia="zh-CN"/>
                <w14:textFill>
                  <w14:solidFill>
                    <w14:schemeClr w14:val="tx1"/>
                  </w14:solidFill>
                </w14:textFill>
              </w:rPr>
              <w:t>废编织袋再利用生产线（2条生产线）分别</w:t>
            </w:r>
            <w:r>
              <w:rPr>
                <w:rFonts w:hint="default" w:ascii="Times New Roman" w:hAnsi="Times New Roman" w:cs="Times New Roman"/>
                <w:color w:val="000000" w:themeColor="text1"/>
                <w:u w:val="single"/>
                <w14:textFill>
                  <w14:solidFill>
                    <w14:schemeClr w14:val="tx1"/>
                  </w14:solidFill>
                </w14:textFill>
              </w:rPr>
              <w:t>设置</w:t>
            </w:r>
            <w:r>
              <w:rPr>
                <w:rFonts w:hint="eastAsia" w:cs="Times New Roman"/>
                <w:color w:val="000000" w:themeColor="text1"/>
                <w:u w:val="single"/>
                <w:lang w:val="en-US" w:eastAsia="zh-CN"/>
                <w14:textFill>
                  <w14:solidFill>
                    <w14:schemeClr w14:val="tx1"/>
                  </w14:solidFill>
                </w14:textFill>
              </w:rPr>
              <w:t>2</w:t>
            </w:r>
            <w:r>
              <w:rPr>
                <w:rFonts w:hint="default" w:ascii="Times New Roman" w:hAnsi="Times New Roman" w:cs="Times New Roman"/>
                <w:color w:val="000000" w:themeColor="text1"/>
                <w:u w:val="single"/>
                <w14:textFill>
                  <w14:solidFill>
                    <w14:schemeClr w14:val="tx1"/>
                  </w14:solidFill>
                </w14:textFill>
              </w:rPr>
              <w:t>台塑化拉丝机，单台产能约0.6t/h，年运转时间为7200h，满负荷生产产能可达</w:t>
            </w:r>
            <w:r>
              <w:rPr>
                <w:rFonts w:hint="eastAsia" w:cs="Times New Roman"/>
                <w:color w:val="000000" w:themeColor="text1"/>
                <w:u w:val="single"/>
                <w:lang w:val="en-US" w:eastAsia="zh-CN"/>
                <w14:textFill>
                  <w14:solidFill>
                    <w14:schemeClr w14:val="tx1"/>
                  </w14:solidFill>
                </w14:textFill>
              </w:rPr>
              <w:t>28.8</w:t>
            </w:r>
            <w:r>
              <w:rPr>
                <w:rFonts w:hint="default" w:ascii="Times New Roman" w:hAnsi="Times New Roman" w:cs="Times New Roman"/>
                <w:color w:val="000000" w:themeColor="text1"/>
                <w:u w:val="single"/>
                <w14:textFill>
                  <w14:solidFill>
                    <w14:schemeClr w14:val="tx1"/>
                  </w14:solidFill>
                </w14:textFill>
              </w:rPr>
              <w:t>t/d（</w:t>
            </w:r>
            <w:r>
              <w:rPr>
                <w:rFonts w:hint="eastAsia" w:cs="Times New Roman"/>
                <w:color w:val="000000" w:themeColor="text1"/>
                <w:u w:val="single"/>
                <w:lang w:val="en-US" w:eastAsia="zh-CN"/>
                <w14:textFill>
                  <w14:solidFill>
                    <w14:schemeClr w14:val="tx1"/>
                  </w14:solidFill>
                </w14:textFill>
              </w:rPr>
              <w:t>8640</w:t>
            </w:r>
            <w:r>
              <w:rPr>
                <w:rFonts w:hint="default" w:ascii="Times New Roman" w:hAnsi="Times New Roman" w:cs="Times New Roman"/>
                <w:color w:val="000000" w:themeColor="text1"/>
                <w:u w:val="single"/>
                <w14:textFill>
                  <w14:solidFill>
                    <w14:schemeClr w14:val="tx1"/>
                  </w14:solidFill>
                </w14:textFill>
              </w:rPr>
              <w:t>t/a），能满足产能要求（再生塑料颗粒</w:t>
            </w:r>
            <w:r>
              <w:rPr>
                <w:rFonts w:hint="eastAsia" w:cs="Times New Roman"/>
                <w:color w:val="000000" w:themeColor="text1"/>
                <w:u w:val="single"/>
                <w:lang w:val="en-US" w:eastAsia="zh-CN"/>
                <w14:textFill>
                  <w14:solidFill>
                    <w14:schemeClr w14:val="tx1"/>
                  </w14:solidFill>
                </w14:textFill>
              </w:rPr>
              <w:t>7000</w:t>
            </w:r>
            <w:r>
              <w:rPr>
                <w:rFonts w:hint="default" w:ascii="Times New Roman" w:hAnsi="Times New Roman" w:cs="Times New Roman"/>
                <w:color w:val="000000" w:themeColor="text1"/>
                <w:u w:val="single"/>
                <w14:textFill>
                  <w14:solidFill>
                    <w14:schemeClr w14:val="tx1"/>
                  </w14:solidFill>
                </w14:textFill>
              </w:rPr>
              <w:t>t/a），</w:t>
            </w:r>
            <w:r>
              <w:rPr>
                <w:rFonts w:hint="eastAsia" w:cs="Times New Roman"/>
                <w:color w:val="000000" w:themeColor="text1"/>
                <w:u w:val="single"/>
                <w:lang w:val="en-US" w:eastAsia="zh-CN"/>
                <w14:textFill>
                  <w14:solidFill>
                    <w14:schemeClr w14:val="tx1"/>
                  </w14:solidFill>
                </w14:textFill>
              </w:rPr>
              <w:t>废泡沫再利用生产线（2条生产线）分别</w:t>
            </w:r>
            <w:r>
              <w:rPr>
                <w:rFonts w:hint="default" w:ascii="Times New Roman" w:hAnsi="Times New Roman" w:cs="Times New Roman"/>
                <w:color w:val="000000" w:themeColor="text1"/>
                <w:u w:val="single"/>
                <w14:textFill>
                  <w14:solidFill>
                    <w14:schemeClr w14:val="tx1"/>
                  </w14:solidFill>
                </w14:textFill>
              </w:rPr>
              <w:t>设置</w:t>
            </w:r>
            <w:r>
              <w:rPr>
                <w:rFonts w:hint="eastAsia" w:cs="Times New Roman"/>
                <w:color w:val="000000" w:themeColor="text1"/>
                <w:u w:val="single"/>
                <w:lang w:val="en-US" w:eastAsia="zh-CN"/>
                <w14:textFill>
                  <w14:solidFill>
                    <w14:schemeClr w14:val="tx1"/>
                  </w14:solidFill>
                </w14:textFill>
              </w:rPr>
              <w:t>2台</w:t>
            </w:r>
            <w:r>
              <w:rPr>
                <w:rFonts w:hint="default" w:ascii="Times New Roman" w:hAnsi="Times New Roman" w:cs="Times New Roman"/>
                <w:color w:val="000000" w:themeColor="text1"/>
                <w:u w:val="single"/>
                <w14:textFill>
                  <w14:solidFill>
                    <w14:schemeClr w14:val="tx1"/>
                  </w14:solidFill>
                </w14:textFill>
              </w:rPr>
              <w:t>塑化拉丝机，单</w:t>
            </w:r>
            <w:r>
              <w:rPr>
                <w:rFonts w:hint="eastAsia" w:cs="Times New Roman"/>
                <w:color w:val="000000" w:themeColor="text1"/>
                <w:u w:val="single"/>
                <w:lang w:val="en-US" w:eastAsia="zh-CN"/>
                <w14:textFill>
                  <w14:solidFill>
                    <w14:schemeClr w14:val="tx1"/>
                  </w14:solidFill>
                </w14:textFill>
              </w:rPr>
              <w:t>台</w:t>
            </w:r>
            <w:r>
              <w:rPr>
                <w:rFonts w:hint="default" w:ascii="Times New Roman" w:hAnsi="Times New Roman" w:cs="Times New Roman"/>
                <w:color w:val="000000" w:themeColor="text1"/>
                <w:u w:val="single"/>
                <w14:textFill>
                  <w14:solidFill>
                    <w14:schemeClr w14:val="tx1"/>
                  </w14:solidFill>
                </w14:textFill>
              </w:rPr>
              <w:t>产能约0.</w:t>
            </w:r>
            <w:r>
              <w:rPr>
                <w:rFonts w:hint="eastAsia" w:cs="Times New Roman"/>
                <w:color w:val="000000" w:themeColor="text1"/>
                <w:u w:val="single"/>
                <w:lang w:val="en-US" w:eastAsia="zh-CN"/>
                <w14:textFill>
                  <w14:solidFill>
                    <w14:schemeClr w14:val="tx1"/>
                  </w14:solidFill>
                </w14:textFill>
              </w:rPr>
              <w:t>4</w:t>
            </w:r>
            <w:r>
              <w:rPr>
                <w:rFonts w:hint="default" w:ascii="Times New Roman" w:hAnsi="Times New Roman" w:cs="Times New Roman"/>
                <w:color w:val="000000" w:themeColor="text1"/>
                <w:u w:val="single"/>
                <w14:textFill>
                  <w14:solidFill>
                    <w14:schemeClr w14:val="tx1"/>
                  </w14:solidFill>
                </w14:textFill>
              </w:rPr>
              <w:t>t/h，年运转时间为7200h，满负荷生产产能可达</w:t>
            </w:r>
            <w:r>
              <w:rPr>
                <w:rFonts w:hint="eastAsia" w:cs="Times New Roman"/>
                <w:color w:val="000000" w:themeColor="text1"/>
                <w:u w:val="single"/>
                <w:lang w:val="en-US" w:eastAsia="zh-CN"/>
                <w14:textFill>
                  <w14:solidFill>
                    <w14:schemeClr w14:val="tx1"/>
                  </w14:solidFill>
                </w14:textFill>
              </w:rPr>
              <w:t>19.2</w:t>
            </w:r>
            <w:r>
              <w:rPr>
                <w:rFonts w:hint="default" w:ascii="Times New Roman" w:hAnsi="Times New Roman" w:cs="Times New Roman"/>
                <w:color w:val="000000" w:themeColor="text1"/>
                <w:u w:val="single"/>
                <w14:textFill>
                  <w14:solidFill>
                    <w14:schemeClr w14:val="tx1"/>
                  </w14:solidFill>
                </w14:textFill>
              </w:rPr>
              <w:t>t/d（5</w:t>
            </w:r>
            <w:r>
              <w:rPr>
                <w:rFonts w:hint="eastAsia" w:cs="Times New Roman"/>
                <w:color w:val="000000" w:themeColor="text1"/>
                <w:u w:val="single"/>
                <w:lang w:val="en-US" w:eastAsia="zh-CN"/>
                <w14:textFill>
                  <w14:solidFill>
                    <w14:schemeClr w14:val="tx1"/>
                  </w14:solidFill>
                </w14:textFill>
              </w:rPr>
              <w:t>760</w:t>
            </w:r>
            <w:r>
              <w:rPr>
                <w:rFonts w:hint="default" w:ascii="Times New Roman" w:hAnsi="Times New Roman" w:cs="Times New Roman"/>
                <w:color w:val="000000" w:themeColor="text1"/>
                <w:u w:val="single"/>
                <w14:textFill>
                  <w14:solidFill>
                    <w14:schemeClr w14:val="tx1"/>
                  </w14:solidFill>
                </w14:textFill>
              </w:rPr>
              <w:t>t/a），能满足产能要求（再生塑料颗粒</w:t>
            </w:r>
            <w:r>
              <w:rPr>
                <w:rFonts w:hint="eastAsia" w:cs="Times New Roman"/>
                <w:color w:val="000000" w:themeColor="text1"/>
                <w:u w:val="single"/>
                <w:lang w:val="en-US" w:eastAsia="zh-CN"/>
                <w14:textFill>
                  <w14:solidFill>
                    <w14:schemeClr w14:val="tx1"/>
                  </w14:solidFill>
                </w14:textFill>
              </w:rPr>
              <w:t>3</w:t>
            </w:r>
            <w:r>
              <w:rPr>
                <w:rFonts w:hint="default" w:ascii="Times New Roman" w:hAnsi="Times New Roman" w:cs="Times New Roman"/>
                <w:color w:val="000000" w:themeColor="text1"/>
                <w:u w:val="single"/>
                <w14:textFill>
                  <w14:solidFill>
                    <w14:schemeClr w14:val="tx1"/>
                  </w14:solidFill>
                </w14:textFill>
              </w:rPr>
              <w:t>000t/a）。</w:t>
            </w:r>
          </w:p>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7、劳动定员及工作制度</w:t>
            </w:r>
          </w:p>
          <w:p>
            <w:pPr>
              <w:pStyle w:val="17"/>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w:t>本项目建成后，劳动定员</w:t>
            </w:r>
            <w:r>
              <w:rPr>
                <w:rFonts w:hint="eastAsia" w:cs="Times New Roman"/>
                <w:color w:val="auto"/>
                <w:lang w:val="en-US" w:eastAsia="zh-CN"/>
              </w:rPr>
              <w:t>30</w:t>
            </w:r>
            <w:r>
              <w:rPr>
                <w:rFonts w:hint="default" w:ascii="Times New Roman" w:hAnsi="Times New Roman" w:cs="Times New Roman"/>
                <w:color w:val="auto"/>
              </w:rPr>
              <w:t>人，年工作天数300天，</w:t>
            </w:r>
            <w:r>
              <w:rPr>
                <w:rFonts w:hint="eastAsia" w:cs="Times New Roman"/>
                <w:color w:val="auto"/>
                <w:lang w:val="en-US" w:eastAsia="zh-CN"/>
              </w:rPr>
              <w:t>每天3班制，1班</w:t>
            </w:r>
            <w:r>
              <w:rPr>
                <w:rFonts w:hint="default" w:ascii="Times New Roman" w:hAnsi="Times New Roman" w:cs="Times New Roman"/>
                <w:color w:val="auto"/>
              </w:rPr>
              <w:t>工作</w:t>
            </w:r>
            <w:r>
              <w:rPr>
                <w:rFonts w:hint="eastAsia" w:cs="Times New Roman"/>
                <w:color w:val="auto"/>
                <w:lang w:val="en-US" w:eastAsia="zh-CN"/>
              </w:rPr>
              <w:t>8</w:t>
            </w:r>
            <w:r>
              <w:rPr>
                <w:rFonts w:hint="default" w:ascii="Times New Roman" w:hAnsi="Times New Roman" w:cs="Times New Roman"/>
                <w:color w:val="auto"/>
              </w:rPr>
              <w:t>小时。</w:t>
            </w:r>
          </w:p>
          <w:p>
            <w:pPr>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8、基础设施建设情况</w:t>
            </w:r>
          </w:p>
          <w:p>
            <w:pPr>
              <w:pStyle w:val="17"/>
              <w:keepNext w:val="0"/>
              <w:keepLines w:val="0"/>
              <w:pageBreakBefore w:val="0"/>
              <w:widowControl w:val="0"/>
              <w:kinsoku/>
              <w:wordWrap/>
              <w:overflowPunct/>
              <w:topLinePunct w:val="0"/>
              <w:bidi w:val="0"/>
              <w:adjustRightInd w:val="0"/>
              <w:snapToGrid w:val="0"/>
              <w:spacing w:line="360" w:lineRule="auto"/>
              <w:ind w:firstLine="482"/>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（1）给水系统：项目用水</w:t>
            </w:r>
            <w:r>
              <w:rPr>
                <w:rFonts w:hint="eastAsia" w:cs="Times New Roman"/>
                <w:b w:val="0"/>
                <w:bCs w:val="0"/>
                <w:color w:val="auto"/>
                <w:u w:val="none"/>
                <w:lang w:val="en-US" w:eastAsia="zh-CN"/>
              </w:rPr>
              <w:t>由园区供水管网</w:t>
            </w:r>
            <w:r>
              <w:rPr>
                <w:rFonts w:hint="default" w:ascii="Times New Roman" w:hAnsi="Times New Roman" w:cs="Times New Roman"/>
                <w:b w:val="0"/>
                <w:bCs w:val="0"/>
                <w:color w:val="auto"/>
                <w:u w:val="none"/>
              </w:rPr>
              <w:t>供给，满足厂区生活生产</w:t>
            </w:r>
            <w:r>
              <w:rPr>
                <w:rFonts w:hint="eastAsia" w:cs="Times New Roman"/>
                <w:b w:val="0"/>
                <w:bCs w:val="0"/>
                <w:color w:val="auto"/>
                <w:u w:val="none"/>
                <w:lang w:val="en-US" w:eastAsia="zh-CN"/>
              </w:rPr>
              <w:t>需要</w:t>
            </w:r>
            <w:r>
              <w:rPr>
                <w:rFonts w:hint="default" w:ascii="Times New Roman" w:hAnsi="Times New Roman" w:cs="Times New Roman"/>
                <w:b w:val="0"/>
                <w:bCs w:val="0"/>
                <w:color w:val="auto"/>
                <w:u w:val="none"/>
              </w:rPr>
              <w:t>。</w:t>
            </w:r>
          </w:p>
          <w:p>
            <w:pPr>
              <w:pStyle w:val="17"/>
              <w:keepNext w:val="0"/>
              <w:keepLines w:val="0"/>
              <w:pageBreakBefore w:val="0"/>
              <w:widowControl w:val="0"/>
              <w:numPr>
                <w:ilvl w:val="0"/>
                <w:numId w:val="5"/>
              </w:numPr>
              <w:kinsoku/>
              <w:wordWrap/>
              <w:overflowPunct/>
              <w:topLinePunct w:val="0"/>
              <w:bidi w:val="0"/>
              <w:adjustRightInd w:val="0"/>
              <w:snapToGrid w:val="0"/>
              <w:spacing w:line="360" w:lineRule="auto"/>
              <w:ind w:firstLine="482"/>
              <w:rPr>
                <w:rFonts w:hint="default" w:ascii="Times New Roman" w:hAnsi="Times New Roman" w:eastAsia="宋体" w:cs="Times New Roman"/>
                <w:b w:val="0"/>
                <w:bCs w:val="0"/>
                <w:color w:val="auto"/>
                <w:kern w:val="0"/>
                <w:sz w:val="24"/>
                <w:szCs w:val="24"/>
                <w:u w:val="none"/>
                <w:lang w:val="en-US" w:eastAsia="zh-CN"/>
              </w:rPr>
            </w:pPr>
            <w:r>
              <w:rPr>
                <w:rFonts w:hint="default" w:ascii="Times New Roman" w:hAnsi="Times New Roman" w:cs="Times New Roman"/>
                <w:b w:val="0"/>
                <w:bCs w:val="0"/>
                <w:color w:val="auto"/>
                <w:u w:val="none"/>
              </w:rPr>
              <w:t>排水系统</w:t>
            </w:r>
            <w:r>
              <w:rPr>
                <w:rFonts w:hint="eastAsia" w:cs="Times New Roman"/>
                <w:b w:val="0"/>
                <w:bCs w:val="0"/>
                <w:color w:val="auto"/>
                <w:u w:val="none"/>
                <w:lang w:eastAsia="zh-CN"/>
              </w:rPr>
              <w:t>：</w:t>
            </w:r>
            <w:r>
              <w:rPr>
                <w:rFonts w:hint="eastAsia"/>
                <w:lang w:val="en-US" w:eastAsia="zh-CN"/>
              </w:rPr>
              <w:t>项目采取雨污分流雨水经河南旭原不锈钢有限公司厂区内已有雨水管网收纳。</w:t>
            </w:r>
            <w:r>
              <w:rPr>
                <w:rFonts w:hint="default" w:ascii="Times New Roman" w:hAnsi="Times New Roman" w:eastAsia="宋体" w:cs="Times New Roman"/>
                <w:color w:val="auto"/>
                <w:kern w:val="0"/>
                <w:sz w:val="24"/>
                <w:szCs w:val="24"/>
                <w:lang w:val="en-US" w:eastAsia="zh-CN"/>
              </w:rPr>
              <w:t>项目营运期废水主要为生活污水、清洗废水、车辆冲洗废水以及冷却水。生活污水经化粪池收集后可直接进入污水管网，最终进入</w:t>
            </w:r>
            <w:r>
              <w:rPr>
                <w:rFonts w:hint="eastAsia" w:cs="Times New Roman"/>
                <w:color w:val="auto"/>
                <w:kern w:val="0"/>
                <w:sz w:val="24"/>
                <w:szCs w:val="24"/>
                <w:lang w:val="en-US" w:eastAsia="zh-CN"/>
              </w:rPr>
              <w:t>宝丰县产业集聚区污水处理厂</w:t>
            </w:r>
            <w:r>
              <w:rPr>
                <w:rFonts w:hint="default" w:ascii="Times New Roman" w:hAnsi="Times New Roman" w:eastAsia="宋体" w:cs="Times New Roman"/>
                <w:color w:val="auto"/>
                <w:kern w:val="0"/>
                <w:sz w:val="24"/>
                <w:szCs w:val="24"/>
                <w:lang w:val="en-US" w:eastAsia="zh-CN"/>
              </w:rPr>
              <w:t>进行</w:t>
            </w:r>
            <w:r>
              <w:rPr>
                <w:rFonts w:hint="eastAsia" w:cs="Times New Roman"/>
                <w:color w:val="auto"/>
                <w:kern w:val="0"/>
                <w:sz w:val="24"/>
                <w:szCs w:val="24"/>
                <w:lang w:val="en-US" w:eastAsia="zh-CN"/>
              </w:rPr>
              <w:t>深度</w:t>
            </w:r>
            <w:r>
              <w:rPr>
                <w:rFonts w:hint="default" w:ascii="Times New Roman" w:hAnsi="Times New Roman" w:eastAsia="宋体" w:cs="Times New Roman"/>
                <w:color w:val="auto"/>
                <w:kern w:val="0"/>
                <w:sz w:val="24"/>
                <w:szCs w:val="24"/>
                <w:lang w:val="en-US" w:eastAsia="zh-CN"/>
              </w:rPr>
              <w:t>处理；清洗废水经一体化环保设施净化处理后循环使用不外排；车辆冲洗废水经沉淀池处理后，循环使用不外排；冷却水定期补充，循环使用不外排。</w:t>
            </w:r>
          </w:p>
          <w:p>
            <w:pPr>
              <w:pStyle w:val="17"/>
              <w:keepNext w:val="0"/>
              <w:keepLines w:val="0"/>
              <w:pageBreakBefore w:val="0"/>
              <w:widowControl w:val="0"/>
              <w:kinsoku/>
              <w:wordWrap/>
              <w:overflowPunct/>
              <w:topLinePunct w:val="0"/>
              <w:bidi w:val="0"/>
              <w:adjustRightInd w:val="0"/>
              <w:snapToGrid w:val="0"/>
              <w:spacing w:line="360" w:lineRule="auto"/>
              <w:ind w:firstLine="482"/>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w:t>
            </w:r>
            <w:r>
              <w:rPr>
                <w:rFonts w:hint="eastAsia" w:cs="Times New Roman"/>
                <w:b w:val="0"/>
                <w:bCs w:val="0"/>
                <w:color w:val="auto"/>
                <w:u w:val="none"/>
                <w:lang w:val="en-US" w:eastAsia="zh-CN"/>
              </w:rPr>
              <w:t>3</w:t>
            </w:r>
            <w:r>
              <w:rPr>
                <w:rFonts w:hint="default" w:ascii="Times New Roman" w:hAnsi="Times New Roman" w:cs="Times New Roman"/>
                <w:b w:val="0"/>
                <w:bCs w:val="0"/>
                <w:color w:val="auto"/>
                <w:u w:val="none"/>
              </w:rPr>
              <w:t>）供电系统：电能由</w:t>
            </w:r>
            <w:r>
              <w:rPr>
                <w:rFonts w:hint="eastAsia" w:cs="Times New Roman"/>
                <w:b w:val="0"/>
                <w:bCs w:val="0"/>
                <w:color w:val="auto"/>
                <w:u w:val="none"/>
                <w:lang w:val="en-US" w:eastAsia="zh-CN"/>
              </w:rPr>
              <w:t>园区供电管网</w:t>
            </w:r>
            <w:r>
              <w:rPr>
                <w:rFonts w:hint="default" w:ascii="Times New Roman" w:hAnsi="Times New Roman" w:cs="Times New Roman"/>
                <w:b w:val="0"/>
                <w:bCs w:val="0"/>
                <w:color w:val="auto"/>
                <w:u w:val="none"/>
              </w:rPr>
              <w:t>供电，能够满足生产需要。</w:t>
            </w:r>
          </w:p>
          <w:p>
            <w:pPr>
              <w:keepNext w:val="0"/>
              <w:keepLines w:val="0"/>
              <w:pageBreakBefore w:val="0"/>
              <w:widowControl w:val="0"/>
              <w:kinsoku/>
              <w:wordWrap/>
              <w:overflowPunct/>
              <w:topLinePunct w:val="0"/>
              <w:bidi w:val="0"/>
              <w:adjustRightInd w:val="0"/>
              <w:snapToGrid w:val="0"/>
              <w:spacing w:line="360" w:lineRule="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9、项目厂区总平面布置及合理性分析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宋体"/>
                <w:bCs/>
                <w:color w:val="auto"/>
                <w:sz w:val="24"/>
                <w:szCs w:val="24"/>
                <w:lang w:val="en-US" w:eastAsia="zh-CN"/>
              </w:rPr>
            </w:pPr>
            <w:r>
              <w:rPr>
                <w:rFonts w:hint="eastAsia" w:ascii="Times New Roman" w:hAnsi="Times New Roman" w:cs="宋体"/>
                <w:bCs/>
                <w:color w:val="auto"/>
                <w:sz w:val="24"/>
                <w:szCs w:val="24"/>
                <w:lang w:val="en-US" w:eastAsia="zh-CN"/>
              </w:rPr>
              <w:t>厂区总平面布置原则：建设项目必须符合生产行业要求，满足生产工艺需求和安全生产要求。本项目是在满足生产工艺流程的前提下，考虑运输、安全、卫生等要求，结合项目用地的自然地形条件，各种设施不同功能进行分区和组合，力求平面布置紧凑合理节省用地，有利生产，方便管理。具体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u w:val="none"/>
              </w:rPr>
            </w:pPr>
            <w:r>
              <w:rPr>
                <w:rFonts w:hint="eastAsia" w:ascii="Times New Roman" w:hAnsi="Times New Roman" w:cs="宋体"/>
                <w:bCs/>
                <w:color w:val="auto"/>
                <w:sz w:val="24"/>
                <w:szCs w:val="24"/>
                <w:highlight w:val="none"/>
                <w:lang w:val="en-US" w:eastAsia="zh-CN"/>
              </w:rPr>
              <w:t>本项目平面布局较为简单，根据生产需要</w:t>
            </w:r>
            <w:r>
              <w:rPr>
                <w:rFonts w:hint="eastAsia" w:cs="宋体"/>
                <w:bCs/>
                <w:color w:val="auto"/>
                <w:sz w:val="24"/>
                <w:szCs w:val="24"/>
                <w:highlight w:val="none"/>
                <w:lang w:val="en-US" w:eastAsia="zh-CN"/>
              </w:rPr>
              <w:t>本项目主要建设生产线、生产厂房（全密闭）以及配套辅助设施。本项目位于平顶山市宝丰县宝丰高新技术产业开发区旭原不锈钢院内8号厂房，租赁河南旭原不锈钢有限公司闲置厂房1座。根据建设方提供设计资料可知，本项目办公区位于厂房东侧进口西侧，原料存放区位于办公区西侧，与大门距离较近；</w:t>
            </w:r>
            <w:r>
              <w:rPr>
                <w:rFonts w:hint="eastAsia" w:ascii="Times New Roman" w:hAnsi="Times New Roman" w:cs="宋体"/>
                <w:bCs/>
                <w:color w:val="auto"/>
                <w:sz w:val="24"/>
                <w:szCs w:val="24"/>
                <w:highlight w:val="none"/>
                <w:lang w:val="en-US" w:eastAsia="zh-CN"/>
              </w:rPr>
              <w:t>便于</w:t>
            </w:r>
            <w:r>
              <w:rPr>
                <w:rFonts w:hint="eastAsia" w:cs="宋体"/>
                <w:bCs/>
                <w:color w:val="auto"/>
                <w:sz w:val="24"/>
                <w:szCs w:val="24"/>
                <w:highlight w:val="none"/>
                <w:lang w:val="en-US" w:eastAsia="zh-CN"/>
              </w:rPr>
              <w:t>原</w:t>
            </w:r>
            <w:r>
              <w:rPr>
                <w:rFonts w:hint="eastAsia" w:ascii="Times New Roman" w:hAnsi="Times New Roman" w:cs="宋体"/>
                <w:bCs/>
                <w:color w:val="auto"/>
                <w:sz w:val="24"/>
                <w:szCs w:val="24"/>
                <w:highlight w:val="none"/>
                <w:lang w:val="en-US" w:eastAsia="zh-CN"/>
              </w:rPr>
              <w:t>料的装卸与储存</w:t>
            </w:r>
            <w:r>
              <w:rPr>
                <w:rFonts w:hint="eastAsia" w:cs="宋体"/>
                <w:bCs/>
                <w:color w:val="auto"/>
                <w:sz w:val="24"/>
                <w:szCs w:val="24"/>
                <w:highlight w:val="none"/>
                <w:lang w:val="en-US" w:eastAsia="zh-CN"/>
              </w:rPr>
              <w:t>；废编织袋生产线的清洗工序位于厂房西北区域，废编织袋和废泡沫后续加热熔化、挤塑拉丝以及切粒工序位于厂房内部南侧；其中成品区也位于厂房南侧。本项目厂区平面布置功能分区明确，各功能单元分区合理、布置紧凑，保证工艺流程顺畅简捷，本项目在平面布置设计时充分考虑到生产的进程，加工工序合理分布，平面布置合理可行。平面布置图见附图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9" w:hRule="atLeast"/>
          <w:jc w:val="center"/>
        </w:trPr>
        <w:tc>
          <w:tcPr>
            <w:tcW w:w="250" w:type="pct"/>
            <w:noWrap w:val="0"/>
            <w:vAlign w:val="center"/>
          </w:tcPr>
          <w:p>
            <w:pPr>
              <w:pStyle w:val="22"/>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sz w:val="24"/>
                <w:szCs w:val="24"/>
              </w:rPr>
              <w:t>工艺流程和产排污环节</w:t>
            </w:r>
          </w:p>
        </w:tc>
        <w:tc>
          <w:tcPr>
            <w:tcW w:w="4749" w:type="pct"/>
            <w:noWrap w:val="0"/>
            <w:vAlign w:val="top"/>
          </w:tcPr>
          <w:p>
            <w:pPr>
              <w:pStyle w:val="3"/>
              <w:keepNext w:val="0"/>
              <w:keepLines w:val="0"/>
              <w:pageBreakBefore w:val="0"/>
              <w:widowControl w:val="0"/>
              <w:kinsoku/>
              <w:wordWrap/>
              <w:overflowPunct/>
              <w:topLinePunct w:val="0"/>
              <w:bidi w:val="0"/>
              <w:adjustRightInd w:val="0"/>
              <w:snapToGrid w:val="0"/>
              <w:ind w:left="0" w:leftChars="0" w:firstLine="0" w:firstLineChars="0"/>
              <w:jc w:val="center"/>
            </w:pPr>
            <w:r>
              <w:object>
                <v:shape id="_x0000_i1025" o:spt="75" type="#_x0000_t75" style="height:373.8pt;width:304.8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pPr>
              <w:pStyle w:val="3"/>
              <w:keepNext w:val="0"/>
              <w:keepLines w:val="0"/>
              <w:pageBreakBefore w:val="0"/>
              <w:widowControl w:val="0"/>
              <w:kinsoku/>
              <w:wordWrap/>
              <w:overflowPunct/>
              <w:topLinePunct w:val="0"/>
              <w:bidi w:val="0"/>
              <w:adjustRightInd w:val="0"/>
              <w:snapToGrid w:val="0"/>
              <w:ind w:left="0" w:leftChars="0" w:firstLine="0" w:firstLineChars="0"/>
              <w:jc w:val="center"/>
              <w:rPr>
                <w:rFonts w:hint="eastAsia"/>
                <w:b/>
                <w:bCs/>
                <w:sz w:val="24"/>
                <w:szCs w:val="24"/>
                <w:lang w:val="en-US" w:eastAsia="zh-CN"/>
              </w:rPr>
            </w:pPr>
            <w:r>
              <w:rPr>
                <w:rFonts w:hint="eastAsia"/>
                <w:b/>
                <w:bCs/>
                <w:sz w:val="24"/>
                <w:szCs w:val="24"/>
                <w:lang w:val="en-US" w:eastAsia="zh-CN"/>
              </w:rPr>
              <w:t>图2-1废编织袋再利用生产线工艺流程及产污节点图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b/>
                <w:bCs/>
                <w:color w:val="auto"/>
                <w:sz w:val="24"/>
                <w:lang w:val="en-US" w:eastAsia="zh-CN"/>
              </w:rPr>
            </w:pPr>
            <w:r>
              <w:rPr>
                <w:rFonts w:hint="eastAsia" w:cs="Times New Roman"/>
                <w:b/>
                <w:bCs/>
                <w:color w:val="auto"/>
                <w:sz w:val="24"/>
                <w:lang w:val="en-US" w:eastAsia="zh-CN"/>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b w:val="0"/>
                <w:bCs w:val="0"/>
                <w:sz w:val="24"/>
                <w:szCs w:val="24"/>
                <w:u w:val="none"/>
                <w:lang w:val="en-US" w:eastAsia="zh-CN"/>
              </w:rPr>
            </w:pPr>
            <w:r>
              <w:rPr>
                <w:rFonts w:hint="eastAsia" w:ascii="Times New Roman" w:hAnsi="Times New Roman"/>
                <w:b w:val="0"/>
                <w:bCs w:val="0"/>
                <w:sz w:val="24"/>
                <w:szCs w:val="24"/>
                <w:u w:val="none"/>
              </w:rPr>
              <w:t>1、</w:t>
            </w:r>
            <w:r>
              <w:rPr>
                <w:rFonts w:hint="eastAsia"/>
                <w:b w:val="0"/>
                <w:bCs w:val="0"/>
                <w:sz w:val="24"/>
                <w:szCs w:val="24"/>
                <w:u w:val="none"/>
                <w:lang w:val="en-US" w:eastAsia="zh-CN"/>
              </w:rPr>
              <w:t>原料分拣</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b w:val="0"/>
                <w:bCs w:val="0"/>
                <w:sz w:val="24"/>
                <w:szCs w:val="24"/>
                <w:u w:val="none"/>
              </w:rPr>
            </w:pPr>
            <w:r>
              <w:rPr>
                <w:rFonts w:hint="eastAsia"/>
                <w:b w:val="0"/>
                <w:bCs w:val="0"/>
                <w:sz w:val="24"/>
                <w:szCs w:val="24"/>
                <w:u w:val="none"/>
                <w:lang w:val="en-US" w:eastAsia="zh-CN"/>
              </w:rPr>
              <w:t>本项目原料主要回收</w:t>
            </w:r>
            <w:r>
              <w:rPr>
                <w:rFonts w:hint="eastAsia" w:ascii="Times New Roman" w:hAnsi="Times New Roman"/>
                <w:b w:val="0"/>
                <w:bCs w:val="0"/>
                <w:sz w:val="24"/>
                <w:szCs w:val="24"/>
                <w:u w:val="none"/>
              </w:rPr>
              <w:t>废旧水泥袋、饲料袋、面粉袋等</w:t>
            </w:r>
            <w:r>
              <w:rPr>
                <w:rFonts w:hint="eastAsia"/>
                <w:b w:val="0"/>
                <w:bCs w:val="0"/>
                <w:sz w:val="24"/>
                <w:szCs w:val="24"/>
                <w:u w:val="none"/>
                <w:lang w:eastAsia="zh-CN"/>
              </w:rPr>
              <w:t>；</w:t>
            </w:r>
            <w:r>
              <w:rPr>
                <w:rFonts w:hint="eastAsia"/>
                <w:b w:val="0"/>
                <w:bCs w:val="0"/>
                <w:sz w:val="24"/>
                <w:szCs w:val="24"/>
                <w:u w:val="none"/>
                <w:lang w:val="en-US" w:eastAsia="zh-CN"/>
              </w:rPr>
              <w:t>项目</w:t>
            </w:r>
            <w:r>
              <w:rPr>
                <w:rFonts w:hint="eastAsia" w:ascii="Times New Roman" w:hAnsi="Times New Roman"/>
                <w:b w:val="0"/>
                <w:bCs w:val="0"/>
                <w:sz w:val="24"/>
                <w:szCs w:val="24"/>
                <w:u w:val="none"/>
              </w:rPr>
              <w:t>禁止回收和再利用属于危险废物和医疗废物的废塑料。经过包装好的原料进厂后，通过人工对原料进行拆解，对原料中的杂质进行分选，将其中的杂物清理出来，以方便后续加工；杂质</w:t>
            </w:r>
            <w:r>
              <w:rPr>
                <w:rFonts w:hint="eastAsia"/>
                <w:b w:val="0"/>
                <w:bCs w:val="0"/>
                <w:sz w:val="24"/>
                <w:szCs w:val="24"/>
                <w:u w:val="none"/>
                <w:lang w:eastAsia="zh-CN"/>
              </w:rPr>
              <w:t>清除</w:t>
            </w:r>
            <w:r>
              <w:rPr>
                <w:rFonts w:hint="eastAsia" w:ascii="Times New Roman" w:hAnsi="Times New Roman"/>
                <w:b w:val="0"/>
                <w:bCs w:val="0"/>
                <w:sz w:val="24"/>
                <w:szCs w:val="24"/>
                <w:u w:val="none"/>
              </w:rPr>
              <w:t>后对原料进行分类，分拣出的物料分别放置于各自的原料区。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b w:val="0"/>
                <w:bCs w:val="0"/>
                <w:sz w:val="24"/>
                <w:szCs w:val="24"/>
                <w:u w:val="none"/>
                <w:lang w:eastAsia="zh-CN"/>
              </w:rPr>
            </w:pPr>
            <w:r>
              <w:rPr>
                <w:rFonts w:hint="eastAsia" w:ascii="Times New Roman" w:hAnsi="Times New Roman"/>
                <w:b w:val="0"/>
                <w:bCs w:val="0"/>
                <w:sz w:val="24"/>
                <w:szCs w:val="24"/>
                <w:u w:val="none"/>
                <w:lang w:val="en-US" w:eastAsia="zh-CN"/>
              </w:rPr>
              <w:t>2</w:t>
            </w:r>
            <w:r>
              <w:rPr>
                <w:rFonts w:hint="eastAsia" w:ascii="Times New Roman" w:hAnsi="Times New Roman"/>
                <w:b w:val="0"/>
                <w:bCs w:val="0"/>
                <w:sz w:val="24"/>
                <w:szCs w:val="24"/>
                <w:u w:val="none"/>
              </w:rPr>
              <w:t>、</w:t>
            </w:r>
            <w:r>
              <w:rPr>
                <w:rFonts w:hint="eastAsia"/>
                <w:b w:val="0"/>
                <w:bCs w:val="0"/>
                <w:sz w:val="24"/>
                <w:szCs w:val="24"/>
                <w:u w:val="none"/>
                <w:lang w:val="en-US" w:eastAsia="zh-CN"/>
              </w:rPr>
              <w:t>清洗</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b w:val="0"/>
                <w:bCs w:val="0"/>
                <w:sz w:val="24"/>
                <w:szCs w:val="24"/>
                <w:u w:val="none"/>
              </w:rPr>
            </w:pPr>
            <w:r>
              <w:rPr>
                <w:rFonts w:hint="eastAsia" w:ascii="Times New Roman" w:hAnsi="Times New Roman"/>
                <w:b w:val="0"/>
                <w:bCs w:val="0"/>
                <w:sz w:val="24"/>
                <w:szCs w:val="24"/>
                <w:u w:val="none"/>
                <w:lang w:val="en-US" w:eastAsia="zh-CN"/>
              </w:rPr>
              <w:t>将</w:t>
            </w:r>
            <w:r>
              <w:rPr>
                <w:rFonts w:hint="eastAsia" w:ascii="Times New Roman" w:hAnsi="Times New Roman"/>
                <w:b w:val="0"/>
                <w:bCs w:val="0"/>
                <w:sz w:val="24"/>
                <w:szCs w:val="24"/>
                <w:u w:val="none"/>
              </w:rPr>
              <w:t>原料</w:t>
            </w:r>
            <w:r>
              <w:rPr>
                <w:rFonts w:hint="eastAsia" w:ascii="Times New Roman" w:hAnsi="Times New Roman"/>
                <w:b w:val="0"/>
                <w:bCs w:val="0"/>
                <w:sz w:val="24"/>
                <w:szCs w:val="24"/>
                <w:u w:val="none"/>
                <w:lang w:val="en-US" w:eastAsia="zh-CN"/>
              </w:rPr>
              <w:t>经过</w:t>
            </w:r>
            <w:r>
              <w:rPr>
                <w:rFonts w:hint="eastAsia" w:ascii="Times New Roman" w:hAnsi="Times New Roman"/>
                <w:b w:val="0"/>
                <w:bCs w:val="0"/>
                <w:sz w:val="24"/>
                <w:szCs w:val="24"/>
                <w:u w:val="none"/>
              </w:rPr>
              <w:t>螺旋绞龙传送一体机至清洗水池进行清洗处理，螺旋绞龙传送一体机通过高速运转对物料进一步清理。清洗后的原料再进入甩干机内进行甩干处理。清洗、甩干废水进入污水</w:t>
            </w:r>
            <w:r>
              <w:rPr>
                <w:rFonts w:hint="eastAsia" w:ascii="Times New Roman" w:hAnsi="Times New Roman"/>
                <w:b w:val="0"/>
                <w:bCs w:val="0"/>
                <w:sz w:val="24"/>
                <w:szCs w:val="24"/>
                <w:u w:val="none"/>
                <w:lang w:val="en-US" w:eastAsia="zh-CN"/>
              </w:rPr>
              <w:t>处理</w:t>
            </w:r>
            <w:r>
              <w:rPr>
                <w:rFonts w:hint="eastAsia"/>
                <w:b w:val="0"/>
                <w:bCs w:val="0"/>
                <w:sz w:val="24"/>
                <w:szCs w:val="24"/>
                <w:u w:val="none"/>
                <w:lang w:val="en-US" w:eastAsia="zh-CN"/>
              </w:rPr>
              <w:t>设施</w:t>
            </w:r>
            <w:r>
              <w:rPr>
                <w:rFonts w:hint="eastAsia" w:ascii="Times New Roman" w:hAnsi="Times New Roman"/>
                <w:b w:val="0"/>
                <w:bCs w:val="0"/>
                <w:sz w:val="24"/>
                <w:szCs w:val="24"/>
                <w:u w:val="none"/>
              </w:rPr>
              <w:t>处理后回用于清洗工序不外排。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b w:val="0"/>
                <w:bCs w:val="0"/>
                <w:sz w:val="24"/>
                <w:szCs w:val="24"/>
                <w:u w:val="none"/>
                <w:lang w:val="en-US" w:eastAsia="zh-CN"/>
              </w:rPr>
            </w:pPr>
            <w:r>
              <w:rPr>
                <w:rFonts w:hint="eastAsia"/>
                <w:b w:val="0"/>
                <w:bCs w:val="0"/>
                <w:sz w:val="24"/>
                <w:szCs w:val="24"/>
                <w:u w:val="none"/>
                <w:lang w:val="en-US" w:eastAsia="zh-CN"/>
              </w:rPr>
              <w:t>3</w:t>
            </w:r>
            <w:r>
              <w:rPr>
                <w:rFonts w:hint="eastAsia" w:ascii="Times New Roman" w:hAnsi="Times New Roman"/>
                <w:b w:val="0"/>
                <w:bCs w:val="0"/>
                <w:sz w:val="24"/>
                <w:szCs w:val="24"/>
                <w:u w:val="none"/>
              </w:rPr>
              <w:t>、</w:t>
            </w:r>
            <w:r>
              <w:rPr>
                <w:rFonts w:hint="eastAsia"/>
                <w:b w:val="0"/>
                <w:bCs w:val="0"/>
                <w:sz w:val="24"/>
                <w:szCs w:val="24"/>
                <w:u w:val="none"/>
                <w:lang w:val="en-US" w:eastAsia="zh-CN"/>
              </w:rPr>
              <w:t>破碎</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b w:val="0"/>
                <w:bCs w:val="0"/>
                <w:sz w:val="24"/>
                <w:szCs w:val="24"/>
                <w:u w:val="none"/>
              </w:rPr>
            </w:pPr>
            <w:r>
              <w:rPr>
                <w:rFonts w:hint="eastAsia"/>
                <w:b w:val="0"/>
                <w:bCs w:val="0"/>
                <w:sz w:val="24"/>
                <w:szCs w:val="24"/>
                <w:u w:val="none"/>
                <w:lang w:val="en-US" w:eastAsia="zh-CN"/>
              </w:rPr>
              <w:t>清洗后</w:t>
            </w:r>
            <w:r>
              <w:rPr>
                <w:rFonts w:hint="eastAsia" w:ascii="Times New Roman" w:hAnsi="Times New Roman"/>
                <w:b w:val="0"/>
                <w:bCs w:val="0"/>
                <w:sz w:val="24"/>
                <w:szCs w:val="24"/>
                <w:u w:val="none"/>
              </w:rPr>
              <w:t>的原料放入粉碎机进行破碎。项目采用的破碎机为刀片式，破碎机通过电动机带</w:t>
            </w:r>
            <w:r>
              <w:rPr>
                <w:rFonts w:hint="eastAsia"/>
                <w:b w:val="0"/>
                <w:bCs w:val="0"/>
                <w:sz w:val="24"/>
                <w:szCs w:val="24"/>
                <w:u w:val="none"/>
                <w:lang w:eastAsia="zh-CN"/>
              </w:rPr>
              <w:t>动</w:t>
            </w:r>
            <w:r>
              <w:rPr>
                <w:rFonts w:hint="eastAsia" w:ascii="Times New Roman" w:hAnsi="Times New Roman"/>
                <w:b w:val="0"/>
                <w:bCs w:val="0"/>
                <w:sz w:val="24"/>
                <w:szCs w:val="24"/>
                <w:u w:val="none"/>
              </w:rPr>
              <w:t>刀刀盘高速旋转，在动刀高速转动的过程中与定刀形成相对运动的趋势，利用动刀与定刀之间形成的间隙造成塑料粉碎的切口，从而将大片塑料进行破碎。破碎机处理后的物料尺寸为长10公分、宽2公分的条状。</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b w:val="0"/>
                <w:bCs w:val="0"/>
                <w:sz w:val="24"/>
                <w:szCs w:val="24"/>
                <w:u w:val="none"/>
                <w:lang w:val="en-US" w:eastAsia="zh-CN"/>
              </w:rPr>
            </w:pPr>
            <w:r>
              <w:rPr>
                <w:rFonts w:hint="eastAsia"/>
                <w:b w:val="0"/>
                <w:bCs w:val="0"/>
                <w:sz w:val="24"/>
                <w:szCs w:val="24"/>
                <w:u w:val="none"/>
                <w:lang w:val="en-US" w:eastAsia="zh-CN"/>
              </w:rPr>
              <w:t>4、熔融挤出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输送带将塑料送至喂料机的强制下料机，从而进入造粒机组加热熔融挤出。本项目造粒机组采用电加热，加热温度约为180℃～200℃。造粒机组的工作原理为：塑料碎片加入强制下料机后落到螺杆上，被螺杆螺纹咬住，随着螺杆的旋转被螺纹强制往机头方向推进，构成一个机械输送过程。塑料碎片自加料口往机头运行时，由于螺杆的螺纹深度逐渐减小，也由于滤网、分流板和机头等阻力的存在，在塑化过程中形成很高的压力，将塑料压密实以改善物料的热传导性，有助于塑料很快融化。同时，逐渐增高的压力使原来存在于物料之间的气体从排气孔排出。在压力升高的同时，塑料一方面被外部加热，另一方面塑料本身在压缩、剪切、搅拌过程中，由于内摩擦也产生大量的热，在外力和内力联合作用下，塑料温度逐渐升高，其物理状态也经历了玻璃态到高弹态到粘流态的变化。一般在加料中主要是玻璃态，在螺杆螺纹逐渐减少的中间压缩段，物料主要处于高弹态，同时逐渐熔融，而物料到压缩段后部时已经完全塑化为粘流态了，由螺杆推力作用将塑化的物料定压、定量、均匀</w:t>
            </w:r>
            <w:r>
              <w:rPr>
                <w:rFonts w:hint="eastAsia"/>
                <w:sz w:val="24"/>
                <w:szCs w:val="24"/>
                <w:lang w:eastAsia="zh-CN"/>
              </w:rPr>
              <w:t>连续地从机</w:t>
            </w:r>
            <w:r>
              <w:rPr>
                <w:rFonts w:hint="eastAsia"/>
                <w:sz w:val="24"/>
                <w:szCs w:val="24"/>
              </w:rPr>
              <w:t>头中挤出。项目造粒机采用一主一副。塑料经过副机可使塑料二次塑化，增加挤出塑料颗粒的品质。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hint="eastAsia"/>
                <w:sz w:val="24"/>
                <w:szCs w:val="24"/>
              </w:rPr>
              <w:t>项目造粒机以电为热源，此工段产生的废气主要为排气段、主副机对接段及副机挤出口产生的有机废气。为保证产品质量，挤塑机过滤网（作用为阻挡熔融态塑料内杂质）使用一段时间后需要定期更换新的过滤网，而换下的废弃过滤网属于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val="0"/>
                <w:sz w:val="24"/>
                <w:szCs w:val="24"/>
                <w:u w:val="none"/>
                <w:lang w:val="en-US" w:eastAsia="zh-CN"/>
              </w:rPr>
            </w:pPr>
            <w:r>
              <w:rPr>
                <w:rFonts w:hint="eastAsia"/>
                <w:b w:val="0"/>
                <w:bCs w:val="0"/>
                <w:sz w:val="24"/>
                <w:szCs w:val="24"/>
                <w:u w:val="none"/>
                <w:lang w:val="en-US" w:eastAsia="zh-CN"/>
              </w:rPr>
              <w:t>5、冷却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挤出的条状塑料温度高达</w:t>
            </w:r>
            <w:r>
              <w:rPr>
                <w:rFonts w:hint="default"/>
                <w:sz w:val="24"/>
                <w:szCs w:val="24"/>
                <w:lang w:val="en-US" w:eastAsia="zh-CN"/>
              </w:rPr>
              <w:t>200</w:t>
            </w:r>
            <w:r>
              <w:rPr>
                <w:rFonts w:hint="eastAsia"/>
                <w:sz w:val="24"/>
                <w:szCs w:val="24"/>
                <w:lang w:val="en-US" w:eastAsia="zh-CN"/>
              </w:rPr>
              <w:t>℃且具有粘性，为便于切粒，需对塑料条进行冷却，使其固化定型，提高产品质量，防止因升温使塑料粒发黏堵塞料口。项目采用冷却水对塑料条进行直接冷却，采用的冷却设备为熔融设备自带的冷却水槽（</w:t>
            </w:r>
            <w:r>
              <w:rPr>
                <w:rFonts w:hint="default"/>
                <w:sz w:val="24"/>
                <w:szCs w:val="24"/>
                <w:lang w:val="en-US" w:eastAsia="zh-CN"/>
              </w:rPr>
              <w:t>5m×0.4m×0.3m</w:t>
            </w:r>
            <w:r>
              <w:rPr>
                <w:rFonts w:hint="eastAsia"/>
                <w:sz w:val="24"/>
                <w:szCs w:val="24"/>
                <w:lang w:val="en-US" w:eastAsia="zh-CN"/>
              </w:rPr>
              <w:t>）。造粒机挤出的成型塑料条直接落入冷却水槽中自然冷却，冷却水循环使用，定期补充新水，不排放。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val="0"/>
                <w:sz w:val="24"/>
                <w:szCs w:val="24"/>
                <w:u w:val="none"/>
                <w:lang w:val="en-US" w:eastAsia="zh-CN"/>
              </w:rPr>
            </w:pPr>
            <w:r>
              <w:rPr>
                <w:rFonts w:hint="eastAsia"/>
                <w:b w:val="0"/>
                <w:bCs w:val="0"/>
                <w:sz w:val="24"/>
                <w:szCs w:val="24"/>
                <w:u w:val="none"/>
                <w:lang w:val="en-US" w:eastAsia="zh-CN"/>
              </w:rPr>
              <w:t>6、切粒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从冷却水槽出来的成型塑料条在切粒机的牵引力下不断穿过切粒机的切刀，切刀将其切成长度为</w:t>
            </w:r>
            <w:r>
              <w:rPr>
                <w:rFonts w:hint="default"/>
                <w:sz w:val="24"/>
                <w:szCs w:val="24"/>
                <w:lang w:val="en-US" w:eastAsia="zh-CN"/>
              </w:rPr>
              <w:t>1</w:t>
            </w:r>
            <w:r>
              <w:rPr>
                <w:rFonts w:hint="eastAsia"/>
                <w:sz w:val="24"/>
                <w:szCs w:val="24"/>
                <w:lang w:val="en-US" w:eastAsia="zh-CN"/>
              </w:rPr>
              <w:t>—</w:t>
            </w:r>
            <w:r>
              <w:rPr>
                <w:rFonts w:hint="default"/>
                <w:sz w:val="24"/>
                <w:szCs w:val="24"/>
                <w:lang w:val="en-US" w:eastAsia="zh-CN"/>
              </w:rPr>
              <w:t>3mm</w:t>
            </w:r>
            <w:r>
              <w:rPr>
                <w:rFonts w:hint="eastAsia"/>
                <w:sz w:val="24"/>
                <w:szCs w:val="24"/>
                <w:lang w:val="en-US" w:eastAsia="zh-CN"/>
              </w:rPr>
              <w:t>的颗粒。</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val="0"/>
                <w:sz w:val="24"/>
                <w:szCs w:val="24"/>
                <w:u w:val="none"/>
                <w:lang w:val="en-US" w:eastAsia="zh-CN"/>
              </w:rPr>
            </w:pPr>
            <w:r>
              <w:rPr>
                <w:rFonts w:hint="eastAsia"/>
                <w:b w:val="0"/>
                <w:bCs w:val="0"/>
                <w:sz w:val="24"/>
                <w:szCs w:val="24"/>
                <w:u w:val="none"/>
                <w:lang w:val="en-US" w:eastAsia="zh-CN"/>
              </w:rPr>
              <w:t>（</w:t>
            </w:r>
            <w:r>
              <w:rPr>
                <w:rFonts w:hint="default"/>
                <w:b w:val="0"/>
                <w:bCs w:val="0"/>
                <w:sz w:val="24"/>
                <w:szCs w:val="24"/>
                <w:u w:val="none"/>
                <w:lang w:val="en-US" w:eastAsia="zh-CN"/>
              </w:rPr>
              <w:t>6</w:t>
            </w:r>
            <w:r>
              <w:rPr>
                <w:rFonts w:hint="eastAsia"/>
                <w:b w:val="0"/>
                <w:bCs w:val="0"/>
                <w:sz w:val="24"/>
                <w:szCs w:val="24"/>
                <w:u w:val="none"/>
                <w:lang w:val="en-US" w:eastAsia="zh-CN"/>
              </w:rPr>
              <w:t>）包装入库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切粒后的颗粒产品直接进入成品仓，最终在成品仓下料口采用包装袋接料后封包，在成品仓库暂存待售。</w:t>
            </w:r>
          </w:p>
          <w:p>
            <w:pPr>
              <w:keepNext w:val="0"/>
              <w:keepLines w:val="0"/>
              <w:pageBreakBefore w:val="0"/>
              <w:widowControl w:val="0"/>
              <w:kinsoku/>
              <w:wordWrap/>
              <w:overflowPunct/>
              <w:topLinePunct w:val="0"/>
              <w:bidi w:val="0"/>
              <w:adjustRightInd w:val="0"/>
              <w:snapToGrid w:val="0"/>
              <w:jc w:val="center"/>
              <w:rPr>
                <w:rFonts w:hint="eastAsia" w:eastAsia="宋体"/>
                <w:lang w:eastAsia="zh-CN"/>
              </w:rPr>
            </w:pPr>
            <w:r>
              <w:rPr>
                <w:rFonts w:hint="eastAsia" w:eastAsia="宋体"/>
                <w:lang w:eastAsia="zh-CN"/>
              </w:rPr>
              <w:object>
                <v:shape id="_x0000_i1026" o:spt="75" type="#_x0000_t75" style="height:320.05pt;width:290.2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b/>
                <w:bCs/>
                <w:sz w:val="24"/>
                <w:szCs w:val="24"/>
                <w:lang w:val="en-US" w:eastAsia="zh-CN"/>
              </w:rPr>
            </w:pPr>
            <w:r>
              <w:rPr>
                <w:rFonts w:hint="eastAsia"/>
                <w:b/>
                <w:bCs/>
                <w:sz w:val="24"/>
                <w:szCs w:val="24"/>
                <w:lang w:val="en-US" w:eastAsia="zh-CN"/>
              </w:rPr>
              <w:t>图2-2废泡沫再利用生产线工艺流程及产污节点图</w:t>
            </w:r>
          </w:p>
          <w:p>
            <w:pPr>
              <w:keepNext w:val="0"/>
              <w:keepLines w:val="0"/>
              <w:pageBreakBefore w:val="0"/>
              <w:widowControl w:val="0"/>
              <w:kinsoku/>
              <w:wordWrap/>
              <w:overflowPunct/>
              <w:topLinePunct w:val="0"/>
              <w:bidi w:val="0"/>
              <w:adjustRightInd w:val="0"/>
              <w:snapToGrid w:val="0"/>
              <w:spacing w:line="360" w:lineRule="auto"/>
              <w:ind w:firstLine="480"/>
              <w:rPr>
                <w:rFonts w:hint="eastAsia" w:cs="Times New Roman"/>
                <w:b/>
                <w:bCs/>
                <w:color w:val="auto"/>
                <w:sz w:val="24"/>
                <w:lang w:val="en-US" w:eastAsia="zh-CN"/>
              </w:rPr>
            </w:pPr>
            <w:r>
              <w:rPr>
                <w:rFonts w:hint="eastAsia" w:cs="Times New Roman"/>
                <w:b/>
                <w:bCs/>
                <w:color w:val="auto"/>
                <w:sz w:val="24"/>
                <w:lang w:val="en-US" w:eastAsia="zh-CN"/>
              </w:rPr>
              <w:t>工艺流程说明</w:t>
            </w:r>
          </w:p>
          <w:p>
            <w:pPr>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1、原料</w:t>
            </w:r>
            <w:r>
              <w:rPr>
                <w:rFonts w:hint="eastAsia" w:cs="Times New Roman"/>
                <w:color w:val="000000"/>
                <w:sz w:val="24"/>
                <w:szCs w:val="24"/>
                <w:lang w:val="en-US" w:eastAsia="zh-CN"/>
              </w:rPr>
              <w:t>分拣和破碎</w:t>
            </w:r>
          </w:p>
          <w:p>
            <w:pPr>
              <w:spacing w:line="360" w:lineRule="auto"/>
              <w:ind w:firstLine="480" w:firstLineChars="200"/>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外购废塑料泡沫，由汽车运输至厂区内，暂存于原料堆场（厂房内）。生产时，</w:t>
            </w:r>
            <w:r>
              <w:rPr>
                <w:rFonts w:hint="eastAsia" w:cs="Times New Roman"/>
                <w:color w:val="000000"/>
                <w:sz w:val="24"/>
                <w:szCs w:val="24"/>
                <w:lang w:val="en-US" w:eastAsia="zh-CN"/>
              </w:rPr>
              <w:t>将原料进行简单的人工分拣，去除原料中的杂物；再</w:t>
            </w:r>
            <w:r>
              <w:rPr>
                <w:rFonts w:hint="eastAsia" w:ascii="Times New Roman" w:hAnsi="Times New Roman" w:cs="Times New Roman"/>
                <w:color w:val="000000"/>
                <w:sz w:val="24"/>
                <w:szCs w:val="24"/>
                <w:lang w:val="en-US" w:eastAsia="zh-CN"/>
              </w:rPr>
              <w:t>将原料（废塑料泡沫）投入破碎机中，破碎成小块，破碎后经过鼓风机及上料机输送至无纺布料仓</w:t>
            </w:r>
            <w:r>
              <w:rPr>
                <w:rFonts w:hint="eastAsia" w:cs="Times New Roman"/>
                <w:color w:val="000000"/>
                <w:sz w:val="24"/>
                <w:szCs w:val="24"/>
                <w:lang w:val="en-US" w:eastAsia="zh-CN"/>
              </w:rPr>
              <w:t>，由强制喂料机输送至加热熔融工序。</w:t>
            </w:r>
          </w:p>
          <w:p>
            <w:pPr>
              <w:spacing w:line="360" w:lineRule="auto"/>
              <w:ind w:firstLine="480" w:firstLineChars="200"/>
              <w:rPr>
                <w:rFonts w:hint="default" w:ascii="Times New Roman" w:hAnsi="Times New Roman" w:cs="Times New Roman"/>
                <w:color w:val="000000"/>
                <w:sz w:val="24"/>
                <w:szCs w:val="24"/>
                <w:lang w:val="en-US"/>
              </w:rPr>
            </w:pPr>
            <w:r>
              <w:rPr>
                <w:rFonts w:hint="eastAsia" w:ascii="Times New Roman" w:hAnsi="Times New Roman" w:cs="Times New Roman"/>
                <w:color w:val="000000"/>
                <w:sz w:val="24"/>
                <w:szCs w:val="24"/>
                <w:lang w:val="en-US" w:eastAsia="zh-CN"/>
              </w:rPr>
              <w:t>2、</w:t>
            </w:r>
            <w:r>
              <w:rPr>
                <w:rFonts w:hint="eastAsia" w:cs="Times New Roman"/>
                <w:color w:val="000000"/>
                <w:sz w:val="24"/>
                <w:szCs w:val="24"/>
                <w:lang w:val="en-US" w:eastAsia="zh-CN"/>
              </w:rPr>
              <w:t>加热熔融和挤塑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eastAsia="宋体"/>
                <w:lang w:eastAsia="zh-CN"/>
              </w:rPr>
            </w:pPr>
            <w:r>
              <w:rPr>
                <w:rFonts w:hint="eastAsia" w:ascii="宋体" w:hAnsi="宋体" w:eastAsia="宋体" w:cs="宋体"/>
                <w:color w:val="000000"/>
                <w:kern w:val="0"/>
                <w:sz w:val="24"/>
                <w:szCs w:val="24"/>
                <w:lang w:val="en-US" w:eastAsia="zh-CN" w:bidi="ar"/>
              </w:rPr>
              <w:t>无纺布料仓里的碎料通过进料输送螺杆稳定地进入挤塑机，挤塑过程采用电加热装置对预处理后的泡沫进行加热，加热温度约为</w:t>
            </w:r>
            <w:r>
              <w:rPr>
                <w:rFonts w:hint="default" w:ascii="Times New Roman" w:hAnsi="Times New Roman" w:eastAsia="宋体" w:cs="Times New Roman"/>
                <w:color w:val="000000"/>
                <w:kern w:val="0"/>
                <w:sz w:val="24"/>
                <w:szCs w:val="24"/>
                <w:lang w:val="en-US" w:eastAsia="zh-CN" w:bidi="ar"/>
              </w:rPr>
              <w:t>160~180℃</w:t>
            </w:r>
            <w:r>
              <w:rPr>
                <w:rFonts w:hint="eastAsia" w:ascii="宋体" w:hAnsi="宋体" w:eastAsia="宋体" w:cs="宋体"/>
                <w:color w:val="000000"/>
                <w:kern w:val="0"/>
                <w:sz w:val="24"/>
                <w:szCs w:val="24"/>
                <w:lang w:val="en-US" w:eastAsia="zh-CN" w:bidi="ar"/>
              </w:rPr>
              <w:t>，为提高产品质量，项目采用孔径为</w:t>
            </w:r>
            <w:r>
              <w:rPr>
                <w:rFonts w:hint="default" w:ascii="Times New Roman" w:hAnsi="Times New Roman" w:eastAsia="宋体" w:cs="Times New Roman"/>
                <w:color w:val="000000"/>
                <w:kern w:val="0"/>
                <w:sz w:val="24"/>
                <w:szCs w:val="24"/>
                <w:lang w:val="en-US" w:eastAsia="zh-CN" w:bidi="ar"/>
              </w:rPr>
              <w:t>2mm</w:t>
            </w:r>
            <w:r>
              <w:rPr>
                <w:rFonts w:hint="eastAsia" w:ascii="宋体" w:hAnsi="宋体" w:eastAsia="宋体" w:cs="宋体"/>
                <w:color w:val="000000"/>
                <w:kern w:val="0"/>
                <w:sz w:val="24"/>
                <w:szCs w:val="24"/>
                <w:lang w:val="en-US" w:eastAsia="zh-CN" w:bidi="ar"/>
              </w:rPr>
              <w:t>的滤网对泡沫（熔融状态）中的杂质进行过滤，然后经挤出口挤压成条状半成品。塑料在熔融过程中因为少量物料分解以及物料表面携带的水分汽化将导致机械内部压强增大，需要进行卸压，因此挤塑机上部设置有</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个排气孔。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3、拉丝冷却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条状半成品温度较高</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140-150℃)，循环水进行冷却降温。项目采用的螺旋挤塑机出料装置后设置有冷却水槽，半成品在切料机的牵引下通过水槽，与水槽中的冷水进行热交换后温度降至30-40℃，水槽中的冷却废水由泵提升进入循环水塔，冷却后随地势高差进入冷却水槽，循环水不外排。</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切粒</w:t>
            </w:r>
            <w:r>
              <w:rPr>
                <w:rFonts w:hint="eastAsia" w:cs="Times New Roman"/>
                <w:color w:val="000000"/>
                <w:sz w:val="24"/>
                <w:szCs w:val="24"/>
                <w:lang w:eastAsia="zh-CN"/>
              </w:rPr>
              <w:t>、</w:t>
            </w:r>
            <w:r>
              <w:rPr>
                <w:rFonts w:hint="eastAsia" w:cs="Times New Roman"/>
                <w:color w:val="000000"/>
                <w:sz w:val="24"/>
                <w:szCs w:val="24"/>
                <w:lang w:val="en-US" w:eastAsia="zh-CN"/>
              </w:rPr>
              <w:t>包装入库</w:t>
            </w:r>
            <w:r>
              <w:rPr>
                <w:rFonts w:hint="default" w:ascii="Times New Roman" w:hAnsi="Times New Roman" w:cs="Times New Roman"/>
                <w:color w:val="000000"/>
                <w:sz w:val="24"/>
                <w:szCs w:val="24"/>
              </w:rPr>
              <w:t>：冷却后的条状半成品经切粒机切成粒状（长约5mm</w:t>
            </w:r>
            <w:r>
              <w:rPr>
                <w:rFonts w:hint="eastAsia" w:cs="Times New Roman"/>
                <w:color w:val="000000"/>
                <w:sz w:val="24"/>
                <w:szCs w:val="24"/>
                <w:lang w:eastAsia="zh-CN"/>
              </w:rPr>
              <w:t>，</w:t>
            </w:r>
            <w:r>
              <w:rPr>
                <w:rFonts w:hint="default" w:ascii="Times New Roman" w:hAnsi="Times New Roman" w:cs="Times New Roman"/>
                <w:color w:val="000000"/>
                <w:sz w:val="24"/>
                <w:szCs w:val="24"/>
              </w:rPr>
              <w:t>直径3mm</w:t>
            </w:r>
            <w:r>
              <w:rPr>
                <w:rFonts w:hint="eastAsia" w:cs="Times New Roman"/>
                <w:color w:val="000000"/>
                <w:sz w:val="24"/>
                <w:szCs w:val="24"/>
                <w:lang w:eastAsia="zh-CN"/>
              </w:rPr>
              <w:t>）</w:t>
            </w:r>
            <w:r>
              <w:rPr>
                <w:rFonts w:hint="default" w:ascii="Times New Roman" w:hAnsi="Times New Roman" w:cs="Times New Roman"/>
                <w:color w:val="000000"/>
                <w:sz w:val="24"/>
                <w:szCs w:val="24"/>
              </w:rPr>
              <w:t>的产品，然后</w:t>
            </w:r>
            <w:r>
              <w:rPr>
                <w:rFonts w:hint="eastAsia" w:cs="Times New Roman"/>
                <w:color w:val="000000"/>
                <w:sz w:val="24"/>
                <w:szCs w:val="24"/>
                <w:lang w:val="en-US" w:eastAsia="zh-CN"/>
              </w:rPr>
              <w:t>进入成品仓，最终在下料口处装袋入库等待</w:t>
            </w:r>
            <w:r>
              <w:rPr>
                <w:rFonts w:hint="default" w:ascii="Times New Roman" w:hAnsi="Times New Roman" w:cs="Times New Roman"/>
                <w:color w:val="000000"/>
                <w:sz w:val="24"/>
                <w:szCs w:val="24"/>
              </w:rPr>
              <w:t>出售。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
                <w:bCs w:val="0"/>
                <w:sz w:val="24"/>
                <w:szCs w:val="24"/>
              </w:rPr>
            </w:pPr>
            <w:r>
              <w:rPr>
                <w:rFonts w:hint="eastAsia" w:ascii="宋体" w:hAnsi="宋体"/>
                <w:b/>
                <w:bCs w:val="0"/>
                <w:sz w:val="24"/>
                <w:szCs w:val="24"/>
              </w:rPr>
              <w:t>产排污环节简述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b/>
                <w:color w:val="auto"/>
                <w:sz w:val="24"/>
                <w:szCs w:val="24"/>
              </w:rPr>
            </w:pPr>
            <w:r>
              <w:rPr>
                <w:rFonts w:hint="eastAsia" w:ascii="Times New Roman" w:hAnsi="Times New Roman"/>
                <w:b/>
                <w:color w:val="auto"/>
                <w:sz w:val="24"/>
                <w:szCs w:val="24"/>
              </w:rPr>
              <w:t>主要污染工序分析：</w:t>
            </w:r>
          </w:p>
          <w:p>
            <w:pPr>
              <w:snapToGrid w:val="0"/>
              <w:spacing w:line="240" w:lineRule="auto"/>
              <w:ind w:firstLine="480" w:firstLineChars="200"/>
              <w:rPr>
                <w:rFonts w:hint="eastAsia" w:ascii="Times New Roman" w:hAnsi="Times New Roman"/>
                <w:b w:val="0"/>
                <w:bCs w:val="0"/>
                <w:color w:val="auto"/>
                <w:sz w:val="24"/>
                <w:szCs w:val="24"/>
              </w:rPr>
            </w:pPr>
            <w:r>
              <w:rPr>
                <w:rFonts w:hint="eastAsia" w:ascii="Times New Roman" w:hAnsi="Times New Roman"/>
                <w:b w:val="0"/>
                <w:bCs w:val="0"/>
                <w:color w:val="auto"/>
                <w:sz w:val="24"/>
                <w:szCs w:val="24"/>
              </w:rPr>
              <w:t>根据业主提供的工艺流程及对项目产污环节分析可知，项目营运过程中主要污染工序如下：</w:t>
            </w:r>
          </w:p>
          <w:p>
            <w:pPr>
              <w:keepNext w:val="0"/>
              <w:keepLines w:val="0"/>
              <w:pageBreakBefore w:val="0"/>
              <w:widowControl w:val="0"/>
              <w:tabs>
                <w:tab w:val="left" w:pos="1785"/>
                <w:tab w:val="center" w:pos="4156"/>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表</w:t>
            </w:r>
            <w:r>
              <w:rPr>
                <w:rFonts w:hint="default" w:ascii="Times New Roman" w:hAnsi="Times New Roman" w:eastAsia="宋体" w:cs="Times New Roman"/>
                <w:b/>
                <w:bCs/>
                <w:color w:val="auto"/>
                <w:sz w:val="24"/>
                <w:lang w:val="en-US" w:eastAsia="zh-CN"/>
              </w:rPr>
              <w:t>2-</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项目</w:t>
            </w:r>
            <w:r>
              <w:rPr>
                <w:rFonts w:hint="eastAsia" w:cs="Times New Roman"/>
                <w:b/>
                <w:bCs/>
                <w:color w:val="auto"/>
                <w:sz w:val="24"/>
                <w:lang w:val="en-US" w:eastAsia="zh-CN"/>
              </w:rPr>
              <w:t>生产过程中</w:t>
            </w:r>
            <w:r>
              <w:rPr>
                <w:rFonts w:hint="eastAsia" w:ascii="Times New Roman" w:hAnsi="Times New Roman" w:eastAsia="宋体" w:cs="Times New Roman"/>
                <w:b/>
                <w:bCs/>
                <w:color w:val="auto"/>
                <w:sz w:val="24"/>
                <w:lang w:val="en-US" w:eastAsia="zh-CN"/>
              </w:rPr>
              <w:t>主要污染工序</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25"/>
              <w:gridCol w:w="1110"/>
              <w:gridCol w:w="1595"/>
              <w:gridCol w:w="4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9"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项目</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产污环节</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污染因子</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废编织袋再利用生产线</w:t>
                  </w:r>
                  <w:r>
                    <w:rPr>
                      <w:rFonts w:hint="eastAsia"/>
                      <w:lang w:val="en-US" w:eastAsia="zh-CN"/>
                    </w:rPr>
                    <w:t>（2条）</w:t>
                  </w:r>
                </w:p>
              </w:tc>
              <w:tc>
                <w:tcPr>
                  <w:tcW w:w="5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废气</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熔融挤出</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非甲烷总烃、颗粒物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Cs w:val="21"/>
                      <w:lang w:val="en-US" w:eastAsia="zh-CN"/>
                    </w:rPr>
                    <w:t>全密闭</w:t>
                  </w:r>
                  <w:r>
                    <w:rPr>
                      <w:rFonts w:hint="eastAsia" w:cs="Times New Roman"/>
                      <w:color w:val="auto"/>
                      <w:kern w:val="2"/>
                      <w:sz w:val="21"/>
                      <w:szCs w:val="21"/>
                      <w:vertAlign w:val="baseline"/>
                      <w:lang w:val="en-US" w:eastAsia="zh-CN" w:bidi="ar-SA"/>
                    </w:rPr>
                    <w:t>集气设施负压收集至处理系统（</w:t>
                  </w:r>
                  <w:r>
                    <w:rPr>
                      <w:rFonts w:hint="eastAsia"/>
                      <w:lang w:val="en-US" w:eastAsia="zh-CN"/>
                    </w:rPr>
                    <w:t>干式过滤除尘（过滤棉）+</w:t>
                  </w:r>
                  <w:r>
                    <w:rPr>
                      <w:rFonts w:hint="eastAsia" w:cs="Times New Roman"/>
                      <w:color w:val="auto"/>
                      <w:kern w:val="2"/>
                      <w:sz w:val="21"/>
                      <w:szCs w:val="21"/>
                      <w:vertAlign w:val="baseline"/>
                      <w:lang w:val="en-US" w:eastAsia="zh-CN" w:bidi="ar-SA"/>
                    </w:rPr>
                    <w:t>活性炭吸附浓缩+催化燃烧（RCO））处理，最终经20m排气筒P1（DA001）高空达标排放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p>
              </w:tc>
              <w:tc>
                <w:tcPr>
                  <w:tcW w:w="501"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废水</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COD、SS</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清洗废水</w:t>
                  </w:r>
                </w:p>
              </w:tc>
              <w:tc>
                <w:tcPr>
                  <w:tcW w:w="2415" w:type="pct"/>
                  <w:vAlign w:val="center"/>
                </w:tcPr>
                <w:p>
                  <w:pP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经一体化污水处理设施（</w:t>
                  </w:r>
                  <w:r>
                    <w:rPr>
                      <w:rFonts w:hint="eastAsia"/>
                      <w:lang w:val="en-US" w:eastAsia="zh-CN"/>
                    </w:rPr>
                    <w:t>初沉池+调节池+A/O+二沉池+消毒池</w:t>
                  </w:r>
                  <w:r>
                    <w:rPr>
                      <w:rFonts w:hint="eastAsia"/>
                      <w:color w:val="auto"/>
                      <w:sz w:val="21"/>
                      <w:szCs w:val="21"/>
                      <w:vertAlign w:val="baseline"/>
                      <w:lang w:val="en-US" w:eastAsia="zh-CN"/>
                    </w:rPr>
                    <w:t>）处理后循环使用，不外排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COD、SS</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冷却水</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冷却水循环使用，定期补充新鲜水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p>
              </w:tc>
              <w:tc>
                <w:tcPr>
                  <w:tcW w:w="5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噪声</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产噪设备</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噪声</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选用低噪声设备，基础减振、厂房隔声等降噪措施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p>
              </w:tc>
              <w:tc>
                <w:tcPr>
                  <w:tcW w:w="501"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固废</w:t>
                  </w: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人工分拣出的杂物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 w:val="21"/>
                      <w:szCs w:val="21"/>
                      <w:vertAlign w:val="baseline"/>
                      <w:lang w:val="en-US" w:eastAsia="zh-CN"/>
                    </w:rPr>
                    <w:t>收集后</w:t>
                  </w:r>
                  <w:r>
                    <w:rPr>
                      <w:rFonts w:hint="eastAsia" w:ascii="Times New Roman" w:hAnsi="Times New Roman"/>
                      <w:color w:val="auto"/>
                      <w:sz w:val="21"/>
                      <w:szCs w:val="21"/>
                      <w:vertAlign w:val="baseline"/>
                    </w:rPr>
                    <w:t>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 w:val="21"/>
                      <w:szCs w:val="21"/>
                      <w:vertAlign w:val="baseline"/>
                      <w:lang w:val="en-US" w:eastAsia="zh-CN"/>
                    </w:rPr>
                    <w:t>熔融挤出工序产生的废</w:t>
                  </w:r>
                  <w:r>
                    <w:rPr>
                      <w:rFonts w:hint="eastAsia" w:ascii="Times New Roman" w:hAnsi="Times New Roman"/>
                      <w:color w:val="auto"/>
                      <w:sz w:val="21"/>
                      <w:szCs w:val="21"/>
                      <w:vertAlign w:val="baseline"/>
                    </w:rPr>
                    <w:t>滤网</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 w:val="21"/>
                      <w:szCs w:val="21"/>
                      <w:vertAlign w:val="baseline"/>
                      <w:lang w:val="en-US" w:eastAsia="zh-CN"/>
                    </w:rPr>
                    <w:t>收集后</w:t>
                  </w:r>
                  <w:r>
                    <w:rPr>
                      <w:rFonts w:hint="eastAsia" w:ascii="Times New Roman" w:hAnsi="Times New Roman"/>
                      <w:color w:val="auto"/>
                      <w:sz w:val="21"/>
                      <w:szCs w:val="21"/>
                      <w:vertAlign w:val="baseline"/>
                    </w:rPr>
                    <w:t>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rPr>
                    <w:t>污水处理设施</w:t>
                  </w:r>
                  <w:r>
                    <w:rPr>
                      <w:rFonts w:hint="eastAsia"/>
                      <w:color w:val="auto"/>
                      <w:sz w:val="21"/>
                      <w:szCs w:val="21"/>
                      <w:vertAlign w:val="baseline"/>
                      <w:lang w:val="en-US" w:eastAsia="zh-CN"/>
                    </w:rPr>
                    <w:t>沉淀物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 w:val="21"/>
                      <w:szCs w:val="21"/>
                      <w:vertAlign w:val="baseline"/>
                      <w:lang w:val="en-US" w:eastAsia="zh-CN"/>
                    </w:rPr>
                    <w:t>污泥</w:t>
                  </w:r>
                  <w:r>
                    <w:rPr>
                      <w:rFonts w:hint="eastAsia" w:ascii="Times New Roman" w:hAnsi="Times New Roman"/>
                      <w:color w:val="auto"/>
                      <w:sz w:val="21"/>
                      <w:szCs w:val="21"/>
                      <w:vertAlign w:val="baseline"/>
                    </w:rPr>
                    <w:t>经板框压滤机处理后，定期收集交由当地环卫部门清运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废过滤棉</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r>
                    <w:rPr>
                      <w:rFonts w:hint="eastAsia" w:ascii="Times New Roman" w:hAnsi="Times New Roman"/>
                      <w:color w:val="auto"/>
                      <w:sz w:val="21"/>
                      <w:szCs w:val="21"/>
                      <w:vertAlign w:val="baseline"/>
                    </w:rPr>
                    <w:t>定期收集交由当地环卫部门清运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废泡沫再利用生产线</w:t>
                  </w:r>
                  <w:r>
                    <w:rPr>
                      <w:rFonts w:hint="eastAsia"/>
                      <w:lang w:val="en-US" w:eastAsia="zh-CN"/>
                    </w:rPr>
                    <w:t>（2条）</w:t>
                  </w:r>
                </w:p>
              </w:tc>
              <w:tc>
                <w:tcPr>
                  <w:tcW w:w="501"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废气</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破碎工序</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颗粒物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Cs w:val="21"/>
                      <w:lang w:val="en-US" w:eastAsia="zh-CN"/>
                    </w:rPr>
                    <w:t>全密闭</w:t>
                  </w:r>
                  <w:r>
                    <w:rPr>
                      <w:rFonts w:hint="eastAsia" w:cs="Times New Roman"/>
                      <w:color w:val="auto"/>
                      <w:kern w:val="2"/>
                      <w:sz w:val="21"/>
                      <w:szCs w:val="21"/>
                      <w:vertAlign w:val="baseline"/>
                      <w:lang w:val="en-US" w:eastAsia="zh-CN" w:bidi="ar-SA"/>
                    </w:rPr>
                    <w:t>集气设施负压收集至袋式除尘器处理，最终经20m排气筒P2（DA002）高空达标排放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s="Times New Roman"/>
                      <w:color w:val="auto"/>
                      <w:kern w:val="2"/>
                      <w:sz w:val="21"/>
                      <w:szCs w:val="21"/>
                      <w:vertAlign w:val="baseline"/>
                      <w:lang w:val="en-US" w:eastAsia="zh-CN" w:bidi="ar-SA"/>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熔融挤出</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非甲烷总烃、二甲苯、颗粒物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Cs w:val="21"/>
                      <w:lang w:val="en-US" w:eastAsia="zh-CN"/>
                    </w:rPr>
                    <w:t>全密闭</w:t>
                  </w:r>
                  <w:r>
                    <w:rPr>
                      <w:rFonts w:hint="eastAsia" w:cs="Times New Roman"/>
                      <w:color w:val="auto"/>
                      <w:kern w:val="2"/>
                      <w:sz w:val="21"/>
                      <w:szCs w:val="21"/>
                      <w:vertAlign w:val="baseline"/>
                      <w:lang w:val="en-US" w:eastAsia="zh-CN" w:bidi="ar-SA"/>
                    </w:rPr>
                    <w:t>集气设施负压收集至处理系统（</w:t>
                  </w:r>
                  <w:r>
                    <w:rPr>
                      <w:rFonts w:hint="eastAsia"/>
                      <w:lang w:val="en-US" w:eastAsia="zh-CN"/>
                    </w:rPr>
                    <w:t>干式过滤除尘（过滤棉）+</w:t>
                  </w:r>
                  <w:r>
                    <w:rPr>
                      <w:rFonts w:hint="eastAsia" w:cs="Times New Roman"/>
                      <w:color w:val="auto"/>
                      <w:kern w:val="2"/>
                      <w:sz w:val="21"/>
                      <w:szCs w:val="21"/>
                      <w:vertAlign w:val="baseline"/>
                      <w:lang w:val="en-US" w:eastAsia="zh-CN" w:bidi="ar-SA"/>
                    </w:rPr>
                    <w:t>活性炭吸附浓缩+催化燃烧（RCO））处理，最终经20m排气筒P3（DA003）高空达标排放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废水</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olor w:val="auto"/>
                      <w:sz w:val="21"/>
                      <w:szCs w:val="21"/>
                      <w:vertAlign w:val="baseline"/>
                    </w:rPr>
                    <w:t>COD、SS</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冷却水</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冷却水循环使用，定期补充新鲜水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噪声</w:t>
                  </w:r>
                </w:p>
              </w:tc>
              <w:tc>
                <w:tcPr>
                  <w:tcW w:w="601"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产噪设备</w:t>
                  </w:r>
                </w:p>
              </w:tc>
              <w:tc>
                <w:tcPr>
                  <w:tcW w:w="864"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噪声</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ascii="Times New Roman" w:hAnsi="Times New Roman"/>
                      <w:color w:val="auto"/>
                      <w:sz w:val="21"/>
                      <w:szCs w:val="21"/>
                      <w:vertAlign w:val="baseline"/>
                    </w:rPr>
                    <w:t>选用低噪声设备，基础减振、厂房隔声等降噪措施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固废</w:t>
                  </w: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除尘器收集尘</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olor w:val="auto"/>
                      <w:sz w:val="21"/>
                      <w:szCs w:val="21"/>
                      <w:vertAlign w:val="baseline"/>
                    </w:rPr>
                  </w:pPr>
                  <w:r>
                    <w:rPr>
                      <w:rFonts w:hint="eastAsia"/>
                      <w:color w:val="auto"/>
                      <w:sz w:val="21"/>
                      <w:szCs w:val="21"/>
                      <w:vertAlign w:val="baseline"/>
                      <w:lang w:val="en-US" w:eastAsia="zh-CN"/>
                    </w:rPr>
                    <w:t>收集后</w:t>
                  </w:r>
                  <w:r>
                    <w:rPr>
                      <w:rFonts w:hint="eastAsia" w:ascii="Times New Roman" w:hAnsi="Times New Roman"/>
                      <w:color w:val="auto"/>
                      <w:sz w:val="21"/>
                      <w:szCs w:val="21"/>
                      <w:vertAlign w:val="baseline"/>
                    </w:rPr>
                    <w:t>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olor w:val="auto"/>
                      <w:sz w:val="21"/>
                      <w:szCs w:val="21"/>
                      <w:vertAlign w:val="baseline"/>
                    </w:rPr>
                    <w:t>人工分拣出的杂物</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收集后</w:t>
                  </w:r>
                  <w:r>
                    <w:rPr>
                      <w:rFonts w:hint="eastAsia" w:ascii="Times New Roman" w:hAnsi="Times New Roman"/>
                      <w:color w:val="auto"/>
                      <w:sz w:val="21"/>
                      <w:szCs w:val="21"/>
                      <w:vertAlign w:val="baseline"/>
                    </w:rPr>
                    <w:t>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熔融挤出工序产生的废</w:t>
                  </w:r>
                  <w:r>
                    <w:rPr>
                      <w:rFonts w:hint="eastAsia" w:ascii="Times New Roman" w:hAnsi="Times New Roman"/>
                      <w:color w:val="auto"/>
                      <w:sz w:val="21"/>
                      <w:szCs w:val="21"/>
                      <w:vertAlign w:val="baseline"/>
                    </w:rPr>
                    <w:t>滤网</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收集后</w:t>
                  </w:r>
                  <w:r>
                    <w:rPr>
                      <w:rFonts w:hint="eastAsia" w:ascii="Times New Roman" w:hAnsi="Times New Roman"/>
                      <w:color w:val="auto"/>
                      <w:sz w:val="21"/>
                      <w:szCs w:val="21"/>
                      <w:vertAlign w:val="baseline"/>
                    </w:rPr>
                    <w:t>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8"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废过滤棉</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olor w:val="auto"/>
                      <w:sz w:val="21"/>
                      <w:szCs w:val="21"/>
                      <w:vertAlign w:val="baseline"/>
                    </w:rPr>
                    <w:t>定期收集交由当地环卫部门清运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9"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危险废物</w:t>
                  </w: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废活性炭</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废机油</w:t>
                  </w:r>
                  <w:r>
                    <w:rPr>
                      <w:rFonts w:hint="eastAsia"/>
                      <w:color w:val="auto"/>
                      <w:lang w:val="en-US" w:eastAsia="zh-CN"/>
                    </w:rPr>
                    <w:t>以及催化燃烧产生的废催化剂（需做固体废物浸出实验）</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厂区危废暂存间暂存，定期交由具有危废资质的单位处置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1119"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r>
                    <w:rPr>
                      <w:rFonts w:hint="eastAsia" w:cs="Times New Roman"/>
                      <w:color w:val="auto"/>
                      <w:kern w:val="2"/>
                      <w:sz w:val="21"/>
                      <w:szCs w:val="21"/>
                      <w:vertAlign w:val="baseline"/>
                      <w:lang w:val="en-US" w:eastAsia="zh-CN" w:bidi="ar-SA"/>
                    </w:rPr>
                    <w:t>员工</w:t>
                  </w: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生活垃圾</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厂区设置生活垃圾桶，分类收集，定期交由当地环卫部门清运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9"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auto"/>
                      <w:sz w:val="21"/>
                      <w:szCs w:val="21"/>
                      <w:vertAlign w:val="baseline"/>
                      <w:lang w:val="en-US" w:eastAsia="zh-CN"/>
                    </w:rPr>
                  </w:pPr>
                  <w:r>
                    <w:rPr>
                      <w:rFonts w:hint="eastAsia" w:cs="Times New Roman"/>
                      <w:color w:val="auto"/>
                      <w:kern w:val="2"/>
                      <w:sz w:val="21"/>
                      <w:szCs w:val="21"/>
                      <w:vertAlign w:val="baseline"/>
                      <w:lang w:val="en-US" w:eastAsia="zh-CN" w:bidi="ar-SA"/>
                    </w:rPr>
                    <w:t>车辆运输</w:t>
                  </w:r>
                </w:p>
              </w:tc>
              <w:tc>
                <w:tcPr>
                  <w:tcW w:w="1465" w:type="pct"/>
                  <w:gridSpan w:val="2"/>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车辆冲洗废水</w:t>
                  </w:r>
                </w:p>
              </w:tc>
              <w:tc>
                <w:tcPr>
                  <w:tcW w:w="2415" w:type="pc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经沉淀池处理后循环使用</w:t>
                  </w:r>
                </w:p>
              </w:tc>
            </w:tr>
          </w:tbl>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right="0" w:rightChars="0" w:firstLine="482" w:firstLineChars="200"/>
              <w:jc w:val="both"/>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物料平衡图：</w:t>
            </w:r>
          </w:p>
          <w:p>
            <w:pPr>
              <w:pStyle w:val="3"/>
              <w:keepNext w:val="0"/>
              <w:keepLines w:val="0"/>
              <w:pageBreakBefore w:val="0"/>
              <w:widowControl w:val="0"/>
              <w:numPr>
                <w:ilvl w:val="0"/>
                <w:numId w:val="6"/>
              </w:numPr>
              <w:kinsoku/>
              <w:wordWrap/>
              <w:overflowPunct/>
              <w:topLinePunct w:val="0"/>
              <w:autoSpaceDE/>
              <w:autoSpaceDN/>
              <w:bidi w:val="0"/>
              <w:adjustRightInd w:val="0"/>
              <w:snapToGrid w:val="0"/>
              <w:spacing w:before="0" w:after="0" w:line="360" w:lineRule="auto"/>
              <w:ind w:right="0" w:rightChars="0" w:firstLine="482" w:firstLineChars="200"/>
              <w:jc w:val="both"/>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废编织袋再利用生产线物料平衡图</w:t>
            </w:r>
          </w:p>
          <w:p>
            <w:pPr>
              <w:numPr>
                <w:ilvl w:val="0"/>
                <w:numId w:val="0"/>
              </w:numPr>
              <w:jc w:val="center"/>
              <w:rPr>
                <w:rFonts w:hint="eastAsia"/>
                <w:lang w:val="en-US" w:eastAsia="zh-CN"/>
              </w:rPr>
            </w:pPr>
            <w:r>
              <w:rPr>
                <w:rFonts w:hint="eastAsia"/>
                <w:lang w:val="en-US" w:eastAsia="zh-CN"/>
              </w:rPr>
              <w:object>
                <v:shape id="_x0000_i1027" o:spt="75" type="#_x0000_t75" style="height:367.4pt;width:354.3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pPr>
              <w:pStyle w:val="3"/>
              <w:keepNext w:val="0"/>
              <w:keepLines w:val="0"/>
              <w:pageBreakBefore w:val="0"/>
              <w:widowControl w:val="0"/>
              <w:numPr>
                <w:ilvl w:val="0"/>
                <w:numId w:val="6"/>
              </w:numPr>
              <w:kinsoku/>
              <w:wordWrap/>
              <w:overflowPunct/>
              <w:topLinePunct w:val="0"/>
              <w:autoSpaceDE/>
              <w:autoSpaceDN/>
              <w:bidi w:val="0"/>
              <w:adjustRightInd w:val="0"/>
              <w:snapToGrid w:val="0"/>
              <w:spacing w:before="0" w:after="0" w:line="360" w:lineRule="auto"/>
              <w:ind w:left="0" w:leftChars="0" w:right="0" w:rightChars="0" w:firstLine="482" w:firstLineChars="200"/>
              <w:jc w:val="both"/>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废泡沫再利用生产线物料平衡图</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Chars="0" w:right="0" w:rightChars="0"/>
              <w:jc w:val="center"/>
              <w:textAlignment w:val="auto"/>
              <w:rPr>
                <w:rFonts w:hint="default" w:eastAsia="宋体"/>
                <w:lang w:val="en-US" w:eastAsia="zh-CN"/>
              </w:rPr>
            </w:pPr>
            <w:r>
              <w:rPr>
                <w:rFonts w:hint="eastAsia" w:eastAsia="宋体"/>
                <w:lang w:eastAsia="zh-CN"/>
              </w:rPr>
              <w:object>
                <v:shape id="_x0000_i1028" o:spt="75" type="#_x0000_t75" style="height:331.1pt;width:304.75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pPr>
              <w:pStyle w:val="22"/>
              <w:keepNext w:val="0"/>
              <w:keepLines w:val="0"/>
              <w:pageBreakBefore w:val="0"/>
              <w:widowControl w:val="0"/>
              <w:kinsoku/>
              <w:wordWrap/>
              <w:overflowPunct/>
              <w:topLinePunct w:val="0"/>
              <w:bidi w:val="0"/>
              <w:adjustRightInd w:val="0"/>
              <w:snapToGrid w:val="0"/>
              <w:spacing w:before="0" w:beforeAutospacing="0" w:after="0" w:afterAutospacing="0"/>
              <w:jc w:val="center"/>
              <w:rPr>
                <w:rFonts w:cs="宋体"/>
                <w:b/>
                <w:bCs/>
                <w:sz w:val="24"/>
                <w:szCs w:val="24"/>
              </w:rPr>
            </w:pPr>
            <w:r>
              <w:rPr>
                <w:rFonts w:hint="eastAsia" w:cs="宋体"/>
                <w:b/>
                <w:bCs/>
                <w:kern w:val="2"/>
                <w:sz w:val="24"/>
                <w:szCs w:val="24"/>
              </w:rPr>
              <w:t>与项目有关的原有环境污染问题</w:t>
            </w:r>
          </w:p>
        </w:tc>
        <w:tc>
          <w:tcPr>
            <w:tcW w:w="4749" w:type="pct"/>
            <w:noWrap w:val="0"/>
            <w:vAlign w:val="center"/>
          </w:tcPr>
          <w:p>
            <w:pPr>
              <w:spacing w:line="360" w:lineRule="auto"/>
              <w:ind w:firstLine="480" w:firstLineChars="200"/>
              <w:jc w:val="left"/>
              <w:rPr>
                <w:rFonts w:hint="eastAsia" w:ascii="宋体" w:hAnsi="宋体" w:eastAsia="宋体"/>
                <w:bCs/>
                <w:sz w:val="24"/>
                <w:szCs w:val="24"/>
                <w:lang w:eastAsia="zh-CN"/>
              </w:rPr>
            </w:pPr>
            <w:r>
              <w:rPr>
                <w:rFonts w:hint="eastAsia" w:ascii="宋体" w:hAnsi="宋体" w:eastAsia="宋体"/>
                <w:b w:val="0"/>
                <w:bCs/>
                <w:sz w:val="24"/>
                <w:szCs w:val="24"/>
                <w:u w:val="single"/>
                <w:lang w:eastAsia="zh-CN"/>
              </w:rPr>
              <w:t>本项目为新建项目，租用</w:t>
            </w:r>
            <w:r>
              <w:rPr>
                <w:rFonts w:hint="eastAsia" w:ascii="宋体" w:hAnsi="宋体"/>
                <w:b w:val="0"/>
                <w:bCs/>
                <w:sz w:val="24"/>
                <w:szCs w:val="24"/>
                <w:u w:val="single"/>
                <w:lang w:val="en-US" w:eastAsia="zh-CN"/>
              </w:rPr>
              <w:t>河南旭原不锈钢</w:t>
            </w:r>
            <w:r>
              <w:rPr>
                <w:rFonts w:hint="eastAsia" w:ascii="宋体" w:hAnsi="宋体" w:eastAsia="宋体"/>
                <w:b w:val="0"/>
                <w:bCs/>
                <w:sz w:val="24"/>
                <w:szCs w:val="24"/>
                <w:u w:val="single"/>
                <w:lang w:eastAsia="zh-CN"/>
              </w:rPr>
              <w:t>现有</w:t>
            </w:r>
            <w:r>
              <w:rPr>
                <w:rFonts w:hint="eastAsia" w:ascii="宋体" w:hAnsi="宋体"/>
                <w:b w:val="0"/>
                <w:bCs/>
                <w:sz w:val="24"/>
                <w:szCs w:val="24"/>
                <w:u w:val="single"/>
                <w:lang w:val="en-US" w:eastAsia="zh-CN"/>
              </w:rPr>
              <w:t>8号闲置</w:t>
            </w:r>
            <w:r>
              <w:rPr>
                <w:rFonts w:hint="eastAsia" w:ascii="宋体" w:hAnsi="宋体" w:eastAsia="宋体"/>
                <w:b w:val="0"/>
                <w:bCs/>
                <w:sz w:val="24"/>
                <w:szCs w:val="24"/>
                <w:u w:val="single"/>
                <w:lang w:eastAsia="zh-CN"/>
              </w:rPr>
              <w:t>厂房</w:t>
            </w:r>
            <w:r>
              <w:rPr>
                <w:rFonts w:hint="eastAsia" w:ascii="宋体" w:hAnsi="宋体"/>
                <w:b w:val="0"/>
                <w:bCs/>
                <w:sz w:val="24"/>
                <w:szCs w:val="24"/>
                <w:u w:val="single"/>
                <w:lang w:eastAsia="zh-CN"/>
              </w:rPr>
              <w:t>。</w:t>
            </w:r>
            <w:r>
              <w:rPr>
                <w:rFonts w:hint="eastAsia" w:ascii="宋体" w:hAnsi="宋体"/>
                <w:b w:val="0"/>
                <w:bCs/>
                <w:sz w:val="24"/>
                <w:szCs w:val="24"/>
                <w:u w:val="single"/>
                <w:lang w:val="en-US" w:eastAsia="zh-CN"/>
              </w:rPr>
              <w:t>根据技术人员的现场调查，厂房内南侧处于空置状态，北侧存在部分遗留的不锈钢加工设备</w:t>
            </w:r>
            <w:r>
              <w:rPr>
                <w:rFonts w:hint="eastAsia" w:ascii="宋体" w:hAnsi="宋体" w:eastAsia="宋体"/>
                <w:b w:val="0"/>
                <w:bCs/>
                <w:sz w:val="24"/>
                <w:szCs w:val="24"/>
                <w:u w:val="single"/>
                <w:lang w:eastAsia="zh-CN"/>
              </w:rPr>
              <w:t>，</w:t>
            </w:r>
            <w:r>
              <w:rPr>
                <w:rFonts w:hint="eastAsia" w:ascii="宋体" w:hAnsi="宋体"/>
                <w:b w:val="0"/>
                <w:bCs/>
                <w:sz w:val="24"/>
                <w:szCs w:val="24"/>
                <w:u w:val="single"/>
                <w:lang w:val="en-US" w:eastAsia="zh-CN"/>
              </w:rPr>
              <w:t>同时通过技术人员现场勘查厂房内</w:t>
            </w:r>
            <w:r>
              <w:rPr>
                <w:rFonts w:hint="default" w:ascii="Times New Roman" w:hAnsi="Times New Roman" w:cs="Times New Roman"/>
                <w:b w:val="0"/>
                <w:bCs/>
                <w:sz w:val="24"/>
                <w:u w:val="single"/>
                <w:lang w:val="en-US" w:eastAsia="zh-CN"/>
              </w:rPr>
              <w:t>并未发现遗留环境污染问题。</w:t>
            </w:r>
            <w:r>
              <w:rPr>
                <w:rFonts w:hint="eastAsia" w:ascii="Times New Roman" w:hAnsi="Times New Roman" w:cs="Times New Roman"/>
                <w:b w:val="0"/>
                <w:bCs/>
                <w:sz w:val="24"/>
                <w:u w:val="single"/>
                <w:lang w:val="en-US" w:eastAsia="zh-CN"/>
              </w:rPr>
              <w:t>针对厂区内遗留的</w:t>
            </w:r>
            <w:r>
              <w:rPr>
                <w:rFonts w:hint="eastAsia" w:ascii="宋体" w:hAnsi="宋体"/>
                <w:b w:val="0"/>
                <w:bCs/>
                <w:sz w:val="24"/>
                <w:szCs w:val="24"/>
                <w:u w:val="single"/>
                <w:lang w:val="en-US" w:eastAsia="zh-CN"/>
              </w:rPr>
              <w:t>不锈钢加工设备，甲方与河南旭原不锈钢有限公司（租赁方）经过商讨，河南旭原不锈钢有限公司（租赁方）负责将遗留的原有不锈钢加工设备拆除拉取并清运厂房内遗留的建筑垃圾。因此本项目在开工建设之前，厂房内遗留设备和建筑垃圾均已清运完毕，并无与本项目有关的原有环境污染问题。</w:t>
            </w:r>
          </w:p>
        </w:tc>
      </w:tr>
    </w:tbl>
    <w:p>
      <w:pPr>
        <w:pStyle w:val="22"/>
        <w:jc w:val="center"/>
        <w:rPr>
          <w:rFonts w:ascii="黑体" w:hAnsi="黑体" w:eastAsia="黑体"/>
          <w:snapToGrid w:val="0"/>
          <w:sz w:val="36"/>
          <w:szCs w:val="36"/>
        </w:rPr>
        <w:sectPr>
          <w:footerReference r:id="rId6" w:type="default"/>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三、区域环境质量现状、环境保护目标及评价标准</w:t>
      </w:r>
    </w:p>
    <w:tbl>
      <w:tblPr>
        <w:tblStyle w:val="2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93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区域</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质量</w:t>
            </w:r>
          </w:p>
          <w:p>
            <w:pPr>
              <w:adjustRightInd w:val="0"/>
              <w:snapToGrid w:val="0"/>
              <w:jc w:val="center"/>
              <w:rPr>
                <w:rFonts w:ascii="宋体" w:hAnsi="宋体" w:cs="宋体"/>
                <w:kern w:val="0"/>
                <w:sz w:val="24"/>
                <w:szCs w:val="24"/>
              </w:rPr>
            </w:pPr>
            <w:r>
              <w:rPr>
                <w:rFonts w:hint="eastAsia" w:ascii="宋体" w:hAnsi="宋体" w:cs="宋体"/>
                <w:b/>
                <w:bCs/>
                <w:kern w:val="0"/>
                <w:sz w:val="24"/>
                <w:szCs w:val="24"/>
              </w:rPr>
              <w:t>现状</w:t>
            </w:r>
          </w:p>
        </w:tc>
        <w:tc>
          <w:tcPr>
            <w:tcW w:w="4710" w:type="pct"/>
            <w:noWrap w:val="0"/>
            <w:vAlign w:val="center"/>
          </w:tcPr>
          <w:p>
            <w:pPr>
              <w:pStyle w:val="3"/>
              <w:spacing w:after="0" w:line="360" w:lineRule="auto"/>
              <w:rPr>
                <w:b/>
                <w:sz w:val="24"/>
              </w:rPr>
            </w:pPr>
            <w:r>
              <w:rPr>
                <w:b/>
                <w:sz w:val="24"/>
              </w:rPr>
              <w:t>建设项目所在地区域环境质量现状及主要环境问题（环境空气、地表水、地下水、声环境、</w:t>
            </w:r>
            <w:r>
              <w:rPr>
                <w:rFonts w:hint="eastAsia"/>
                <w:b/>
                <w:sz w:val="24"/>
                <w:lang w:val="en-US" w:eastAsia="zh-CN"/>
              </w:rPr>
              <w:t>土壤</w:t>
            </w:r>
            <w:r>
              <w:rPr>
                <w:rFonts w:hint="eastAsia"/>
                <w:b/>
                <w:sz w:val="24"/>
                <w:lang w:eastAsia="zh-CN"/>
              </w:rPr>
              <w:t>、</w:t>
            </w:r>
            <w:r>
              <w:rPr>
                <w:b/>
                <w:sz w:val="24"/>
              </w:rPr>
              <w:t>生态环境等）</w:t>
            </w:r>
          </w:p>
          <w:p>
            <w:pPr>
              <w:pStyle w:val="3"/>
              <w:spacing w:after="0" w:line="360" w:lineRule="auto"/>
              <w:jc w:val="left"/>
              <w:rPr>
                <w:b/>
                <w:kern w:val="0"/>
                <w:sz w:val="24"/>
              </w:rPr>
            </w:pPr>
            <w:r>
              <w:rPr>
                <w:b/>
                <w:kern w:val="0"/>
                <w:sz w:val="24"/>
              </w:rPr>
              <w:t>1、环境空气质量现状</w:t>
            </w:r>
          </w:p>
          <w:p>
            <w:pPr>
              <w:adjustRightInd w:val="0"/>
              <w:snapToGrid w:val="0"/>
              <w:spacing w:line="360" w:lineRule="auto"/>
              <w:ind w:firstLine="480" w:firstLineChars="200"/>
              <w:rPr>
                <w:rFonts w:hint="default" w:ascii="Times New Roman" w:hAnsi="Times New Roman" w:cs="Times New Roman"/>
                <w:b w:val="0"/>
                <w:bCs/>
                <w:color w:val="auto"/>
                <w:sz w:val="24"/>
                <w:u w:val="none"/>
              </w:rPr>
            </w:pPr>
            <w:r>
              <w:rPr>
                <w:rFonts w:hint="default" w:ascii="Times New Roman" w:hAnsi="Times New Roman" w:cs="Times New Roman"/>
                <w:b w:val="0"/>
                <w:bCs/>
                <w:color w:val="auto"/>
                <w:sz w:val="24"/>
                <w:u w:val="none"/>
              </w:rPr>
              <w:t>根据环境空气质量功能区划，项目所在地为二类功能区，环境空气质量执行《环境空气质量标准》（GB3095-2012）二级标准。为了解项目所在区域的环境空气质量现状，本次环境空气质量现状引用2021年河南省城市环境空气质量自动监控中对宝丰县的监测数据，分析区域环境空气质量现状达标情况，详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z w:val="24"/>
                <w:u w:val="none"/>
              </w:rPr>
            </w:pPr>
            <w:r>
              <w:rPr>
                <w:rFonts w:hint="eastAsia" w:ascii="Times New Roman" w:hAnsi="Times New Roman" w:eastAsia="宋体" w:cs="Times New Roman"/>
                <w:b/>
                <w:bCs w:val="0"/>
                <w:color w:val="auto"/>
                <w:sz w:val="24"/>
                <w:u w:val="none"/>
              </w:rPr>
              <w:t>表</w:t>
            </w:r>
            <w:r>
              <w:rPr>
                <w:rFonts w:hint="eastAsia" w:ascii="Times New Roman" w:hAnsi="Times New Roman" w:eastAsia="宋体" w:cs="Times New Roman"/>
                <w:b/>
                <w:bCs w:val="0"/>
                <w:color w:val="auto"/>
                <w:sz w:val="24"/>
                <w:u w:val="none"/>
                <w:lang w:val="en-US" w:eastAsia="zh-CN"/>
              </w:rPr>
              <w:t>3-1</w:t>
            </w:r>
            <w:r>
              <w:rPr>
                <w:rFonts w:hint="eastAsia" w:ascii="Times New Roman" w:hAnsi="Times New Roman" w:eastAsia="宋体" w:cs="Times New Roman"/>
                <w:b/>
                <w:bCs w:val="0"/>
                <w:color w:val="auto"/>
                <w:sz w:val="24"/>
                <w:u w:val="none"/>
              </w:rPr>
              <w:t>宝丰县环境空气质量达标情况一览表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80"/>
              <w:gridCol w:w="1341"/>
              <w:gridCol w:w="2077"/>
              <w:gridCol w:w="1696"/>
              <w:gridCol w:w="1449"/>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exact"/>
                <w:jc w:val="center"/>
              </w:trPr>
              <w:tc>
                <w:tcPr>
                  <w:tcW w:w="644" w:type="pct"/>
                  <w:tcBorders>
                    <w:tl2br w:val="nil"/>
                    <w:tr2bl w:val="nil"/>
                  </w:tcBorders>
                  <w:shd w:val="clear" w:color="auto" w:fill="FFFFFF"/>
                  <w:vAlign w:val="center"/>
                </w:tcPr>
                <w:p>
                  <w:pPr>
                    <w:jc w:val="center"/>
                  </w:pPr>
                  <w:r>
                    <w:t>监测区域</w:t>
                  </w:r>
                </w:p>
              </w:tc>
              <w:tc>
                <w:tcPr>
                  <w:tcW w:w="732" w:type="pct"/>
                  <w:tcBorders>
                    <w:tl2br w:val="nil"/>
                    <w:tr2bl w:val="nil"/>
                  </w:tcBorders>
                  <w:shd w:val="clear" w:color="auto" w:fill="FFFFFF"/>
                  <w:vAlign w:val="center"/>
                </w:tcPr>
                <w:p>
                  <w:pPr>
                    <w:jc w:val="center"/>
                  </w:pPr>
                  <w:r>
                    <w:t>监测项目</w:t>
                  </w:r>
                </w:p>
              </w:tc>
              <w:tc>
                <w:tcPr>
                  <w:tcW w:w="1134" w:type="pct"/>
                  <w:tcBorders>
                    <w:tl2br w:val="nil"/>
                    <w:tr2bl w:val="nil"/>
                  </w:tcBorders>
                  <w:shd w:val="clear" w:color="auto" w:fill="FFFFFF"/>
                  <w:vAlign w:val="center"/>
                </w:tcPr>
                <w:p>
                  <w:pPr>
                    <w:jc w:val="center"/>
                  </w:pPr>
                  <w:r>
                    <w:t>取样时间</w:t>
                  </w:r>
                </w:p>
              </w:tc>
              <w:tc>
                <w:tcPr>
                  <w:tcW w:w="926" w:type="pct"/>
                  <w:tcBorders>
                    <w:tl2br w:val="nil"/>
                    <w:tr2bl w:val="nil"/>
                  </w:tcBorders>
                  <w:shd w:val="clear" w:color="auto" w:fill="FFFFFF"/>
                  <w:vAlign w:val="center"/>
                </w:tcPr>
                <w:p>
                  <w:pPr>
                    <w:jc w:val="center"/>
                  </w:pPr>
                  <w:r>
                    <w:t>监测结果（</w:t>
                  </w:r>
                  <w:r>
                    <w:rPr>
                      <w:lang w:val="en-US" w:eastAsia="en-US"/>
                    </w:rPr>
                    <w:t>ug/m</w:t>
                  </w:r>
                  <w:r>
                    <w:rPr>
                      <w:vertAlign w:val="superscript"/>
                      <w:lang w:val="en-US" w:eastAsia="en-US"/>
                    </w:rPr>
                    <w:t>3</w:t>
                  </w:r>
                  <w:r>
                    <w:t>）</w:t>
                  </w:r>
                </w:p>
              </w:tc>
              <w:tc>
                <w:tcPr>
                  <w:tcW w:w="791" w:type="pct"/>
                  <w:tcBorders>
                    <w:tl2br w:val="nil"/>
                    <w:tr2bl w:val="nil"/>
                  </w:tcBorders>
                  <w:shd w:val="clear" w:color="auto" w:fill="FFFFFF"/>
                  <w:vAlign w:val="center"/>
                </w:tcPr>
                <w:p>
                  <w:pPr>
                    <w:jc w:val="center"/>
                  </w:pPr>
                  <w:r>
                    <w:t>标准</w:t>
                  </w:r>
                  <w:r>
                    <w:rPr>
                      <w:lang w:val="en-US" w:eastAsia="en-US"/>
                    </w:rPr>
                    <w:t>（ug/m</w:t>
                  </w:r>
                  <w:r>
                    <w:rPr>
                      <w:vertAlign w:val="superscript"/>
                      <w:lang w:val="en-US" w:eastAsia="en-US"/>
                    </w:rPr>
                    <w:t>3</w:t>
                  </w:r>
                  <w:r>
                    <w:rPr>
                      <w:lang w:val="en-US" w:eastAsia="en-US"/>
                    </w:rPr>
                    <w:t>）</w:t>
                  </w:r>
                </w:p>
              </w:tc>
              <w:tc>
                <w:tcPr>
                  <w:tcW w:w="770" w:type="pct"/>
                  <w:tcBorders>
                    <w:tl2br w:val="nil"/>
                    <w:tr2bl w:val="nil"/>
                  </w:tcBorders>
                  <w:shd w:val="clear" w:color="auto" w:fill="FFFFFF"/>
                  <w:vAlign w:val="center"/>
                </w:tcPr>
                <w:p>
                  <w:pPr>
                    <w:jc w:val="center"/>
                  </w:pPr>
                  <w: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7" w:hRule="exact"/>
                <w:jc w:val="center"/>
              </w:trPr>
              <w:tc>
                <w:tcPr>
                  <w:tcW w:w="644" w:type="pct"/>
                  <w:vMerge w:val="restart"/>
                  <w:tcBorders>
                    <w:tl2br w:val="nil"/>
                    <w:tr2bl w:val="nil"/>
                  </w:tcBorders>
                  <w:shd w:val="clear" w:color="auto" w:fill="FFFFFF"/>
                  <w:vAlign w:val="center"/>
                </w:tcPr>
                <w:p>
                  <w:pPr>
                    <w:jc w:val="center"/>
                  </w:pPr>
                  <w:r>
                    <w:t>宝丰县</w:t>
                  </w:r>
                </w:p>
              </w:tc>
              <w:tc>
                <w:tcPr>
                  <w:tcW w:w="732" w:type="pct"/>
                  <w:tcBorders>
                    <w:tl2br w:val="nil"/>
                    <w:tr2bl w:val="nil"/>
                  </w:tcBorders>
                  <w:shd w:val="clear" w:color="auto" w:fill="FFFFFF"/>
                  <w:vAlign w:val="center"/>
                </w:tcPr>
                <w:p>
                  <w:pPr>
                    <w:jc w:val="center"/>
                  </w:pPr>
                  <w:r>
                    <w:t>二氧化硫</w:t>
                  </w:r>
                </w:p>
              </w:tc>
              <w:tc>
                <w:tcPr>
                  <w:tcW w:w="1134" w:type="pct"/>
                  <w:tcBorders>
                    <w:tl2br w:val="nil"/>
                    <w:tr2bl w:val="nil"/>
                  </w:tcBorders>
                  <w:shd w:val="clear" w:color="auto" w:fill="FFFFFF"/>
                  <w:vAlign w:val="center"/>
                </w:tcPr>
                <w:p>
                  <w:pPr>
                    <w:jc w:val="center"/>
                  </w:pPr>
                  <w:r>
                    <w:t>年平均</w:t>
                  </w:r>
                </w:p>
              </w:tc>
              <w:tc>
                <w:tcPr>
                  <w:tcW w:w="926" w:type="pct"/>
                  <w:tcBorders>
                    <w:tl2br w:val="nil"/>
                    <w:tr2bl w:val="nil"/>
                  </w:tcBorders>
                  <w:shd w:val="clear" w:color="auto" w:fill="FFFFFF"/>
                  <w:vAlign w:val="center"/>
                </w:tcPr>
                <w:p>
                  <w:pPr>
                    <w:jc w:val="center"/>
                  </w:pPr>
                  <w:r>
                    <w:rPr>
                      <w:lang w:val="en-US" w:eastAsia="en-US"/>
                    </w:rPr>
                    <w:t>11.8</w:t>
                  </w:r>
                </w:p>
              </w:tc>
              <w:tc>
                <w:tcPr>
                  <w:tcW w:w="791" w:type="pct"/>
                  <w:tcBorders>
                    <w:tl2br w:val="nil"/>
                    <w:tr2bl w:val="nil"/>
                  </w:tcBorders>
                  <w:shd w:val="clear" w:color="auto" w:fill="FFFFFF"/>
                  <w:vAlign w:val="center"/>
                </w:tcPr>
                <w:p>
                  <w:pPr>
                    <w:jc w:val="center"/>
                  </w:pPr>
                  <w:r>
                    <w:t>60</w:t>
                  </w:r>
                </w:p>
              </w:tc>
              <w:tc>
                <w:tcPr>
                  <w:tcW w:w="770" w:type="pct"/>
                  <w:tcBorders>
                    <w:tl2br w:val="nil"/>
                    <w:tr2bl w:val="nil"/>
                  </w:tcBorders>
                  <w:shd w:val="clear" w:color="auto" w:fill="FFFFFF"/>
                  <w:vAlign w:val="center"/>
                </w:tcPr>
                <w:p>
                  <w:pPr>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jc w:val="center"/>
              </w:trPr>
              <w:tc>
                <w:tcPr>
                  <w:tcW w:w="644" w:type="pct"/>
                  <w:vMerge w:val="continue"/>
                  <w:tcBorders>
                    <w:tl2br w:val="nil"/>
                    <w:tr2bl w:val="nil"/>
                  </w:tcBorders>
                  <w:shd w:val="clear" w:color="auto" w:fill="FFFFFF"/>
                  <w:vAlign w:val="center"/>
                </w:tcPr>
                <w:p>
                  <w:pPr>
                    <w:jc w:val="center"/>
                  </w:pPr>
                </w:p>
              </w:tc>
              <w:tc>
                <w:tcPr>
                  <w:tcW w:w="732" w:type="pct"/>
                  <w:tcBorders>
                    <w:tl2br w:val="nil"/>
                    <w:tr2bl w:val="nil"/>
                  </w:tcBorders>
                  <w:shd w:val="clear" w:color="auto" w:fill="FFFFFF"/>
                  <w:vAlign w:val="center"/>
                </w:tcPr>
                <w:p>
                  <w:pPr>
                    <w:jc w:val="center"/>
                  </w:pPr>
                  <w:r>
                    <w:t>二氧化氮</w:t>
                  </w:r>
                </w:p>
              </w:tc>
              <w:tc>
                <w:tcPr>
                  <w:tcW w:w="1134" w:type="pct"/>
                  <w:tcBorders>
                    <w:tl2br w:val="nil"/>
                    <w:tr2bl w:val="nil"/>
                  </w:tcBorders>
                  <w:shd w:val="clear" w:color="auto" w:fill="FFFFFF"/>
                  <w:vAlign w:val="center"/>
                </w:tcPr>
                <w:p>
                  <w:pPr>
                    <w:jc w:val="center"/>
                  </w:pPr>
                  <w:r>
                    <w:t>年平均</w:t>
                  </w:r>
                </w:p>
              </w:tc>
              <w:tc>
                <w:tcPr>
                  <w:tcW w:w="926" w:type="pct"/>
                  <w:tcBorders>
                    <w:tl2br w:val="nil"/>
                    <w:tr2bl w:val="nil"/>
                  </w:tcBorders>
                  <w:shd w:val="clear" w:color="auto" w:fill="FFFFFF"/>
                  <w:vAlign w:val="center"/>
                </w:tcPr>
                <w:p>
                  <w:pPr>
                    <w:jc w:val="center"/>
                  </w:pPr>
                  <w:r>
                    <w:rPr>
                      <w:lang w:val="en-US" w:eastAsia="en-US"/>
                    </w:rPr>
                    <w:t>25.1</w:t>
                  </w:r>
                </w:p>
              </w:tc>
              <w:tc>
                <w:tcPr>
                  <w:tcW w:w="791" w:type="pct"/>
                  <w:tcBorders>
                    <w:tl2br w:val="nil"/>
                    <w:tr2bl w:val="nil"/>
                  </w:tcBorders>
                  <w:shd w:val="clear" w:color="auto" w:fill="FFFFFF"/>
                  <w:vAlign w:val="center"/>
                </w:tcPr>
                <w:p>
                  <w:pPr>
                    <w:jc w:val="center"/>
                  </w:pPr>
                  <w:r>
                    <w:t>40</w:t>
                  </w:r>
                </w:p>
              </w:tc>
              <w:tc>
                <w:tcPr>
                  <w:tcW w:w="770" w:type="pct"/>
                  <w:tcBorders>
                    <w:tl2br w:val="nil"/>
                    <w:tr2bl w:val="nil"/>
                  </w:tcBorders>
                  <w:shd w:val="clear" w:color="auto" w:fill="FFFFFF"/>
                  <w:vAlign w:val="center"/>
                </w:tcPr>
                <w:p>
                  <w:pPr>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jc w:val="center"/>
              </w:trPr>
              <w:tc>
                <w:tcPr>
                  <w:tcW w:w="644" w:type="pct"/>
                  <w:vMerge w:val="continue"/>
                  <w:tcBorders>
                    <w:tl2br w:val="nil"/>
                    <w:tr2bl w:val="nil"/>
                  </w:tcBorders>
                  <w:shd w:val="clear" w:color="auto" w:fill="FFFFFF"/>
                  <w:vAlign w:val="center"/>
                </w:tcPr>
                <w:p>
                  <w:pPr>
                    <w:jc w:val="center"/>
                  </w:pPr>
                </w:p>
              </w:tc>
              <w:tc>
                <w:tcPr>
                  <w:tcW w:w="732" w:type="pct"/>
                  <w:tcBorders>
                    <w:tl2br w:val="nil"/>
                    <w:tr2bl w:val="nil"/>
                  </w:tcBorders>
                  <w:shd w:val="clear" w:color="auto" w:fill="FFFFFF"/>
                  <w:vAlign w:val="center"/>
                </w:tcPr>
                <w:p>
                  <w:pPr>
                    <w:jc w:val="center"/>
                  </w:pPr>
                  <w:r>
                    <w:rPr>
                      <w:lang w:val="en-US" w:eastAsia="en-US"/>
                    </w:rPr>
                    <w:t>PM</w:t>
                  </w:r>
                  <w:r>
                    <w:rPr>
                      <w:vertAlign w:val="subscript"/>
                      <w:lang w:val="en-US" w:eastAsia="en-US"/>
                    </w:rPr>
                    <w:t>10</w:t>
                  </w:r>
                </w:p>
              </w:tc>
              <w:tc>
                <w:tcPr>
                  <w:tcW w:w="1134" w:type="pct"/>
                  <w:tcBorders>
                    <w:tl2br w:val="nil"/>
                    <w:tr2bl w:val="nil"/>
                  </w:tcBorders>
                  <w:shd w:val="clear" w:color="auto" w:fill="FFFFFF"/>
                  <w:vAlign w:val="center"/>
                </w:tcPr>
                <w:p>
                  <w:pPr>
                    <w:jc w:val="center"/>
                  </w:pPr>
                  <w:r>
                    <w:t>年平均</w:t>
                  </w:r>
                </w:p>
              </w:tc>
              <w:tc>
                <w:tcPr>
                  <w:tcW w:w="926" w:type="pct"/>
                  <w:tcBorders>
                    <w:tl2br w:val="nil"/>
                    <w:tr2bl w:val="nil"/>
                  </w:tcBorders>
                  <w:shd w:val="clear" w:color="auto" w:fill="FFFFFF"/>
                  <w:vAlign w:val="center"/>
                </w:tcPr>
                <w:p>
                  <w:pPr>
                    <w:jc w:val="center"/>
                  </w:pPr>
                  <w:r>
                    <w:rPr>
                      <w:lang w:val="en-US" w:eastAsia="en-US"/>
                    </w:rPr>
                    <w:t>83.6</w:t>
                  </w:r>
                </w:p>
              </w:tc>
              <w:tc>
                <w:tcPr>
                  <w:tcW w:w="791" w:type="pct"/>
                  <w:tcBorders>
                    <w:tl2br w:val="nil"/>
                    <w:tr2bl w:val="nil"/>
                  </w:tcBorders>
                  <w:shd w:val="clear" w:color="auto" w:fill="FFFFFF"/>
                  <w:vAlign w:val="center"/>
                </w:tcPr>
                <w:p>
                  <w:pPr>
                    <w:jc w:val="center"/>
                  </w:pPr>
                  <w:r>
                    <w:t>70</w:t>
                  </w:r>
                </w:p>
              </w:tc>
              <w:tc>
                <w:tcPr>
                  <w:tcW w:w="770" w:type="pct"/>
                  <w:tcBorders>
                    <w:tl2br w:val="nil"/>
                    <w:tr2bl w:val="nil"/>
                  </w:tcBorders>
                  <w:shd w:val="clear" w:color="auto" w:fill="FFFFFF"/>
                  <w:vAlign w:val="center"/>
                </w:tcPr>
                <w:p>
                  <w:pPr>
                    <w:jc w:val="center"/>
                  </w:pPr>
                  <w: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exact"/>
                <w:jc w:val="center"/>
              </w:trPr>
              <w:tc>
                <w:tcPr>
                  <w:tcW w:w="644" w:type="pct"/>
                  <w:vMerge w:val="continue"/>
                  <w:tcBorders>
                    <w:tl2br w:val="nil"/>
                    <w:tr2bl w:val="nil"/>
                  </w:tcBorders>
                  <w:shd w:val="clear" w:color="auto" w:fill="FFFFFF"/>
                  <w:vAlign w:val="center"/>
                </w:tcPr>
                <w:p>
                  <w:pPr>
                    <w:jc w:val="center"/>
                  </w:pPr>
                </w:p>
              </w:tc>
              <w:tc>
                <w:tcPr>
                  <w:tcW w:w="732" w:type="pct"/>
                  <w:tcBorders>
                    <w:tl2br w:val="nil"/>
                    <w:tr2bl w:val="nil"/>
                  </w:tcBorders>
                  <w:shd w:val="clear" w:color="auto" w:fill="FFFFFF"/>
                  <w:vAlign w:val="center"/>
                </w:tcPr>
                <w:p>
                  <w:pPr>
                    <w:jc w:val="center"/>
                  </w:pPr>
                  <w:r>
                    <w:rPr>
                      <w:lang w:val="en-US" w:eastAsia="en-US"/>
                    </w:rPr>
                    <w:t>PM</w:t>
                  </w:r>
                  <w:r>
                    <w:rPr>
                      <w:vertAlign w:val="subscript"/>
                      <w:lang w:val="en-US" w:eastAsia="en-US"/>
                    </w:rPr>
                    <w:t>2</w:t>
                  </w:r>
                  <w:r>
                    <w:rPr>
                      <w:rFonts w:hint="eastAsia"/>
                      <w:vertAlign w:val="subscript"/>
                      <w:lang w:val="en-US" w:eastAsia="zh-CN"/>
                    </w:rPr>
                    <w:t>.</w:t>
                  </w:r>
                  <w:r>
                    <w:rPr>
                      <w:vertAlign w:val="subscript"/>
                      <w:lang w:val="en-US" w:eastAsia="en-US"/>
                    </w:rPr>
                    <w:t>5</w:t>
                  </w:r>
                </w:p>
              </w:tc>
              <w:tc>
                <w:tcPr>
                  <w:tcW w:w="1134" w:type="pct"/>
                  <w:tcBorders>
                    <w:tl2br w:val="nil"/>
                    <w:tr2bl w:val="nil"/>
                  </w:tcBorders>
                  <w:shd w:val="clear" w:color="auto" w:fill="FFFFFF"/>
                  <w:vAlign w:val="center"/>
                </w:tcPr>
                <w:p>
                  <w:pPr>
                    <w:jc w:val="center"/>
                  </w:pPr>
                  <w:r>
                    <w:t>年平均</w:t>
                  </w:r>
                </w:p>
              </w:tc>
              <w:tc>
                <w:tcPr>
                  <w:tcW w:w="926" w:type="pct"/>
                  <w:tcBorders>
                    <w:tl2br w:val="nil"/>
                    <w:tr2bl w:val="nil"/>
                  </w:tcBorders>
                  <w:shd w:val="clear" w:color="auto" w:fill="FFFFFF"/>
                  <w:vAlign w:val="center"/>
                </w:tcPr>
                <w:p>
                  <w:pPr>
                    <w:jc w:val="center"/>
                  </w:pPr>
                  <w:r>
                    <w:rPr>
                      <w:lang w:val="en-US" w:eastAsia="en-US"/>
                    </w:rPr>
                    <w:t>45.1</w:t>
                  </w:r>
                </w:p>
              </w:tc>
              <w:tc>
                <w:tcPr>
                  <w:tcW w:w="791" w:type="pct"/>
                  <w:tcBorders>
                    <w:tl2br w:val="nil"/>
                    <w:tr2bl w:val="nil"/>
                  </w:tcBorders>
                  <w:shd w:val="clear" w:color="auto" w:fill="FFFFFF"/>
                  <w:vAlign w:val="center"/>
                </w:tcPr>
                <w:p>
                  <w:pPr>
                    <w:jc w:val="center"/>
                  </w:pPr>
                  <w:r>
                    <w:t>35</w:t>
                  </w:r>
                </w:p>
              </w:tc>
              <w:tc>
                <w:tcPr>
                  <w:tcW w:w="770" w:type="pct"/>
                  <w:tcBorders>
                    <w:tl2br w:val="nil"/>
                    <w:tr2bl w:val="nil"/>
                  </w:tcBorders>
                  <w:shd w:val="clear" w:color="auto" w:fill="FFFFFF"/>
                  <w:vAlign w:val="center"/>
                </w:tcPr>
                <w:p>
                  <w:pPr>
                    <w:jc w:val="center"/>
                  </w:pPr>
                  <w: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exact"/>
                <w:jc w:val="center"/>
              </w:trPr>
              <w:tc>
                <w:tcPr>
                  <w:tcW w:w="644" w:type="pct"/>
                  <w:vMerge w:val="continue"/>
                  <w:tcBorders>
                    <w:tl2br w:val="nil"/>
                    <w:tr2bl w:val="nil"/>
                  </w:tcBorders>
                  <w:shd w:val="clear" w:color="auto" w:fill="FFFFFF"/>
                  <w:vAlign w:val="center"/>
                </w:tcPr>
                <w:p>
                  <w:pPr>
                    <w:jc w:val="center"/>
                  </w:pPr>
                </w:p>
              </w:tc>
              <w:tc>
                <w:tcPr>
                  <w:tcW w:w="732" w:type="pct"/>
                  <w:tcBorders>
                    <w:tl2br w:val="nil"/>
                    <w:tr2bl w:val="nil"/>
                  </w:tcBorders>
                  <w:shd w:val="clear" w:color="auto" w:fill="FFFFFF"/>
                  <w:vAlign w:val="center"/>
                </w:tcPr>
                <w:p>
                  <w:pPr>
                    <w:jc w:val="center"/>
                  </w:pPr>
                  <w:r>
                    <w:rPr>
                      <w:lang w:val="en-US" w:eastAsia="en-US"/>
                    </w:rPr>
                    <w:t>CO(mg/m</w:t>
                  </w:r>
                  <w:r>
                    <w:rPr>
                      <w:vertAlign w:val="superscript"/>
                      <w:lang w:val="en-US" w:eastAsia="en-US"/>
                    </w:rPr>
                    <w:t>3</w:t>
                  </w:r>
                  <w:r>
                    <w:rPr>
                      <w:lang w:val="en-US" w:eastAsia="en-US"/>
                    </w:rPr>
                    <w:t>)</w:t>
                  </w:r>
                </w:p>
              </w:tc>
              <w:tc>
                <w:tcPr>
                  <w:tcW w:w="1134" w:type="pct"/>
                  <w:tcBorders>
                    <w:tl2br w:val="nil"/>
                    <w:tr2bl w:val="nil"/>
                  </w:tcBorders>
                  <w:shd w:val="clear" w:color="auto" w:fill="FFFFFF"/>
                  <w:vAlign w:val="center"/>
                </w:tcPr>
                <w:p>
                  <w:pPr>
                    <w:jc w:val="center"/>
                  </w:pPr>
                  <w:r>
                    <w:t>24小时平均</w:t>
                  </w:r>
                </w:p>
              </w:tc>
              <w:tc>
                <w:tcPr>
                  <w:tcW w:w="926" w:type="pct"/>
                  <w:tcBorders>
                    <w:tl2br w:val="nil"/>
                    <w:tr2bl w:val="nil"/>
                  </w:tcBorders>
                  <w:shd w:val="clear" w:color="auto" w:fill="FFFFFF"/>
                  <w:vAlign w:val="center"/>
                </w:tcPr>
                <w:p>
                  <w:pPr>
                    <w:jc w:val="center"/>
                  </w:pPr>
                  <w:r>
                    <w:rPr>
                      <w:lang w:val="en-US" w:eastAsia="en-US"/>
                    </w:rPr>
                    <w:t>0.77</w:t>
                  </w:r>
                </w:p>
              </w:tc>
              <w:tc>
                <w:tcPr>
                  <w:tcW w:w="791" w:type="pct"/>
                  <w:tcBorders>
                    <w:tl2br w:val="nil"/>
                    <w:tr2bl w:val="nil"/>
                  </w:tcBorders>
                  <w:shd w:val="clear" w:color="auto" w:fill="FFFFFF"/>
                  <w:vAlign w:val="center"/>
                </w:tcPr>
                <w:p>
                  <w:pPr>
                    <w:jc w:val="center"/>
                  </w:pPr>
                  <w:r>
                    <w:t>4</w:t>
                  </w:r>
                </w:p>
              </w:tc>
              <w:tc>
                <w:tcPr>
                  <w:tcW w:w="770" w:type="pct"/>
                  <w:tcBorders>
                    <w:tl2br w:val="nil"/>
                    <w:tr2bl w:val="nil"/>
                  </w:tcBorders>
                  <w:shd w:val="clear" w:color="auto" w:fill="FFFFFF"/>
                  <w:vAlign w:val="center"/>
                </w:tcPr>
                <w:p>
                  <w:pPr>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exact"/>
                <w:jc w:val="center"/>
              </w:trPr>
              <w:tc>
                <w:tcPr>
                  <w:tcW w:w="644" w:type="pct"/>
                  <w:vMerge w:val="continue"/>
                  <w:tcBorders>
                    <w:tl2br w:val="nil"/>
                    <w:tr2bl w:val="nil"/>
                  </w:tcBorders>
                  <w:shd w:val="clear" w:color="auto" w:fill="FFFFFF"/>
                  <w:vAlign w:val="center"/>
                </w:tcPr>
                <w:p>
                  <w:pPr>
                    <w:jc w:val="center"/>
                  </w:pPr>
                </w:p>
              </w:tc>
              <w:tc>
                <w:tcPr>
                  <w:tcW w:w="732" w:type="pct"/>
                  <w:tcBorders>
                    <w:tl2br w:val="nil"/>
                    <w:tr2bl w:val="nil"/>
                  </w:tcBorders>
                  <w:shd w:val="clear" w:color="auto" w:fill="FFFFFF"/>
                  <w:vAlign w:val="center"/>
                </w:tcPr>
                <w:p>
                  <w:pPr>
                    <w:jc w:val="center"/>
                  </w:pPr>
                  <w:r>
                    <w:rPr>
                      <w:lang w:val="en-US" w:eastAsia="en-US"/>
                    </w:rPr>
                    <w:t>O</w:t>
                  </w:r>
                  <w:r>
                    <w:rPr>
                      <w:vertAlign w:val="subscript"/>
                      <w:lang w:val="en-US" w:eastAsia="en-US"/>
                    </w:rPr>
                    <w:t>3</w:t>
                  </w:r>
                </w:p>
              </w:tc>
              <w:tc>
                <w:tcPr>
                  <w:tcW w:w="1134" w:type="pct"/>
                  <w:tcBorders>
                    <w:tl2br w:val="nil"/>
                    <w:tr2bl w:val="nil"/>
                  </w:tcBorders>
                  <w:shd w:val="clear" w:color="auto" w:fill="FFFFFF"/>
                  <w:vAlign w:val="center"/>
                </w:tcPr>
                <w:p>
                  <w:pPr>
                    <w:jc w:val="center"/>
                  </w:pPr>
                  <w:r>
                    <w:t>8小时平均</w:t>
                  </w:r>
                </w:p>
              </w:tc>
              <w:tc>
                <w:tcPr>
                  <w:tcW w:w="926" w:type="pct"/>
                  <w:tcBorders>
                    <w:tl2br w:val="nil"/>
                    <w:tr2bl w:val="nil"/>
                  </w:tcBorders>
                  <w:shd w:val="clear" w:color="auto" w:fill="FFFFFF"/>
                  <w:vAlign w:val="center"/>
                </w:tcPr>
                <w:p>
                  <w:pPr>
                    <w:jc w:val="center"/>
                  </w:pPr>
                  <w:r>
                    <w:rPr>
                      <w:lang w:val="en-US" w:eastAsia="en-US"/>
                    </w:rPr>
                    <w:t>97.2</w:t>
                  </w:r>
                </w:p>
              </w:tc>
              <w:tc>
                <w:tcPr>
                  <w:tcW w:w="791" w:type="pct"/>
                  <w:tcBorders>
                    <w:tl2br w:val="nil"/>
                    <w:tr2bl w:val="nil"/>
                  </w:tcBorders>
                  <w:shd w:val="clear" w:color="auto" w:fill="FFFFFF"/>
                  <w:vAlign w:val="center"/>
                </w:tcPr>
                <w:p>
                  <w:pPr>
                    <w:jc w:val="center"/>
                  </w:pPr>
                  <w:r>
                    <w:t>160</w:t>
                  </w:r>
                </w:p>
              </w:tc>
              <w:tc>
                <w:tcPr>
                  <w:tcW w:w="770" w:type="pct"/>
                  <w:tcBorders>
                    <w:tl2br w:val="nil"/>
                    <w:tr2bl w:val="nil"/>
                  </w:tcBorders>
                  <w:shd w:val="clear" w:color="auto" w:fill="FFFFFF"/>
                  <w:vAlign w:val="center"/>
                </w:tcPr>
                <w:p>
                  <w:pPr>
                    <w:jc w:val="center"/>
                  </w:pPr>
                  <w:r>
                    <w:t>达标</w:t>
                  </w:r>
                </w:p>
              </w:tc>
            </w:tr>
          </w:tbl>
          <w:p>
            <w:pPr>
              <w:adjustRightInd w:val="0"/>
              <w:snapToGrid w:val="0"/>
              <w:spacing w:line="360" w:lineRule="auto"/>
              <w:ind w:firstLine="480" w:firstLineChars="200"/>
              <w:jc w:val="both"/>
              <w:rPr>
                <w:rFonts w:ascii="Times New Roman" w:hAnsi="Times New Roman" w:cs="Times New Roman"/>
                <w:b w:val="0"/>
                <w:bCs/>
                <w:color w:val="auto"/>
                <w:sz w:val="24"/>
                <w:u w:val="none"/>
              </w:rPr>
            </w:pPr>
            <w:r>
              <w:rPr>
                <w:rFonts w:hint="eastAsia" w:ascii="Times New Roman" w:hAnsi="Times New Roman" w:cs="Times New Roman"/>
                <w:b w:val="0"/>
                <w:bCs/>
                <w:color w:val="auto"/>
                <w:sz w:val="24"/>
                <w:u w:val="none"/>
              </w:rPr>
              <w:t>由上表可知，区域环境空气质量除PM</w:t>
            </w:r>
            <w:r>
              <w:rPr>
                <w:rFonts w:hint="eastAsia" w:ascii="Times New Roman" w:hAnsi="Times New Roman" w:cs="Times New Roman"/>
                <w:b w:val="0"/>
                <w:bCs/>
                <w:color w:val="auto"/>
                <w:sz w:val="24"/>
                <w:u w:val="none"/>
                <w:vertAlign w:val="subscript"/>
              </w:rPr>
              <w:t>10</w:t>
            </w:r>
            <w:r>
              <w:rPr>
                <w:rFonts w:hint="eastAsia" w:ascii="Times New Roman" w:hAnsi="Times New Roman" w:cs="Times New Roman"/>
                <w:b w:val="0"/>
                <w:bCs/>
                <w:color w:val="auto"/>
                <w:sz w:val="24"/>
                <w:u w:val="none"/>
              </w:rPr>
              <w:t>、PM</w:t>
            </w:r>
            <w:r>
              <w:rPr>
                <w:rFonts w:hint="eastAsia" w:ascii="Times New Roman" w:hAnsi="Times New Roman" w:cs="Times New Roman"/>
                <w:b w:val="0"/>
                <w:bCs/>
                <w:color w:val="auto"/>
                <w:sz w:val="24"/>
                <w:u w:val="none"/>
                <w:vertAlign w:val="subscript"/>
              </w:rPr>
              <w:t>2.5</w:t>
            </w:r>
            <w:r>
              <w:rPr>
                <w:rFonts w:hint="eastAsia" w:ascii="Times New Roman" w:hAnsi="Times New Roman" w:cs="Times New Roman"/>
                <w:b w:val="0"/>
                <w:bCs/>
                <w:color w:val="auto"/>
                <w:sz w:val="24"/>
                <w:u w:val="none"/>
              </w:rPr>
              <w:t>超标外，其余各监测因子均达标。河南省下发了《河南省生态环境保护委员会办公室关于印发河南省2022年大气、水、土壤污染防治攻坚战及农业农村污染治理攻坚战实施方案的通知》等文件，平顶山市下发了《平顶山市生态环境保护委员会办公室关于印发平顶山市2022年大气、水、土壤污染防治攻坚战及农业农村污染治理攻坚战实施方案的通知》（平环委办</w:t>
            </w:r>
            <w:r>
              <w:rPr>
                <w:rFonts w:hint="eastAsia" w:cs="Times New Roman"/>
                <w:b w:val="0"/>
                <w:bCs/>
                <w:color w:val="auto"/>
                <w:sz w:val="24"/>
                <w:u w:val="none"/>
                <w:lang w:eastAsia="zh-CN"/>
              </w:rPr>
              <w:t>〔</w:t>
            </w:r>
            <w:r>
              <w:rPr>
                <w:rFonts w:hint="eastAsia" w:ascii="Times New Roman" w:hAnsi="Times New Roman" w:cs="Times New Roman"/>
                <w:b w:val="0"/>
                <w:bCs/>
                <w:color w:val="auto"/>
                <w:sz w:val="24"/>
                <w:u w:val="none"/>
              </w:rPr>
              <w:t>2022</w:t>
            </w:r>
            <w:r>
              <w:rPr>
                <w:rFonts w:hint="eastAsia" w:cs="Times New Roman"/>
                <w:b w:val="0"/>
                <w:bCs/>
                <w:color w:val="auto"/>
                <w:sz w:val="24"/>
                <w:u w:val="none"/>
                <w:lang w:eastAsia="zh-CN"/>
              </w:rPr>
              <w:t>〕</w:t>
            </w:r>
            <w:r>
              <w:rPr>
                <w:rFonts w:hint="eastAsia" w:ascii="Times New Roman" w:hAnsi="Times New Roman" w:cs="Times New Roman"/>
                <w:b w:val="0"/>
                <w:bCs/>
                <w:color w:val="auto"/>
                <w:sz w:val="24"/>
                <w:u w:val="none"/>
              </w:rPr>
              <w:t>19号）等文件。随着平顶山市开展工业企业大气污染攻坚行动，通过大力提升有组织排放治理水平，督促相关企业因厂制宜选择成熟可靠的环保治理技术，工业锅炉、工业炉窑应采用低氮燃烧技术；强化重点工业企业无组织排放治理等措施，改善当地环境质量，使空气质量将逐渐转好。</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textAlignment w:val="auto"/>
              <w:rPr>
                <w:rFonts w:hint="eastAsia"/>
                <w:b/>
                <w:bCs/>
                <w:snapToGrid w:val="0"/>
                <w:kern w:val="0"/>
                <w:sz w:val="24"/>
              </w:rPr>
            </w:pPr>
            <w:r>
              <w:rPr>
                <w:rFonts w:hint="eastAsia"/>
                <w:b/>
                <w:bCs/>
                <w:snapToGrid w:val="0"/>
                <w:kern w:val="0"/>
                <w:sz w:val="24"/>
                <w:lang w:val="en-US" w:eastAsia="zh-CN"/>
              </w:rPr>
              <w:t>其他污染因子检测</w:t>
            </w:r>
          </w:p>
          <w:p>
            <w:pPr>
              <w:spacing w:line="360" w:lineRule="auto"/>
              <w:ind w:firstLine="480" w:firstLineChars="200"/>
              <w:rPr>
                <w:rFonts w:hint="eastAsia"/>
                <w:sz w:val="24"/>
                <w:szCs w:val="24"/>
                <w:lang w:val="en-US" w:eastAsia="zh-CN"/>
              </w:rPr>
            </w:pPr>
            <w:r>
              <w:rPr>
                <w:sz w:val="24"/>
                <w:szCs w:val="24"/>
              </w:rPr>
              <w:t>按照《环境影响评价技术导则</w:t>
            </w:r>
            <w:r>
              <w:rPr>
                <w:rFonts w:hint="eastAsia"/>
                <w:sz w:val="24"/>
                <w:szCs w:val="24"/>
                <w:lang w:eastAsia="zh-CN"/>
              </w:rPr>
              <w:t>—</w:t>
            </w:r>
            <w:r>
              <w:rPr>
                <w:sz w:val="24"/>
                <w:szCs w:val="24"/>
              </w:rPr>
              <w:t>大气环境》（HJ2.2-2018）要求，</w:t>
            </w:r>
            <w:r>
              <w:rPr>
                <w:rFonts w:hint="eastAsia"/>
                <w:sz w:val="24"/>
                <w:szCs w:val="24"/>
                <w:lang w:val="en-US" w:eastAsia="zh-CN"/>
              </w:rPr>
              <w:t>为了解本项目特征因子非甲烷总烃（VOCs）在</w:t>
            </w:r>
            <w:r>
              <w:rPr>
                <w:sz w:val="24"/>
                <w:szCs w:val="24"/>
              </w:rPr>
              <w:t>本项目</w:t>
            </w:r>
            <w:r>
              <w:rPr>
                <w:rFonts w:hint="eastAsia"/>
                <w:sz w:val="24"/>
                <w:szCs w:val="24"/>
                <w:lang w:val="en-US" w:eastAsia="zh-CN"/>
              </w:rPr>
              <w:t>所在区域的环境质量现状。本次评价引用与本项目同在河南旭原不锈钢有限公司租赁厂房的平顶山市鑫淼环保有限公司定期检测数据。监测点位为本项目东南方向350m的宝丰县产业集聚区公租房小区。具体检测结果见下表。</w:t>
            </w:r>
          </w:p>
          <w:p>
            <w:pPr>
              <w:widowControl/>
              <w:adjustRightInd w:val="0"/>
              <w:snapToGrid w:val="0"/>
              <w:spacing w:line="240" w:lineRule="auto"/>
              <w:jc w:val="center"/>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表3-2环境空气</w:t>
            </w:r>
            <w:r>
              <w:rPr>
                <w:rFonts w:hint="eastAsia" w:eastAsia="宋体" w:cs="Times New Roman"/>
                <w:b/>
                <w:bCs/>
                <w:sz w:val="24"/>
                <w:lang w:val="en-US" w:eastAsia="zh-CN"/>
              </w:rPr>
              <w:t>（非甲烷总烃）</w:t>
            </w:r>
            <w:r>
              <w:rPr>
                <w:rFonts w:hint="eastAsia" w:ascii="Times New Roman" w:hAnsi="Times New Roman" w:eastAsia="宋体" w:cs="Times New Roman"/>
                <w:b/>
                <w:bCs/>
                <w:sz w:val="24"/>
                <w:lang w:val="en-US" w:eastAsia="zh-CN"/>
              </w:rPr>
              <w:t>检测结果</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283"/>
              <w:gridCol w:w="1161"/>
              <w:gridCol w:w="3065"/>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宝丰县产业集聚区公租房小区</w:t>
                  </w:r>
                </w:p>
              </w:tc>
              <w:tc>
                <w:tcPr>
                  <w:tcW w:w="127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非甲烷总烃（小时值mg/m</w:t>
                  </w:r>
                  <w:r>
                    <w:rPr>
                      <w:rFonts w:hint="eastAsia" w:eastAsia="宋体" w:cs="Times New Roman"/>
                      <w:snapToGrid w:val="0"/>
                      <w:kern w:val="0"/>
                      <w:sz w:val="21"/>
                      <w:szCs w:val="21"/>
                      <w:vertAlign w:val="superscript"/>
                      <w:lang w:val="en-US" w:eastAsia="zh-CN"/>
                    </w:rPr>
                    <w:t>3</w:t>
                  </w:r>
                  <w:r>
                    <w:rPr>
                      <w:rFonts w:hint="eastAsia" w:eastAsia="宋体" w:cs="Times New Roman"/>
                      <w:snapToGrid w:val="0"/>
                      <w:kern w:val="0"/>
                      <w:sz w:val="21"/>
                      <w:szCs w:val="21"/>
                      <w:vertAlign w:val="baseline"/>
                      <w:lang w:val="en-US" w:eastAsia="zh-CN"/>
                    </w:rPr>
                    <w:t>）</w:t>
                  </w:r>
                </w:p>
              </w:tc>
              <w:tc>
                <w:tcPr>
                  <w:tcW w:w="5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2022.06.23</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02：00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08:00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14:00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20:00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rPr>
                  </w:pPr>
                  <w:r>
                    <w:rPr>
                      <w:rFonts w:hint="eastAsia" w:eastAsia="宋体" w:cs="Times New Roman"/>
                      <w:snapToGrid w:val="0"/>
                      <w:kern w:val="0"/>
                      <w:sz w:val="21"/>
                      <w:szCs w:val="21"/>
                      <w:vertAlign w:val="baseline"/>
                      <w:lang w:val="en-US" w:eastAsia="zh-CN"/>
                    </w:rPr>
                    <w:t>2022.06.25</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02：00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08:00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14:00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20:00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trPr>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rPr>
                  </w:pPr>
                  <w:r>
                    <w:rPr>
                      <w:rFonts w:hint="eastAsia" w:eastAsia="宋体" w:cs="Times New Roman"/>
                      <w:snapToGrid w:val="0"/>
                      <w:kern w:val="0"/>
                      <w:sz w:val="21"/>
                      <w:szCs w:val="21"/>
                      <w:vertAlign w:val="baseline"/>
                      <w:lang w:val="en-US" w:eastAsia="zh-CN"/>
                    </w:rPr>
                    <w:t>2022.06.25</w:t>
                  </w: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02：00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08:00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14:00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27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50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rPr>
                  </w:pPr>
                </w:p>
              </w:tc>
              <w:tc>
                <w:tcPr>
                  <w:tcW w:w="170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bidi="ar-SA"/>
                    </w:rPr>
                  </w:pPr>
                  <w:r>
                    <w:rPr>
                      <w:rFonts w:hint="eastAsia" w:eastAsia="宋体" w:cs="Times New Roman"/>
                      <w:snapToGrid w:val="0"/>
                      <w:kern w:val="0"/>
                      <w:sz w:val="21"/>
                      <w:szCs w:val="21"/>
                      <w:vertAlign w:val="baseline"/>
                      <w:lang w:val="en-US" w:eastAsia="zh-CN"/>
                    </w:rPr>
                    <w:t>20:00</w:t>
                  </w:r>
                </w:p>
              </w:tc>
              <w:tc>
                <w:tcPr>
                  <w:tcW w:w="100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napToGrid w:val="0"/>
                      <w:kern w:val="0"/>
                      <w:sz w:val="21"/>
                      <w:szCs w:val="21"/>
                      <w:vertAlign w:val="baseline"/>
                      <w:lang w:val="en-US" w:eastAsia="zh-CN"/>
                    </w:rPr>
                  </w:pPr>
                  <w:r>
                    <w:rPr>
                      <w:rFonts w:hint="eastAsia" w:eastAsia="宋体" w:cs="Times New Roman"/>
                      <w:snapToGrid w:val="0"/>
                      <w:kern w:val="0"/>
                      <w:sz w:val="21"/>
                      <w:szCs w:val="21"/>
                      <w:vertAlign w:val="baseline"/>
                      <w:lang w:val="en-US" w:eastAsia="zh-CN"/>
                    </w:rPr>
                    <w:t>0.50</w:t>
                  </w:r>
                </w:p>
              </w:tc>
            </w:tr>
          </w:tbl>
          <w:p>
            <w:pPr>
              <w:adjustRightInd w:val="0"/>
              <w:snapToGrid w:val="0"/>
              <w:spacing w:line="360" w:lineRule="auto"/>
              <w:ind w:firstLine="480" w:firstLineChars="200"/>
              <w:rPr>
                <w:rFonts w:hint="default" w:ascii="Times New Roman" w:hAnsi="Times New Roman" w:eastAsia="宋体" w:cs="Times New Roman"/>
                <w:snapToGrid w:val="0"/>
                <w:kern w:val="0"/>
                <w:sz w:val="24"/>
                <w:lang w:val="en-US" w:eastAsia="zh-CN"/>
              </w:rPr>
            </w:pPr>
            <w:r>
              <w:rPr>
                <w:rFonts w:hint="default" w:ascii="Times New Roman" w:hAnsi="Times New Roman" w:eastAsia="宋体" w:cs="Times New Roman"/>
                <w:snapToGrid w:val="0"/>
                <w:kern w:val="0"/>
                <w:sz w:val="24"/>
              </w:rPr>
              <w:t>由监测结果可知，</w:t>
            </w:r>
            <w:r>
              <w:rPr>
                <w:rFonts w:hint="default" w:ascii="Times New Roman" w:hAnsi="Times New Roman" w:eastAsia="宋体" w:cs="Times New Roman"/>
                <w:snapToGrid w:val="0"/>
                <w:kern w:val="0"/>
                <w:sz w:val="24"/>
                <w:lang w:val="en-US" w:eastAsia="zh-CN"/>
              </w:rPr>
              <w:t>项目区域</w:t>
            </w:r>
            <w:r>
              <w:rPr>
                <w:rFonts w:hint="default" w:ascii="Times New Roman" w:hAnsi="Times New Roman" w:eastAsia="宋体" w:cs="Times New Roman"/>
                <w:snapToGrid w:val="0"/>
                <w:kern w:val="0"/>
                <w:sz w:val="24"/>
              </w:rPr>
              <w:t>甲烷总烃满足《大气污染物综合排放标准详解》中相关标准限值（2000ug/m</w:t>
            </w:r>
            <w:r>
              <w:rPr>
                <w:rFonts w:hint="default" w:ascii="Times New Roman" w:hAnsi="Times New Roman" w:eastAsia="宋体" w:cs="Times New Roman"/>
                <w:snapToGrid w:val="0"/>
                <w:kern w:val="0"/>
                <w:sz w:val="24"/>
                <w:vertAlign w:val="superscript"/>
              </w:rPr>
              <w:t>3</w:t>
            </w:r>
            <w:r>
              <w:rPr>
                <w:rFonts w:hint="default" w:ascii="Times New Roman" w:hAnsi="Times New Roman" w:eastAsia="宋体" w:cs="Times New Roman"/>
                <w:snapToGrid w:val="0"/>
                <w:kern w:val="0"/>
                <w:sz w:val="24"/>
              </w:rPr>
              <w:t>），均未出现超标现象，说明该区域非甲烷总烃满足环境质量标准。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sz w:val="24"/>
              </w:rPr>
            </w:pPr>
            <w:r>
              <w:rPr>
                <w:rFonts w:hint="eastAsia"/>
                <w:b/>
                <w:sz w:val="24"/>
              </w:rPr>
              <w:t>2</w:t>
            </w:r>
            <w:r>
              <w:rPr>
                <w:b/>
                <w:sz w:val="24"/>
              </w:rPr>
              <w:t>、</w:t>
            </w:r>
            <w:r>
              <w:rPr>
                <w:rFonts w:hint="eastAsia"/>
                <w:b/>
                <w:sz w:val="24"/>
              </w:rPr>
              <w:t>地表水</w:t>
            </w:r>
            <w:r>
              <w:rPr>
                <w:b/>
                <w:sz w:val="24"/>
              </w:rPr>
              <w:t>环境质量现状</w:t>
            </w:r>
          </w:p>
          <w:p>
            <w:pPr>
              <w:adjustRightInd w:val="0"/>
              <w:snapToGrid w:val="0"/>
              <w:spacing w:line="360" w:lineRule="auto"/>
              <w:ind w:firstLine="480" w:firstLineChars="200"/>
              <w:rPr>
                <w:rFonts w:hint="eastAsia" w:cs="Times New Roman"/>
                <w:b w:val="0"/>
                <w:bCs/>
                <w:color w:val="auto"/>
                <w:sz w:val="24"/>
                <w:u w:val="none"/>
                <w:lang w:val="en-US" w:eastAsia="zh-CN"/>
              </w:rPr>
            </w:pPr>
            <w:r>
              <w:rPr>
                <w:rFonts w:hint="eastAsia" w:cs="Times New Roman"/>
                <w:b w:val="0"/>
                <w:bCs/>
                <w:color w:val="auto"/>
                <w:sz w:val="24"/>
                <w:u w:val="none"/>
                <w:lang w:val="en-US" w:eastAsia="zh-CN"/>
              </w:rPr>
              <w:t>本项目附近的地表水体为东北侧2.1km处的应河，项目区属应河流域，为了解当地地表水体，本次评价引用平顶山市环境监测中心站2021年对应河叶营桥断面监测资料，监测结果如下表：</w:t>
            </w:r>
          </w:p>
          <w:p>
            <w:pPr>
              <w:adjustRightInd w:val="0"/>
              <w:snapToGrid w:val="0"/>
              <w:spacing w:line="240" w:lineRule="auto"/>
              <w:jc w:val="center"/>
              <w:rPr>
                <w:rFonts w:hint="eastAsia" w:cs="Times New Roman"/>
                <w:b/>
                <w:bCs w:val="0"/>
                <w:color w:val="auto"/>
                <w:sz w:val="24"/>
                <w:u w:val="none"/>
                <w:lang w:val="en-US" w:eastAsia="zh-CN"/>
              </w:rPr>
            </w:pPr>
            <w:r>
              <w:rPr>
                <w:rFonts w:hint="eastAsia" w:cs="Times New Roman"/>
                <w:b/>
                <w:bCs w:val="0"/>
                <w:color w:val="auto"/>
                <w:sz w:val="24"/>
                <w:u w:val="none"/>
                <w:lang w:val="en-US" w:eastAsia="zh-CN"/>
              </w:rPr>
              <w:t>表3-3地表水监测结果统计单位：mg/L（除pH外）</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3007"/>
              <w:gridCol w:w="4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4" w:type="pct"/>
                  <w:gridSpan w:val="2"/>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项目</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应河叶营桥断面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pH</w:t>
                  </w: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监测值范围</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7.1-8.31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标准</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标准指数</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0.05-0.65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COD</w:t>
                  </w: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监测值范围</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标准指数</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0.45-0.9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氨氮</w:t>
                  </w: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监测值范围</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0.134-0.736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标准指数</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0.134-0.736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总磷</w:t>
                  </w: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监测值范围</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2" w:type="pct"/>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cs="Times New Roman"/>
                      <w:b w:val="0"/>
                      <w:bCs/>
                      <w:color w:val="auto"/>
                      <w:sz w:val="21"/>
                      <w:szCs w:val="21"/>
                      <w:u w:val="none"/>
                      <w:vertAlign w:val="baseline"/>
                      <w:lang w:val="en-US" w:eastAsia="zh-CN"/>
                    </w:rPr>
                  </w:pPr>
                </w:p>
              </w:tc>
              <w:tc>
                <w:tcPr>
                  <w:tcW w:w="1641"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val="0"/>
                      <w:bCs/>
                      <w:color w:val="auto"/>
                      <w:kern w:val="2"/>
                      <w:sz w:val="21"/>
                      <w:szCs w:val="21"/>
                      <w:u w:val="none"/>
                      <w:vertAlign w:val="baseline"/>
                      <w:lang w:val="en-US" w:eastAsia="zh-CN" w:bidi="ar-SA"/>
                    </w:rPr>
                  </w:pPr>
                  <w:r>
                    <w:rPr>
                      <w:rFonts w:hint="eastAsia" w:cs="Times New Roman"/>
                      <w:b w:val="0"/>
                      <w:bCs/>
                      <w:color w:val="auto"/>
                      <w:sz w:val="21"/>
                      <w:szCs w:val="21"/>
                      <w:u w:val="none"/>
                      <w:vertAlign w:val="baseline"/>
                      <w:lang w:val="en-US" w:eastAsia="zh-CN"/>
                    </w:rPr>
                    <w:t>标准指数</w:t>
                  </w:r>
                </w:p>
              </w:tc>
              <w:tc>
                <w:tcPr>
                  <w:tcW w:w="2705" w:type="pct"/>
                  <w:vAlign w:val="center"/>
                </w:tcPr>
                <w:p>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cs="Times New Roman"/>
                      <w:b w:val="0"/>
                      <w:bCs/>
                      <w:color w:val="auto"/>
                      <w:sz w:val="21"/>
                      <w:szCs w:val="21"/>
                      <w:u w:val="none"/>
                      <w:vertAlign w:val="baseline"/>
                      <w:lang w:val="en-US" w:eastAsia="zh-CN"/>
                    </w:rPr>
                  </w:pPr>
                  <w:r>
                    <w:rPr>
                      <w:rFonts w:hint="eastAsia" w:cs="Times New Roman"/>
                      <w:b w:val="0"/>
                      <w:bCs/>
                      <w:color w:val="auto"/>
                      <w:sz w:val="21"/>
                      <w:szCs w:val="21"/>
                      <w:u w:val="none"/>
                      <w:vertAlign w:val="baseline"/>
                      <w:lang w:val="en-US" w:eastAsia="zh-CN"/>
                    </w:rPr>
                    <w:t>0.1-0.4</w:t>
                  </w:r>
                </w:p>
              </w:tc>
            </w:tr>
          </w:tbl>
          <w:p>
            <w:pPr>
              <w:adjustRightInd w:val="0"/>
              <w:snapToGrid w:val="0"/>
              <w:spacing w:line="360" w:lineRule="auto"/>
              <w:ind w:firstLine="480" w:firstLineChars="200"/>
              <w:rPr>
                <w:rFonts w:hint="eastAsia" w:cs="Times New Roman"/>
                <w:b w:val="0"/>
                <w:bCs/>
                <w:color w:val="auto"/>
                <w:sz w:val="24"/>
                <w:u w:val="none"/>
                <w:lang w:val="en-US" w:eastAsia="zh-CN"/>
              </w:rPr>
            </w:pPr>
            <w:r>
              <w:rPr>
                <w:rFonts w:hint="eastAsia" w:cs="Times New Roman"/>
                <w:b w:val="0"/>
                <w:bCs/>
                <w:color w:val="auto"/>
                <w:sz w:val="24"/>
                <w:u w:val="none"/>
                <w:lang w:val="en-US" w:eastAsia="zh-CN"/>
              </w:rPr>
              <w:t>结合现状监测统计结果可以看出：本次调查应河叶营桥监测断面的pH、COD、氨氮、总磷因子均满足《地表水环境质量标准》（GB3838-2002）Ⅲ类标准限值。说明区域地表水环境质量现状整体较好。</w:t>
            </w:r>
          </w:p>
          <w:p>
            <w:pPr>
              <w:numPr>
                <w:ilvl w:val="0"/>
                <w:numId w:val="8"/>
              </w:numPr>
              <w:adjustRightInd w:val="0"/>
              <w:snapToGrid w:val="0"/>
              <w:spacing w:line="360" w:lineRule="auto"/>
              <w:rPr>
                <w:rFonts w:hint="eastAsia"/>
                <w:b/>
                <w:sz w:val="24"/>
              </w:rPr>
            </w:pPr>
            <w:r>
              <w:rPr>
                <w:rFonts w:hint="eastAsia"/>
                <w:b/>
                <w:sz w:val="24"/>
              </w:rPr>
              <w:t>地下水</w:t>
            </w:r>
            <w:r>
              <w:rPr>
                <w:rFonts w:hint="eastAsia"/>
                <w:b/>
                <w:sz w:val="24"/>
                <w:lang w:val="en-US" w:eastAsia="zh-CN"/>
              </w:rPr>
              <w:t>和土壤</w:t>
            </w:r>
            <w:r>
              <w:rPr>
                <w:rFonts w:hint="eastAsia"/>
                <w:b/>
                <w:sz w:val="24"/>
              </w:rPr>
              <w:t>环境现状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eastAsia" w:ascii="Times New Roman" w:hAnsi="Times New Roman" w:eastAsia="宋体" w:cs="Times New Roman"/>
                <w:b w:val="0"/>
                <w:bCs/>
                <w:color w:val="auto"/>
                <w:sz w:val="24"/>
                <w:szCs w:val="24"/>
                <w:u w:val="none"/>
                <w:lang w:eastAsia="zh-CN"/>
              </w:rPr>
            </w:pPr>
            <w:r>
              <w:rPr>
                <w:rFonts w:hint="default" w:ascii="Times New Roman" w:hAnsi="Times New Roman" w:eastAsia="宋体" w:cs="Times New Roman"/>
                <w:b w:val="0"/>
                <w:bCs/>
                <w:color w:val="auto"/>
                <w:sz w:val="24"/>
                <w:szCs w:val="24"/>
                <w:u w:val="none"/>
              </w:rPr>
              <w:t>根据《建设项目环境影响报告表编制技术指南（污染影响类）》（试行），本项目正常情况下本项目无地下水和土壤</w:t>
            </w:r>
            <w:r>
              <w:rPr>
                <w:rFonts w:hint="default" w:ascii="Times New Roman" w:hAnsi="Times New Roman" w:eastAsia="宋体" w:cs="Times New Roman"/>
                <w:b w:val="0"/>
                <w:bCs/>
                <w:color w:val="auto"/>
                <w:sz w:val="24"/>
                <w:szCs w:val="24"/>
                <w:u w:val="none"/>
                <w:lang w:eastAsia="zh-CN"/>
              </w:rPr>
              <w:t>污染</w:t>
            </w:r>
            <w:r>
              <w:rPr>
                <w:rFonts w:hint="default" w:ascii="Times New Roman" w:hAnsi="Times New Roman" w:eastAsia="宋体" w:cs="Times New Roman"/>
                <w:b w:val="0"/>
                <w:bCs/>
                <w:color w:val="auto"/>
                <w:sz w:val="24"/>
                <w:szCs w:val="24"/>
                <w:u w:val="none"/>
              </w:rPr>
              <w:t>途径</w:t>
            </w:r>
            <w:r>
              <w:rPr>
                <w:rFonts w:hint="eastAsia" w:ascii="Times New Roman" w:hAnsi="Times New Roman" w:eastAsia="宋体" w:cs="Times New Roman"/>
                <w:b w:val="0"/>
                <w:bCs/>
                <w:color w:val="auto"/>
                <w:sz w:val="24"/>
                <w:szCs w:val="24"/>
                <w:u w:val="none"/>
                <w:lang w:eastAsia="zh-CN"/>
              </w:rPr>
              <w:t>，其特殊情况下可能存在土壤</w:t>
            </w:r>
            <w:r>
              <w:rPr>
                <w:rFonts w:hint="default" w:ascii="Times New Roman" w:hAnsi="Times New Roman" w:eastAsia="宋体" w:cs="Times New Roman"/>
                <w:b w:val="0"/>
                <w:bCs/>
                <w:color w:val="auto"/>
                <w:sz w:val="24"/>
                <w:szCs w:val="24"/>
                <w:u w:val="none"/>
              </w:rPr>
              <w:t>、地下水环境污染</w:t>
            </w:r>
            <w:r>
              <w:rPr>
                <w:rFonts w:hint="eastAsia" w:ascii="Times New Roman" w:hAnsi="Times New Roman" w:eastAsia="宋体" w:cs="Times New Roman"/>
                <w:b w:val="0"/>
                <w:bCs/>
                <w:color w:val="auto"/>
                <w:sz w:val="24"/>
                <w:szCs w:val="24"/>
                <w:u w:val="none"/>
                <w:lang w:eastAsia="zh-CN"/>
              </w:rPr>
              <w:t>风险，其主要污染风险与</w:t>
            </w:r>
            <w:r>
              <w:rPr>
                <w:rFonts w:hint="default" w:ascii="Times New Roman" w:hAnsi="Times New Roman" w:eastAsia="宋体" w:cs="Times New Roman"/>
                <w:b w:val="0"/>
                <w:bCs/>
                <w:color w:val="auto"/>
                <w:sz w:val="24"/>
                <w:szCs w:val="24"/>
                <w:u w:val="none"/>
              </w:rPr>
              <w:t>途径</w:t>
            </w:r>
            <w:r>
              <w:rPr>
                <w:rFonts w:hint="eastAsia" w:ascii="Times New Roman" w:hAnsi="Times New Roman" w:eastAsia="宋体" w:cs="Times New Roman"/>
                <w:b w:val="0"/>
                <w:bCs/>
                <w:color w:val="auto"/>
                <w:sz w:val="24"/>
                <w:szCs w:val="24"/>
                <w:u w:val="none"/>
                <w:lang w:eastAsia="zh-CN"/>
              </w:rPr>
              <w:t>为危废暂存间内废机油的泄漏</w:t>
            </w:r>
            <w:r>
              <w:rPr>
                <w:rFonts w:hint="default" w:ascii="Times New Roman" w:hAnsi="Times New Roman" w:eastAsia="宋体" w:cs="Times New Roman"/>
                <w:b w:val="0"/>
                <w:bCs/>
                <w:color w:val="auto"/>
                <w:sz w:val="24"/>
                <w:szCs w:val="24"/>
                <w:u w:val="none"/>
              </w:rPr>
              <w:t>，</w:t>
            </w:r>
            <w:r>
              <w:rPr>
                <w:rFonts w:hint="eastAsia" w:ascii="Times New Roman" w:hAnsi="Times New Roman" w:eastAsia="宋体" w:cs="Times New Roman"/>
                <w:b w:val="0"/>
                <w:bCs/>
                <w:color w:val="auto"/>
                <w:sz w:val="24"/>
                <w:szCs w:val="24"/>
                <w:u w:val="none"/>
                <w:lang w:eastAsia="zh-CN"/>
              </w:rPr>
              <w:t>因此本项目无</w:t>
            </w:r>
            <w:r>
              <w:rPr>
                <w:rFonts w:hint="default" w:ascii="Times New Roman" w:hAnsi="Times New Roman" w:eastAsia="宋体" w:cs="Times New Roman"/>
                <w:b w:val="0"/>
                <w:bCs/>
                <w:color w:val="auto"/>
                <w:sz w:val="24"/>
                <w:szCs w:val="24"/>
                <w:u w:val="none"/>
              </w:rPr>
              <w:t>需开展环境质量现状调查。</w:t>
            </w:r>
            <w:r>
              <w:rPr>
                <w:rFonts w:hint="eastAsia" w:ascii="Times New Roman" w:hAnsi="Times New Roman" w:eastAsia="宋体" w:cs="Times New Roman"/>
                <w:b w:val="0"/>
                <w:bCs/>
                <w:color w:val="auto"/>
                <w:sz w:val="24"/>
                <w:szCs w:val="24"/>
                <w:u w:val="none"/>
                <w:lang w:eastAsia="zh-CN"/>
              </w:rPr>
              <w:t>但本项目运行过程中应</w:t>
            </w:r>
            <w:r>
              <w:rPr>
                <w:rFonts w:hint="default" w:ascii="Times New Roman" w:hAnsi="Times New Roman" w:eastAsia="宋体" w:cs="Times New Roman"/>
                <w:b w:val="0"/>
                <w:bCs/>
                <w:color w:val="auto"/>
                <w:sz w:val="24"/>
                <w:szCs w:val="24"/>
                <w:u w:val="none"/>
              </w:rPr>
              <w:t>采取分区防渗的措施，</w:t>
            </w:r>
            <w:r>
              <w:rPr>
                <w:rFonts w:hint="eastAsia" w:ascii="Times New Roman" w:hAnsi="Times New Roman" w:eastAsia="宋体" w:cs="Times New Roman"/>
                <w:b w:val="0"/>
                <w:bCs/>
                <w:color w:val="auto"/>
                <w:sz w:val="24"/>
                <w:szCs w:val="24"/>
                <w:u w:val="none"/>
                <w:lang w:eastAsia="zh-CN"/>
              </w:rPr>
              <w:t>将</w:t>
            </w:r>
            <w:r>
              <w:rPr>
                <w:rFonts w:hint="default" w:ascii="Times New Roman" w:hAnsi="Times New Roman" w:eastAsia="宋体" w:cs="Times New Roman"/>
                <w:b w:val="0"/>
                <w:bCs/>
                <w:color w:val="auto"/>
                <w:sz w:val="24"/>
                <w:szCs w:val="24"/>
                <w:u w:val="none"/>
              </w:rPr>
              <w:t>危险废物暂存间作为重点防渗区</w:t>
            </w:r>
            <w:r>
              <w:rPr>
                <w:rFonts w:hint="eastAsia" w:ascii="Times New Roman" w:hAnsi="Times New Roman" w:eastAsia="宋体" w:cs="Times New Roman"/>
                <w:b w:val="0"/>
                <w:bCs/>
                <w:color w:val="auto"/>
                <w:sz w:val="24"/>
                <w:szCs w:val="24"/>
                <w:u w:val="none"/>
                <w:lang w:eastAsia="zh-CN"/>
              </w:rPr>
              <w:t>，以降低或减少地下水及土壤污染的风险。</w:t>
            </w:r>
          </w:p>
          <w:p>
            <w:pPr>
              <w:adjustRightInd w:val="0"/>
              <w:snapToGrid w:val="0"/>
              <w:spacing w:line="360" w:lineRule="auto"/>
              <w:rPr>
                <w:b/>
                <w:sz w:val="24"/>
              </w:rPr>
            </w:pPr>
            <w:r>
              <w:rPr>
                <w:rFonts w:hint="eastAsia"/>
                <w:b/>
                <w:sz w:val="24"/>
                <w:lang w:val="en-US" w:eastAsia="zh-CN"/>
              </w:rPr>
              <w:t>4</w:t>
            </w:r>
            <w:r>
              <w:rPr>
                <w:b/>
                <w:sz w:val="24"/>
              </w:rPr>
              <w:t>、声环境质量现状</w:t>
            </w:r>
          </w:p>
          <w:p>
            <w:pPr>
              <w:spacing w:line="360" w:lineRule="auto"/>
              <w:ind w:firstLine="448" w:firstLineChars="187"/>
              <w:rPr>
                <w:b w:val="0"/>
                <w:bCs w:val="0"/>
                <w:color w:val="auto"/>
                <w:sz w:val="24"/>
                <w:u w:val="none"/>
              </w:rPr>
            </w:pPr>
            <w:r>
              <w:rPr>
                <w:b w:val="0"/>
                <w:bCs w:val="0"/>
                <w:color w:val="auto"/>
                <w:sz w:val="24"/>
                <w:u w:val="none"/>
              </w:rPr>
              <w:t>项目位于</w:t>
            </w:r>
            <w:r>
              <w:rPr>
                <w:rFonts w:hint="eastAsia" w:cs="Times New Roman"/>
                <w:color w:val="auto"/>
                <w:sz w:val="24"/>
                <w:szCs w:val="24"/>
                <w:lang w:val="en-US" w:eastAsia="zh-CN"/>
              </w:rPr>
              <w:t>平顶山市宝丰县宝丰高新技术产业开发区旭原不锈钢院内8号厂房</w:t>
            </w:r>
            <w:r>
              <w:rPr>
                <w:b w:val="0"/>
                <w:bCs w:val="0"/>
                <w:color w:val="auto"/>
                <w:sz w:val="24"/>
                <w:u w:val="none"/>
              </w:rPr>
              <w:t>，根据环境噪声划分规定，项目所在地属</w:t>
            </w:r>
            <w:r>
              <w:rPr>
                <w:rFonts w:hint="eastAsia"/>
                <w:b w:val="0"/>
                <w:bCs w:val="0"/>
                <w:color w:val="auto"/>
                <w:sz w:val="24"/>
                <w:u w:val="none"/>
                <w:lang w:val="en-US" w:eastAsia="zh-CN"/>
              </w:rPr>
              <w:t>3</w:t>
            </w:r>
            <w:r>
              <w:rPr>
                <w:rFonts w:hint="eastAsia"/>
                <w:b w:val="0"/>
                <w:bCs w:val="0"/>
                <w:color w:val="auto"/>
                <w:sz w:val="24"/>
                <w:u w:val="none"/>
              </w:rPr>
              <w:t>类区域</w:t>
            </w:r>
            <w:r>
              <w:rPr>
                <w:b w:val="0"/>
                <w:bCs w:val="0"/>
                <w:color w:val="auto"/>
                <w:sz w:val="24"/>
                <w:u w:val="none"/>
              </w:rPr>
              <w:t>。</w:t>
            </w:r>
            <w:r>
              <w:rPr>
                <w:rFonts w:hint="eastAsia"/>
                <w:b w:val="0"/>
                <w:bCs w:val="0"/>
                <w:color w:val="auto"/>
                <w:sz w:val="24"/>
                <w:u w:val="none"/>
                <w:lang w:val="en-US" w:eastAsia="zh-CN"/>
              </w:rPr>
              <w:t>本次评价项目委托</w:t>
            </w:r>
            <w:r>
              <w:rPr>
                <w:rFonts w:hint="default" w:ascii="Times New Roman" w:hAnsi="Times New Roman" w:eastAsia="宋体" w:cs="Times New Roman"/>
                <w:color w:val="auto"/>
                <w:sz w:val="24"/>
              </w:rPr>
              <w:t>河南鼎晟检测技术有限公司</w:t>
            </w:r>
            <w:r>
              <w:rPr>
                <w:rFonts w:hint="eastAsia"/>
                <w:b w:val="0"/>
                <w:bCs w:val="0"/>
                <w:color w:val="auto"/>
                <w:sz w:val="24"/>
                <w:u w:val="none"/>
              </w:rPr>
              <w:t>对项目所在厂区四周</w:t>
            </w:r>
            <w:r>
              <w:rPr>
                <w:rFonts w:hint="eastAsia"/>
                <w:b w:val="0"/>
                <w:bCs w:val="0"/>
                <w:color w:val="auto"/>
                <w:sz w:val="24"/>
                <w:u w:val="none"/>
                <w:lang w:val="en-US" w:eastAsia="zh-CN"/>
              </w:rPr>
              <w:t>的</w:t>
            </w:r>
            <w:r>
              <w:rPr>
                <w:rFonts w:hint="eastAsia"/>
                <w:b w:val="0"/>
                <w:bCs w:val="0"/>
                <w:color w:val="auto"/>
                <w:sz w:val="24"/>
                <w:u w:val="none"/>
              </w:rPr>
              <w:t>声环境状况进行了监测。检测结果见表</w:t>
            </w:r>
            <w:r>
              <w:rPr>
                <w:rFonts w:hint="eastAsia"/>
                <w:b w:val="0"/>
                <w:bCs w:val="0"/>
                <w:color w:val="auto"/>
                <w:sz w:val="24"/>
                <w:u w:val="none"/>
                <w:lang w:val="en-US" w:eastAsia="zh-CN"/>
              </w:rPr>
              <w:t>3-4</w:t>
            </w:r>
            <w:r>
              <w:rPr>
                <w:rFonts w:hint="eastAsia"/>
                <w:b w:val="0"/>
                <w:bCs w:val="0"/>
                <w:color w:val="auto"/>
                <w:sz w:val="24"/>
                <w:u w:val="none"/>
              </w:rPr>
              <w:t>。</w:t>
            </w:r>
          </w:p>
          <w:p>
            <w:pPr>
              <w:pStyle w:val="23"/>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表3-</w:t>
            </w:r>
            <w:r>
              <w:rPr>
                <w:rFonts w:hint="eastAsia" w:cs="Times New Roman"/>
                <w:b/>
                <w:bCs/>
                <w:color w:val="auto"/>
                <w:sz w:val="24"/>
                <w:szCs w:val="24"/>
                <w:lang w:val="en-US" w:eastAsia="zh-CN" w:bidi="ar-SA"/>
              </w:rPr>
              <w:t>4</w:t>
            </w:r>
            <w:r>
              <w:rPr>
                <w:rFonts w:hint="eastAsia" w:ascii="Times New Roman" w:hAnsi="Times New Roman" w:eastAsia="宋体" w:cs="Times New Roman"/>
                <w:b/>
                <w:bCs/>
                <w:color w:val="auto"/>
                <w:sz w:val="24"/>
                <w:szCs w:val="24"/>
                <w:lang w:val="en-US" w:eastAsia="zh-CN" w:bidi="ar-SA"/>
              </w:rPr>
              <w:t>项目区域噪声监测结果一览表单位：d</w:t>
            </w:r>
            <w:r>
              <w:rPr>
                <w:rFonts w:hint="default" w:ascii="Times New Roman" w:hAnsi="Times New Roman" w:eastAsia="宋体" w:cs="Times New Roman"/>
                <w:b/>
                <w:bCs/>
                <w:color w:val="auto"/>
                <w:sz w:val="24"/>
                <w:szCs w:val="24"/>
                <w:lang w:val="en-US" w:eastAsia="zh-CN" w:bidi="ar-SA"/>
              </w:rPr>
              <w:t>B</w:t>
            </w:r>
            <w:r>
              <w:rPr>
                <w:rFonts w:hint="eastAsia" w:ascii="Times New Roman" w:hAnsi="Times New Roman" w:eastAsia="宋体" w:cs="Times New Roman"/>
                <w:b/>
                <w:bCs/>
                <w:color w:val="auto"/>
                <w:sz w:val="24"/>
                <w:szCs w:val="24"/>
                <w:lang w:val="en-US" w:eastAsia="zh-CN" w:bidi="ar-SA"/>
              </w:rPr>
              <w:t>（A）</w:t>
            </w:r>
          </w:p>
          <w:tbl>
            <w:tblPr>
              <w:tblStyle w:val="24"/>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1"/>
              <w:gridCol w:w="1663"/>
              <w:gridCol w:w="2685"/>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jc w:val="center"/>
              </w:trPr>
              <w:tc>
                <w:tcPr>
                  <w:tcW w:w="1069"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采样时间</w:t>
                  </w:r>
                </w:p>
              </w:tc>
              <w:tc>
                <w:tcPr>
                  <w:tcW w:w="906"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采样点位</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  间</w:t>
                  </w:r>
                </w:p>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［测量值dB（A）］</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  间</w:t>
                  </w:r>
                </w:p>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9" w:type="pct"/>
                  <w:vMerge w:val="restart"/>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2022.12.14</w:t>
                  </w:r>
                </w:p>
              </w:tc>
              <w:tc>
                <w:tcPr>
                  <w:tcW w:w="906"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bidi="ar-SA"/>
                    </w:rPr>
                    <w:t>东厂界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53</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906"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bidi="ar-SA"/>
                    </w:rPr>
                    <w:t>西厂界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52</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906"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bidi="ar-SA"/>
                    </w:rPr>
                    <w:t>南厂界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54</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6"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906"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lang w:val="en-US" w:eastAsia="zh-CN" w:bidi="ar-SA"/>
                    </w:rPr>
                    <w:t>北厂界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53</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069" w:type="pct"/>
                  <w:vMerge w:val="restart"/>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2022.12.15</w:t>
                  </w:r>
                </w:p>
              </w:tc>
              <w:tc>
                <w:tcPr>
                  <w:tcW w:w="1750" w:type="dxa"/>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lang w:val="en-US" w:eastAsia="zh-CN" w:bidi="ar-SA"/>
                    </w:rPr>
                    <w:t>东厂界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52</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1750" w:type="dxa"/>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lang w:val="en-US" w:eastAsia="zh-CN" w:bidi="ar-SA"/>
                    </w:rPr>
                    <w:t>西厂界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53</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1750" w:type="dxa"/>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lang w:val="en-US" w:eastAsia="zh-CN" w:bidi="ar-SA"/>
                    </w:rPr>
                    <w:t>南厂界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53</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6" w:hRule="atLeast"/>
                <w:jc w:val="center"/>
              </w:trPr>
              <w:tc>
                <w:tcPr>
                  <w:tcW w:w="1069" w:type="pct"/>
                  <w:vMerge w:val="continue"/>
                  <w:tcBorders>
                    <w:tl2br w:val="nil"/>
                    <w:tr2bl w:val="nil"/>
                  </w:tcBorders>
                  <w:noWrap w:val="0"/>
                  <w:vAlign w:val="center"/>
                </w:tcPr>
                <w:p>
                  <w:pPr>
                    <w:keepNext w:val="0"/>
                    <w:keepLines w:val="0"/>
                    <w:pageBreakBefore w:val="0"/>
                    <w:widowControl w:val="0"/>
                    <w:tabs>
                      <w:tab w:val="center" w:pos="1440"/>
                    </w:tabs>
                    <w:kinsoku/>
                    <w:wordWrap w:val="0"/>
                    <w:overflowPunct w:val="0"/>
                    <w:topLinePunct/>
                    <w:autoSpaceDE/>
                    <w:autoSpaceDN/>
                    <w:bidi w:val="0"/>
                    <w:adjustRightInd w:val="0"/>
                    <w:snapToGrid w:val="0"/>
                    <w:spacing w:line="360" w:lineRule="exact"/>
                    <w:jc w:val="center"/>
                    <w:textAlignment w:val="auto"/>
                    <w:rPr>
                      <w:rFonts w:hint="eastAsia" w:ascii="Times New Roman" w:hAnsi="Times New Roman" w:eastAsia="宋体" w:cs="Times New Roman"/>
                      <w:bCs/>
                      <w:color w:val="auto"/>
                      <w:sz w:val="21"/>
                      <w:szCs w:val="21"/>
                      <w:highlight w:val="none"/>
                      <w:lang w:val="en-US" w:eastAsia="zh-CN"/>
                    </w:rPr>
                  </w:pPr>
                </w:p>
              </w:tc>
              <w:tc>
                <w:tcPr>
                  <w:tcW w:w="1750" w:type="dxa"/>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lang w:val="en-US" w:eastAsia="zh-CN" w:bidi="ar-SA"/>
                    </w:rPr>
                    <w:t>北厂界</w:t>
                  </w:r>
                </w:p>
              </w:tc>
              <w:tc>
                <w:tcPr>
                  <w:tcW w:w="1463"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52</w:t>
                  </w:r>
                </w:p>
              </w:tc>
              <w:tc>
                <w:tcPr>
                  <w:tcW w:w="1560" w:type="pct"/>
                  <w:tcBorders>
                    <w:tl2br w:val="nil"/>
                    <w:tr2bl w:val="nil"/>
                  </w:tcBorders>
                  <w:noWrap w:val="0"/>
                  <w:vAlign w:val="center"/>
                </w:tcPr>
                <w:p>
                  <w:pPr>
                    <w:keepNext w:val="0"/>
                    <w:keepLines w:val="0"/>
                    <w:pageBreakBefore w:val="0"/>
                    <w:widowControl w:val="0"/>
                    <w:kinsoku/>
                    <w:wordWrap w:val="0"/>
                    <w:overflow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bl>
          <w:p>
            <w:pPr>
              <w:spacing w:line="360" w:lineRule="auto"/>
              <w:ind w:firstLine="448" w:firstLineChars="187"/>
              <w:rPr>
                <w:b w:val="0"/>
                <w:bCs w:val="0"/>
                <w:color w:val="auto"/>
                <w:sz w:val="24"/>
                <w:u w:val="none"/>
              </w:rPr>
            </w:pPr>
            <w:r>
              <w:rPr>
                <w:rFonts w:hint="eastAsia"/>
                <w:b w:val="0"/>
                <w:bCs w:val="0"/>
                <w:color w:val="auto"/>
                <w:sz w:val="24"/>
                <w:u w:val="none"/>
              </w:rPr>
              <w:t>由上表可知，</w:t>
            </w:r>
            <w:r>
              <w:rPr>
                <w:rFonts w:hint="eastAsia"/>
                <w:b w:val="0"/>
                <w:bCs w:val="0"/>
                <w:color w:val="auto"/>
                <w:sz w:val="24"/>
                <w:highlight w:val="none"/>
                <w:u w:val="none"/>
              </w:rPr>
              <w:t>项目所在厂区四周声环境质量现状满足《声环境质量标准》（GB3096-2008）</w:t>
            </w:r>
            <w:r>
              <w:rPr>
                <w:rFonts w:hint="eastAsia"/>
                <w:b w:val="0"/>
                <w:bCs w:val="0"/>
                <w:color w:val="auto"/>
                <w:sz w:val="24"/>
                <w:highlight w:val="none"/>
                <w:u w:val="none"/>
                <w:lang w:val="en-US" w:eastAsia="zh-CN"/>
              </w:rPr>
              <w:t>3</w:t>
            </w:r>
            <w:r>
              <w:rPr>
                <w:rFonts w:hint="eastAsia"/>
                <w:b w:val="0"/>
                <w:bCs w:val="0"/>
                <w:color w:val="auto"/>
                <w:sz w:val="24"/>
                <w:highlight w:val="none"/>
                <w:u w:val="none"/>
              </w:rPr>
              <w:t>类标准</w:t>
            </w:r>
            <w:r>
              <w:rPr>
                <w:b w:val="0"/>
                <w:bCs w:val="0"/>
                <w:color w:val="auto"/>
                <w:sz w:val="24"/>
                <w:highlight w:val="none"/>
                <w:u w:val="none"/>
              </w:rPr>
              <w:t>要求，</w:t>
            </w:r>
            <w:r>
              <w:rPr>
                <w:rFonts w:hint="eastAsia"/>
                <w:b w:val="0"/>
                <w:bCs w:val="0"/>
                <w:color w:val="auto"/>
                <w:sz w:val="24"/>
                <w:u w:val="none"/>
                <w:lang w:val="en-US" w:eastAsia="zh-CN"/>
              </w:rPr>
              <w:t>因此本项目所在</w:t>
            </w:r>
            <w:r>
              <w:rPr>
                <w:b w:val="0"/>
                <w:bCs w:val="0"/>
                <w:color w:val="auto"/>
                <w:sz w:val="24"/>
                <w:u w:val="none"/>
              </w:rPr>
              <w:t>区域声环境质量良好。</w:t>
            </w:r>
          </w:p>
          <w:p>
            <w:pPr>
              <w:adjustRightInd w:val="0"/>
              <w:snapToGrid w:val="0"/>
              <w:spacing w:line="360" w:lineRule="auto"/>
              <w:rPr>
                <w:b/>
                <w:sz w:val="24"/>
              </w:rPr>
            </w:pPr>
            <w:r>
              <w:rPr>
                <w:rFonts w:hint="eastAsia"/>
                <w:b/>
                <w:sz w:val="24"/>
                <w:lang w:val="en-US" w:eastAsia="zh-CN"/>
              </w:rPr>
              <w:t>5</w:t>
            </w:r>
            <w:r>
              <w:rPr>
                <w:b/>
                <w:sz w:val="24"/>
              </w:rPr>
              <w:t>、</w:t>
            </w:r>
            <w:r>
              <w:rPr>
                <w:rFonts w:hint="eastAsia"/>
                <w:b/>
                <w:sz w:val="24"/>
              </w:rPr>
              <w:t>生态</w:t>
            </w:r>
            <w:r>
              <w:rPr>
                <w:b/>
                <w:sz w:val="24"/>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szCs w:val="24"/>
              </w:rPr>
            </w:pPr>
            <w:r>
              <w:rPr>
                <w:rFonts w:hint="eastAsia"/>
                <w:sz w:val="24"/>
                <w:szCs w:val="24"/>
              </w:rPr>
              <w:t>本项目位于</w:t>
            </w:r>
            <w:r>
              <w:rPr>
                <w:rFonts w:hint="eastAsia"/>
                <w:sz w:val="24"/>
                <w:szCs w:val="24"/>
                <w:lang w:eastAsia="zh-CN"/>
              </w:rPr>
              <w:t>平顶山市宝丰县宝丰高新技术产业开发区旭原不锈钢院内8号厂房</w:t>
            </w:r>
            <w:r>
              <w:rPr>
                <w:rFonts w:hint="eastAsia"/>
                <w:sz w:val="24"/>
                <w:szCs w:val="24"/>
              </w:rPr>
              <w:t>，周围500m范围内无野生植被、大型野生动物及受国家保护的动植物种类。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kern w:val="0"/>
                <w:sz w:val="24"/>
                <w:szCs w:val="24"/>
              </w:rPr>
            </w:pPr>
            <w:r>
              <w:rPr>
                <w:rFonts w:hint="eastAsia"/>
                <w:sz w:val="24"/>
                <w:szCs w:val="24"/>
                <w:lang w:val="en-US" w:eastAsia="zh-CN"/>
              </w:rPr>
              <w:t>同时</w:t>
            </w:r>
            <w:r>
              <w:rPr>
                <w:rFonts w:hint="eastAsia"/>
                <w:sz w:val="24"/>
                <w:szCs w:val="24"/>
              </w:rPr>
              <w:t>本项目场址所在地区的生态系统已经演化为以人工生态系统为主，生态系统结构和功能比较单一。天然植被已经被人工植被取代，生态敏感性低。本项目厂址所在地区及周边无自然生态保护区和风景名胜区。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5"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保护</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目标</w:t>
            </w:r>
          </w:p>
        </w:tc>
        <w:tc>
          <w:tcPr>
            <w:tcW w:w="471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bCs/>
                <w:sz w:val="24"/>
              </w:rPr>
            </w:pPr>
            <w:r>
              <w:rPr>
                <w:b/>
                <w:bCs/>
                <w:sz w:val="24"/>
              </w:rPr>
              <w:t>主要环境保护目标</w:t>
            </w:r>
            <w:r>
              <w:rPr>
                <w:rFonts w:hint="eastAsia"/>
                <w:b/>
                <w:bCs/>
                <w:sz w:val="24"/>
              </w:rPr>
              <w:t>（</w:t>
            </w:r>
            <w:r>
              <w:rPr>
                <w:b/>
                <w:bCs/>
                <w:sz w:val="24"/>
              </w:rPr>
              <w:t>列出名单及保护级别</w:t>
            </w:r>
            <w:r>
              <w:rPr>
                <w:rFonts w:hint="eastAsia"/>
                <w:b/>
                <w:bCs/>
                <w:sz w:val="24"/>
              </w:rPr>
              <w:t>）</w:t>
            </w:r>
            <w:r>
              <w:rPr>
                <w:b/>
                <w:bCs/>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z w:val="24"/>
              </w:rPr>
            </w:pPr>
            <w:r>
              <w:rPr>
                <w:rFonts w:hint="eastAsia"/>
                <w:sz w:val="24"/>
              </w:rPr>
              <w:t>通过对厂址周围区域自然、社会环境状况的详细调查了解，根据本项目的排污特征，确定本项目主要环境保护目标为厂界外500米范围内的自然保护区、风景名胜区、居住区、文化区和农村地区中人群较集中的区域等大气环境保护目标；厂界外50米范围内声环境保护目标；厂界外500米范围内的地下水集中式饮用水水源和热水、矿泉水、温泉等特殊地下水资源等地下水环境保护目标。项目主要环境保护目标见下表：</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表</w:t>
            </w:r>
            <w:r>
              <w:rPr>
                <w:rFonts w:hint="eastAsia" w:ascii="Times New Roman" w:hAnsi="Times New Roman" w:eastAsia="宋体" w:cs="Times New Roman"/>
                <w:b/>
                <w:bCs/>
                <w:sz w:val="24"/>
                <w:szCs w:val="24"/>
                <w:lang w:val="en-US" w:eastAsia="zh-CN" w:bidi="ar-SA"/>
              </w:rPr>
              <w:t>3-</w:t>
            </w:r>
            <w:r>
              <w:rPr>
                <w:rFonts w:hint="eastAsia" w:cs="Times New Roman"/>
                <w:b/>
                <w:bCs/>
                <w:sz w:val="24"/>
                <w:szCs w:val="24"/>
                <w:lang w:val="en-US" w:eastAsia="zh-CN" w:bidi="ar-SA"/>
              </w:rPr>
              <w:t>5</w:t>
            </w:r>
            <w:r>
              <w:rPr>
                <w:rFonts w:hint="eastAsia" w:ascii="Times New Roman" w:hAnsi="Times New Roman" w:eastAsia="宋体" w:cs="Times New Roman"/>
                <w:b/>
                <w:bCs/>
                <w:sz w:val="24"/>
                <w:szCs w:val="24"/>
                <w:lang w:val="en-US" w:eastAsia="zh-CN" w:bidi="ar-SA"/>
              </w:rPr>
              <w:t>环境空气</w:t>
            </w:r>
            <w:r>
              <w:rPr>
                <w:rFonts w:hint="default" w:ascii="Times New Roman" w:hAnsi="Times New Roman" w:eastAsia="宋体" w:cs="Times New Roman"/>
                <w:b/>
                <w:bCs/>
                <w:sz w:val="24"/>
                <w:szCs w:val="24"/>
                <w:lang w:val="en-US" w:eastAsia="zh-CN" w:bidi="ar-SA"/>
              </w:rPr>
              <w:t>保护目标</w:t>
            </w:r>
          </w:p>
          <w:tbl>
            <w:tblPr>
              <w:tblStyle w:val="24"/>
              <w:tblW w:w="4995"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731"/>
              <w:gridCol w:w="1739"/>
              <w:gridCol w:w="1218"/>
              <w:gridCol w:w="771"/>
              <w:gridCol w:w="719"/>
              <w:gridCol w:w="654"/>
              <w:gridCol w:w="8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6" w:type="pct"/>
                  <w:vMerge w:val="restart"/>
                  <w:tcBorders>
                    <w:tl2br w:val="nil"/>
                    <w:tr2bl w:val="nil"/>
                  </w:tcBorders>
                  <w:vAlign w:val="center"/>
                </w:tcPr>
                <w:p>
                  <w:pPr>
                    <w:jc w:val="center"/>
                  </w:pPr>
                  <w:r>
                    <w:t>名称</w:t>
                  </w:r>
                </w:p>
              </w:tc>
              <w:tc>
                <w:tcPr>
                  <w:tcW w:w="1450" w:type="pct"/>
                  <w:gridSpan w:val="2"/>
                  <w:tcBorders>
                    <w:tl2br w:val="nil"/>
                    <w:tr2bl w:val="nil"/>
                  </w:tcBorders>
                  <w:vAlign w:val="center"/>
                </w:tcPr>
                <w:p>
                  <w:pPr>
                    <w:jc w:val="center"/>
                  </w:pPr>
                  <w:r>
                    <w:t>坐标</w:t>
                  </w:r>
                </w:p>
              </w:tc>
              <w:tc>
                <w:tcPr>
                  <w:tcW w:w="746" w:type="pct"/>
                  <w:vMerge w:val="restart"/>
                  <w:tcBorders>
                    <w:tl2br w:val="nil"/>
                    <w:tr2bl w:val="nil"/>
                  </w:tcBorders>
                  <w:vAlign w:val="center"/>
                </w:tcPr>
                <w:p>
                  <w:pPr>
                    <w:jc w:val="center"/>
                  </w:pPr>
                  <w:r>
                    <w:t>保护</w:t>
                  </w:r>
                </w:p>
                <w:p>
                  <w:pPr>
                    <w:jc w:val="center"/>
                  </w:pPr>
                  <w:r>
                    <w:t>对象</w:t>
                  </w:r>
                </w:p>
              </w:tc>
              <w:tc>
                <w:tcPr>
                  <w:tcW w:w="501" w:type="pct"/>
                  <w:vMerge w:val="restart"/>
                  <w:tcBorders>
                    <w:tl2br w:val="nil"/>
                    <w:tr2bl w:val="nil"/>
                  </w:tcBorders>
                  <w:vAlign w:val="center"/>
                </w:tcPr>
                <w:p>
                  <w:pPr>
                    <w:jc w:val="center"/>
                  </w:pPr>
                  <w:r>
                    <w:t>保护内容</w:t>
                  </w:r>
                </w:p>
              </w:tc>
              <w:tc>
                <w:tcPr>
                  <w:tcW w:w="473" w:type="pct"/>
                  <w:vMerge w:val="restart"/>
                  <w:tcBorders>
                    <w:tl2br w:val="nil"/>
                    <w:tr2bl w:val="nil"/>
                  </w:tcBorders>
                  <w:vAlign w:val="center"/>
                </w:tcPr>
                <w:p>
                  <w:pPr>
                    <w:jc w:val="center"/>
                  </w:pPr>
                  <w:r>
                    <w:t>环境功能区</w:t>
                  </w:r>
                </w:p>
              </w:tc>
              <w:tc>
                <w:tcPr>
                  <w:tcW w:w="437" w:type="pct"/>
                  <w:vMerge w:val="restart"/>
                  <w:tcBorders>
                    <w:tl2br w:val="nil"/>
                    <w:tr2bl w:val="nil"/>
                  </w:tcBorders>
                  <w:vAlign w:val="center"/>
                </w:tcPr>
                <w:p>
                  <w:pPr>
                    <w:jc w:val="center"/>
                  </w:pPr>
                  <w:r>
                    <w:t>相对厂址方位</w:t>
                  </w:r>
                </w:p>
              </w:tc>
              <w:tc>
                <w:tcPr>
                  <w:tcW w:w="484" w:type="pct"/>
                  <w:vMerge w:val="restart"/>
                  <w:tcBorders>
                    <w:tl2br w:val="nil"/>
                    <w:tr2bl w:val="nil"/>
                  </w:tcBorders>
                  <w:vAlign w:val="center"/>
                </w:tcPr>
                <w:p>
                  <w:pPr>
                    <w:jc w:val="center"/>
                  </w:pPr>
                  <w:r>
                    <w:t>相对厂界距离（m）</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6" w:type="pct"/>
                  <w:vMerge w:val="continue"/>
                  <w:tcBorders>
                    <w:tl2br w:val="nil"/>
                    <w:tr2bl w:val="nil"/>
                  </w:tcBorders>
                  <w:vAlign w:val="center"/>
                </w:tcPr>
                <w:p>
                  <w:pPr>
                    <w:jc w:val="center"/>
                  </w:pPr>
                </w:p>
              </w:tc>
              <w:tc>
                <w:tcPr>
                  <w:tcW w:w="844" w:type="pct"/>
                  <w:tcBorders>
                    <w:tl2br w:val="nil"/>
                    <w:tr2bl w:val="nil"/>
                  </w:tcBorders>
                  <w:vAlign w:val="center"/>
                </w:tcPr>
                <w:p>
                  <w:pPr>
                    <w:jc w:val="center"/>
                  </w:pPr>
                  <w:r>
                    <w:t>X</w:t>
                  </w:r>
                </w:p>
              </w:tc>
              <w:tc>
                <w:tcPr>
                  <w:tcW w:w="605" w:type="pct"/>
                  <w:tcBorders>
                    <w:tl2br w:val="nil"/>
                    <w:tr2bl w:val="nil"/>
                  </w:tcBorders>
                  <w:vAlign w:val="center"/>
                </w:tcPr>
                <w:p>
                  <w:pPr>
                    <w:jc w:val="center"/>
                  </w:pPr>
                  <w:r>
                    <w:t>Y</w:t>
                  </w:r>
                </w:p>
              </w:tc>
              <w:tc>
                <w:tcPr>
                  <w:tcW w:w="746" w:type="pct"/>
                  <w:vMerge w:val="continue"/>
                  <w:tcBorders>
                    <w:tl2br w:val="nil"/>
                    <w:tr2bl w:val="nil"/>
                  </w:tcBorders>
                  <w:vAlign w:val="center"/>
                </w:tcPr>
                <w:p>
                  <w:pPr>
                    <w:jc w:val="center"/>
                  </w:pPr>
                </w:p>
              </w:tc>
              <w:tc>
                <w:tcPr>
                  <w:tcW w:w="501" w:type="pct"/>
                  <w:vMerge w:val="continue"/>
                  <w:tcBorders>
                    <w:tl2br w:val="nil"/>
                    <w:tr2bl w:val="nil"/>
                  </w:tcBorders>
                  <w:vAlign w:val="center"/>
                </w:tcPr>
                <w:p>
                  <w:pPr>
                    <w:jc w:val="center"/>
                  </w:pPr>
                </w:p>
              </w:tc>
              <w:tc>
                <w:tcPr>
                  <w:tcW w:w="473" w:type="pct"/>
                  <w:vMerge w:val="continue"/>
                  <w:tcBorders>
                    <w:tl2br w:val="nil"/>
                    <w:tr2bl w:val="nil"/>
                  </w:tcBorders>
                  <w:vAlign w:val="center"/>
                </w:tcPr>
                <w:p>
                  <w:pPr>
                    <w:jc w:val="center"/>
                  </w:pPr>
                </w:p>
              </w:tc>
              <w:tc>
                <w:tcPr>
                  <w:tcW w:w="437" w:type="pct"/>
                  <w:vMerge w:val="continue"/>
                  <w:tcBorders>
                    <w:tl2br w:val="nil"/>
                    <w:tr2bl w:val="nil"/>
                  </w:tcBorders>
                  <w:vAlign w:val="center"/>
                </w:tcPr>
                <w:p>
                  <w:pPr>
                    <w:jc w:val="center"/>
                  </w:pPr>
                </w:p>
              </w:tc>
              <w:tc>
                <w:tcPr>
                  <w:tcW w:w="484" w:type="pct"/>
                  <w:vMerge w:val="continue"/>
                  <w:tcBorders>
                    <w:tl2br w:val="nil"/>
                    <w:tr2bl w:val="nil"/>
                  </w:tcBorders>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 w:type="pct"/>
                  <w:tcBorders>
                    <w:tl2br w:val="nil"/>
                    <w:tr2bl w:val="nil"/>
                  </w:tcBorders>
                  <w:vAlign w:val="center"/>
                </w:tcPr>
                <w:p>
                  <w:pPr>
                    <w:jc w:val="center"/>
                    <w:rPr>
                      <w:rFonts w:hint="default"/>
                      <w:lang w:val="en-US" w:eastAsia="zh-CN"/>
                    </w:rPr>
                  </w:pPr>
                  <w:r>
                    <w:rPr>
                      <w:rFonts w:hint="default"/>
                      <w:lang w:val="en-US" w:eastAsia="zh-CN"/>
                    </w:rPr>
                    <w:t>宝丰县产业集聚区公租房小区</w:t>
                  </w:r>
                </w:p>
              </w:tc>
              <w:tc>
                <w:tcPr>
                  <w:tcW w:w="844" w:type="pct"/>
                  <w:tcBorders>
                    <w:tl2br w:val="nil"/>
                    <w:tr2bl w:val="nil"/>
                  </w:tcBorders>
                  <w:vAlign w:val="center"/>
                </w:tcPr>
                <w:p>
                  <w:pPr>
                    <w:jc w:val="center"/>
                  </w:pPr>
                  <w:r>
                    <w:rPr>
                      <w:rFonts w:hint="eastAsia"/>
                    </w:rPr>
                    <w:t>113°3′52.63″</w:t>
                  </w:r>
                </w:p>
              </w:tc>
              <w:tc>
                <w:tcPr>
                  <w:tcW w:w="605" w:type="pct"/>
                  <w:tcBorders>
                    <w:tl2br w:val="nil"/>
                    <w:tr2bl w:val="nil"/>
                  </w:tcBorders>
                  <w:vAlign w:val="center"/>
                </w:tcPr>
                <w:p>
                  <w:pPr>
                    <w:jc w:val="center"/>
                  </w:pPr>
                  <w:r>
                    <w:rPr>
                      <w:rFonts w:hint="eastAsia"/>
                    </w:rPr>
                    <w:t>33°50′2.92″</w:t>
                  </w:r>
                </w:p>
              </w:tc>
              <w:tc>
                <w:tcPr>
                  <w:tcW w:w="746" w:type="pct"/>
                  <w:tcBorders>
                    <w:tl2br w:val="nil"/>
                    <w:tr2bl w:val="nil"/>
                  </w:tcBorders>
                  <w:vAlign w:val="center"/>
                </w:tcPr>
                <w:p>
                  <w:pPr>
                    <w:jc w:val="center"/>
                  </w:pPr>
                  <w:r>
                    <w:t>居民</w:t>
                  </w:r>
                </w:p>
              </w:tc>
              <w:tc>
                <w:tcPr>
                  <w:tcW w:w="501" w:type="pct"/>
                  <w:tcBorders>
                    <w:tl2br w:val="nil"/>
                    <w:tr2bl w:val="nil"/>
                  </w:tcBorders>
                  <w:vAlign w:val="center"/>
                </w:tcPr>
                <w:p>
                  <w:pPr>
                    <w:jc w:val="center"/>
                  </w:pPr>
                  <w:r>
                    <w:t>环境空气</w:t>
                  </w:r>
                </w:p>
              </w:tc>
              <w:tc>
                <w:tcPr>
                  <w:tcW w:w="473" w:type="pct"/>
                  <w:tcBorders>
                    <w:tl2br w:val="nil"/>
                    <w:tr2bl w:val="nil"/>
                  </w:tcBorders>
                  <w:vAlign w:val="center"/>
                </w:tcPr>
                <w:p>
                  <w:pPr>
                    <w:jc w:val="center"/>
                  </w:pPr>
                  <w:r>
                    <w:t>2类区</w:t>
                  </w:r>
                </w:p>
              </w:tc>
              <w:tc>
                <w:tcPr>
                  <w:tcW w:w="437" w:type="pct"/>
                  <w:tcBorders>
                    <w:tl2br w:val="nil"/>
                    <w:tr2bl w:val="nil"/>
                  </w:tcBorders>
                  <w:vAlign w:val="center"/>
                </w:tcPr>
                <w:p>
                  <w:pPr>
                    <w:jc w:val="center"/>
                    <w:rPr>
                      <w:rFonts w:hint="default"/>
                      <w:lang w:val="en-US" w:eastAsia="zh-CN"/>
                    </w:rPr>
                  </w:pPr>
                  <w:r>
                    <w:rPr>
                      <w:rFonts w:hint="eastAsia"/>
                      <w:lang w:val="en-US" w:eastAsia="zh-CN"/>
                    </w:rPr>
                    <w:t>ES</w:t>
                  </w:r>
                </w:p>
              </w:tc>
              <w:tc>
                <w:tcPr>
                  <w:tcW w:w="484" w:type="pct"/>
                  <w:tcBorders>
                    <w:tl2br w:val="nil"/>
                    <w:tr2bl w:val="nil"/>
                  </w:tcBorders>
                  <w:vAlign w:val="center"/>
                </w:tcPr>
                <w:p>
                  <w:pPr>
                    <w:jc w:val="center"/>
                    <w:rPr>
                      <w:rFonts w:hint="default"/>
                      <w:lang w:val="en-US" w:eastAsia="zh-CN"/>
                    </w:rPr>
                  </w:pPr>
                  <w:r>
                    <w:rPr>
                      <w:rFonts w:hint="eastAsia"/>
                      <w:lang w:val="en-US" w:eastAsia="zh-CN"/>
                    </w:rPr>
                    <w:t>350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06" w:type="pct"/>
                  <w:tcBorders>
                    <w:tl2br w:val="nil"/>
                    <w:tr2bl w:val="nil"/>
                  </w:tcBorders>
                  <w:vAlign w:val="center"/>
                </w:tcPr>
                <w:p>
                  <w:pPr>
                    <w:jc w:val="center"/>
                    <w:rPr>
                      <w:rFonts w:hint="default"/>
                      <w:lang w:val="en-US" w:eastAsia="zh-CN"/>
                    </w:rPr>
                  </w:pPr>
                  <w:r>
                    <w:rPr>
                      <w:rFonts w:hint="eastAsia"/>
                      <w:lang w:val="en-US" w:eastAsia="zh-CN"/>
                    </w:rPr>
                    <w:t>石洼村</w:t>
                  </w:r>
                </w:p>
              </w:tc>
              <w:tc>
                <w:tcPr>
                  <w:tcW w:w="844" w:type="pct"/>
                  <w:tcBorders>
                    <w:tl2br w:val="nil"/>
                    <w:tr2bl w:val="nil"/>
                  </w:tcBorders>
                  <w:vAlign w:val="center"/>
                </w:tcPr>
                <w:p>
                  <w:pPr>
                    <w:jc w:val="center"/>
                    <w:rPr>
                      <w:rFonts w:hint="eastAsia"/>
                    </w:rPr>
                  </w:pPr>
                  <w:r>
                    <w:rPr>
                      <w:rFonts w:hint="eastAsia"/>
                    </w:rPr>
                    <w:t>113°3′52.38″</w:t>
                  </w:r>
                </w:p>
              </w:tc>
              <w:tc>
                <w:tcPr>
                  <w:tcW w:w="605" w:type="pct"/>
                  <w:tcBorders>
                    <w:tl2br w:val="nil"/>
                    <w:tr2bl w:val="nil"/>
                  </w:tcBorders>
                  <w:vAlign w:val="center"/>
                </w:tcPr>
                <w:p>
                  <w:pPr>
                    <w:jc w:val="center"/>
                    <w:rPr>
                      <w:rFonts w:hint="eastAsia"/>
                    </w:rPr>
                  </w:pPr>
                  <w:r>
                    <w:rPr>
                      <w:rFonts w:hint="eastAsia"/>
                    </w:rPr>
                    <w:t>33°50′31.88″</w:t>
                  </w:r>
                </w:p>
              </w:tc>
              <w:tc>
                <w:tcPr>
                  <w:tcW w:w="746" w:type="pct"/>
                  <w:tcBorders>
                    <w:tl2br w:val="nil"/>
                    <w:tr2bl w:val="nil"/>
                  </w:tcBorders>
                  <w:vAlign w:val="center"/>
                </w:tcPr>
                <w:p>
                  <w:pPr>
                    <w:jc w:val="center"/>
                    <w:rPr>
                      <w:rFonts w:hint="eastAsia" w:eastAsia="宋体"/>
                      <w:lang w:val="en-US" w:eastAsia="zh-CN"/>
                    </w:rPr>
                  </w:pPr>
                  <w:r>
                    <w:rPr>
                      <w:rFonts w:hint="eastAsia"/>
                      <w:lang w:val="en-US" w:eastAsia="zh-CN"/>
                    </w:rPr>
                    <w:t>居民</w:t>
                  </w:r>
                </w:p>
              </w:tc>
              <w:tc>
                <w:tcPr>
                  <w:tcW w:w="501" w:type="pct"/>
                  <w:tcBorders>
                    <w:tl2br w:val="nil"/>
                    <w:tr2bl w:val="nil"/>
                  </w:tcBorders>
                  <w:vAlign w:val="center"/>
                </w:tcPr>
                <w:p>
                  <w:pPr>
                    <w:jc w:val="center"/>
                    <w:rPr>
                      <w:rFonts w:hint="default" w:eastAsia="宋体"/>
                      <w:lang w:val="en-US" w:eastAsia="zh-CN"/>
                    </w:rPr>
                  </w:pPr>
                  <w:r>
                    <w:rPr>
                      <w:rFonts w:hint="eastAsia"/>
                      <w:lang w:val="en-US" w:eastAsia="zh-CN"/>
                    </w:rPr>
                    <w:t>环境空气</w:t>
                  </w:r>
                </w:p>
              </w:tc>
              <w:tc>
                <w:tcPr>
                  <w:tcW w:w="473" w:type="pct"/>
                  <w:tcBorders>
                    <w:tl2br w:val="nil"/>
                    <w:tr2bl w:val="nil"/>
                  </w:tcBorders>
                  <w:vAlign w:val="center"/>
                </w:tcPr>
                <w:p>
                  <w:pPr>
                    <w:jc w:val="center"/>
                  </w:pPr>
                  <w:r>
                    <w:t>2类区</w:t>
                  </w:r>
                </w:p>
              </w:tc>
              <w:tc>
                <w:tcPr>
                  <w:tcW w:w="437" w:type="pct"/>
                  <w:tcBorders>
                    <w:tl2br w:val="nil"/>
                    <w:tr2bl w:val="nil"/>
                  </w:tcBorders>
                  <w:vAlign w:val="center"/>
                </w:tcPr>
                <w:p>
                  <w:pPr>
                    <w:jc w:val="center"/>
                    <w:rPr>
                      <w:rFonts w:hint="default"/>
                      <w:lang w:val="en-US" w:eastAsia="zh-CN"/>
                    </w:rPr>
                  </w:pPr>
                  <w:r>
                    <w:rPr>
                      <w:rFonts w:hint="eastAsia"/>
                      <w:lang w:val="en-US" w:eastAsia="zh-CN"/>
                    </w:rPr>
                    <w:t>N</w:t>
                  </w:r>
                </w:p>
              </w:tc>
              <w:tc>
                <w:tcPr>
                  <w:tcW w:w="484" w:type="pct"/>
                  <w:tcBorders>
                    <w:tl2br w:val="nil"/>
                    <w:tr2bl w:val="nil"/>
                  </w:tcBorders>
                  <w:vAlign w:val="center"/>
                </w:tcPr>
                <w:p>
                  <w:pPr>
                    <w:jc w:val="center"/>
                    <w:rPr>
                      <w:rFonts w:hint="default"/>
                      <w:lang w:val="en-US" w:eastAsia="zh-CN"/>
                    </w:rPr>
                  </w:pPr>
                  <w:r>
                    <w:rPr>
                      <w:rFonts w:hint="eastAsia"/>
                      <w:lang w:val="en-US" w:eastAsia="zh-CN"/>
                    </w:rPr>
                    <w:t>355</w:t>
                  </w:r>
                </w:p>
              </w:tc>
            </w:tr>
          </w:tbl>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表</w:t>
            </w:r>
            <w:r>
              <w:rPr>
                <w:rFonts w:hint="eastAsia" w:ascii="Times New Roman" w:hAnsi="Times New Roman" w:eastAsia="宋体" w:cs="Times New Roman"/>
                <w:b/>
                <w:bCs/>
                <w:sz w:val="24"/>
                <w:szCs w:val="24"/>
                <w:lang w:val="en-US" w:eastAsia="zh-CN" w:bidi="ar-SA"/>
              </w:rPr>
              <w:t>3-</w:t>
            </w:r>
            <w:r>
              <w:rPr>
                <w:rFonts w:hint="eastAsia" w:cs="Times New Roman"/>
                <w:b/>
                <w:bCs/>
                <w:sz w:val="24"/>
                <w:szCs w:val="24"/>
                <w:lang w:val="en-US" w:eastAsia="zh-CN" w:bidi="ar-SA"/>
              </w:rPr>
              <w:t>6</w:t>
            </w:r>
            <w:r>
              <w:rPr>
                <w:rFonts w:hint="eastAsia" w:ascii="Times New Roman" w:hAnsi="Times New Roman" w:eastAsia="宋体" w:cs="Times New Roman"/>
                <w:b/>
                <w:bCs/>
                <w:sz w:val="24"/>
                <w:szCs w:val="24"/>
                <w:lang w:val="en-US" w:eastAsia="zh-CN" w:bidi="ar-SA"/>
              </w:rPr>
              <w:t>水</w:t>
            </w:r>
            <w:r>
              <w:rPr>
                <w:rFonts w:hint="default" w:ascii="Times New Roman" w:hAnsi="Times New Roman" w:eastAsia="宋体" w:cs="Times New Roman"/>
                <w:b/>
                <w:bCs/>
                <w:sz w:val="24"/>
                <w:szCs w:val="24"/>
                <w:lang w:val="en-US" w:eastAsia="zh-CN" w:bidi="ar-SA"/>
              </w:rPr>
              <w:t>环境</w:t>
            </w:r>
            <w:r>
              <w:rPr>
                <w:rFonts w:hint="eastAsia" w:ascii="Times New Roman" w:hAnsi="Times New Roman" w:eastAsia="宋体" w:cs="Times New Roman"/>
                <w:b/>
                <w:bCs/>
                <w:sz w:val="24"/>
                <w:szCs w:val="24"/>
                <w:lang w:val="en-US" w:eastAsia="zh-CN" w:bidi="ar-SA"/>
              </w:rPr>
              <w:t>、声环境</w:t>
            </w:r>
            <w:r>
              <w:rPr>
                <w:rFonts w:hint="default" w:ascii="Times New Roman" w:hAnsi="Times New Roman" w:eastAsia="宋体" w:cs="Times New Roman"/>
                <w:b/>
                <w:bCs/>
                <w:sz w:val="24"/>
                <w:szCs w:val="24"/>
                <w:lang w:val="en-US" w:eastAsia="zh-CN" w:bidi="ar-SA"/>
              </w:rPr>
              <w:t>保护目标</w:t>
            </w:r>
          </w:p>
          <w:tbl>
            <w:tblPr>
              <w:tblStyle w:val="25"/>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777"/>
              <w:gridCol w:w="1105"/>
              <w:gridCol w:w="1500"/>
              <w:gridCol w:w="299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环境要素</w:t>
                  </w:r>
                </w:p>
              </w:tc>
              <w:tc>
                <w:tcPr>
                  <w:tcW w:w="971" w:type="pct"/>
                  <w:tcBorders>
                    <w:tl2br w:val="nil"/>
                    <w:tr2bl w:val="nil"/>
                  </w:tcBorders>
                  <w:vAlign w:val="center"/>
                </w:tcPr>
                <w:p>
                  <w:pPr>
                    <w:adjustRightInd w:val="0"/>
                    <w:snapToGrid w:val="0"/>
                    <w:spacing w:line="360" w:lineRule="exact"/>
                    <w:jc w:val="center"/>
                    <w:rPr>
                      <w:szCs w:val="21"/>
                    </w:rPr>
                  </w:pPr>
                  <w:r>
                    <w:rPr>
                      <w:rFonts w:hint="eastAsia"/>
                      <w:szCs w:val="21"/>
                    </w:rPr>
                    <w:t>保护目标</w:t>
                  </w:r>
                </w:p>
              </w:tc>
              <w:tc>
                <w:tcPr>
                  <w:tcW w:w="604" w:type="pct"/>
                  <w:tcBorders>
                    <w:tl2br w:val="nil"/>
                    <w:tr2bl w:val="nil"/>
                  </w:tcBorders>
                  <w:vAlign w:val="center"/>
                </w:tcPr>
                <w:p>
                  <w:pPr>
                    <w:adjustRightInd w:val="0"/>
                    <w:snapToGrid w:val="0"/>
                    <w:spacing w:line="360" w:lineRule="exact"/>
                    <w:jc w:val="center"/>
                    <w:rPr>
                      <w:szCs w:val="21"/>
                    </w:rPr>
                  </w:pPr>
                  <w:r>
                    <w:rPr>
                      <w:rFonts w:hint="eastAsia"/>
                      <w:szCs w:val="21"/>
                    </w:rPr>
                    <w:t>方位</w:t>
                  </w:r>
                </w:p>
              </w:tc>
              <w:tc>
                <w:tcPr>
                  <w:tcW w:w="819" w:type="pct"/>
                  <w:tcBorders>
                    <w:tl2br w:val="nil"/>
                    <w:tr2bl w:val="nil"/>
                  </w:tcBorders>
                  <w:vAlign w:val="center"/>
                </w:tcPr>
                <w:p>
                  <w:pPr>
                    <w:adjustRightInd w:val="0"/>
                    <w:snapToGrid w:val="0"/>
                    <w:spacing w:line="360" w:lineRule="exact"/>
                    <w:jc w:val="center"/>
                    <w:rPr>
                      <w:szCs w:val="21"/>
                    </w:rPr>
                  </w:pPr>
                  <w:r>
                    <w:rPr>
                      <w:rFonts w:hint="eastAsia"/>
                      <w:szCs w:val="21"/>
                    </w:rPr>
                    <w:t>距离（m）</w:t>
                  </w:r>
                </w:p>
              </w:tc>
              <w:tc>
                <w:tcPr>
                  <w:tcW w:w="1634" w:type="pct"/>
                  <w:tcBorders>
                    <w:tl2br w:val="nil"/>
                    <w:tr2bl w:val="nil"/>
                  </w:tcBorders>
                  <w:vAlign w:val="center"/>
                </w:tcPr>
                <w:p>
                  <w:pPr>
                    <w:adjustRightInd w:val="0"/>
                    <w:snapToGrid w:val="0"/>
                    <w:spacing w:line="360" w:lineRule="exact"/>
                    <w:jc w:val="center"/>
                    <w:rPr>
                      <w:szCs w:val="21"/>
                    </w:rPr>
                  </w:pPr>
                  <w:r>
                    <w:rPr>
                      <w:rFonts w:hint="eastAsia"/>
                      <w:szCs w:val="21"/>
                    </w:rPr>
                    <w:t>保护级别</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水环境</w:t>
                  </w:r>
                </w:p>
              </w:tc>
              <w:tc>
                <w:tcPr>
                  <w:tcW w:w="971" w:type="pct"/>
                  <w:tcBorders>
                    <w:tl2br w:val="nil"/>
                    <w:tr2bl w:val="nil"/>
                  </w:tcBorders>
                  <w:vAlign w:val="center"/>
                </w:tcPr>
                <w:p>
                  <w:pPr>
                    <w:adjustRightInd w:val="0"/>
                    <w:snapToGrid w:val="0"/>
                    <w:spacing w:line="360" w:lineRule="exact"/>
                    <w:jc w:val="center"/>
                    <w:rPr>
                      <w:rFonts w:hint="eastAsia" w:eastAsia="宋体"/>
                      <w:szCs w:val="21"/>
                      <w:lang w:eastAsia="zh-CN"/>
                    </w:rPr>
                  </w:pPr>
                  <w:r>
                    <w:rPr>
                      <w:rFonts w:hint="eastAsia"/>
                      <w:szCs w:val="21"/>
                      <w:lang w:val="en-US" w:eastAsia="zh-CN"/>
                    </w:rPr>
                    <w:t>应河</w:t>
                  </w:r>
                </w:p>
              </w:tc>
              <w:tc>
                <w:tcPr>
                  <w:tcW w:w="604" w:type="pct"/>
                  <w:tcBorders>
                    <w:tl2br w:val="nil"/>
                    <w:tr2bl w:val="nil"/>
                  </w:tcBorders>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WS</w:t>
                  </w:r>
                </w:p>
              </w:tc>
              <w:tc>
                <w:tcPr>
                  <w:tcW w:w="819" w:type="pct"/>
                  <w:tcBorders>
                    <w:tl2br w:val="nil"/>
                    <w:tr2bl w:val="nil"/>
                  </w:tcBorders>
                  <w:vAlign w:val="center"/>
                </w:tcPr>
                <w:p>
                  <w:pPr>
                    <w:adjustRightInd w:val="0"/>
                    <w:snapToGrid w:val="0"/>
                    <w:spacing w:line="360" w:lineRule="exact"/>
                    <w:jc w:val="center"/>
                    <w:rPr>
                      <w:rFonts w:hint="default" w:eastAsia="宋体"/>
                      <w:szCs w:val="21"/>
                      <w:lang w:val="en-US" w:eastAsia="zh-CN"/>
                    </w:rPr>
                  </w:pPr>
                  <w:r>
                    <w:rPr>
                      <w:rFonts w:hint="eastAsia"/>
                      <w:szCs w:val="21"/>
                      <w:lang w:val="en-US" w:eastAsia="zh-CN"/>
                    </w:rPr>
                    <w:t>2100</w:t>
                  </w:r>
                </w:p>
              </w:tc>
              <w:tc>
                <w:tcPr>
                  <w:tcW w:w="1634" w:type="pct"/>
                  <w:tcBorders>
                    <w:tl2br w:val="nil"/>
                    <w:tr2bl w:val="nil"/>
                  </w:tcBorders>
                  <w:vAlign w:val="center"/>
                </w:tcPr>
                <w:p>
                  <w:pPr>
                    <w:adjustRightInd w:val="0"/>
                    <w:snapToGrid w:val="0"/>
                    <w:spacing w:line="360" w:lineRule="exact"/>
                    <w:jc w:val="center"/>
                    <w:rPr>
                      <w:szCs w:val="21"/>
                    </w:rPr>
                  </w:pPr>
                  <w:r>
                    <w:rPr>
                      <w:rFonts w:hint="eastAsia"/>
                      <w:szCs w:val="21"/>
                    </w:rPr>
                    <w:t>《地表水环境质量标准》（GB3838-2002）Ⅲ类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pPr>
                    <w:adjustRightInd w:val="0"/>
                    <w:snapToGrid w:val="0"/>
                    <w:spacing w:line="360" w:lineRule="exact"/>
                    <w:jc w:val="center"/>
                    <w:rPr>
                      <w:szCs w:val="21"/>
                    </w:rPr>
                  </w:pPr>
                  <w:r>
                    <w:rPr>
                      <w:rFonts w:hint="eastAsia"/>
                      <w:szCs w:val="21"/>
                    </w:rPr>
                    <w:t>声环境</w:t>
                  </w:r>
                </w:p>
              </w:tc>
              <w:tc>
                <w:tcPr>
                  <w:tcW w:w="2395" w:type="pct"/>
                  <w:gridSpan w:val="3"/>
                  <w:tcBorders>
                    <w:tl2br w:val="nil"/>
                    <w:tr2bl w:val="nil"/>
                  </w:tcBorders>
                  <w:vAlign w:val="center"/>
                </w:tcPr>
                <w:p>
                  <w:pPr>
                    <w:jc w:val="center"/>
                    <w:rPr>
                      <w:rFonts w:hint="default" w:eastAsia="宋体"/>
                      <w:lang w:val="en-US" w:eastAsia="zh-CN"/>
                    </w:rPr>
                  </w:pPr>
                  <w:r>
                    <w:rPr>
                      <w:rFonts w:hint="eastAsia"/>
                      <w:lang w:val="en-US" w:eastAsia="zh-CN"/>
                    </w:rPr>
                    <w:t>本项目所在位置周围50m范围内并无环境敏感目标</w:t>
                  </w:r>
                </w:p>
              </w:tc>
              <w:tc>
                <w:tcPr>
                  <w:tcW w:w="1634" w:type="pct"/>
                  <w:tcBorders>
                    <w:tl2br w:val="nil"/>
                    <w:tr2bl w:val="nil"/>
                  </w:tcBorders>
                  <w:vAlign w:val="center"/>
                </w:tcPr>
                <w:p>
                  <w:pPr>
                    <w:jc w:val="center"/>
                  </w:pPr>
                  <w:r>
                    <w:t>《声环境质量标准》（GB3096-2008）</w:t>
                  </w:r>
                  <w:r>
                    <w:rPr>
                      <w:rFonts w:hint="eastAsia"/>
                      <w:lang w:val="en-US" w:eastAsia="zh-CN"/>
                    </w:rPr>
                    <w:t>3</w:t>
                  </w:r>
                  <w:r>
                    <w:t>类</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84" w:hRule="atLeast"/>
          <w:jc w:val="center"/>
        </w:trPr>
        <w:tc>
          <w:tcPr>
            <w:tcW w:w="289" w:type="pct"/>
            <w:noWrap w:val="0"/>
            <w:tcMar>
              <w:left w:w="28" w:type="dxa"/>
              <w:right w:w="28" w:type="dxa"/>
            </w:tcMar>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污</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染</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物</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排</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放</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制</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标</w:t>
            </w:r>
          </w:p>
          <w:p>
            <w:pPr>
              <w:adjustRightInd w:val="0"/>
              <w:snapToGrid w:val="0"/>
              <w:jc w:val="center"/>
              <w:rPr>
                <w:rFonts w:ascii="宋体" w:hAnsi="宋体" w:cs="宋体"/>
                <w:kern w:val="0"/>
                <w:sz w:val="24"/>
                <w:szCs w:val="24"/>
              </w:rPr>
            </w:pPr>
            <w:r>
              <w:rPr>
                <w:rFonts w:hint="eastAsia" w:ascii="宋体" w:hAnsi="宋体" w:cs="宋体"/>
                <w:b/>
                <w:bCs/>
                <w:kern w:val="0"/>
                <w:sz w:val="24"/>
                <w:szCs w:val="24"/>
              </w:rPr>
              <w:t>准</w:t>
            </w:r>
          </w:p>
        </w:tc>
        <w:tc>
          <w:tcPr>
            <w:tcW w:w="4710" w:type="pct"/>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rPr>
              <w:t>1、废气</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①有组织</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u w:val="single"/>
              </w:rPr>
            </w:pPr>
            <w:r>
              <w:rPr>
                <w:rFonts w:hint="eastAsia"/>
                <w:sz w:val="24"/>
                <w:u w:val="single"/>
              </w:rPr>
              <w:t>运营期</w:t>
            </w:r>
            <w:r>
              <w:rPr>
                <w:rFonts w:hint="eastAsia"/>
                <w:sz w:val="24"/>
                <w:u w:val="single"/>
                <w:lang w:val="en-US" w:eastAsia="zh-CN"/>
              </w:rPr>
              <w:t>中项目颗粒物</w:t>
            </w:r>
            <w:r>
              <w:rPr>
                <w:rFonts w:hint="eastAsia"/>
                <w:sz w:val="24"/>
                <w:u w:val="single"/>
              </w:rPr>
              <w:t>满足</w:t>
            </w:r>
            <w:r>
              <w:rPr>
                <w:rFonts w:hint="eastAsia"/>
                <w:b w:val="0"/>
                <w:bCs w:val="0"/>
                <w:color w:val="auto"/>
                <w:sz w:val="24"/>
                <w:szCs w:val="24"/>
                <w:u w:val="single"/>
                <w:lang w:val="en-US" w:eastAsia="zh-CN"/>
              </w:rPr>
              <w:t>《河南省重污染天气通用行业应急减排措施制定技术指南（2021年修订版）》文件中相关标准要求，</w:t>
            </w:r>
            <w:r>
              <w:rPr>
                <w:rFonts w:hint="eastAsia"/>
                <w:sz w:val="24"/>
                <w:u w:val="single"/>
              </w:rPr>
              <w:t>即PM排放浓度不高于10mg/m</w:t>
            </w:r>
            <w:r>
              <w:rPr>
                <w:rFonts w:hint="eastAsia"/>
                <w:sz w:val="24"/>
                <w:u w:val="single"/>
                <w:vertAlign w:val="superscript"/>
              </w:rPr>
              <w:t>3</w:t>
            </w:r>
            <w:r>
              <w:rPr>
                <w:rFonts w:hint="eastAsia"/>
                <w:sz w:val="24"/>
                <w:u w:val="single"/>
              </w:rPr>
              <w:t>限值要求</w:t>
            </w:r>
            <w:r>
              <w:rPr>
                <w:rFonts w:hint="eastAsia"/>
                <w:sz w:val="24"/>
                <w:u w:val="single"/>
                <w:lang w:eastAsia="zh-CN"/>
              </w:rPr>
              <w:t>；</w:t>
            </w:r>
            <w:r>
              <w:rPr>
                <w:rFonts w:hint="eastAsia"/>
                <w:sz w:val="24"/>
                <w:u w:val="single"/>
                <w:lang w:val="en-US" w:eastAsia="zh-CN"/>
              </w:rPr>
              <w:t>有机废气（非甲烷总烃和二甲苯）</w:t>
            </w:r>
            <w:r>
              <w:rPr>
                <w:rFonts w:hint="eastAsia"/>
                <w:b w:val="0"/>
                <w:bCs w:val="0"/>
                <w:spacing w:val="5"/>
                <w:sz w:val="24"/>
                <w:szCs w:val="24"/>
                <w:u w:val="single"/>
                <w:lang w:eastAsia="zh-CN"/>
              </w:rPr>
              <w:t>满足</w:t>
            </w:r>
            <w:r>
              <w:rPr>
                <w:rFonts w:hint="eastAsia"/>
                <w:b w:val="0"/>
                <w:bCs w:val="0"/>
                <w:sz w:val="24"/>
                <w:u w:val="single"/>
              </w:rPr>
              <w:t>河南省环境污染防治攻坚战领导小组办公室文件《关于全省开展工业企业挥发性有机物专项治理工作中排放建议值的通知》（豫环攻坚办</w:t>
            </w:r>
            <w:r>
              <w:rPr>
                <w:rFonts w:hint="eastAsia"/>
                <w:b w:val="0"/>
                <w:bCs w:val="0"/>
                <w:sz w:val="24"/>
                <w:u w:val="single"/>
                <w:lang w:eastAsia="zh-CN"/>
              </w:rPr>
              <w:t>〔</w:t>
            </w:r>
            <w:r>
              <w:rPr>
                <w:rFonts w:hint="eastAsia"/>
                <w:b w:val="0"/>
                <w:bCs w:val="0"/>
                <w:sz w:val="24"/>
                <w:u w:val="single"/>
              </w:rPr>
              <w:t>2017</w:t>
            </w:r>
            <w:r>
              <w:rPr>
                <w:rFonts w:hint="eastAsia"/>
                <w:b w:val="0"/>
                <w:bCs w:val="0"/>
                <w:sz w:val="24"/>
                <w:u w:val="single"/>
                <w:lang w:eastAsia="zh-CN"/>
              </w:rPr>
              <w:t>〕</w:t>
            </w:r>
            <w:r>
              <w:rPr>
                <w:rFonts w:hint="eastAsia"/>
                <w:b w:val="0"/>
                <w:bCs w:val="0"/>
                <w:sz w:val="24"/>
                <w:u w:val="single"/>
              </w:rPr>
              <w:t>162号）中</w:t>
            </w:r>
            <w:r>
              <w:rPr>
                <w:rFonts w:hint="eastAsia"/>
                <w:b w:val="0"/>
                <w:bCs w:val="0"/>
                <w:sz w:val="24"/>
                <w:u w:val="single"/>
                <w:lang w:val="en-US" w:eastAsia="zh-CN"/>
              </w:rPr>
              <w:t>相关限值</w:t>
            </w:r>
            <w:r>
              <w:rPr>
                <w:rFonts w:hint="eastAsia"/>
                <w:b w:val="0"/>
                <w:bCs w:val="0"/>
                <w:sz w:val="24"/>
                <w:u w:val="single"/>
                <w:lang w:eastAsia="zh-CN"/>
              </w:rPr>
              <w:t>；</w:t>
            </w:r>
            <w:r>
              <w:rPr>
                <w:rFonts w:hint="eastAsia"/>
                <w:sz w:val="24"/>
                <w:u w:val="single"/>
                <w:lang w:val="en-US" w:eastAsia="zh-CN"/>
              </w:rPr>
              <w:t>并且</w:t>
            </w:r>
            <w:r>
              <w:rPr>
                <w:rFonts w:hint="eastAsia"/>
                <w:sz w:val="24"/>
                <w:u w:val="single"/>
              </w:rPr>
              <w:t>颗粒物、非甲烷总烃</w:t>
            </w:r>
            <w:r>
              <w:rPr>
                <w:rFonts w:hint="eastAsia"/>
                <w:sz w:val="24"/>
                <w:u w:val="single"/>
                <w:lang w:val="en-US" w:eastAsia="zh-CN"/>
              </w:rPr>
              <w:t>以及二甲苯</w:t>
            </w:r>
            <w:r>
              <w:rPr>
                <w:rFonts w:hint="eastAsia"/>
                <w:sz w:val="24"/>
                <w:u w:val="single"/>
              </w:rPr>
              <w:t>排放速率执行《大气污染物综合排放标准》（GB16297-1996）表2标准相关限值要求。</w:t>
            </w:r>
            <w:r>
              <w:rPr>
                <w:rFonts w:hint="eastAsia"/>
                <w:sz w:val="24"/>
                <w:u w:val="single"/>
                <w:lang w:val="en-US" w:eastAsia="zh-CN"/>
              </w:rPr>
              <w:t>以上各</w:t>
            </w:r>
            <w:r>
              <w:rPr>
                <w:rFonts w:hint="eastAsia"/>
                <w:sz w:val="24"/>
                <w:u w:val="single"/>
              </w:rPr>
              <w:t>标准限值取严格值。</w:t>
            </w:r>
            <w:r>
              <w:rPr>
                <w:rFonts w:hint="eastAsia"/>
                <w:sz w:val="24"/>
                <w:szCs w:val="24"/>
                <w:u w:val="single"/>
              </w:rPr>
              <w:t>具体标准值见</w:t>
            </w:r>
            <w:r>
              <w:rPr>
                <w:rFonts w:hint="eastAsia"/>
                <w:sz w:val="24"/>
                <w:szCs w:val="24"/>
                <w:u w:val="single"/>
                <w:lang w:eastAsia="zh-CN"/>
              </w:rPr>
              <w:t>下</w:t>
            </w:r>
            <w:r>
              <w:rPr>
                <w:rFonts w:hint="eastAsia"/>
                <w:sz w:val="24"/>
                <w:szCs w:val="24"/>
                <w:u w:val="single"/>
              </w:rPr>
              <w:t>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kern w:val="2"/>
                <w:sz w:val="24"/>
                <w:szCs w:val="24"/>
                <w:lang w:val="en-US" w:eastAsia="zh-CN" w:bidi="ar-SA"/>
              </w:rPr>
            </w:pPr>
            <w:r>
              <w:rPr>
                <w:rFonts w:hint="default" w:ascii="Times New Roman" w:hAnsi="Times New Roman" w:eastAsia="宋体" w:cs="Times New Roman"/>
                <w:b/>
                <w:bCs w:val="0"/>
                <w:kern w:val="2"/>
                <w:sz w:val="24"/>
                <w:szCs w:val="24"/>
                <w:lang w:val="en-US" w:eastAsia="zh-CN" w:bidi="ar-SA"/>
              </w:rPr>
              <w:t>表</w:t>
            </w:r>
            <w:r>
              <w:rPr>
                <w:rFonts w:hint="eastAsia" w:cs="Times New Roman"/>
                <w:b/>
                <w:bCs w:val="0"/>
                <w:kern w:val="2"/>
                <w:sz w:val="24"/>
                <w:szCs w:val="24"/>
                <w:lang w:val="en-US" w:eastAsia="zh-CN" w:bidi="ar-SA"/>
              </w:rPr>
              <w:t>3</w:t>
            </w:r>
            <w:r>
              <w:rPr>
                <w:rFonts w:hint="eastAsia" w:eastAsia="宋体" w:cs="Times New Roman"/>
                <w:b/>
                <w:bCs w:val="0"/>
                <w:kern w:val="2"/>
                <w:sz w:val="24"/>
                <w:szCs w:val="24"/>
                <w:lang w:val="en-US" w:eastAsia="zh-CN" w:bidi="ar-SA"/>
              </w:rPr>
              <w:t>-</w:t>
            </w:r>
            <w:r>
              <w:rPr>
                <w:rFonts w:hint="eastAsia" w:cs="Times New Roman"/>
                <w:b/>
                <w:bCs w:val="0"/>
                <w:kern w:val="2"/>
                <w:sz w:val="24"/>
                <w:szCs w:val="24"/>
                <w:lang w:val="en-US" w:eastAsia="zh-CN" w:bidi="ar-SA"/>
              </w:rPr>
              <w:t xml:space="preserve">7  </w:t>
            </w:r>
            <w:r>
              <w:rPr>
                <w:rFonts w:hint="default" w:ascii="Times New Roman" w:hAnsi="Times New Roman" w:eastAsia="宋体" w:cs="Times New Roman"/>
                <w:b/>
                <w:bCs w:val="0"/>
                <w:kern w:val="2"/>
                <w:sz w:val="24"/>
                <w:szCs w:val="24"/>
                <w:lang w:val="en-US" w:eastAsia="zh-CN" w:bidi="ar-SA"/>
              </w:rPr>
              <w:t>大气污染物排放</w:t>
            </w:r>
            <w:r>
              <w:rPr>
                <w:rFonts w:hint="eastAsia" w:ascii="Times New Roman" w:hAnsi="Times New Roman" w:eastAsia="宋体" w:cs="Times New Roman"/>
                <w:b/>
                <w:bCs w:val="0"/>
                <w:kern w:val="2"/>
                <w:sz w:val="24"/>
                <w:szCs w:val="24"/>
                <w:lang w:val="en-US" w:eastAsia="zh-CN" w:bidi="ar-SA"/>
              </w:rPr>
              <w:t>限值</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010"/>
              <w:gridCol w:w="1258"/>
              <w:gridCol w:w="1195"/>
              <w:gridCol w:w="2519"/>
              <w:gridCol w:w="1091"/>
              <w:gridCol w:w="1191"/>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 w:type="pct"/>
                <w:trHeight w:val="0" w:hRule="atLeast"/>
                <w:tblHeader/>
                <w:jc w:val="center"/>
              </w:trPr>
              <w:tc>
                <w:tcPr>
                  <w:tcW w:w="49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r>
                    <w:rPr>
                      <w:rFonts w:hint="default"/>
                      <w:u w:val="single"/>
                    </w:rPr>
                    <w:t>污染因子</w:t>
                  </w:r>
                </w:p>
              </w:tc>
              <w:tc>
                <w:tcPr>
                  <w:tcW w:w="3265"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r>
                    <w:rPr>
                      <w:rFonts w:hint="default"/>
                      <w:u w:val="single"/>
                    </w:rPr>
                    <w:t>标准名称与级（类）别</w:t>
                  </w:r>
                </w:p>
              </w:tc>
              <w:tc>
                <w:tcPr>
                  <w:tcW w:w="124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本项目执行标准（</w:t>
                  </w:r>
                  <w:r>
                    <w:rPr>
                      <w:rFonts w:hint="eastAsia"/>
                      <w:u w:val="single"/>
                      <w:lang w:val="en-US" w:eastAsia="zh-CN"/>
                    </w:rPr>
                    <w:t>四</w:t>
                  </w:r>
                  <w:r>
                    <w:rPr>
                      <w:rFonts w:hint="eastAsia"/>
                      <w:u w:val="single"/>
                      <w:lang w:eastAsia="zh-CN"/>
                    </w:rPr>
                    <w:t>者按严格值）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blHeader/>
                <w:jc w:val="center"/>
              </w:trPr>
              <w:tc>
                <w:tcPr>
                  <w:tcW w:w="49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p>
              </w:tc>
              <w:tc>
                <w:tcPr>
                  <w:tcW w:w="123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default"/>
                      <w:u w:val="single"/>
                    </w:rPr>
                    <w:t>《大气污染物综合排放标准》（GB16297-1996）表2标准</w:t>
                  </w:r>
                  <w:r>
                    <w:rPr>
                      <w:rFonts w:hint="eastAsia"/>
                      <w:u w:val="single"/>
                      <w:lang w:eastAsia="zh-CN"/>
                    </w:rPr>
                    <w:t>（</w:t>
                  </w:r>
                  <w:r>
                    <w:rPr>
                      <w:rFonts w:hint="eastAsia"/>
                      <w:u w:val="single"/>
                      <w:lang w:val="en-US" w:eastAsia="zh-CN"/>
                    </w:rPr>
                    <w:t>20m高排气筒</w:t>
                  </w:r>
                  <w:r>
                    <w:rPr>
                      <w:rFonts w:hint="eastAsia"/>
                      <w:u w:val="single"/>
                      <w:lang w:eastAsia="zh-CN"/>
                    </w:rPr>
                    <w:t>）</w:t>
                  </w:r>
                </w:p>
              </w:tc>
              <w:tc>
                <w:tcPr>
                  <w:tcW w:w="64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val="en-US" w:eastAsia="zh-CN"/>
                    </w:rPr>
                  </w:pPr>
                  <w:r>
                    <w:rPr>
                      <w:rFonts w:hint="default"/>
                      <w:u w:val="single"/>
                    </w:rPr>
                    <w:t>绩效分级指标</w:t>
                  </w:r>
                  <w:r>
                    <w:rPr>
                      <w:rFonts w:hint="eastAsia"/>
                      <w:u w:val="single"/>
                      <w:lang w:val="en-US" w:eastAsia="zh-CN"/>
                    </w:rPr>
                    <w:t>要求</w:t>
                  </w:r>
                </w:p>
              </w:tc>
              <w:tc>
                <w:tcPr>
                  <w:tcW w:w="13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r>
                    <w:rPr>
                      <w:rFonts w:hint="default"/>
                      <w:u w:val="single"/>
                    </w:rPr>
                    <w:t>《关于全省开展工业企业挥发性有机物专项治理工作中排放建议值的通知》（豫环攻坚办</w:t>
                  </w:r>
                  <w:r>
                    <w:rPr>
                      <w:rFonts w:hint="eastAsia"/>
                      <w:u w:val="single"/>
                      <w:lang w:eastAsia="zh-CN"/>
                    </w:rPr>
                    <w:t>〔</w:t>
                  </w:r>
                  <w:r>
                    <w:rPr>
                      <w:rFonts w:hint="default"/>
                      <w:u w:val="single"/>
                    </w:rPr>
                    <w:t>2017</w:t>
                  </w:r>
                  <w:r>
                    <w:rPr>
                      <w:rFonts w:hint="eastAsia"/>
                      <w:u w:val="single"/>
                      <w:lang w:eastAsia="zh-CN"/>
                    </w:rPr>
                    <w:t>〕</w:t>
                  </w:r>
                  <w:r>
                    <w:rPr>
                      <w:rFonts w:hint="default"/>
                      <w:u w:val="single"/>
                    </w:rPr>
                    <w:t>162号）</w:t>
                  </w:r>
                </w:p>
              </w:tc>
              <w:tc>
                <w:tcPr>
                  <w:tcW w:w="1242"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9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p>
              </w:tc>
              <w:tc>
                <w:tcPr>
                  <w:tcW w:w="53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速率（</w:t>
                  </w:r>
                  <w:r>
                    <w:rPr>
                      <w:rFonts w:hint="eastAsia"/>
                      <w:u w:val="single"/>
                      <w:lang w:val="en-US" w:eastAsia="zh-CN"/>
                    </w:rPr>
                    <w:t>kg/h</w:t>
                  </w:r>
                  <w:r>
                    <w:rPr>
                      <w:rFonts w:hint="eastAsia"/>
                      <w:u w:val="single"/>
                      <w:lang w:eastAsia="zh-CN"/>
                    </w:rPr>
                    <w:t>）</w:t>
                  </w:r>
                </w:p>
              </w:tc>
              <w:tc>
                <w:tcPr>
                  <w:tcW w:w="6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64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13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r>
                    <w:rPr>
                      <w:rFonts w:hint="eastAsia"/>
                      <w:u w:val="single"/>
                      <w:lang w:eastAsia="zh-CN"/>
                    </w:rPr>
                    <w:t>速率（</w:t>
                  </w:r>
                  <w:r>
                    <w:rPr>
                      <w:rFonts w:hint="eastAsia"/>
                      <w:u w:val="single"/>
                      <w:lang w:val="en-US" w:eastAsia="zh-CN"/>
                    </w:rPr>
                    <w:t>kg/h</w:t>
                  </w:r>
                  <w:r>
                    <w:rPr>
                      <w:rFonts w:hint="eastAsia"/>
                      <w:u w:val="single"/>
                      <w:lang w:eastAsia="zh-CN"/>
                    </w:rPr>
                    <w:t>）</w:t>
                  </w:r>
                </w:p>
              </w:tc>
              <w:tc>
                <w:tcPr>
                  <w:tcW w:w="63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49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颗粒物</w:t>
                  </w:r>
                </w:p>
              </w:tc>
              <w:tc>
                <w:tcPr>
                  <w:tcW w:w="53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5.9</w:t>
                  </w:r>
                </w:p>
              </w:tc>
              <w:tc>
                <w:tcPr>
                  <w:tcW w:w="6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120</w:t>
                  </w:r>
                </w:p>
              </w:tc>
              <w:tc>
                <w:tcPr>
                  <w:tcW w:w="64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10</w:t>
                  </w:r>
                </w:p>
              </w:tc>
              <w:tc>
                <w:tcPr>
                  <w:tcW w:w="13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5.9</w:t>
                  </w:r>
                </w:p>
              </w:tc>
              <w:tc>
                <w:tcPr>
                  <w:tcW w:w="63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val="en-US" w:eastAsia="zh-CN"/>
                    </w:rPr>
                  </w:pPr>
                  <w:r>
                    <w:rPr>
                      <w:rFonts w:hint="eastAsia"/>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49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u w:val="single"/>
                      <w:lang w:eastAsia="zh-CN"/>
                    </w:rPr>
                  </w:pPr>
                  <w:r>
                    <w:rPr>
                      <w:rFonts w:hint="eastAsia"/>
                      <w:u w:val="single"/>
                      <w:lang w:eastAsia="zh-CN"/>
                    </w:rPr>
                    <w:t>非甲烷总烃</w:t>
                  </w:r>
                </w:p>
              </w:tc>
              <w:tc>
                <w:tcPr>
                  <w:tcW w:w="53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17</w:t>
                  </w:r>
                </w:p>
              </w:tc>
              <w:tc>
                <w:tcPr>
                  <w:tcW w:w="6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120</w:t>
                  </w:r>
                </w:p>
              </w:tc>
              <w:tc>
                <w:tcPr>
                  <w:tcW w:w="64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w:t>
                  </w:r>
                </w:p>
              </w:tc>
              <w:tc>
                <w:tcPr>
                  <w:tcW w:w="13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80（建议去除效率70%）</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17</w:t>
                  </w:r>
                </w:p>
              </w:tc>
              <w:tc>
                <w:tcPr>
                  <w:tcW w:w="63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80（建议去除效率70%）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atLeast"/>
                <w:tblHeader/>
                <w:jc w:val="center"/>
              </w:trPr>
              <w:tc>
                <w:tcPr>
                  <w:tcW w:w="49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二甲苯</w:t>
                  </w:r>
                </w:p>
              </w:tc>
              <w:tc>
                <w:tcPr>
                  <w:tcW w:w="53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1.7</w:t>
                  </w:r>
                </w:p>
              </w:tc>
              <w:tc>
                <w:tcPr>
                  <w:tcW w:w="6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70</w:t>
                  </w:r>
                </w:p>
              </w:tc>
              <w:tc>
                <w:tcPr>
                  <w:tcW w:w="64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w:t>
                  </w:r>
                </w:p>
              </w:tc>
              <w:tc>
                <w:tcPr>
                  <w:tcW w:w="13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40</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eastAsia"/>
                      <w:u w:val="single"/>
                      <w:lang w:val="en-US" w:eastAsia="zh-CN"/>
                    </w:rPr>
                    <w:t>1.7</w:t>
                  </w:r>
                </w:p>
              </w:tc>
              <w:tc>
                <w:tcPr>
                  <w:tcW w:w="63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u w:val="single"/>
                      <w:lang w:val="en-US" w:eastAsia="zh-CN"/>
                    </w:rPr>
                  </w:pPr>
                  <w:r>
                    <w:rPr>
                      <w:rFonts w:hint="eastAsia"/>
                      <w:u w:val="single"/>
                      <w:lang w:val="en-US" w:eastAsia="zh-CN"/>
                    </w:rPr>
                    <w:t>40</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②无组织</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jc w:val="both"/>
              <w:textAlignment w:val="baseline"/>
              <w:rPr>
                <w:rFonts w:hint="eastAsia"/>
                <w:b w:val="0"/>
                <w:bCs w:val="0"/>
                <w:spacing w:val="5"/>
                <w:sz w:val="24"/>
                <w:szCs w:val="24"/>
                <w:u w:val="none"/>
                <w:lang w:val="en-US" w:eastAsia="zh-CN"/>
              </w:rPr>
            </w:pPr>
            <w:r>
              <w:rPr>
                <w:rFonts w:hint="eastAsia"/>
                <w:b w:val="0"/>
                <w:bCs w:val="0"/>
                <w:spacing w:val="5"/>
                <w:sz w:val="24"/>
                <w:szCs w:val="24"/>
                <w:u w:val="none"/>
              </w:rPr>
              <w:t>厂区内无组织</w:t>
            </w:r>
            <w:r>
              <w:rPr>
                <w:rFonts w:hint="eastAsia"/>
                <w:b w:val="0"/>
                <w:bCs w:val="0"/>
                <w:spacing w:val="5"/>
                <w:sz w:val="24"/>
                <w:szCs w:val="24"/>
                <w:u w:val="none"/>
                <w:lang w:val="en-US" w:eastAsia="zh-CN"/>
              </w:rPr>
              <w:t>有机废气（</w:t>
            </w:r>
            <w:r>
              <w:rPr>
                <w:rFonts w:hint="eastAsia"/>
                <w:b w:val="0"/>
                <w:bCs w:val="0"/>
                <w:spacing w:val="5"/>
                <w:sz w:val="24"/>
                <w:szCs w:val="24"/>
                <w:u w:val="none"/>
              </w:rPr>
              <w:t>非甲烷总烃</w:t>
            </w:r>
            <w:r>
              <w:rPr>
                <w:rFonts w:hint="eastAsia"/>
                <w:b w:val="0"/>
                <w:bCs w:val="0"/>
                <w:spacing w:val="5"/>
                <w:sz w:val="24"/>
                <w:szCs w:val="24"/>
                <w:u w:val="none"/>
                <w:lang w:val="en-US" w:eastAsia="zh-CN"/>
              </w:rPr>
              <w:t>和二甲苯）中的非甲烷总烃</w:t>
            </w:r>
            <w:r>
              <w:rPr>
                <w:rFonts w:hint="eastAsia"/>
                <w:b w:val="0"/>
                <w:bCs w:val="0"/>
                <w:spacing w:val="5"/>
                <w:sz w:val="24"/>
                <w:szCs w:val="24"/>
                <w:u w:val="none"/>
              </w:rPr>
              <w:t>排放执行《挥发性有机物无组织排放控制标准》（GB37822-2019）相关要求，</w:t>
            </w:r>
            <w:r>
              <w:rPr>
                <w:rFonts w:hint="eastAsia"/>
                <w:b w:val="0"/>
                <w:bCs w:val="0"/>
                <w:spacing w:val="5"/>
                <w:sz w:val="24"/>
                <w:szCs w:val="24"/>
                <w:u w:val="none"/>
                <w:lang w:eastAsia="zh-CN"/>
              </w:rPr>
              <w:t>具体见表</w:t>
            </w:r>
            <w:r>
              <w:rPr>
                <w:rFonts w:hint="eastAsia"/>
                <w:b w:val="0"/>
                <w:bCs w:val="0"/>
                <w:spacing w:val="5"/>
                <w:sz w:val="24"/>
                <w:szCs w:val="24"/>
                <w:u w:val="none"/>
                <w:lang w:val="en-US" w:eastAsia="zh-CN"/>
              </w:rPr>
              <w:t>3-8。</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kern w:val="2"/>
                <w:sz w:val="24"/>
                <w:szCs w:val="24"/>
                <w:lang w:val="en-US" w:eastAsia="zh-CN" w:bidi="ar-SA"/>
              </w:rPr>
            </w:pPr>
            <w:r>
              <w:rPr>
                <w:rFonts w:hint="default" w:ascii="Times New Roman" w:hAnsi="Times New Roman" w:eastAsia="宋体" w:cs="Times New Roman"/>
                <w:b/>
                <w:bCs w:val="0"/>
                <w:kern w:val="2"/>
                <w:sz w:val="24"/>
                <w:szCs w:val="24"/>
                <w:lang w:val="en-US" w:eastAsia="zh-CN" w:bidi="ar-SA"/>
              </w:rPr>
              <w:t>表</w:t>
            </w:r>
            <w:r>
              <w:rPr>
                <w:rFonts w:hint="eastAsia" w:cs="Times New Roman"/>
                <w:b/>
                <w:bCs w:val="0"/>
                <w:kern w:val="2"/>
                <w:sz w:val="24"/>
                <w:szCs w:val="24"/>
                <w:lang w:val="en-US" w:eastAsia="zh-CN" w:bidi="ar-SA"/>
              </w:rPr>
              <w:t xml:space="preserve">3-8  </w:t>
            </w:r>
            <w:r>
              <w:rPr>
                <w:rFonts w:hint="eastAsia" w:ascii="Times New Roman" w:hAnsi="Times New Roman" w:eastAsia="宋体" w:cs="Times New Roman"/>
                <w:b/>
                <w:bCs w:val="0"/>
                <w:kern w:val="2"/>
                <w:sz w:val="24"/>
                <w:szCs w:val="24"/>
                <w:lang w:val="en-US" w:eastAsia="zh-CN" w:bidi="ar-SA"/>
              </w:rPr>
              <w:t>厂区内VOCs无组织排放限值</w:t>
            </w:r>
            <w:r>
              <w:rPr>
                <w:rFonts w:hint="default" w:ascii="Times New Roman" w:hAnsi="Times New Roman" w:eastAsia="宋体" w:cs="Times New Roman"/>
                <w:b/>
                <w:bCs w:val="0"/>
                <w:kern w:val="2"/>
                <w:sz w:val="24"/>
                <w:szCs w:val="24"/>
                <w:lang w:val="en-US" w:eastAsia="zh-CN" w:bidi="ar-SA"/>
              </w:rPr>
              <w:t>（表</w:t>
            </w:r>
            <w:r>
              <w:rPr>
                <w:rFonts w:hint="eastAsia" w:ascii="Times New Roman" w:hAnsi="Times New Roman" w:eastAsia="宋体" w:cs="Times New Roman"/>
                <w:b/>
                <w:bCs w:val="0"/>
                <w:kern w:val="2"/>
                <w:sz w:val="24"/>
                <w:szCs w:val="24"/>
                <w:lang w:val="en-US" w:eastAsia="zh-CN" w:bidi="ar-SA"/>
              </w:rPr>
              <w:t>2</w:t>
            </w:r>
            <w:r>
              <w:rPr>
                <w:rFonts w:hint="default" w:ascii="Times New Roman" w:hAnsi="Times New Roman" w:eastAsia="宋体" w:cs="Times New Roman"/>
                <w:b/>
                <w:bCs w:val="0"/>
                <w:kern w:val="2"/>
                <w:sz w:val="24"/>
                <w:szCs w:val="24"/>
                <w:lang w:val="en-US" w:eastAsia="zh-CN" w:bidi="ar-SA"/>
              </w:rPr>
              <w:t>）</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684"/>
              <w:gridCol w:w="315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8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t>污染物项目</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rPr>
                      <w:rFonts w:hint="eastAsia"/>
                    </w:rPr>
                    <w:t>排放限值</w:t>
                  </w:r>
                </w:p>
              </w:tc>
              <w:tc>
                <w:tcPr>
                  <w:tcW w:w="1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t>限值含义</w:t>
                  </w:r>
                </w:p>
              </w:tc>
              <w:tc>
                <w:tcPr>
                  <w:tcW w:w="14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rPr>
                      <w:rFonts w:hint="eastAsia"/>
                    </w:rPr>
                    <w:t>无组织</w:t>
                  </w:r>
                  <w:r>
                    <w:t>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eastAsia="宋体"/>
                      <w:lang w:val="en-US" w:eastAsia="zh-CN"/>
                    </w:rPr>
                  </w:pPr>
                  <w:r>
                    <w:rPr>
                      <w:rFonts w:hint="eastAsia"/>
                      <w:lang w:val="en-US" w:eastAsia="zh-CN"/>
                    </w:rPr>
                    <w:t>非甲烷总烃</w:t>
                  </w: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lang w:val="en-US" w:eastAsia="zh-CN"/>
                    </w:rPr>
                  </w:pPr>
                  <w:r>
                    <w:rPr>
                      <w:rFonts w:hint="eastAsia"/>
                      <w:lang w:val="en-US" w:eastAsia="zh-CN"/>
                    </w:rPr>
                    <w:t>6</w:t>
                  </w:r>
                  <w:r>
                    <w:rPr>
                      <w:rFonts w:hint="default"/>
                    </w:rPr>
                    <w:t>mg/m</w:t>
                  </w:r>
                  <w:r>
                    <w:rPr>
                      <w:rFonts w:hint="default"/>
                      <w:vertAlign w:val="superscript"/>
                    </w:rPr>
                    <w:t>3</w:t>
                  </w:r>
                </w:p>
              </w:tc>
              <w:tc>
                <w:tcPr>
                  <w:tcW w:w="1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t>监控点处</w:t>
                  </w:r>
                  <w:r>
                    <w:rPr>
                      <w:rFonts w:hint="eastAsia"/>
                    </w:rPr>
                    <w:t>1h平均浓度值</w:t>
                  </w:r>
                </w:p>
              </w:tc>
              <w:tc>
                <w:tcPr>
                  <w:tcW w:w="14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rPr>
                      <w:rFonts w:hint="eastAsia"/>
                    </w:rPr>
                    <w:t>在厂房</w:t>
                  </w:r>
                  <w:r>
                    <w:t>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rPr>
                  </w:pPr>
                </w:p>
              </w:tc>
              <w:tc>
                <w:tcPr>
                  <w:tcW w:w="9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lang w:val="en-US"/>
                    </w:rPr>
                  </w:pPr>
                  <w:r>
                    <w:rPr>
                      <w:rFonts w:hint="eastAsia"/>
                      <w:lang w:val="en-US" w:eastAsia="zh-CN"/>
                    </w:rPr>
                    <w:t>20</w:t>
                  </w:r>
                  <w:r>
                    <w:rPr>
                      <w:rFonts w:hint="default"/>
                    </w:rPr>
                    <w:t>mg/m</w:t>
                  </w:r>
                  <w:r>
                    <w:rPr>
                      <w:rFonts w:hint="default"/>
                      <w:vertAlign w:val="superscript"/>
                    </w:rPr>
                    <w:t>3</w:t>
                  </w:r>
                </w:p>
              </w:tc>
              <w:tc>
                <w:tcPr>
                  <w:tcW w:w="17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pPr>
                  <w:r>
                    <w:t>监控点处任意一次浓度值</w:t>
                  </w:r>
                </w:p>
              </w:tc>
              <w:tc>
                <w:tcPr>
                  <w:tcW w:w="14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b w:val="0"/>
                <w:bCs w:val="0"/>
                <w:sz w:val="24"/>
                <w:u w:val="single"/>
                <w:lang w:val="en-US" w:eastAsia="zh-CN"/>
              </w:rPr>
            </w:pPr>
            <w:r>
              <w:rPr>
                <w:rFonts w:hint="eastAsia"/>
                <w:b w:val="0"/>
                <w:bCs w:val="0"/>
                <w:sz w:val="24"/>
                <w:u w:val="single"/>
                <w:lang w:eastAsia="zh-CN"/>
              </w:rPr>
              <w:t>厂界无组织颗粒物、</w:t>
            </w:r>
            <w:r>
              <w:rPr>
                <w:rFonts w:hint="eastAsia"/>
                <w:b w:val="0"/>
                <w:bCs w:val="0"/>
                <w:sz w:val="24"/>
                <w:u w:val="single"/>
                <w:lang w:val="en-US" w:eastAsia="zh-CN"/>
              </w:rPr>
              <w:t>有机废气（非甲烷总烃和二甲苯）</w:t>
            </w:r>
            <w:r>
              <w:rPr>
                <w:rFonts w:hint="eastAsia"/>
                <w:b w:val="0"/>
                <w:bCs w:val="0"/>
                <w:sz w:val="24"/>
                <w:u w:val="single"/>
              </w:rPr>
              <w:t>执行</w:t>
            </w:r>
            <w:r>
              <w:rPr>
                <w:b w:val="0"/>
                <w:bCs w:val="0"/>
                <w:spacing w:val="5"/>
                <w:sz w:val="24"/>
                <w:szCs w:val="24"/>
                <w:u w:val="single"/>
              </w:rPr>
              <w:t>《大气污染物综合排放标准》（GB16297-1996）表2标准</w:t>
            </w:r>
            <w:r>
              <w:rPr>
                <w:rFonts w:hint="eastAsia"/>
                <w:b w:val="0"/>
                <w:bCs w:val="0"/>
                <w:spacing w:val="5"/>
                <w:sz w:val="24"/>
                <w:szCs w:val="24"/>
                <w:u w:val="single"/>
                <w:lang w:eastAsia="zh-CN"/>
              </w:rPr>
              <w:t>：</w:t>
            </w:r>
            <w:r>
              <w:rPr>
                <w:rFonts w:hint="eastAsia"/>
                <w:b w:val="0"/>
                <w:bCs w:val="0"/>
                <w:sz w:val="24"/>
                <w:highlight w:val="none"/>
                <w:u w:val="single"/>
              </w:rPr>
              <w:t>即</w:t>
            </w:r>
            <w:r>
              <w:rPr>
                <w:rFonts w:hint="eastAsia"/>
                <w:b w:val="0"/>
                <w:bCs w:val="0"/>
                <w:sz w:val="24"/>
                <w:highlight w:val="none"/>
                <w:u w:val="single"/>
                <w:lang w:eastAsia="zh-CN"/>
              </w:rPr>
              <w:t>颗粒物</w:t>
            </w:r>
            <w:r>
              <w:rPr>
                <w:rFonts w:hint="eastAsia"/>
                <w:b w:val="0"/>
                <w:bCs w:val="0"/>
                <w:sz w:val="24"/>
                <w:highlight w:val="none"/>
                <w:u w:val="single"/>
                <w:lang w:val="en-US" w:eastAsia="zh-CN"/>
              </w:rPr>
              <w:t>1.0</w:t>
            </w:r>
            <w:r>
              <w:rPr>
                <w:rFonts w:hint="eastAsia"/>
                <w:b w:val="0"/>
                <w:bCs w:val="0"/>
                <w:sz w:val="24"/>
                <w:highlight w:val="none"/>
                <w:u w:val="single"/>
              </w:rPr>
              <w:t>mg/m</w:t>
            </w:r>
            <w:r>
              <w:rPr>
                <w:rFonts w:hint="eastAsia"/>
                <w:b w:val="0"/>
                <w:bCs w:val="0"/>
                <w:sz w:val="24"/>
                <w:highlight w:val="none"/>
                <w:u w:val="single"/>
                <w:vertAlign w:val="superscript"/>
              </w:rPr>
              <w:t>3</w:t>
            </w:r>
            <w:r>
              <w:rPr>
                <w:rFonts w:hint="eastAsia"/>
                <w:b w:val="0"/>
                <w:bCs w:val="0"/>
                <w:spacing w:val="5"/>
                <w:sz w:val="24"/>
                <w:szCs w:val="24"/>
                <w:u w:val="single"/>
                <w:lang w:eastAsia="zh-CN"/>
              </w:rPr>
              <w:t>，非甲烷总烃</w:t>
            </w:r>
            <w:r>
              <w:rPr>
                <w:rFonts w:hint="eastAsia"/>
                <w:b w:val="0"/>
                <w:bCs w:val="0"/>
                <w:sz w:val="24"/>
                <w:highlight w:val="none"/>
                <w:u w:val="single"/>
                <w:lang w:val="en-US" w:eastAsia="zh-CN"/>
              </w:rPr>
              <w:t>4</w:t>
            </w:r>
            <w:r>
              <w:rPr>
                <w:rFonts w:hint="eastAsia"/>
                <w:b w:val="0"/>
                <w:bCs w:val="0"/>
                <w:sz w:val="24"/>
                <w:highlight w:val="none"/>
                <w:u w:val="single"/>
              </w:rPr>
              <w:t>.0mg/m</w:t>
            </w:r>
            <w:r>
              <w:rPr>
                <w:rFonts w:hint="eastAsia"/>
                <w:b w:val="0"/>
                <w:bCs w:val="0"/>
                <w:sz w:val="24"/>
                <w:highlight w:val="none"/>
                <w:u w:val="single"/>
                <w:vertAlign w:val="superscript"/>
              </w:rPr>
              <w:t>3</w:t>
            </w:r>
            <w:r>
              <w:rPr>
                <w:rFonts w:hint="eastAsia"/>
                <w:b w:val="0"/>
                <w:bCs w:val="0"/>
                <w:sz w:val="24"/>
                <w:highlight w:val="none"/>
                <w:u w:val="single"/>
                <w:vertAlign w:val="baseline"/>
                <w:lang w:eastAsia="zh-CN"/>
              </w:rPr>
              <w:t>，</w:t>
            </w:r>
            <w:r>
              <w:rPr>
                <w:rFonts w:hint="eastAsia"/>
                <w:b w:val="0"/>
                <w:bCs w:val="0"/>
                <w:sz w:val="24"/>
                <w:highlight w:val="none"/>
                <w:u w:val="single"/>
                <w:vertAlign w:val="baseline"/>
                <w:lang w:val="en-US" w:eastAsia="zh-CN"/>
              </w:rPr>
              <w:t>二甲苯1.2</w:t>
            </w:r>
            <w:r>
              <w:rPr>
                <w:rFonts w:hint="eastAsia"/>
                <w:b w:val="0"/>
                <w:bCs w:val="0"/>
                <w:sz w:val="24"/>
                <w:highlight w:val="none"/>
                <w:u w:val="single"/>
              </w:rPr>
              <w:t>mg/m</w:t>
            </w:r>
            <w:r>
              <w:rPr>
                <w:rFonts w:hint="eastAsia"/>
                <w:b w:val="0"/>
                <w:bCs w:val="0"/>
                <w:sz w:val="24"/>
                <w:highlight w:val="none"/>
                <w:u w:val="single"/>
                <w:vertAlign w:val="superscript"/>
              </w:rPr>
              <w:t>3</w:t>
            </w:r>
            <w:r>
              <w:rPr>
                <w:rFonts w:hint="eastAsia"/>
                <w:b w:val="0"/>
                <w:bCs w:val="0"/>
                <w:spacing w:val="5"/>
                <w:sz w:val="24"/>
                <w:szCs w:val="24"/>
                <w:u w:val="single"/>
                <w:lang w:eastAsia="zh-CN"/>
              </w:rPr>
              <w:t>；同时满足</w:t>
            </w:r>
            <w:r>
              <w:rPr>
                <w:rFonts w:hint="eastAsia"/>
                <w:b w:val="0"/>
                <w:bCs w:val="0"/>
                <w:sz w:val="24"/>
                <w:u w:val="single"/>
              </w:rPr>
              <w:t>河南省环境污染防治攻坚战领导小组办公室文件《关于全省开展工业企业挥发性有机物专项治理工作中排放建议值的通知》（豫环攻坚办</w:t>
            </w:r>
            <w:r>
              <w:rPr>
                <w:rFonts w:hint="eastAsia"/>
                <w:b w:val="0"/>
                <w:bCs w:val="0"/>
                <w:sz w:val="24"/>
                <w:u w:val="single"/>
                <w:lang w:eastAsia="zh-CN"/>
              </w:rPr>
              <w:t>〔</w:t>
            </w:r>
            <w:r>
              <w:rPr>
                <w:rFonts w:hint="eastAsia"/>
                <w:b w:val="0"/>
                <w:bCs w:val="0"/>
                <w:sz w:val="24"/>
                <w:u w:val="single"/>
              </w:rPr>
              <w:t>2017</w:t>
            </w:r>
            <w:r>
              <w:rPr>
                <w:rFonts w:hint="eastAsia"/>
                <w:b w:val="0"/>
                <w:bCs w:val="0"/>
                <w:sz w:val="24"/>
                <w:u w:val="single"/>
                <w:lang w:eastAsia="zh-CN"/>
              </w:rPr>
              <w:t>〕</w:t>
            </w:r>
            <w:r>
              <w:rPr>
                <w:rFonts w:hint="eastAsia"/>
                <w:b w:val="0"/>
                <w:bCs w:val="0"/>
                <w:sz w:val="24"/>
                <w:u w:val="single"/>
              </w:rPr>
              <w:t>162号）中表2值</w:t>
            </w:r>
            <w:r>
              <w:rPr>
                <w:rFonts w:hint="eastAsia"/>
                <w:b w:val="0"/>
                <w:bCs w:val="0"/>
                <w:sz w:val="24"/>
                <w:u w:val="single"/>
                <w:lang w:eastAsia="zh-CN"/>
              </w:rPr>
              <w:t>（其他企业非甲烷总烃</w:t>
            </w:r>
            <w:r>
              <w:rPr>
                <w:rFonts w:hint="eastAsia"/>
                <w:b w:val="0"/>
                <w:bCs w:val="0"/>
                <w:sz w:val="24"/>
                <w:u w:val="single"/>
                <w:lang w:val="en-US" w:eastAsia="zh-CN"/>
              </w:rPr>
              <w:t>2.0</w:t>
            </w:r>
            <w:r>
              <w:rPr>
                <w:rFonts w:hint="eastAsia"/>
                <w:b w:val="0"/>
                <w:bCs w:val="0"/>
                <w:sz w:val="24"/>
                <w:highlight w:val="none"/>
                <w:u w:val="single"/>
              </w:rPr>
              <w:t>mg/m</w:t>
            </w:r>
            <w:r>
              <w:rPr>
                <w:rFonts w:hint="eastAsia"/>
                <w:b w:val="0"/>
                <w:bCs w:val="0"/>
                <w:sz w:val="24"/>
                <w:highlight w:val="none"/>
                <w:u w:val="single"/>
                <w:vertAlign w:val="superscript"/>
              </w:rPr>
              <w:t>3</w:t>
            </w:r>
            <w:r>
              <w:rPr>
                <w:rFonts w:hint="eastAsia"/>
                <w:b w:val="0"/>
                <w:bCs w:val="0"/>
                <w:sz w:val="24"/>
                <w:highlight w:val="none"/>
                <w:u w:val="single"/>
                <w:vertAlign w:val="baseline"/>
                <w:lang w:eastAsia="zh-CN"/>
              </w:rPr>
              <w:t>，</w:t>
            </w:r>
            <w:r>
              <w:rPr>
                <w:rFonts w:hint="eastAsia"/>
                <w:b w:val="0"/>
                <w:bCs w:val="0"/>
                <w:sz w:val="24"/>
                <w:highlight w:val="none"/>
                <w:u w:val="single"/>
                <w:vertAlign w:val="baseline"/>
                <w:lang w:val="en-US" w:eastAsia="zh-CN"/>
              </w:rPr>
              <w:t>二甲苯0.2</w:t>
            </w:r>
            <w:r>
              <w:rPr>
                <w:rFonts w:hint="eastAsia"/>
                <w:b w:val="0"/>
                <w:bCs w:val="0"/>
                <w:sz w:val="24"/>
                <w:highlight w:val="none"/>
                <w:u w:val="single"/>
              </w:rPr>
              <w:t>mg/m</w:t>
            </w:r>
            <w:r>
              <w:rPr>
                <w:rFonts w:hint="eastAsia"/>
                <w:b w:val="0"/>
                <w:bCs w:val="0"/>
                <w:sz w:val="24"/>
                <w:highlight w:val="none"/>
                <w:u w:val="single"/>
                <w:vertAlign w:val="superscript"/>
              </w:rPr>
              <w:t>3</w:t>
            </w:r>
            <w:r>
              <w:rPr>
                <w:rFonts w:hint="eastAsia"/>
                <w:b w:val="0"/>
                <w:bCs w:val="0"/>
                <w:sz w:val="24"/>
                <w:u w:val="single"/>
                <w:lang w:eastAsia="zh-CN"/>
              </w:rPr>
              <w:t>）</w:t>
            </w:r>
            <w:r>
              <w:rPr>
                <w:rFonts w:hint="eastAsia"/>
                <w:b w:val="0"/>
                <w:bCs w:val="0"/>
                <w:sz w:val="24"/>
                <w:u w:val="single"/>
              </w:rPr>
              <w:t>，</w:t>
            </w:r>
            <w:r>
              <w:rPr>
                <w:rFonts w:hint="eastAsia"/>
                <w:b w:val="0"/>
                <w:bCs/>
                <w:sz w:val="24"/>
                <w:szCs w:val="24"/>
                <w:u w:val="single"/>
                <w:lang w:val="en-US" w:eastAsia="zh-CN"/>
              </w:rPr>
              <w:t>厂界无组织恶臭（</w:t>
            </w:r>
            <w:r>
              <w:rPr>
                <w:rFonts w:hint="default" w:ascii="Times New Roman" w:hAnsi="Times New Roman" w:eastAsia="宋体" w:cs="Times New Roman"/>
                <w:b w:val="0"/>
                <w:bCs/>
                <w:color w:val="auto"/>
                <w:sz w:val="24"/>
                <w:szCs w:val="24"/>
                <w:u w:val="single"/>
              </w:rPr>
              <w:t>NH</w:t>
            </w:r>
            <w:r>
              <w:rPr>
                <w:rFonts w:hint="default" w:ascii="Times New Roman" w:hAnsi="Times New Roman" w:eastAsia="宋体" w:cs="Times New Roman"/>
                <w:b w:val="0"/>
                <w:bCs/>
                <w:color w:val="auto"/>
                <w:sz w:val="24"/>
                <w:szCs w:val="24"/>
                <w:u w:val="single"/>
                <w:vertAlign w:val="subscript"/>
              </w:rPr>
              <w:t>3</w:t>
            </w:r>
            <w:r>
              <w:rPr>
                <w:rFonts w:hint="default" w:ascii="Times New Roman" w:hAnsi="Times New Roman" w:eastAsia="宋体" w:cs="Times New Roman"/>
                <w:b w:val="0"/>
                <w:bCs/>
                <w:color w:val="auto"/>
                <w:sz w:val="24"/>
                <w:szCs w:val="24"/>
                <w:u w:val="single"/>
              </w:rPr>
              <w:t>与H</w:t>
            </w:r>
            <w:r>
              <w:rPr>
                <w:rFonts w:hint="default" w:ascii="Times New Roman" w:hAnsi="Times New Roman" w:eastAsia="宋体" w:cs="Times New Roman"/>
                <w:b w:val="0"/>
                <w:bCs/>
                <w:color w:val="auto"/>
                <w:sz w:val="24"/>
                <w:szCs w:val="24"/>
                <w:u w:val="single"/>
                <w:vertAlign w:val="subscript"/>
              </w:rPr>
              <w:t>2</w:t>
            </w:r>
            <w:r>
              <w:rPr>
                <w:rFonts w:hint="default" w:ascii="Times New Roman" w:hAnsi="Times New Roman" w:eastAsia="宋体" w:cs="Times New Roman"/>
                <w:b w:val="0"/>
                <w:bCs/>
                <w:color w:val="auto"/>
                <w:sz w:val="24"/>
                <w:szCs w:val="24"/>
                <w:u w:val="single"/>
              </w:rPr>
              <w:t>S</w:t>
            </w:r>
            <w:r>
              <w:rPr>
                <w:rFonts w:hint="eastAsia"/>
                <w:b w:val="0"/>
                <w:bCs/>
                <w:sz w:val="24"/>
                <w:szCs w:val="24"/>
                <w:u w:val="single"/>
                <w:lang w:val="en-US" w:eastAsia="zh-CN"/>
              </w:rPr>
              <w:t>）需满足《恶臭污染物排放标准》（GB14554-93）表1标准，即</w:t>
            </w:r>
            <w:r>
              <w:rPr>
                <w:rFonts w:hint="default" w:ascii="Times New Roman" w:hAnsi="Times New Roman" w:cs="Times New Roman"/>
                <w:b w:val="0"/>
                <w:bCs/>
                <w:sz w:val="24"/>
                <w:szCs w:val="24"/>
                <w:u w:val="single"/>
              </w:rPr>
              <w:t>NH</w:t>
            </w:r>
            <w:r>
              <w:rPr>
                <w:rFonts w:hint="default" w:ascii="Times New Roman" w:hAnsi="Times New Roman" w:cs="Times New Roman"/>
                <w:b w:val="0"/>
                <w:bCs/>
                <w:sz w:val="24"/>
                <w:szCs w:val="24"/>
                <w:u w:val="single"/>
                <w:vertAlign w:val="subscript"/>
              </w:rPr>
              <w:t>3</w:t>
            </w:r>
            <w:r>
              <w:rPr>
                <w:rFonts w:hint="eastAsia" w:ascii="Times New Roman" w:hAnsi="Times New Roman" w:cs="Times New Roman"/>
                <w:b w:val="0"/>
                <w:bCs/>
                <w:sz w:val="24"/>
                <w:szCs w:val="24"/>
                <w:u w:val="single"/>
                <w:vertAlign w:val="baseline"/>
                <w:lang w:val="en-US" w:eastAsia="zh-CN"/>
              </w:rPr>
              <w:t>1.5mg/m</w:t>
            </w:r>
            <w:r>
              <w:rPr>
                <w:rFonts w:hint="eastAsia" w:ascii="Times New Roman" w:hAnsi="Times New Roman" w:cs="Times New Roman"/>
                <w:b w:val="0"/>
                <w:bCs/>
                <w:sz w:val="24"/>
                <w:szCs w:val="24"/>
                <w:u w:val="single"/>
                <w:vertAlign w:val="superscript"/>
                <w:lang w:val="en-US" w:eastAsia="zh-CN"/>
              </w:rPr>
              <w:t>3</w:t>
            </w:r>
            <w:r>
              <w:rPr>
                <w:rFonts w:hint="eastAsia" w:ascii="Times New Roman" w:hAnsi="Times New Roman" w:cs="Times New Roman"/>
                <w:b w:val="0"/>
                <w:bCs/>
                <w:sz w:val="24"/>
                <w:szCs w:val="24"/>
                <w:u w:val="single"/>
                <w:vertAlign w:val="baseline"/>
                <w:lang w:val="en-US" w:eastAsia="zh-CN"/>
              </w:rPr>
              <w:t>，</w:t>
            </w:r>
            <w:r>
              <w:rPr>
                <w:rFonts w:hint="default" w:ascii="Times New Roman" w:hAnsi="Times New Roman" w:cs="Times New Roman"/>
                <w:b w:val="0"/>
                <w:bCs/>
                <w:sz w:val="24"/>
                <w:szCs w:val="24"/>
                <w:u w:val="single"/>
              </w:rPr>
              <w:t>H</w:t>
            </w:r>
            <w:r>
              <w:rPr>
                <w:rFonts w:hint="default" w:ascii="Times New Roman" w:hAnsi="Times New Roman" w:cs="Times New Roman"/>
                <w:b w:val="0"/>
                <w:bCs/>
                <w:sz w:val="24"/>
                <w:szCs w:val="24"/>
                <w:u w:val="single"/>
                <w:vertAlign w:val="subscript"/>
              </w:rPr>
              <w:t>2</w:t>
            </w:r>
            <w:r>
              <w:rPr>
                <w:rFonts w:hint="default" w:ascii="Times New Roman" w:hAnsi="Times New Roman" w:cs="Times New Roman"/>
                <w:b w:val="0"/>
                <w:bCs/>
                <w:sz w:val="24"/>
                <w:szCs w:val="24"/>
                <w:u w:val="single"/>
              </w:rPr>
              <w:t>S</w:t>
            </w:r>
            <w:r>
              <w:rPr>
                <w:rFonts w:hint="eastAsia" w:ascii="Times New Roman" w:hAnsi="Times New Roman" w:cs="Times New Roman"/>
                <w:b w:val="0"/>
                <w:bCs/>
                <w:sz w:val="24"/>
                <w:szCs w:val="24"/>
                <w:u w:val="single"/>
                <w:lang w:val="en-US" w:eastAsia="zh-CN"/>
              </w:rPr>
              <w:t>0.06</w:t>
            </w:r>
            <w:r>
              <w:rPr>
                <w:rFonts w:hint="eastAsia" w:ascii="Times New Roman" w:hAnsi="Times New Roman" w:cs="Times New Roman"/>
                <w:b w:val="0"/>
                <w:bCs/>
                <w:sz w:val="24"/>
                <w:szCs w:val="24"/>
                <w:u w:val="single"/>
                <w:vertAlign w:val="baseline"/>
                <w:lang w:val="en-US" w:eastAsia="zh-CN"/>
              </w:rPr>
              <w:t>mg/m</w:t>
            </w:r>
            <w:r>
              <w:rPr>
                <w:rFonts w:hint="eastAsia" w:ascii="Times New Roman" w:hAnsi="Times New Roman" w:cs="Times New Roman"/>
                <w:b w:val="0"/>
                <w:bCs/>
                <w:sz w:val="24"/>
                <w:szCs w:val="24"/>
                <w:u w:val="single"/>
                <w:vertAlign w:val="superscript"/>
                <w:lang w:val="en-US" w:eastAsia="zh-CN"/>
              </w:rPr>
              <w:t>3</w:t>
            </w:r>
            <w:r>
              <w:rPr>
                <w:rFonts w:hint="eastAsia" w:ascii="Times New Roman" w:hAnsi="Times New Roman" w:cs="Times New Roman"/>
                <w:b w:val="0"/>
                <w:bCs/>
                <w:sz w:val="24"/>
                <w:szCs w:val="24"/>
                <w:u w:val="single"/>
                <w:vertAlign w:val="baseline"/>
                <w:lang w:val="en-US" w:eastAsia="zh-CN"/>
              </w:rPr>
              <w:t>。</w:t>
            </w:r>
            <w:r>
              <w:rPr>
                <w:rFonts w:hint="eastAsia"/>
                <w:b w:val="0"/>
                <w:bCs w:val="0"/>
                <w:sz w:val="24"/>
                <w:u w:val="single"/>
              </w:rPr>
              <w:t>具体见表</w:t>
            </w:r>
            <w:r>
              <w:rPr>
                <w:rFonts w:hint="eastAsia"/>
                <w:b w:val="0"/>
                <w:bCs w:val="0"/>
                <w:sz w:val="24"/>
                <w:u w:val="single"/>
                <w:lang w:val="en-US" w:eastAsia="zh-CN"/>
              </w:rPr>
              <w:t>3-9。</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kern w:val="2"/>
                <w:sz w:val="24"/>
                <w:szCs w:val="24"/>
                <w:lang w:val="en-US" w:eastAsia="zh-CN" w:bidi="ar-SA"/>
              </w:rPr>
            </w:pPr>
            <w:r>
              <w:rPr>
                <w:rFonts w:hint="default" w:ascii="Times New Roman" w:hAnsi="Times New Roman" w:eastAsia="宋体" w:cs="Times New Roman"/>
                <w:b/>
                <w:bCs w:val="0"/>
                <w:kern w:val="2"/>
                <w:sz w:val="24"/>
                <w:szCs w:val="24"/>
                <w:lang w:val="en-US" w:eastAsia="zh-CN" w:bidi="ar-SA"/>
              </w:rPr>
              <w:t>表</w:t>
            </w:r>
            <w:r>
              <w:rPr>
                <w:rFonts w:hint="eastAsia" w:cs="Times New Roman"/>
                <w:b/>
                <w:bCs w:val="0"/>
                <w:kern w:val="2"/>
                <w:sz w:val="24"/>
                <w:szCs w:val="24"/>
                <w:lang w:val="en-US" w:eastAsia="zh-CN" w:bidi="ar-SA"/>
              </w:rPr>
              <w:t xml:space="preserve">3-9  </w:t>
            </w:r>
            <w:r>
              <w:rPr>
                <w:rFonts w:hint="eastAsia" w:ascii="Times New Roman" w:hAnsi="Times New Roman" w:eastAsia="宋体" w:cs="Times New Roman"/>
                <w:b/>
                <w:bCs w:val="0"/>
                <w:kern w:val="2"/>
                <w:sz w:val="24"/>
                <w:szCs w:val="24"/>
                <w:lang w:val="en-US" w:eastAsia="zh-CN" w:bidi="ar-SA"/>
              </w:rPr>
              <w:t>厂界无组织</w:t>
            </w:r>
            <w:r>
              <w:rPr>
                <w:rFonts w:hint="default" w:ascii="Times New Roman" w:hAnsi="Times New Roman" w:eastAsia="宋体" w:cs="Times New Roman"/>
                <w:b/>
                <w:bCs w:val="0"/>
                <w:kern w:val="2"/>
                <w:sz w:val="24"/>
                <w:szCs w:val="24"/>
                <w:lang w:val="en-US" w:eastAsia="zh-CN" w:bidi="ar-SA"/>
              </w:rPr>
              <w:t>废气污染物排放标准一览表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2329"/>
              <w:gridCol w:w="2150"/>
              <w:gridCol w:w="1811"/>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r>
                    <w:rPr>
                      <w:rFonts w:hint="default"/>
                      <w:u w:val="single"/>
                    </w:rPr>
                    <w:t>污染因子</w:t>
                  </w:r>
                </w:p>
              </w:tc>
              <w:tc>
                <w:tcPr>
                  <w:tcW w:w="3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r>
                    <w:rPr>
                      <w:rFonts w:hint="default"/>
                      <w:u w:val="single"/>
                    </w:rPr>
                    <w:t>标准名称与级（类）别</w:t>
                  </w:r>
                </w:p>
              </w:tc>
              <w:tc>
                <w:tcPr>
                  <w:tcW w:w="98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本项目执行标准（三者按严格值）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default"/>
                      <w:u w:val="single"/>
                    </w:rPr>
                    <w:t>《大气污染物综合排放标准》（GB16297-1996）表2标准</w:t>
                  </w:r>
                  <w:r>
                    <w:rPr>
                      <w:rFonts w:hint="eastAsia"/>
                      <w:u w:val="single"/>
                      <w:lang w:eastAsia="zh-CN"/>
                    </w:rPr>
                    <w:t>（</w:t>
                  </w:r>
                  <w:r>
                    <w:rPr>
                      <w:rFonts w:hint="default"/>
                      <w:u w:val="single"/>
                      <w:lang w:eastAsia="zh-CN"/>
                    </w:rPr>
                    <w:t>周界外浓度最高点</w:t>
                  </w:r>
                  <w:r>
                    <w:rPr>
                      <w:rFonts w:hint="eastAsia"/>
                      <w:u w:val="single"/>
                      <w:lang w:eastAsia="zh-CN"/>
                    </w:rPr>
                    <w:t>）</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default"/>
                      <w:u w:val="single"/>
                    </w:rPr>
                    <w:t>豫环攻坚办</w:t>
                  </w:r>
                  <w:r>
                    <w:rPr>
                      <w:rFonts w:hint="eastAsia"/>
                      <w:u w:val="single"/>
                      <w:lang w:eastAsia="zh-CN"/>
                    </w:rPr>
                    <w:t>〔</w:t>
                  </w:r>
                  <w:r>
                    <w:rPr>
                      <w:rFonts w:hint="default"/>
                      <w:u w:val="single"/>
                    </w:rPr>
                    <w:t>2017</w:t>
                  </w:r>
                  <w:r>
                    <w:rPr>
                      <w:rFonts w:hint="eastAsia"/>
                      <w:u w:val="single"/>
                      <w:lang w:eastAsia="zh-CN"/>
                    </w:rPr>
                    <w:t>〕</w:t>
                  </w:r>
                  <w:r>
                    <w:rPr>
                      <w:rFonts w:hint="default"/>
                      <w:u w:val="single"/>
                    </w:rPr>
                    <w:t>162号）中表2值</w:t>
                  </w:r>
                  <w:r>
                    <w:rPr>
                      <w:rFonts w:hint="eastAsia"/>
                      <w:u w:val="single"/>
                      <w:lang w:eastAsia="zh-CN"/>
                    </w:rPr>
                    <w:t>（其他企业）</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r>
                    <w:rPr>
                      <w:rFonts w:hint="eastAsia"/>
                      <w:lang w:val="en-US" w:eastAsia="zh-CN"/>
                    </w:rPr>
                    <w:t>《恶臭污染物排放标准》（GB14554-93）</w:t>
                  </w:r>
                </w:p>
              </w:tc>
              <w:tc>
                <w:tcPr>
                  <w:tcW w:w="98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rPr>
                  </w:pPr>
                  <w:r>
                    <w:rPr>
                      <w:rFonts w:hint="eastAsia"/>
                      <w:u w:val="single"/>
                      <w:lang w:eastAsia="zh-CN"/>
                    </w:rPr>
                    <w:t>浓度（</w:t>
                  </w:r>
                  <w:r>
                    <w:rPr>
                      <w:rFonts w:hint="default"/>
                      <w:u w:val="single"/>
                    </w:rPr>
                    <w:t>mg/m</w:t>
                  </w:r>
                  <w:r>
                    <w:rPr>
                      <w:rFonts w:hint="default"/>
                      <w:u w:val="single"/>
                      <w:vertAlign w:val="superscript"/>
                    </w:rPr>
                    <w:t>3</w:t>
                  </w:r>
                  <w:r>
                    <w:rPr>
                      <w:rFonts w:hint="eastAsia"/>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颗粒物</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1.0</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eastAsia="zh-CN"/>
                    </w:rPr>
                  </w:pPr>
                  <w:r>
                    <w:rPr>
                      <w:rFonts w:hint="eastAsia"/>
                      <w:u w:val="single"/>
                      <w:lang w:eastAsia="zh-CN"/>
                    </w:rPr>
                    <w:t>非甲烷总烃</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4.0</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2.0</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u w:val="single"/>
                      <w:lang w:val="en-US" w:eastAsia="zh-CN"/>
                    </w:rPr>
                  </w:pP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二甲苯</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1.2</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0.2</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sz w:val="21"/>
                      <w:szCs w:val="21"/>
                      <w:u w:val="single"/>
                      <w:lang w:val="en-US" w:eastAsia="zh-CN"/>
                    </w:rPr>
                  </w:pPr>
                  <w:r>
                    <w:rPr>
                      <w:rFonts w:hint="default" w:ascii="Times New Roman" w:hAnsi="Times New Roman" w:cs="Times New Roman"/>
                      <w:b w:val="0"/>
                      <w:bCs/>
                      <w:sz w:val="21"/>
                      <w:szCs w:val="21"/>
                      <w:u w:val="single"/>
                    </w:rPr>
                    <w:t>NH</w:t>
                  </w:r>
                  <w:r>
                    <w:rPr>
                      <w:rFonts w:hint="default" w:ascii="Times New Roman" w:hAnsi="Times New Roman" w:cs="Times New Roman"/>
                      <w:b w:val="0"/>
                      <w:bCs/>
                      <w:sz w:val="21"/>
                      <w:szCs w:val="21"/>
                      <w:u w:val="single"/>
                      <w:vertAlign w:val="subscript"/>
                    </w:rPr>
                    <w:t>3</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1.5</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5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H</w:t>
                  </w:r>
                  <w:r>
                    <w:rPr>
                      <w:rFonts w:hint="default" w:ascii="Times New Roman" w:hAnsi="Times New Roman" w:cs="Times New Roman"/>
                      <w:b w:val="0"/>
                      <w:bCs/>
                      <w:sz w:val="21"/>
                      <w:szCs w:val="21"/>
                      <w:u w:val="single"/>
                      <w:vertAlign w:val="subscript"/>
                    </w:rPr>
                    <w:t>2</w:t>
                  </w:r>
                  <w:r>
                    <w:rPr>
                      <w:rFonts w:hint="default" w:ascii="Times New Roman" w:hAnsi="Times New Roman" w:cs="Times New Roman"/>
                      <w:b w:val="0"/>
                      <w:bCs/>
                      <w:sz w:val="21"/>
                      <w:szCs w:val="21"/>
                      <w:u w:val="single"/>
                    </w:rPr>
                    <w:t>S</w:t>
                  </w:r>
                </w:p>
              </w:tc>
              <w:tc>
                <w:tcPr>
                  <w:tcW w:w="127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w:t>
                  </w:r>
                </w:p>
              </w:tc>
              <w:tc>
                <w:tcPr>
                  <w:tcW w:w="9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u w:val="single"/>
                      <w:lang w:val="en-US" w:eastAsia="zh-CN"/>
                    </w:rPr>
                  </w:pPr>
                  <w:r>
                    <w:rPr>
                      <w:rFonts w:hint="eastAsia"/>
                      <w:u w:val="single"/>
                      <w:lang w:val="en-US" w:eastAsia="zh-CN"/>
                    </w:rPr>
                    <w:t>0.06</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4"/>
                      <w:u w:val="single"/>
                      <w:lang w:val="en-US" w:eastAsia="zh-CN" w:bidi="ar-SA"/>
                    </w:rPr>
                  </w:pPr>
                  <w:r>
                    <w:rPr>
                      <w:rFonts w:hint="eastAsia"/>
                      <w:u w:val="single"/>
                      <w:lang w:val="en-US" w:eastAsia="zh-CN"/>
                    </w:rPr>
                    <w:t>0.06</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eastAsia="宋体"/>
                <w:b/>
                <w:sz w:val="24"/>
                <w:szCs w:val="24"/>
                <w:lang w:val="en-US" w:eastAsia="zh-CN"/>
              </w:rPr>
            </w:pPr>
            <w:r>
              <w:rPr>
                <w:rFonts w:hint="eastAsia"/>
                <w:b/>
                <w:sz w:val="24"/>
                <w:szCs w:val="24"/>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4"/>
                <w:szCs w:val="24"/>
                <w:lang w:val="en-US"/>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10  本项目废水执行标准</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316"/>
              <w:gridCol w:w="811"/>
              <w:gridCol w:w="989"/>
              <w:gridCol w:w="986"/>
              <w:gridCol w:w="131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4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标准</w:t>
                  </w:r>
                </w:p>
              </w:tc>
              <w:tc>
                <w:tcPr>
                  <w:tcW w:w="4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pH</w:t>
                  </w:r>
                </w:p>
              </w:tc>
              <w:tc>
                <w:tcPr>
                  <w:tcW w:w="543"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COD</w:t>
                  </w:r>
                </w:p>
              </w:tc>
              <w:tc>
                <w:tcPr>
                  <w:tcW w:w="530"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SS</w:t>
                  </w:r>
                </w:p>
              </w:tc>
              <w:tc>
                <w:tcPr>
                  <w:tcW w:w="721"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NH</w:t>
                  </w:r>
                  <w:r>
                    <w:rPr>
                      <w:bCs/>
                      <w:color w:val="auto"/>
                      <w:szCs w:val="21"/>
                      <w:vertAlign w:val="subscript"/>
                    </w:rPr>
                    <w:t>3</w:t>
                  </w:r>
                  <w:r>
                    <w:rPr>
                      <w:bCs/>
                      <w:color w:val="auto"/>
                      <w:szCs w:val="21"/>
                    </w:rPr>
                    <w:t>-N</w:t>
                  </w:r>
                </w:p>
              </w:tc>
              <w:tc>
                <w:tcPr>
                  <w:tcW w:w="721"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bCs/>
                      <w:color w:val="auto"/>
                      <w:szCs w:val="21"/>
                    </w:rPr>
                    <w:t>BOD</w:t>
                  </w:r>
                  <w:r>
                    <w:rPr>
                      <w:bCs/>
                      <w:color w:val="auto"/>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jc w:val="center"/>
              </w:trPr>
              <w:tc>
                <w:tcPr>
                  <w:tcW w:w="7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宝丰县产业集聚区污水处理厂进水标准</w:t>
                  </w:r>
                </w:p>
              </w:tc>
              <w:tc>
                <w:tcPr>
                  <w:tcW w:w="126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《污水综合排放标准》(GB8978-1996</w:t>
                  </w:r>
                  <w:r>
                    <w:rPr>
                      <w:rFonts w:hint="eastAsia"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中三级排放标准</w:t>
                  </w:r>
                </w:p>
              </w:tc>
              <w:tc>
                <w:tcPr>
                  <w:tcW w:w="4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6-9</w:t>
                  </w:r>
                </w:p>
              </w:tc>
              <w:tc>
                <w:tcPr>
                  <w:tcW w:w="54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500</w:t>
                  </w:r>
                  <w:r>
                    <w:rPr>
                      <w:rFonts w:hint="eastAsia" w:cs="Times New Roman"/>
                      <w:color w:val="auto"/>
                      <w:kern w:val="0"/>
                      <w:sz w:val="21"/>
                      <w:szCs w:val="21"/>
                      <w:vertAlign w:val="baseline"/>
                      <w:lang w:val="en-US" w:eastAsia="zh-CN"/>
                    </w:rPr>
                    <w:t>mg/L</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4</w:t>
                  </w:r>
                  <w:r>
                    <w:rPr>
                      <w:rFonts w:hint="default" w:ascii="Times New Roman" w:hAnsi="Times New Roman" w:cs="Times New Roman"/>
                      <w:color w:val="auto"/>
                      <w:kern w:val="0"/>
                      <w:sz w:val="21"/>
                      <w:szCs w:val="21"/>
                      <w:vertAlign w:val="baseline"/>
                      <w:lang w:val="en-US" w:eastAsia="zh-CN"/>
                    </w:rPr>
                    <w:t>00</w:t>
                  </w:r>
                  <w:r>
                    <w:rPr>
                      <w:rFonts w:hint="eastAsia" w:cs="Times New Roman"/>
                      <w:color w:val="auto"/>
                      <w:kern w:val="0"/>
                      <w:sz w:val="21"/>
                      <w:szCs w:val="21"/>
                      <w:vertAlign w:val="baseline"/>
                      <w:lang w:val="en-US" w:eastAsia="zh-CN"/>
                    </w:rPr>
                    <w:t>mg/L</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宝丰县产业集聚区污水处理厂出水标准</w:t>
                  </w:r>
                </w:p>
              </w:tc>
              <w:tc>
                <w:tcPr>
                  <w:tcW w:w="126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《城镇污水处理厂污染物排放标准》(GB18918-2002</w:t>
                  </w:r>
                  <w:r>
                    <w:rPr>
                      <w:rFonts w:hint="eastAsia" w:cs="Times New Roman"/>
                      <w:color w:val="auto"/>
                      <w:kern w:val="0"/>
                      <w:sz w:val="21"/>
                      <w:szCs w:val="21"/>
                      <w:vertAlign w:val="baseline"/>
                      <w:lang w:val="en-US" w:eastAsia="zh-CN"/>
                    </w:rPr>
                    <w:t>）</w:t>
                  </w:r>
                  <w:r>
                    <w:rPr>
                      <w:rFonts w:hint="default" w:ascii="Times New Roman" w:hAnsi="Times New Roman" w:cs="Times New Roman"/>
                      <w:color w:val="auto"/>
                      <w:kern w:val="0"/>
                      <w:sz w:val="21"/>
                      <w:szCs w:val="21"/>
                      <w:vertAlign w:val="baseline"/>
                      <w:lang w:val="en-US" w:eastAsia="zh-CN"/>
                    </w:rPr>
                    <w:t>一级A标准</w:t>
                  </w:r>
                </w:p>
              </w:tc>
              <w:tc>
                <w:tcPr>
                  <w:tcW w:w="4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6-9</w:t>
                  </w:r>
                </w:p>
              </w:tc>
              <w:tc>
                <w:tcPr>
                  <w:tcW w:w="54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r>
                    <w:rPr>
                      <w:rFonts w:hint="eastAsia" w:cs="Times New Roman"/>
                      <w:color w:val="auto"/>
                      <w:kern w:val="0"/>
                      <w:sz w:val="21"/>
                      <w:szCs w:val="21"/>
                      <w:vertAlign w:val="baseline"/>
                      <w:lang w:val="en-US" w:eastAsia="zh-CN"/>
                    </w:rPr>
                    <w:t>mg/L</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r>
                    <w:rPr>
                      <w:rFonts w:hint="eastAsia" w:cs="Times New Roman"/>
                      <w:color w:val="auto"/>
                      <w:kern w:val="0"/>
                      <w:sz w:val="21"/>
                      <w:szCs w:val="21"/>
                      <w:vertAlign w:val="baseline"/>
                      <w:lang w:val="en-US" w:eastAsia="zh-CN"/>
                    </w:rPr>
                    <w:t>mg/L</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5mg/L</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清洗废水回用标准</w:t>
                  </w:r>
                </w:p>
              </w:tc>
              <w:tc>
                <w:tcPr>
                  <w:tcW w:w="126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《城市污水再生利用·工业用水水质》（GB/T19923-2005）</w:t>
                  </w:r>
                </w:p>
              </w:tc>
              <w:tc>
                <w:tcPr>
                  <w:tcW w:w="437"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6.5-8.5</w:t>
                  </w:r>
                </w:p>
              </w:tc>
              <w:tc>
                <w:tcPr>
                  <w:tcW w:w="54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60mg/L</w:t>
                  </w:r>
                </w:p>
              </w:tc>
              <w:tc>
                <w:tcPr>
                  <w:tcW w:w="530"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w:t>
                  </w:r>
                </w:p>
              </w:tc>
              <w:tc>
                <w:tcPr>
                  <w:tcW w:w="72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cs="Times New Roman"/>
                      <w:color w:val="auto"/>
                      <w:kern w:val="0"/>
                      <w:sz w:val="21"/>
                      <w:szCs w:val="21"/>
                      <w:vertAlign w:val="baseline"/>
                      <w:lang w:val="en-US" w:eastAsia="zh-CN"/>
                    </w:rPr>
                  </w:pPr>
                  <w:r>
                    <w:rPr>
                      <w:rFonts w:hint="eastAsia" w:cs="Times New Roman"/>
                      <w:color w:val="auto"/>
                      <w:kern w:val="0"/>
                      <w:sz w:val="21"/>
                      <w:szCs w:val="21"/>
                      <w:vertAlign w:val="baseline"/>
                      <w:lang w:val="en-US" w:eastAsia="zh-CN"/>
                    </w:rPr>
                    <w:t>10mg/L</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lang w:val="en-US" w:eastAsia="zh-CN"/>
              </w:rPr>
              <w:t>3</w:t>
            </w:r>
            <w:r>
              <w:rPr>
                <w:rFonts w:hint="eastAsia"/>
                <w:b/>
                <w:sz w:val="24"/>
                <w:szCs w:val="24"/>
              </w:rPr>
              <w:t>、</w:t>
            </w:r>
            <w:r>
              <w:rPr>
                <w:b/>
                <w:sz w:val="24"/>
                <w:szCs w:val="24"/>
              </w:rPr>
              <w:t>噪声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sz w:val="24"/>
                <w:szCs w:val="24"/>
              </w:rPr>
            </w:pPr>
            <w:r>
              <w:rPr>
                <w:rFonts w:hint="eastAsia"/>
                <w:sz w:val="24"/>
                <w:szCs w:val="24"/>
              </w:rPr>
              <w:t>施工期噪声执行《建筑施工场界环境噪声排放标准》（GB12523-2011）所规定</w:t>
            </w:r>
            <w:r>
              <w:rPr>
                <w:sz w:val="24"/>
                <w:szCs w:val="24"/>
              </w:rPr>
              <w:t>的排放限值</w:t>
            </w:r>
            <w:r>
              <w:rPr>
                <w:rFonts w:hint="eastAsia"/>
                <w:sz w:val="24"/>
                <w:szCs w:val="24"/>
              </w:rPr>
              <w:t>，具体见下表。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 xml:space="preserve">11  </w:t>
            </w:r>
            <w:r>
              <w:rPr>
                <w:rFonts w:hint="default" w:ascii="Times New Roman" w:hAnsi="Times New Roman" w:eastAsia="宋体" w:cs="Times New Roman"/>
                <w:b/>
                <w:bCs w:val="0"/>
                <w:sz w:val="24"/>
                <w:szCs w:val="24"/>
              </w:rPr>
              <w:t>建筑施工场界环境噪声排放限值</w:t>
            </w:r>
            <w:r>
              <w:rPr>
                <w:rFonts w:hint="default" w:ascii="Times New Roman" w:hAnsi="Times New Roman" w:eastAsia="宋体" w:cs="Times New Roman"/>
                <w:b/>
                <w:bCs w:val="0"/>
                <w:szCs w:val="21"/>
              </w:rPr>
              <w:t>单位：dB(A)</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574"/>
              <w:gridCol w:w="457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sz w:val="21"/>
                      <w:szCs w:val="21"/>
                    </w:rPr>
                    <w:t>标准限值</w:t>
                  </w:r>
                  <w:r>
                    <w:rPr>
                      <w:bCs/>
                      <w:sz w:val="21"/>
                      <w:szCs w:val="21"/>
                    </w:rPr>
                    <w:t>dB(A)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sz w:val="21"/>
                      <w:szCs w:val="21"/>
                    </w:rPr>
                    <w:t>昼间</w:t>
                  </w:r>
                </w:p>
              </w:tc>
              <w:tc>
                <w:tcPr>
                  <w:tcW w:w="25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rFonts w:hint="eastAsia"/>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tcBorders>
                    <w:tl2br w:val="nil"/>
                    <w:tr2bl w:val="nil"/>
                  </w:tcBorders>
                  <w:noWrap w:val="0"/>
                  <w:vAlign w:val="center"/>
                </w:tcPr>
                <w:p>
                  <w:pPr>
                    <w:pStyle w:val="3"/>
                    <w:keepNext w:val="0"/>
                    <w:keepLines w:val="0"/>
                    <w:pageBreakBefore w:val="0"/>
                    <w:kinsoku/>
                    <w:wordWrap/>
                    <w:overflowPunct/>
                    <w:topLinePunct w:val="0"/>
                    <w:autoSpaceDE/>
                    <w:autoSpaceDN/>
                    <w:bidi w:val="0"/>
                    <w:adjustRightInd w:val="0"/>
                    <w:snapToGrid w:val="0"/>
                    <w:spacing w:after="0" w:line="360" w:lineRule="exact"/>
                    <w:ind w:firstLine="0" w:firstLineChars="0"/>
                    <w:jc w:val="center"/>
                    <w:textAlignment w:val="auto"/>
                    <w:rPr>
                      <w:rFonts w:eastAsia="Times New Roman"/>
                      <w:sz w:val="21"/>
                      <w:szCs w:val="21"/>
                    </w:rPr>
                  </w:pPr>
                  <w:r>
                    <w:rPr>
                      <w:rFonts w:hint="eastAsia" w:eastAsia="Times New Roman"/>
                      <w:sz w:val="21"/>
                      <w:szCs w:val="21"/>
                    </w:rPr>
                    <w:t>70</w:t>
                  </w:r>
                </w:p>
              </w:tc>
              <w:tc>
                <w:tcPr>
                  <w:tcW w:w="2500" w:type="pct"/>
                  <w:tcBorders>
                    <w:tl2br w:val="nil"/>
                    <w:tr2bl w:val="nil"/>
                  </w:tcBorders>
                  <w:noWrap w:val="0"/>
                  <w:vAlign w:val="center"/>
                </w:tcPr>
                <w:p>
                  <w:pPr>
                    <w:pStyle w:val="3"/>
                    <w:keepNext w:val="0"/>
                    <w:keepLines w:val="0"/>
                    <w:pageBreakBefore w:val="0"/>
                    <w:kinsoku/>
                    <w:wordWrap/>
                    <w:overflowPunct/>
                    <w:topLinePunct w:val="0"/>
                    <w:autoSpaceDE/>
                    <w:autoSpaceDN/>
                    <w:bidi w:val="0"/>
                    <w:adjustRightInd w:val="0"/>
                    <w:snapToGrid w:val="0"/>
                    <w:spacing w:after="0" w:line="360" w:lineRule="exact"/>
                    <w:ind w:firstLine="0" w:firstLineChars="0"/>
                    <w:jc w:val="center"/>
                    <w:textAlignment w:val="auto"/>
                    <w:rPr>
                      <w:rFonts w:eastAsia="Times New Roman"/>
                      <w:sz w:val="21"/>
                      <w:szCs w:val="21"/>
                    </w:rPr>
                  </w:pPr>
                  <w:r>
                    <w:rPr>
                      <w:rFonts w:hint="eastAsia" w:eastAsia="Times New Roman"/>
                      <w:sz w:val="21"/>
                      <w:szCs w:val="21"/>
                    </w:rPr>
                    <w:t>55</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sz w:val="24"/>
                <w:szCs w:val="24"/>
              </w:rPr>
            </w:pPr>
            <w:r>
              <w:rPr>
                <w:rFonts w:hint="eastAsia"/>
                <w:sz w:val="24"/>
                <w:szCs w:val="24"/>
              </w:rPr>
              <w:t>营运期</w:t>
            </w:r>
            <w:r>
              <w:rPr>
                <w:sz w:val="24"/>
                <w:szCs w:val="24"/>
              </w:rPr>
              <w:t>厂界</w:t>
            </w:r>
            <w:r>
              <w:rPr>
                <w:rFonts w:hint="eastAsia"/>
                <w:sz w:val="24"/>
                <w:szCs w:val="24"/>
              </w:rPr>
              <w:t>噪声执行《工业企业厂界环境噪声排放标准》（GB12348-2008）中</w:t>
            </w:r>
            <w:r>
              <w:rPr>
                <w:rFonts w:hint="eastAsia"/>
                <w:sz w:val="24"/>
                <w:szCs w:val="24"/>
                <w:lang w:val="en-US" w:eastAsia="zh-CN"/>
              </w:rPr>
              <w:t>3类</w:t>
            </w:r>
            <w:r>
              <w:rPr>
                <w:rFonts w:hint="eastAsia"/>
                <w:sz w:val="24"/>
                <w:szCs w:val="24"/>
              </w:rPr>
              <w:t>标准限值</w:t>
            </w:r>
            <w:r>
              <w:rPr>
                <w:rFonts w:hint="eastAsia"/>
                <w:bCs/>
                <w:sz w:val="24"/>
                <w:szCs w:val="24"/>
                <w:lang w:eastAsia="zh-CN"/>
              </w:rPr>
              <w:t>，</w:t>
            </w:r>
            <w:r>
              <w:rPr>
                <w:rFonts w:hint="eastAsia"/>
                <w:sz w:val="24"/>
                <w:szCs w:val="24"/>
              </w:rPr>
              <w:t>具体指标见下表。</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eastAsia" w:cs="Times New Roman"/>
                <w:b/>
                <w:bCs w:val="0"/>
                <w:sz w:val="24"/>
                <w:szCs w:val="24"/>
                <w:lang w:val="en-US" w:eastAsia="zh-CN"/>
              </w:rPr>
              <w:t>3</w:t>
            </w:r>
            <w:r>
              <w:rPr>
                <w:rFonts w:hint="eastAsia" w:eastAsia="宋体" w:cs="Times New Roman"/>
                <w:b/>
                <w:bCs w:val="0"/>
                <w:sz w:val="24"/>
                <w:szCs w:val="24"/>
                <w:lang w:val="en-US" w:eastAsia="zh-CN"/>
              </w:rPr>
              <w:t>-</w:t>
            </w:r>
            <w:r>
              <w:rPr>
                <w:rFonts w:hint="eastAsia" w:cs="Times New Roman"/>
                <w:b/>
                <w:bCs w:val="0"/>
                <w:sz w:val="24"/>
                <w:szCs w:val="24"/>
                <w:lang w:val="en-US" w:eastAsia="zh-CN"/>
              </w:rPr>
              <w:t xml:space="preserve">12  </w:t>
            </w:r>
            <w:r>
              <w:rPr>
                <w:rFonts w:hint="default" w:ascii="Times New Roman" w:hAnsi="Times New Roman" w:eastAsia="宋体" w:cs="Times New Roman"/>
                <w:b/>
                <w:bCs w:val="0"/>
                <w:sz w:val="24"/>
                <w:szCs w:val="24"/>
              </w:rPr>
              <w:t>工业企业厂界环境噪声排放标准</w:t>
            </w:r>
            <w:r>
              <w:rPr>
                <w:rFonts w:hint="default" w:ascii="Times New Roman" w:hAnsi="Times New Roman" w:eastAsia="宋体" w:cs="Times New Roman"/>
                <w:b/>
                <w:bCs w:val="0"/>
                <w:szCs w:val="21"/>
              </w:rPr>
              <w:t>单位：dB(A)</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157"/>
              <w:gridCol w:w="2646"/>
              <w:gridCol w:w="334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81" w:hRule="atLeast"/>
                <w:jc w:val="center"/>
              </w:trPr>
              <w:tc>
                <w:tcPr>
                  <w:tcW w:w="1725" w:type="pct"/>
                  <w:vMerge w:val="restart"/>
                  <w:tcBorders>
                    <w:tl2br w:val="nil"/>
                    <w:tr2bl w:val="nil"/>
                  </w:tcBorders>
                  <w:noWrap w:val="0"/>
                  <w:vAlign w:val="center"/>
                </w:tcPr>
                <w:p>
                  <w:pPr>
                    <w:jc w:val="center"/>
                    <w:rPr>
                      <w:rFonts w:hint="eastAsia"/>
                      <w:sz w:val="21"/>
                      <w:szCs w:val="21"/>
                      <w:lang w:eastAsia="zh-CN"/>
                    </w:rPr>
                  </w:pPr>
                  <w:r>
                    <w:rPr>
                      <w:rFonts w:hint="eastAsia"/>
                      <w:sz w:val="21"/>
                      <w:szCs w:val="21"/>
                      <w:lang w:val="en-US" w:eastAsia="zh-CN"/>
                    </w:rPr>
                    <w:t>标准类别</w:t>
                  </w:r>
                </w:p>
              </w:tc>
              <w:tc>
                <w:tcPr>
                  <w:tcW w:w="3274" w:type="pct"/>
                  <w:gridSpan w:val="2"/>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标准限值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725" w:type="pct"/>
                  <w:vMerge w:val="continue"/>
                  <w:tcBorders>
                    <w:tl2br w:val="nil"/>
                    <w:tr2bl w:val="nil"/>
                  </w:tcBorders>
                  <w:noWrap w:val="0"/>
                  <w:vAlign w:val="center"/>
                </w:tcPr>
                <w:p>
                  <w:pPr>
                    <w:jc w:val="center"/>
                    <w:rPr>
                      <w:sz w:val="21"/>
                      <w:szCs w:val="21"/>
                    </w:rPr>
                  </w:pPr>
                </w:p>
              </w:tc>
              <w:tc>
                <w:tcPr>
                  <w:tcW w:w="1446" w:type="pct"/>
                  <w:tcBorders>
                    <w:tl2br w:val="nil"/>
                    <w:tr2bl w:val="nil"/>
                  </w:tcBorders>
                  <w:noWrap w:val="0"/>
                  <w:vAlign w:val="center"/>
                </w:tcPr>
                <w:p>
                  <w:pPr>
                    <w:jc w:val="center"/>
                    <w:rPr>
                      <w:rFonts w:hint="default"/>
                      <w:sz w:val="21"/>
                      <w:szCs w:val="21"/>
                      <w:lang w:val="en-US" w:eastAsia="zh-CN"/>
                    </w:rPr>
                  </w:pPr>
                  <w:r>
                    <w:rPr>
                      <w:rFonts w:hint="eastAsia"/>
                      <w:sz w:val="21"/>
                      <w:szCs w:val="21"/>
                    </w:rPr>
                    <w:t>昼间</w:t>
                  </w:r>
                </w:p>
              </w:tc>
              <w:tc>
                <w:tcPr>
                  <w:tcW w:w="1828" w:type="pct"/>
                  <w:tcBorders>
                    <w:tl2br w:val="nil"/>
                    <w:tr2bl w:val="nil"/>
                  </w:tcBorders>
                  <w:noWrap w:val="0"/>
                  <w:vAlign w:val="center"/>
                </w:tcPr>
                <w:p>
                  <w:pPr>
                    <w:jc w:val="center"/>
                    <w:rPr>
                      <w:rFonts w:hint="eastAsia"/>
                      <w:sz w:val="21"/>
                      <w:szCs w:val="21"/>
                      <w:lang w:val="en-US" w:eastAsia="zh-CN"/>
                    </w:rPr>
                  </w:pPr>
                  <w:r>
                    <w:rPr>
                      <w:rFonts w:hint="eastAsia"/>
                      <w:sz w:val="21"/>
                      <w:szCs w:val="21"/>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30" w:hRule="atLeast"/>
                <w:jc w:val="center"/>
              </w:trPr>
              <w:tc>
                <w:tcPr>
                  <w:tcW w:w="1725" w:type="pct"/>
                  <w:tcBorders>
                    <w:tl2br w:val="nil"/>
                    <w:tr2bl w:val="nil"/>
                  </w:tcBorders>
                  <w:noWrap w:val="0"/>
                  <w:vAlign w:val="center"/>
                </w:tcPr>
                <w:p>
                  <w:pPr>
                    <w:jc w:val="center"/>
                    <w:rPr>
                      <w:sz w:val="21"/>
                      <w:szCs w:val="21"/>
                    </w:rPr>
                  </w:pPr>
                  <w:r>
                    <w:rPr>
                      <w:rFonts w:hint="eastAsia"/>
                      <w:sz w:val="21"/>
                      <w:szCs w:val="21"/>
                      <w:lang w:val="en-US" w:eastAsia="zh-CN"/>
                    </w:rPr>
                    <w:t>3</w:t>
                  </w:r>
                  <w:r>
                    <w:rPr>
                      <w:rFonts w:hint="eastAsia"/>
                      <w:sz w:val="21"/>
                      <w:szCs w:val="21"/>
                    </w:rPr>
                    <w:t>类</w:t>
                  </w:r>
                  <w:r>
                    <w:rPr>
                      <w:rFonts w:hint="eastAsia"/>
                      <w:sz w:val="21"/>
                      <w:szCs w:val="21"/>
                      <w:lang w:eastAsia="zh-CN"/>
                    </w:rPr>
                    <w:t>标准</w:t>
                  </w:r>
                </w:p>
              </w:tc>
              <w:tc>
                <w:tcPr>
                  <w:tcW w:w="1446"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65</w:t>
                  </w:r>
                </w:p>
              </w:tc>
              <w:tc>
                <w:tcPr>
                  <w:tcW w:w="1828"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b/>
                <w:sz w:val="24"/>
                <w:szCs w:val="24"/>
              </w:rPr>
            </w:pPr>
            <w:r>
              <w:rPr>
                <w:rFonts w:hint="eastAsia"/>
                <w:b/>
                <w:sz w:val="24"/>
                <w:szCs w:val="24"/>
                <w:lang w:val="en-US" w:eastAsia="zh-CN"/>
              </w:rPr>
              <w:t>4</w:t>
            </w:r>
            <w:r>
              <w:rPr>
                <w:rFonts w:hint="eastAsia"/>
                <w:b/>
                <w:sz w:val="24"/>
                <w:szCs w:val="24"/>
              </w:rPr>
              <w:t>、固废</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kern w:val="2"/>
                <w:sz w:val="28"/>
                <w:szCs w:val="24"/>
                <w:lang w:val="en-US" w:eastAsia="zh-CN" w:bidi="ar-SA"/>
              </w:rPr>
            </w:pPr>
            <w:r>
              <w:rPr>
                <w:sz w:val="24"/>
              </w:rPr>
              <w:t>《</w:t>
            </w:r>
            <w:r>
              <w:rPr>
                <w:rFonts w:hint="eastAsia"/>
                <w:sz w:val="24"/>
              </w:rPr>
              <w:t>一般工业固体废物贮存和填埋污染控制标准</w:t>
            </w:r>
            <w:r>
              <w:rPr>
                <w:sz w:val="24"/>
              </w:rPr>
              <w:t>》（GB18599-20</w:t>
            </w:r>
            <w:r>
              <w:rPr>
                <w:rFonts w:hint="eastAsia"/>
                <w:sz w:val="24"/>
                <w:lang w:val="en-US" w:eastAsia="zh-CN"/>
              </w:rPr>
              <w:t>20</w:t>
            </w:r>
            <w:r>
              <w:rPr>
                <w:sz w:val="24"/>
              </w:rPr>
              <w:t>）</w:t>
            </w:r>
            <w:r>
              <w:rPr>
                <w:rFonts w:hint="eastAsia"/>
                <w:sz w:val="24"/>
                <w:lang w:eastAsia="zh-CN"/>
              </w:rPr>
              <w:t>；</w:t>
            </w:r>
            <w:r>
              <w:rPr>
                <w:rFonts w:hint="eastAsia"/>
                <w:sz w:val="24"/>
                <w:szCs w:val="24"/>
                <w:lang w:val="en-US" w:eastAsia="zh-CN"/>
              </w:rPr>
              <w:t>危险固废的贮存和处置方法执行《危险废物贮存污染控制标准》（GB18597-2001）及修改单标准中的规定。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总量</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控制</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指标</w:t>
            </w:r>
          </w:p>
        </w:tc>
        <w:tc>
          <w:tcPr>
            <w:tcW w:w="4710" w:type="pct"/>
            <w:noWrap w:val="0"/>
            <w:vAlign w:val="center"/>
          </w:tcPr>
          <w:p>
            <w:pPr>
              <w:spacing w:line="360" w:lineRule="auto"/>
              <w:ind w:firstLine="480" w:firstLineChars="20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snapToGrid w:val="0"/>
                <w:kern w:val="0"/>
                <w:sz w:val="24"/>
                <w:szCs w:val="24"/>
              </w:rPr>
              <w:t>根据国家</w:t>
            </w:r>
            <w:r>
              <w:rPr>
                <w:rFonts w:hint="eastAsia" w:cs="Times New Roman"/>
                <w:snapToGrid w:val="0"/>
                <w:kern w:val="0"/>
                <w:sz w:val="24"/>
                <w:szCs w:val="24"/>
                <w:lang w:val="en-US" w:eastAsia="zh-CN"/>
              </w:rPr>
              <w:t>相关</w:t>
            </w:r>
            <w:r>
              <w:rPr>
                <w:rFonts w:hint="default" w:ascii="Times New Roman" w:hAnsi="Times New Roman" w:eastAsia="宋体" w:cs="Times New Roman"/>
                <w:snapToGrid w:val="0"/>
                <w:kern w:val="0"/>
                <w:sz w:val="24"/>
                <w:szCs w:val="24"/>
              </w:rPr>
              <w:t>总量控制要求，目前对COD、氨氮、SO</w:t>
            </w:r>
            <w:r>
              <w:rPr>
                <w:rFonts w:hint="default" w:ascii="Times New Roman" w:hAnsi="Times New Roman" w:eastAsia="宋体" w:cs="Times New Roman"/>
                <w:snapToGrid w:val="0"/>
                <w:kern w:val="0"/>
                <w:sz w:val="24"/>
                <w:szCs w:val="24"/>
                <w:vertAlign w:val="subscript"/>
              </w:rPr>
              <w:t>2</w:t>
            </w:r>
            <w:r>
              <w:rPr>
                <w:rFonts w:hint="default" w:ascii="Times New Roman" w:hAnsi="Times New Roman" w:eastAsia="宋体" w:cs="Times New Roman"/>
                <w:snapToGrid w:val="0"/>
                <w:kern w:val="0"/>
                <w:sz w:val="24"/>
                <w:szCs w:val="24"/>
              </w:rPr>
              <w:t>、NO</w:t>
            </w:r>
            <w:r>
              <w:rPr>
                <w:rFonts w:hint="default" w:ascii="Times New Roman" w:hAnsi="Times New Roman" w:eastAsia="宋体" w:cs="Times New Roman"/>
                <w:snapToGrid w:val="0"/>
                <w:kern w:val="0"/>
                <w:sz w:val="24"/>
                <w:szCs w:val="24"/>
                <w:vertAlign w:val="subscript"/>
              </w:rPr>
              <w:t>X</w:t>
            </w:r>
            <w:r>
              <w:rPr>
                <w:rFonts w:hint="eastAsia" w:cs="Times New Roman"/>
                <w:snapToGrid w:val="0"/>
                <w:kern w:val="0"/>
                <w:sz w:val="24"/>
                <w:szCs w:val="24"/>
                <w:vertAlign w:val="baseline"/>
                <w:lang w:eastAsia="zh-CN"/>
              </w:rPr>
              <w:t>、</w:t>
            </w:r>
            <w:r>
              <w:rPr>
                <w:rFonts w:hint="eastAsia" w:cs="Times New Roman"/>
                <w:snapToGrid w:val="0"/>
                <w:kern w:val="0"/>
                <w:sz w:val="24"/>
                <w:szCs w:val="24"/>
                <w:vertAlign w:val="baseline"/>
                <w:lang w:val="en-US" w:eastAsia="zh-CN"/>
              </w:rPr>
              <w:t>VOCs以及颗粒物</w:t>
            </w:r>
            <w:r>
              <w:rPr>
                <w:rFonts w:hint="eastAsia" w:cs="Times New Roman"/>
                <w:snapToGrid w:val="0"/>
                <w:kern w:val="0"/>
                <w:sz w:val="24"/>
                <w:szCs w:val="24"/>
                <w:lang w:val="en-US" w:eastAsia="zh-CN"/>
              </w:rPr>
              <w:t>六</w:t>
            </w:r>
            <w:r>
              <w:rPr>
                <w:rFonts w:hint="default" w:ascii="Times New Roman" w:hAnsi="Times New Roman" w:eastAsia="宋体" w:cs="Times New Roman"/>
                <w:snapToGrid w:val="0"/>
                <w:kern w:val="0"/>
                <w:sz w:val="24"/>
                <w:szCs w:val="24"/>
              </w:rPr>
              <w:t>种主要污染物实行排放总量控制。</w:t>
            </w:r>
          </w:p>
          <w:p>
            <w:pPr>
              <w:spacing w:line="360" w:lineRule="auto"/>
              <w:ind w:firstLine="482" w:firstLineChars="200"/>
              <w:rPr>
                <w:rFonts w:hint="eastAsia" w:cs="Times New Roman"/>
                <w:b/>
                <w:bCs/>
                <w:snapToGrid w:val="0"/>
                <w:color w:val="auto"/>
                <w:kern w:val="0"/>
                <w:sz w:val="24"/>
                <w:szCs w:val="24"/>
                <w:lang w:val="en-US" w:eastAsia="zh-CN"/>
              </w:rPr>
            </w:pPr>
            <w:r>
              <w:rPr>
                <w:rFonts w:hint="eastAsia" w:cs="Times New Roman"/>
                <w:b/>
                <w:bCs/>
                <w:snapToGrid w:val="0"/>
                <w:color w:val="auto"/>
                <w:kern w:val="0"/>
                <w:sz w:val="24"/>
                <w:szCs w:val="24"/>
                <w:lang w:val="en-US" w:eastAsia="zh-CN"/>
              </w:rPr>
              <w:t>（1）废水：</w:t>
            </w:r>
          </w:p>
          <w:p>
            <w:pPr>
              <w:spacing w:line="360" w:lineRule="auto"/>
              <w:ind w:firstLine="480" w:firstLineChars="200"/>
              <w:rPr>
                <w:rFonts w:hint="eastAsia" w:cs="Times New Roman"/>
                <w:snapToGrid w:val="0"/>
                <w:color w:val="auto"/>
                <w:kern w:val="0"/>
                <w:sz w:val="24"/>
                <w:szCs w:val="24"/>
                <w:lang w:val="en-US" w:eastAsia="zh-CN"/>
              </w:rPr>
            </w:pPr>
            <w:r>
              <w:rPr>
                <w:rFonts w:hint="eastAsia" w:cs="Times New Roman"/>
                <w:snapToGrid w:val="0"/>
                <w:color w:val="auto"/>
                <w:kern w:val="0"/>
                <w:sz w:val="24"/>
                <w:szCs w:val="24"/>
                <w:lang w:val="en-US" w:eastAsia="zh-CN"/>
              </w:rPr>
              <w:t>项目外排水量为864m</w:t>
            </w:r>
            <w:r>
              <w:rPr>
                <w:rFonts w:hint="eastAsia" w:cs="Times New Roman"/>
                <w:snapToGrid w:val="0"/>
                <w:color w:val="auto"/>
                <w:kern w:val="0"/>
                <w:sz w:val="24"/>
                <w:szCs w:val="24"/>
                <w:vertAlign w:val="superscript"/>
                <w:lang w:val="en-US" w:eastAsia="zh-CN"/>
              </w:rPr>
              <w:t>3</w:t>
            </w:r>
            <w:r>
              <w:rPr>
                <w:rFonts w:hint="eastAsia" w:cs="Times New Roman"/>
                <w:snapToGrid w:val="0"/>
                <w:color w:val="auto"/>
                <w:kern w:val="0"/>
                <w:sz w:val="24"/>
                <w:szCs w:val="24"/>
                <w:lang w:val="en-US" w:eastAsia="zh-CN"/>
              </w:rPr>
              <w:t>/a，项目COD、NH</w:t>
            </w:r>
            <w:r>
              <w:rPr>
                <w:rFonts w:hint="eastAsia" w:cs="Times New Roman"/>
                <w:snapToGrid w:val="0"/>
                <w:color w:val="auto"/>
                <w:kern w:val="0"/>
                <w:sz w:val="24"/>
                <w:szCs w:val="24"/>
                <w:vertAlign w:val="subscript"/>
                <w:lang w:val="en-US" w:eastAsia="zh-CN"/>
              </w:rPr>
              <w:t>3</w:t>
            </w:r>
            <w:r>
              <w:rPr>
                <w:rFonts w:hint="eastAsia" w:cs="Times New Roman"/>
                <w:snapToGrid w:val="0"/>
                <w:color w:val="auto"/>
                <w:kern w:val="0"/>
                <w:sz w:val="24"/>
                <w:szCs w:val="24"/>
                <w:lang w:val="en-US" w:eastAsia="zh-CN"/>
              </w:rPr>
              <w:t>-N出厂界总量控制指标按照COD289mg/L、NH</w:t>
            </w:r>
            <w:r>
              <w:rPr>
                <w:rFonts w:hint="eastAsia" w:cs="Times New Roman"/>
                <w:snapToGrid w:val="0"/>
                <w:color w:val="auto"/>
                <w:kern w:val="0"/>
                <w:sz w:val="24"/>
                <w:szCs w:val="24"/>
                <w:vertAlign w:val="subscript"/>
                <w:lang w:val="en-US" w:eastAsia="zh-CN"/>
              </w:rPr>
              <w:t>3</w:t>
            </w:r>
            <w:r>
              <w:rPr>
                <w:rFonts w:hint="eastAsia" w:cs="Times New Roman"/>
                <w:snapToGrid w:val="0"/>
                <w:color w:val="auto"/>
                <w:kern w:val="0"/>
                <w:sz w:val="24"/>
                <w:szCs w:val="24"/>
                <w:lang w:val="en-US" w:eastAsia="zh-CN"/>
              </w:rPr>
              <w:t>-N38.8mg/L核算；进入外环境采用宝丰县产业集聚区污水处理厂出水浓度污染物浓度COD50mg/L、氨氮5mg/L进行核算。</w:t>
            </w:r>
          </w:p>
          <w:p>
            <w:pPr>
              <w:spacing w:line="360" w:lineRule="auto"/>
              <w:ind w:firstLine="480" w:firstLineChars="200"/>
              <w:rPr>
                <w:rFonts w:hint="eastAsia" w:cs="Times New Roman"/>
                <w:snapToGrid w:val="0"/>
                <w:color w:val="auto"/>
                <w:kern w:val="0"/>
                <w:sz w:val="24"/>
                <w:szCs w:val="24"/>
                <w:lang w:val="en-US" w:eastAsia="zh-CN"/>
              </w:rPr>
            </w:pPr>
            <w:r>
              <w:rPr>
                <w:rFonts w:hint="eastAsia" w:cs="Times New Roman"/>
                <w:snapToGrid w:val="0"/>
                <w:color w:val="auto"/>
                <w:kern w:val="0"/>
                <w:sz w:val="24"/>
                <w:szCs w:val="24"/>
                <w:lang w:val="en-US" w:eastAsia="zh-CN"/>
              </w:rPr>
              <w:t>①出厂界：项目COD、NH</w:t>
            </w:r>
            <w:r>
              <w:rPr>
                <w:rFonts w:hint="eastAsia" w:cs="Times New Roman"/>
                <w:snapToGrid w:val="0"/>
                <w:color w:val="auto"/>
                <w:kern w:val="0"/>
                <w:sz w:val="24"/>
                <w:szCs w:val="24"/>
                <w:vertAlign w:val="subscript"/>
                <w:lang w:val="en-US" w:eastAsia="zh-CN"/>
              </w:rPr>
              <w:t>3</w:t>
            </w:r>
            <w:r>
              <w:rPr>
                <w:rFonts w:hint="eastAsia" w:cs="Times New Roman"/>
                <w:snapToGrid w:val="0"/>
                <w:color w:val="auto"/>
                <w:kern w:val="0"/>
                <w:sz w:val="24"/>
                <w:szCs w:val="24"/>
                <w:lang w:val="en-US" w:eastAsia="zh-CN"/>
              </w:rPr>
              <w:t>-N出厂界处总量指标分别为0.25t/a、0.034t/a。</w:t>
            </w:r>
          </w:p>
          <w:p>
            <w:pPr>
              <w:spacing w:line="360" w:lineRule="auto"/>
              <w:ind w:firstLine="480" w:firstLineChars="200"/>
              <w:rPr>
                <w:rFonts w:hint="eastAsia" w:cs="Times New Roman"/>
                <w:snapToGrid w:val="0"/>
                <w:color w:val="auto"/>
                <w:kern w:val="0"/>
                <w:sz w:val="24"/>
                <w:szCs w:val="24"/>
                <w:lang w:val="en-US" w:eastAsia="zh-CN"/>
              </w:rPr>
            </w:pPr>
            <w:r>
              <w:rPr>
                <w:rFonts w:hint="eastAsia" w:cs="Times New Roman"/>
                <w:snapToGrid w:val="0"/>
                <w:color w:val="auto"/>
                <w:kern w:val="0"/>
                <w:sz w:val="24"/>
                <w:szCs w:val="24"/>
                <w:lang w:val="en-US" w:eastAsia="zh-CN"/>
              </w:rPr>
              <w:t>②入外环境：项目COD、NH</w:t>
            </w:r>
            <w:r>
              <w:rPr>
                <w:rFonts w:hint="eastAsia" w:cs="Times New Roman"/>
                <w:snapToGrid w:val="0"/>
                <w:color w:val="auto"/>
                <w:kern w:val="0"/>
                <w:sz w:val="24"/>
                <w:szCs w:val="24"/>
                <w:vertAlign w:val="subscript"/>
                <w:lang w:val="en-US" w:eastAsia="zh-CN"/>
              </w:rPr>
              <w:t>3</w:t>
            </w:r>
            <w:r>
              <w:rPr>
                <w:rFonts w:hint="eastAsia" w:cs="Times New Roman"/>
                <w:snapToGrid w:val="0"/>
                <w:color w:val="auto"/>
                <w:kern w:val="0"/>
                <w:sz w:val="24"/>
                <w:szCs w:val="24"/>
                <w:lang w:val="en-US" w:eastAsia="zh-CN"/>
              </w:rPr>
              <w:t>-N入外环境总量控制指标为0.0432t/a、0.0043t/a。</w:t>
            </w:r>
          </w:p>
          <w:p>
            <w:pPr>
              <w:spacing w:line="360" w:lineRule="auto"/>
              <w:ind w:firstLine="482" w:firstLineChars="200"/>
              <w:rPr>
                <w:rFonts w:hint="eastAsia" w:cs="Times New Roman"/>
                <w:b/>
                <w:bCs/>
                <w:snapToGrid w:val="0"/>
                <w:color w:val="auto"/>
                <w:kern w:val="0"/>
                <w:sz w:val="24"/>
                <w:szCs w:val="24"/>
                <w:lang w:val="en-US" w:eastAsia="zh-CN"/>
              </w:rPr>
            </w:pPr>
            <w:r>
              <w:rPr>
                <w:rFonts w:hint="eastAsia" w:cs="Times New Roman"/>
                <w:b/>
                <w:bCs/>
                <w:snapToGrid w:val="0"/>
                <w:color w:val="auto"/>
                <w:kern w:val="0"/>
                <w:sz w:val="24"/>
                <w:szCs w:val="24"/>
                <w:lang w:val="en-US" w:eastAsia="zh-CN"/>
              </w:rPr>
              <w:t>（2）废气</w:t>
            </w:r>
          </w:p>
          <w:p>
            <w:pPr>
              <w:spacing w:line="360" w:lineRule="auto"/>
              <w:ind w:firstLine="480" w:firstLineChars="200"/>
              <w:rPr>
                <w:rFonts w:hint="eastAsia" w:cs="Times New Roman"/>
                <w:snapToGrid w:val="0"/>
                <w:kern w:val="0"/>
                <w:sz w:val="24"/>
                <w:szCs w:val="24"/>
                <w:lang w:val="en-US" w:eastAsia="zh-CN"/>
              </w:rPr>
            </w:pPr>
            <w:r>
              <w:rPr>
                <w:rFonts w:hint="eastAsia" w:cs="Times New Roman"/>
                <w:snapToGrid w:val="0"/>
                <w:color w:val="auto"/>
                <w:kern w:val="0"/>
                <w:sz w:val="24"/>
                <w:szCs w:val="24"/>
                <w:lang w:val="en-US" w:eastAsia="zh-CN"/>
              </w:rPr>
              <w:t>项目所用能源为电能，无SO</w:t>
            </w:r>
            <w:r>
              <w:rPr>
                <w:rFonts w:hint="eastAsia" w:cs="Times New Roman"/>
                <w:snapToGrid w:val="0"/>
                <w:color w:val="auto"/>
                <w:kern w:val="0"/>
                <w:sz w:val="24"/>
                <w:szCs w:val="24"/>
                <w:vertAlign w:val="subscript"/>
                <w:lang w:val="en-US" w:eastAsia="zh-CN"/>
              </w:rPr>
              <w:t>2</w:t>
            </w:r>
            <w:r>
              <w:rPr>
                <w:rFonts w:hint="eastAsia" w:cs="Times New Roman"/>
                <w:snapToGrid w:val="0"/>
                <w:color w:val="auto"/>
                <w:kern w:val="0"/>
                <w:sz w:val="24"/>
                <w:szCs w:val="24"/>
                <w:lang w:val="en-US" w:eastAsia="zh-CN"/>
              </w:rPr>
              <w:t>、NO</w:t>
            </w:r>
            <w:r>
              <w:rPr>
                <w:rFonts w:hint="eastAsia" w:cs="Times New Roman"/>
                <w:snapToGrid w:val="0"/>
                <w:color w:val="auto"/>
                <w:kern w:val="0"/>
                <w:sz w:val="24"/>
                <w:szCs w:val="24"/>
                <w:vertAlign w:val="subscript"/>
                <w:lang w:val="en-US" w:eastAsia="zh-CN"/>
              </w:rPr>
              <w:t>X</w:t>
            </w:r>
            <w:r>
              <w:rPr>
                <w:rFonts w:hint="eastAsia" w:cs="Times New Roman"/>
                <w:snapToGrid w:val="0"/>
                <w:color w:val="auto"/>
                <w:kern w:val="0"/>
                <w:sz w:val="24"/>
                <w:szCs w:val="24"/>
                <w:lang w:val="en-US" w:eastAsia="zh-CN"/>
              </w:rPr>
              <w:t>产生。项目废气主要为颗粒物和有机废气（以非甲烷总烃计）。项目颗粒物排放量为0.34252t/a，有机废气（非甲烷总烃和二甲苯）排放量为0.51636t/a。</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宋体" w:hAnsi="宋体" w:eastAsia="宋体" w:cs="宋体"/>
          <w:b/>
          <w:bCs/>
          <w:snapToGrid w:val="0"/>
          <w:sz w:val="30"/>
          <w:szCs w:val="30"/>
        </w:rPr>
        <w:t>四、主要环境影响和保护措施</w:t>
      </w:r>
    </w:p>
    <w:tbl>
      <w:tblPr>
        <w:tblStyle w:val="24"/>
        <w:tblW w:w="51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41" w:type="pct"/>
            <w:noWrap w:val="0"/>
            <w:tcMar>
              <w:left w:w="28" w:type="dxa"/>
              <w:right w:w="28" w:type="dxa"/>
            </w:tcMar>
            <w:vAlign w:val="center"/>
          </w:tcPr>
          <w:p>
            <w:pPr>
              <w:pStyle w:val="22"/>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施工</w:t>
            </w:r>
          </w:p>
          <w:p>
            <w:pPr>
              <w:pStyle w:val="22"/>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期环</w:t>
            </w:r>
          </w:p>
          <w:p>
            <w:pPr>
              <w:pStyle w:val="22"/>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境保</w:t>
            </w:r>
          </w:p>
          <w:p>
            <w:pPr>
              <w:pStyle w:val="22"/>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护措</w:t>
            </w:r>
          </w:p>
          <w:p>
            <w:pPr>
              <w:pStyle w:val="22"/>
              <w:adjustRightInd w:val="0"/>
              <w:snapToGrid w:val="0"/>
              <w:spacing w:before="0" w:beforeAutospacing="0" w:after="0" w:afterAutospacing="0"/>
              <w:jc w:val="center"/>
              <w:rPr>
                <w:rFonts w:hint="default" w:ascii="Times New Roman" w:hAnsi="Times New Roman" w:cs="Times New Roman"/>
                <w:b/>
                <w:bCs/>
                <w:kern w:val="2"/>
                <w:sz w:val="24"/>
                <w:szCs w:val="24"/>
              </w:rPr>
            </w:pPr>
            <w:r>
              <w:rPr>
                <w:rFonts w:hint="default" w:ascii="Times New Roman" w:hAnsi="Times New Roman" w:cs="Times New Roman"/>
                <w:b/>
                <w:bCs/>
                <w:kern w:val="2"/>
                <w:sz w:val="24"/>
                <w:szCs w:val="24"/>
              </w:rPr>
              <w:t>施</w:t>
            </w:r>
          </w:p>
        </w:tc>
        <w:tc>
          <w:tcPr>
            <w:tcW w:w="47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一、施工期环境影响分析</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color w:val="FF0000"/>
                <w:spacing w:val="0"/>
                <w:sz w:val="24"/>
                <w:szCs w:val="24"/>
                <w:lang w:val="en-US" w:eastAsia="zh-CN"/>
              </w:rPr>
            </w:pPr>
            <w:r>
              <w:rPr>
                <w:rFonts w:hint="default" w:ascii="Times New Roman" w:hAnsi="Times New Roman" w:cs="Times New Roman"/>
                <w:bCs/>
              </w:rPr>
              <w:object>
                <v:shape id="_x0000_i1029" o:spt="75" type="#_x0000_t75" style="height:131.35pt;width:425.8pt;" o:ole="t" filled="f" o:preferrelative="t" stroked="f" coordsize="21600,21600">
                  <v:path/>
                  <v:fill on="f" focussize="0,0"/>
                  <v:stroke on="f"/>
                  <v:imagedata r:id="rId25" o:title=""/>
                  <o:lock v:ext="edit" aspectratio="f"/>
                  <w10:wrap type="none"/>
                  <w10:anchorlock/>
                </v:shape>
                <o:OLEObject Type="Embed" ProgID="Visio.Drawing.15" ShapeID="_x0000_i1029" DrawAspect="Content" ObjectID="_1468075729" r:id="rId24">
                  <o:LockedField>false</o:LockedField>
                </o:OLEObject>
              </w:object>
            </w:r>
          </w:p>
          <w:p>
            <w:pPr>
              <w:pStyle w:val="3"/>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图4-1施工期项目工艺流程及主要污染工序图</w:t>
            </w:r>
          </w:p>
          <w:p>
            <w:pPr>
              <w:pStyle w:val="39"/>
              <w:adjustRightInd w:val="0"/>
              <w:snapToGrid w:val="0"/>
              <w:spacing w:line="360" w:lineRule="auto"/>
              <w:ind w:firstLine="480"/>
              <w:rPr>
                <w:rFonts w:hint="default" w:ascii="Times New Roman" w:hAnsi="Times New Roman" w:cs="Times New Roman"/>
                <w:szCs w:val="24"/>
              </w:rPr>
            </w:pPr>
            <w:r>
              <w:rPr>
                <w:rFonts w:hint="default" w:ascii="Times New Roman" w:hAnsi="Times New Roman" w:cs="Times New Roman"/>
                <w:szCs w:val="24"/>
              </w:rPr>
              <w:t>根据企业提供资料可知，本项目主要租赁</w:t>
            </w:r>
            <w:r>
              <w:rPr>
                <w:rFonts w:hint="default" w:ascii="Times New Roman" w:hAnsi="Times New Roman" w:cs="Times New Roman"/>
                <w:szCs w:val="24"/>
                <w:lang w:val="en-US" w:eastAsia="zh-CN"/>
              </w:rPr>
              <w:t>河南旭原不锈钢有限公司</w:t>
            </w:r>
            <w:r>
              <w:rPr>
                <w:rFonts w:hint="default" w:ascii="Times New Roman" w:hAnsi="Times New Roman" w:cs="Times New Roman"/>
              </w:rPr>
              <w:t>厂区内闲置厂房（配备办公场所）</w:t>
            </w:r>
            <w:r>
              <w:rPr>
                <w:rFonts w:hint="default" w:ascii="Times New Roman" w:hAnsi="Times New Roman" w:cs="Times New Roman"/>
                <w:szCs w:val="24"/>
              </w:rPr>
              <w:t>，建设</w:t>
            </w:r>
            <w:r>
              <w:rPr>
                <w:rFonts w:hint="default" w:ascii="Times New Roman" w:hAnsi="Times New Roman" w:cs="Times New Roman"/>
                <w:szCs w:val="24"/>
                <w:lang w:val="en-US" w:eastAsia="zh-CN"/>
              </w:rPr>
              <w:t>塑料颗粒加工生产线</w:t>
            </w:r>
            <w:r>
              <w:rPr>
                <w:rFonts w:hint="default" w:ascii="Times New Roman" w:hAnsi="Times New Roman" w:cs="Times New Roman"/>
                <w:szCs w:val="24"/>
              </w:rPr>
              <w:t>。</w:t>
            </w:r>
            <w:r>
              <w:rPr>
                <w:rFonts w:hint="default" w:ascii="Times New Roman" w:hAnsi="Times New Roman" w:cs="Times New Roman"/>
                <w:szCs w:val="24"/>
                <w:lang w:val="en-US" w:eastAsia="zh-CN"/>
              </w:rPr>
              <w:t>根据现场调查，厂房内</w:t>
            </w:r>
            <w:r>
              <w:rPr>
                <w:rFonts w:hint="default" w:ascii="Times New Roman" w:hAnsi="Times New Roman" w:cs="Times New Roman"/>
                <w:szCs w:val="24"/>
              </w:rPr>
              <w:t>部均已完成硬化，因此本项目生产线建设施工内容主要为生产设备、环保设备的安装与调试，</w:t>
            </w:r>
            <w:r>
              <w:rPr>
                <w:rFonts w:hint="default" w:ascii="Times New Roman" w:hAnsi="Times New Roman" w:cs="Times New Roman"/>
                <w:szCs w:val="24"/>
                <w:lang w:val="en-US" w:eastAsia="zh-CN"/>
              </w:rPr>
              <w:t>工程量较少</w:t>
            </w:r>
            <w:r>
              <w:rPr>
                <w:rFonts w:hint="default" w:ascii="Times New Roman" w:hAnsi="Times New Roman" w:cs="Times New Roman"/>
                <w:szCs w:val="24"/>
                <w:lang w:eastAsia="zh-CN"/>
              </w:rPr>
              <w:t>。</w:t>
            </w:r>
            <w:r>
              <w:rPr>
                <w:rFonts w:hint="default" w:ascii="Times New Roman" w:hAnsi="Times New Roman" w:cs="Times New Roman"/>
                <w:szCs w:val="24"/>
              </w:rPr>
              <w:t>因此本项目施工过程中将产生施工扬尘、运输车辆及作业机械产生的废气、噪声、固体废物、施工废水、生活污水等污染物。</w:t>
            </w:r>
          </w:p>
          <w:p>
            <w:pPr>
              <w:wordWrap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1、施工期废气影响分析</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施工期的主要大气污染为施工扬尘。在整个建设施工阶段，</w:t>
            </w:r>
            <w:r>
              <w:rPr>
                <w:rFonts w:hint="default" w:ascii="Times New Roman" w:hAnsi="Times New Roman" w:cs="Times New Roman"/>
                <w:bCs/>
                <w:color w:val="000000"/>
                <w:sz w:val="24"/>
                <w:lang w:eastAsia="zh-CN"/>
              </w:rPr>
              <w:t>场地</w:t>
            </w:r>
            <w:r>
              <w:rPr>
                <w:rFonts w:hint="default" w:ascii="Times New Roman" w:hAnsi="Times New Roman" w:cs="Times New Roman"/>
                <w:bCs/>
                <w:sz w:val="24"/>
              </w:rPr>
              <w:t>进行平整、对厂房进行改造以及</w:t>
            </w:r>
            <w:r>
              <w:rPr>
                <w:rFonts w:hint="default" w:ascii="Times New Roman" w:hAnsi="Times New Roman" w:cs="Times New Roman"/>
                <w:bCs/>
                <w:sz w:val="24"/>
                <w:lang w:val="en-US" w:eastAsia="zh-CN"/>
              </w:rPr>
              <w:t>后续</w:t>
            </w:r>
            <w:r>
              <w:rPr>
                <w:rFonts w:hint="default" w:ascii="Times New Roman" w:hAnsi="Times New Roman" w:cs="Times New Roman"/>
                <w:bCs/>
                <w:sz w:val="24"/>
              </w:rPr>
              <w:t>清运厂区内建筑垃圾</w:t>
            </w:r>
            <w:r>
              <w:rPr>
                <w:rFonts w:hint="default" w:ascii="Times New Roman" w:hAnsi="Times New Roman" w:cs="Times New Roman"/>
                <w:bCs/>
                <w:color w:val="000000"/>
                <w:sz w:val="24"/>
              </w:rPr>
              <w:t>等施工作业过程均会产生扬尘。施工扬尘会对周围环境带来一定影响。</w:t>
            </w:r>
          </w:p>
          <w:p>
            <w:pPr>
              <w:wordWrap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w:t>
            </w:r>
            <w:r>
              <w:rPr>
                <w:rFonts w:hint="default" w:ascii="Times New Roman" w:hAnsi="Times New Roman" w:cs="Times New Roman"/>
                <w:b/>
                <w:color w:val="000000"/>
                <w:sz w:val="24"/>
                <w:lang w:val="en-US" w:eastAsia="zh-CN"/>
              </w:rPr>
              <w:t>1</w:t>
            </w:r>
            <w:r>
              <w:rPr>
                <w:rFonts w:hint="default" w:ascii="Times New Roman" w:hAnsi="Times New Roman" w:cs="Times New Roman"/>
                <w:b/>
                <w:color w:val="000000"/>
                <w:sz w:val="24"/>
              </w:rPr>
              <w:t>）施工扬尘</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项目施工过程中通过对厂区地面硬化、洒水抑尘、易产尘物料覆盖、运输车辆密闭及对运输车辆冲洗等措施可有效降低施工粉尘。在施工期间对车辆行驶的路面实施洒水抑尘，可防止施工扬尘的污染。每天对施工场地实施洒水4～5次，可有效地控制施工扬尘，可使扬尘减少80%左右，将TSP污染距离缩小到20～50m范围之内。</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为减轻建设期粉尘对大气环境的影响，根据《关于印发平顶山市20</w:t>
            </w:r>
            <w:r>
              <w:rPr>
                <w:rFonts w:hint="default" w:ascii="Times New Roman" w:hAnsi="Times New Roman" w:cs="Times New Roman"/>
                <w:bCs/>
                <w:color w:val="000000"/>
                <w:sz w:val="24"/>
                <w:lang w:val="en-US" w:eastAsia="zh-CN"/>
              </w:rPr>
              <w:t>22</w:t>
            </w:r>
            <w:r>
              <w:rPr>
                <w:rFonts w:hint="default" w:ascii="Times New Roman" w:hAnsi="Times New Roman" w:cs="Times New Roman"/>
                <w:bCs/>
                <w:color w:val="000000"/>
                <w:sz w:val="24"/>
              </w:rPr>
              <w:t>年大气、水、土壤污染防治攻坚战和农业农村污染治理攻坚战实施方案的通知》（平</w:t>
            </w:r>
            <w:r>
              <w:rPr>
                <w:rFonts w:hint="default" w:ascii="Times New Roman" w:hAnsi="Times New Roman" w:cs="Times New Roman"/>
                <w:bCs/>
                <w:color w:val="000000"/>
                <w:sz w:val="24"/>
                <w:lang w:val="en-US" w:eastAsia="zh-CN"/>
              </w:rPr>
              <w:t>环委办〔</w:t>
            </w:r>
            <w:r>
              <w:rPr>
                <w:rFonts w:hint="default" w:ascii="Times New Roman" w:hAnsi="Times New Roman" w:cs="Times New Roman"/>
                <w:bCs/>
                <w:color w:val="000000"/>
                <w:sz w:val="24"/>
              </w:rPr>
              <w:t>202</w:t>
            </w:r>
            <w:r>
              <w:rPr>
                <w:rFonts w:hint="default" w:ascii="Times New Roman" w:hAnsi="Times New Roman" w:cs="Times New Roman"/>
                <w:bCs/>
                <w:color w:val="000000"/>
                <w:sz w:val="24"/>
                <w:lang w:val="en-US" w:eastAsia="zh-CN"/>
              </w:rPr>
              <w:t>2〕19</w:t>
            </w:r>
            <w:r>
              <w:rPr>
                <w:rFonts w:hint="default" w:ascii="Times New Roman" w:hAnsi="Times New Roman" w:cs="Times New Roman"/>
                <w:bCs/>
                <w:color w:val="000000"/>
                <w:sz w:val="24"/>
              </w:rPr>
              <w:t>号）、《关于印发河南省2022年大气、水、土壤污染防治攻坚战及农业农村污染治理攻坚战实施方案的通知》（豫环委办〔2022〕9号</w:t>
            </w:r>
            <w:r>
              <w:rPr>
                <w:rFonts w:hint="default" w:ascii="Times New Roman" w:hAnsi="Times New Roman" w:cs="Times New Roman"/>
                <w:bCs/>
                <w:color w:val="auto"/>
                <w:sz w:val="24"/>
              </w:rPr>
              <w:t>）</w:t>
            </w:r>
            <w:r>
              <w:rPr>
                <w:rStyle w:val="30"/>
                <w:rFonts w:hint="default" w:ascii="Times New Roman" w:hAnsi="Times New Roman" w:cs="Times New Roman"/>
                <w:color w:val="auto"/>
                <w:kern w:val="0"/>
                <w:lang w:val="en-US" w:eastAsia="zh-CN"/>
              </w:rPr>
              <w:t>以及</w:t>
            </w:r>
            <w:r>
              <w:rPr>
                <w:rFonts w:hint="default" w:ascii="Times New Roman" w:hAnsi="Times New Roman" w:cs="Times New Roman"/>
                <w:bCs/>
                <w:color w:val="auto"/>
                <w:sz w:val="24"/>
              </w:rPr>
              <w:t>《河南省2021年工业企业大气污染物全面达标提升行动方案》</w:t>
            </w:r>
            <w:r>
              <w:rPr>
                <w:rFonts w:hint="default" w:ascii="Times New Roman" w:hAnsi="Times New Roman" w:cs="Times New Roman"/>
                <w:bCs/>
                <w:sz w:val="24"/>
              </w:rPr>
              <w:t>等文件</w:t>
            </w:r>
            <w:r>
              <w:rPr>
                <w:rFonts w:hint="default" w:ascii="Times New Roman" w:hAnsi="Times New Roman" w:cs="Times New Roman"/>
                <w:bCs/>
                <w:color w:val="000000"/>
                <w:sz w:val="24"/>
              </w:rPr>
              <w:t>中的各项措施，本次评价建议采取以下措施：</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①施工前必须做到“六个到位”，即审批到位、报备到位、治理方案到位、配套措施到位、监控到位、人员到位。</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②施工过程中做到开复工验收、“三员”（扬尘污染防治监督员、网格员、管理员）管理、扬尘防治预算管理等制度，建成“两个禁止”（禁止现场搅拌混凝土、禁止现场配置砂浆）信息化监管平台。设置集中堆放临时渣土的场地，不能按时完成清运或利用的，及施工现场裸露的空地应及时采用防尘网覆盖。</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③严格落实施工工地“六个百分之百”即施工现场百分之百围挡、物料堆放百分之百覆盖、裸露地面百分之百绿化或覆盖、进出车辆百分之百冲洗、拆除和土方作业百分之百喷淋、渣土运输车辆百分之百封闭。</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④施工现场出入口、操作场地、材料堆场、场内道路等应进行硬化，并辅以洒水、喷洒抑尘剂等其他有效的防尘措施，保证不扬尘、不泥泞；场地硬化的强度、厚度、宽度应满足安全通行卫生保洁的需要。</w:t>
            </w:r>
          </w:p>
          <w:p>
            <w:pPr>
              <w:wordWrap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（3）机械和运输车辆尾气</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①施工机械、车辆尾气的来源</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施工期间燃油机械设备较多，且一般采用柴油作为动力。燃柴油的大型施工运输车辆如自卸车、载重汽车等尾气排放量及污染物含量均较燃汽油车辆高，作业时会产生一些废气，其中主要污染物为NOx、SO</w:t>
            </w:r>
            <w:r>
              <w:rPr>
                <w:rFonts w:hint="default" w:ascii="Times New Roman" w:hAnsi="Times New Roman" w:cs="Times New Roman"/>
                <w:bCs/>
                <w:color w:val="000000"/>
                <w:sz w:val="24"/>
                <w:vertAlign w:val="subscript"/>
              </w:rPr>
              <w:t>2</w:t>
            </w:r>
            <w:r>
              <w:rPr>
                <w:rFonts w:hint="default" w:ascii="Times New Roman" w:hAnsi="Times New Roman" w:cs="Times New Roman"/>
                <w:bCs/>
                <w:color w:val="000000"/>
                <w:sz w:val="24"/>
              </w:rPr>
              <w:t>和CO。这些酸性气体的排放将影响区域大气环境质量，增加酸雨发生的概率，并影响周围植物的生长。因此施工期间应采取一定措施，减少机动车尾气对大气造成的污染。</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②施工机械、车辆尾气的影响程度及污染控制措施</w:t>
            </w:r>
          </w:p>
          <w:p>
            <w:pPr>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本项目燃油机械所使用的燃料为0#轻质柴油，均从加油站处购买。根据《车用柴油》（GB/T19147-2003）标准规定，轻柴油中S含量＜0.05%，灰分＜0.01%。因此，燃油机械在使用轻质柴油时，燃烧废气中SO</w:t>
            </w:r>
            <w:r>
              <w:rPr>
                <w:rFonts w:hint="default" w:ascii="Times New Roman" w:hAnsi="Times New Roman" w:cs="Times New Roman"/>
                <w:bCs/>
                <w:color w:val="000000"/>
                <w:sz w:val="24"/>
                <w:vertAlign w:val="subscript"/>
              </w:rPr>
              <w:t>2</w:t>
            </w:r>
            <w:r>
              <w:rPr>
                <w:rFonts w:hint="default" w:ascii="Times New Roman" w:hAnsi="Times New Roman" w:cs="Times New Roman"/>
                <w:bCs/>
                <w:color w:val="000000"/>
                <w:sz w:val="24"/>
              </w:rPr>
              <w:t>和颗粒物排放量较少，对周边环境影响不大。为了进一步改善环境空气质量，有效控制施工机械、车辆尾气污染，对固定的机械设备，若运行点在敏感点上风向50m范围以内，需安装尾气净化设施；对燃柴油的大型运输车辆等，需安装尾气净化器，尾气应达标排放。此外，运输车辆禁止超载，不得使用劣质燃料；对车辆尾气的排放应进行监督管理，严格执行汽车排污监管办法相关规定，避免排放黑烟。在此前提下，拟建项目对周边环境影响较小。</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同时由于施工时间较短，施工扬尘对大气环境的污染随着施工期的结束也一并消失，预计此部分污染物对周围环境影响较小。</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综上所述，本项目在采取上述各项环保措施后，项目施工过程中产生的各项大气污染均能得到合理有效的处理，对周围环境影响较小。</w:t>
            </w:r>
          </w:p>
          <w:p>
            <w:pPr>
              <w:wordWrap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2、施工期废水影响分析</w:t>
            </w:r>
          </w:p>
          <w:p>
            <w:pPr>
              <w:wordWrap w:val="0"/>
              <w:spacing w:line="360" w:lineRule="auto"/>
              <w:ind w:firstLine="480" w:firstLineChars="200"/>
              <w:rPr>
                <w:rFonts w:hint="default" w:ascii="Times New Roman" w:hAnsi="Times New Roman" w:cs="Times New Roman"/>
                <w:bCs/>
                <w:color w:val="0000FF"/>
                <w:sz w:val="24"/>
              </w:rPr>
            </w:pPr>
            <w:r>
              <w:rPr>
                <w:rFonts w:hint="default" w:ascii="Times New Roman" w:hAnsi="Times New Roman" w:cs="Times New Roman"/>
                <w:bCs/>
                <w:color w:val="000000"/>
                <w:sz w:val="24"/>
              </w:rPr>
              <w:t>建设项目施工期间产生的污水主要包括：含泥沙的施工废水、机械设备的冲洗水、生活污水等。含泥沙的施工废水和机械设备的冲洗废水难以定量，废水中污染物主要是SS。施工废水就近修建临时沉淀池经过预处理后回用，不直接排入当地水环境。类比相似工程，施工营地人员生活污水产生量约为40kg</w:t>
            </w: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rPr>
              <w:t>人/d</w:t>
            </w: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rPr>
              <w:t>，废水产生量小。按施工时场地最大人数为20人计，施工期产生的生活污水量为</w:t>
            </w:r>
            <w:r>
              <w:rPr>
                <w:rFonts w:hint="default" w:ascii="Times New Roman" w:hAnsi="Times New Roman" w:cs="Times New Roman"/>
                <w:bCs/>
                <w:color w:val="000000"/>
                <w:sz w:val="24"/>
                <w:lang w:val="en-US" w:eastAsia="zh-CN"/>
              </w:rPr>
              <w:t>0.8</w:t>
            </w:r>
            <w:r>
              <w:rPr>
                <w:rFonts w:hint="default" w:ascii="Times New Roman" w:hAnsi="Times New Roman" w:cs="Times New Roman"/>
                <w:bCs/>
                <w:color w:val="000000"/>
                <w:sz w:val="24"/>
              </w:rPr>
              <w:t>t/d。生活污水主要污染物为SS、COD、BOD</w:t>
            </w:r>
            <w:r>
              <w:rPr>
                <w:rFonts w:hint="default" w:ascii="Times New Roman" w:hAnsi="Times New Roman" w:cs="Times New Roman"/>
                <w:bCs/>
                <w:color w:val="000000"/>
                <w:sz w:val="24"/>
                <w:vertAlign w:val="subscript"/>
              </w:rPr>
              <w:t>5</w:t>
            </w:r>
            <w:r>
              <w:rPr>
                <w:rFonts w:hint="default" w:ascii="Times New Roman" w:hAnsi="Times New Roman" w:cs="Times New Roman"/>
                <w:bCs/>
                <w:color w:val="000000"/>
                <w:sz w:val="24"/>
              </w:rPr>
              <w:t>等。</w:t>
            </w:r>
            <w:r>
              <w:rPr>
                <w:rFonts w:hint="default" w:ascii="Times New Roman" w:hAnsi="Times New Roman" w:cs="Times New Roman"/>
                <w:bCs/>
                <w:color w:val="auto"/>
                <w:sz w:val="24"/>
              </w:rPr>
              <w:t>本项目</w:t>
            </w:r>
            <w:r>
              <w:rPr>
                <w:rFonts w:hint="default" w:ascii="Times New Roman" w:hAnsi="Times New Roman" w:cs="Times New Roman"/>
                <w:bCs/>
                <w:color w:val="auto"/>
                <w:sz w:val="24"/>
                <w:lang w:val="en-US" w:eastAsia="zh-CN"/>
              </w:rPr>
              <w:t>施工过程中产生的生活污水排入厂区原有化粪池（一般防渗）处理后最终进入集聚区污水管网排入宝丰县产业集聚区污水处理厂深度处理；</w:t>
            </w:r>
            <w:r>
              <w:rPr>
                <w:rFonts w:hint="default" w:ascii="Times New Roman" w:hAnsi="Times New Roman" w:cs="Times New Roman"/>
                <w:bCs/>
                <w:color w:val="auto"/>
                <w:sz w:val="24"/>
              </w:rPr>
              <w:t>避免对周围水体产生不利影响。</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在落实以上治理措施的前提下，项目施工期间产生的废水对周边水环境影响不大。</w:t>
            </w:r>
          </w:p>
          <w:p>
            <w:pPr>
              <w:wordWrap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3、施工期噪声影响分析</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施工期噪声主要来自施工机械噪声、施工作业噪声和运输车辆噪声。</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施工机械噪声由施工机械所造成，如挖土机械、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wordWrap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施工期间施工机械噪声较高，施工设备噪声的干扰影响范围还是比较大的，施工设备噪声的影响范围基本可以达到120m左右半径（60dB）。根据现场环境踏勘，项目最近噪声敏感点</w:t>
            </w:r>
            <w:r>
              <w:rPr>
                <w:rFonts w:hint="default" w:ascii="Times New Roman" w:hAnsi="Times New Roman" w:cs="Times New Roman"/>
                <w:bCs/>
                <w:color w:val="auto"/>
                <w:sz w:val="24"/>
                <w:lang w:val="en-US" w:eastAsia="zh-CN"/>
              </w:rPr>
              <w:t>为项目东南方向350m的宝丰县产业集聚区公租房小区</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可能会受到</w:t>
            </w:r>
            <w:r>
              <w:rPr>
                <w:rFonts w:hint="default" w:ascii="Times New Roman" w:hAnsi="Times New Roman" w:cs="Times New Roman"/>
                <w:bCs/>
                <w:color w:val="auto"/>
                <w:sz w:val="24"/>
              </w:rPr>
              <w:t>施工噪声的影响。为确保项目施工噪声满足《建筑施工厂界环境噪声排放标准》（GB12523-2011）中的相应标准限值要求，要求建设单位采取下述措施：</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（1）严格控制人为噪声，进入施工现场不得高声叫喊、无故甩打模板、乱吹哨，限制高音喇叭的使用，最大限度地减少噪声扰民。</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（2）必须严格控制作业时间，一般晚上22:00点到次日早上6:00之间停止作业。确系特殊情况必须昼夜施工时，应报当地主管部门批准，尽量采取降低噪音措施。</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（3）从声源上控制噪声，即要进一步完善建筑施工机械的产品噪声标准，并严格执行这些标准。这是防止噪声污染的最根本的措施。</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（4）建设工程应使用商品混凝土，</w:t>
            </w:r>
            <w:r>
              <w:rPr>
                <w:rFonts w:hint="default" w:ascii="Times New Roman" w:hAnsi="Times New Roman" w:cs="Times New Roman"/>
                <w:bCs/>
                <w:color w:val="000000"/>
                <w:sz w:val="24"/>
                <w:lang w:val="en-US" w:eastAsia="zh-CN"/>
              </w:rPr>
              <w:t>施工过程中</w:t>
            </w:r>
            <w:r>
              <w:rPr>
                <w:rFonts w:hint="default" w:ascii="Times New Roman" w:hAnsi="Times New Roman" w:cs="Times New Roman"/>
                <w:bCs/>
                <w:color w:val="000000"/>
                <w:sz w:val="24"/>
              </w:rPr>
              <w:t>采用低噪声</w:t>
            </w:r>
            <w:r>
              <w:rPr>
                <w:rFonts w:hint="default" w:ascii="Times New Roman" w:hAnsi="Times New Roman" w:cs="Times New Roman"/>
                <w:bCs/>
                <w:color w:val="000000"/>
                <w:sz w:val="24"/>
                <w:lang w:val="en-US" w:eastAsia="zh-CN"/>
              </w:rPr>
              <w:t>设备</w:t>
            </w:r>
            <w:r>
              <w:rPr>
                <w:rFonts w:hint="default" w:ascii="Times New Roman" w:hAnsi="Times New Roman" w:cs="Times New Roman"/>
                <w:bCs/>
                <w:color w:val="000000"/>
                <w:sz w:val="24"/>
              </w:rPr>
              <w:t>。</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（5）对交通车辆造成的噪声影响需要加强管理，运输车辆尽量采用较低噪声级的喇叭，尽量压缩施工区域内汽车数量和行车密度，控制汽车鸣笛。</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（6）对施工场地噪声影响除采取以上噪声措施外，还应与周围单位建立良好的关系，对受施工干扰的单位应在作业前予以通知，求得大家的谅解。</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在建设单位严格落实上述隔音、降噪措施的基础上，可将项目施工期噪声对周围区域内影响降到最低。施工期的噪声影响是属短期的、可恢复和局部的环境影响，随施工期的结束而消除。</w:t>
            </w:r>
          </w:p>
          <w:p>
            <w:pPr>
              <w:autoSpaceDE w:val="0"/>
              <w:autoSpaceDN w:val="0"/>
              <w:adjustRightInd w:val="0"/>
              <w:snapToGrid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4、施工期固废影响分析</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sz w:val="24"/>
              </w:rPr>
              <w:t>施工期产生的固体废物主要是施工时产生的建筑垃圾和生活垃圾。</w:t>
            </w:r>
            <w:r>
              <w:rPr>
                <w:rFonts w:hint="default" w:ascii="Times New Roman" w:hAnsi="Times New Roman" w:cs="Times New Roman"/>
                <w:bCs/>
                <w:color w:val="000000"/>
                <w:sz w:val="24"/>
              </w:rPr>
              <w:t>建筑垃圾主要包括道路修筑和房屋建筑等工程施工期间产生的废弃的建筑材料，如砂石、石灰、混凝土、木材等。施工期间建筑垃圾集中、分类堆放，严密遮盖，及时清运；垃圾清运应预先办理相关手续或委托具有垃圾运输资格的运输单位进行，不得乱倒乱卸垃圾。为防止建筑垃圾在外运过程中沿</w:t>
            </w:r>
            <w:r>
              <w:rPr>
                <w:rFonts w:hint="default" w:ascii="Times New Roman" w:hAnsi="Times New Roman" w:cs="Times New Roman"/>
                <w:bCs/>
                <w:color w:val="000000"/>
                <w:sz w:val="24"/>
                <w:lang w:eastAsia="zh-CN"/>
              </w:rPr>
              <w:t>道路遗撒</w:t>
            </w:r>
            <w:r>
              <w:rPr>
                <w:rFonts w:hint="default" w:ascii="Times New Roman" w:hAnsi="Times New Roman" w:cs="Times New Roman"/>
                <w:bCs/>
                <w:color w:val="000000"/>
                <w:sz w:val="24"/>
              </w:rPr>
              <w:t>及扬尘对周围环境产生影响，建筑垃圾外运要用苫布覆盖，避免沿途遗洒。</w:t>
            </w:r>
          </w:p>
          <w:p>
            <w:pPr>
              <w:wordWrap w:val="0"/>
              <w:spacing w:line="360" w:lineRule="auto"/>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rPr>
              <w:t>根据相似工程经验，施工期施工人员产生垃圾量约为1.0kg/</w:t>
            </w: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rPr>
              <w:t>d人</w:t>
            </w: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rPr>
              <w:t>，根据本项目工程量，施工期施工场地最大人数为20人，由此得本项目施工期生活垃圾产生量最大约20kg/d，按工期</w:t>
            </w:r>
            <w:r>
              <w:rPr>
                <w:rFonts w:hint="default" w:ascii="Times New Roman" w:hAnsi="Times New Roman" w:cs="Times New Roman"/>
                <w:bCs/>
                <w:color w:val="000000"/>
                <w:sz w:val="24"/>
                <w:lang w:val="en-US" w:eastAsia="zh-CN"/>
              </w:rPr>
              <w:t>60</w:t>
            </w:r>
            <w:r>
              <w:rPr>
                <w:rFonts w:hint="default" w:ascii="Times New Roman" w:hAnsi="Times New Roman" w:cs="Times New Roman"/>
                <w:bCs/>
                <w:color w:val="000000"/>
                <w:sz w:val="24"/>
              </w:rPr>
              <w:t>天计，本项目施工时共产.</w:t>
            </w:r>
            <w:r>
              <w:rPr>
                <w:rFonts w:hint="default" w:ascii="Times New Roman" w:hAnsi="Times New Roman" w:cs="Times New Roman"/>
                <w:bCs/>
                <w:color w:val="000000"/>
                <w:sz w:val="24"/>
                <w:lang w:eastAsia="zh-CN"/>
              </w:rPr>
              <w:t>生</w:t>
            </w:r>
            <w:r>
              <w:rPr>
                <w:rFonts w:hint="default" w:ascii="Times New Roman" w:hAnsi="Times New Roman" w:cs="Times New Roman"/>
                <w:bCs/>
                <w:color w:val="000000"/>
                <w:sz w:val="24"/>
              </w:rPr>
              <w:t>活垃圾量为</w:t>
            </w:r>
            <w:r>
              <w:rPr>
                <w:rFonts w:hint="default" w:ascii="Times New Roman" w:hAnsi="Times New Roman" w:cs="Times New Roman"/>
                <w:bCs/>
                <w:color w:val="000000"/>
                <w:sz w:val="24"/>
                <w:lang w:val="en-US" w:eastAsia="zh-CN"/>
              </w:rPr>
              <w:t>1.2</w:t>
            </w:r>
            <w:r>
              <w:rPr>
                <w:rFonts w:hint="default" w:ascii="Times New Roman" w:hAnsi="Times New Roman" w:cs="Times New Roman"/>
                <w:bCs/>
                <w:color w:val="000000"/>
                <w:sz w:val="24"/>
              </w:rPr>
              <w:t>t。建议施工单位及时清理施工现场的生活垃圾，在施工现场建立生活垃圾定点收集制度，并定时将收集的生活垃圾交由环卫部门统一处置。</w:t>
            </w:r>
          </w:p>
          <w:p>
            <w:pPr>
              <w:wordWrap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color w:val="000000"/>
                <w:sz w:val="24"/>
              </w:rPr>
              <w:t>本项目要求企业针对</w:t>
            </w:r>
            <w:r>
              <w:rPr>
                <w:rFonts w:hint="default" w:ascii="Times New Roman" w:hAnsi="Times New Roman" w:cs="Times New Roman"/>
                <w:bCs/>
                <w:sz w:val="24"/>
              </w:rPr>
              <w:t>施工时产生的建筑垃圾和生活垃圾做到妥善处置，严禁随意倾倒丢弃，运送至当地政府指定地点进行处理。</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pacing w:val="-10"/>
                <w:sz w:val="24"/>
                <w:szCs w:val="24"/>
              </w:rPr>
            </w:pPr>
            <w:r>
              <w:rPr>
                <w:rFonts w:hint="default" w:ascii="Times New Roman" w:hAnsi="Times New Roman" w:cs="Times New Roman"/>
                <w:bCs/>
                <w:color w:val="000000"/>
                <w:sz w:val="24"/>
              </w:rPr>
              <w:t>在落实以上固废治理措施的前提下，项目施工期间产生的固废对周边环境影响不大。</w:t>
            </w:r>
            <w:r>
              <w:rPr>
                <w:rFonts w:hint="default" w:ascii="Times New Roman" w:hAnsi="Times New Roman" w:cs="Times New Roman"/>
                <w:bCs/>
                <w:sz w:val="24"/>
              </w:rPr>
              <w:t>综上所述，本项目施工期间采取以上环保措施后对周围环境影响较小，并且随着施工期的结束，对周围环境影响逐渐消失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11" w:hRule="atLeast"/>
          <w:jc w:val="center"/>
        </w:trPr>
        <w:tc>
          <w:tcPr>
            <w:tcW w:w="241" w:type="pct"/>
            <w:noWrap w:val="0"/>
            <w:tcMar>
              <w:left w:w="28" w:type="dxa"/>
              <w:right w:w="28" w:type="dxa"/>
            </w:tcMar>
            <w:vAlign w:val="center"/>
          </w:tcPr>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运营</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期环</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境影</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响和</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保护</w:t>
            </w:r>
          </w:p>
          <w:p>
            <w:pPr>
              <w:adjustRightInd w:val="0"/>
              <w:snapToGrid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措施</w:t>
            </w:r>
          </w:p>
        </w:tc>
        <w:tc>
          <w:tcPr>
            <w:tcW w:w="4758" w:type="pct"/>
            <w:noWrap w:val="0"/>
            <w:vAlign w:val="top"/>
          </w:tcPr>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大气环境影响和保护措施</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废编织袋再利用生产线（共2条线）</w:t>
            </w:r>
            <w:r>
              <w:rPr>
                <w:rFonts w:hint="default" w:ascii="Times New Roman" w:hAnsi="Times New Roman" w:cs="Times New Roman"/>
                <w:b/>
                <w:bCs w:val="0"/>
                <w:sz w:val="24"/>
                <w:szCs w:val="24"/>
                <w:u w:val="none"/>
                <w:lang w:val="en-US" w:eastAsia="zh-CN"/>
              </w:rPr>
              <w:t>废气源强计算</w:t>
            </w:r>
          </w:p>
          <w:p>
            <w:pPr>
              <w:pStyle w:val="42"/>
              <w:adjustRightInd w:val="0"/>
              <w:snapToGrid w:val="0"/>
              <w:spacing w:line="360" w:lineRule="auto"/>
              <w:rPr>
                <w:rFonts w:hint="default" w:ascii="Times New Roman" w:hAnsi="Times New Roman" w:eastAsia="宋体" w:cs="Times New Roman"/>
                <w:b w:val="0"/>
                <w:bCs/>
                <w:color w:val="auto"/>
                <w:szCs w:val="24"/>
                <w:u w:val="none"/>
                <w:lang w:val="en-US" w:eastAsia="zh-CN"/>
              </w:rPr>
            </w:pPr>
            <w:r>
              <w:rPr>
                <w:rFonts w:hint="default" w:ascii="Times New Roman" w:hAnsi="Times New Roman" w:eastAsia="宋体" w:cs="Times New Roman"/>
                <w:b w:val="0"/>
                <w:bCs/>
                <w:color w:val="auto"/>
                <w:szCs w:val="24"/>
                <w:u w:val="none"/>
                <w:lang w:val="en-US" w:eastAsia="zh-CN"/>
              </w:rPr>
              <w:t>本项目</w:t>
            </w:r>
            <w:r>
              <w:rPr>
                <w:rFonts w:hint="default" w:ascii="Times New Roman" w:hAnsi="Times New Roman" w:cs="Times New Roman"/>
                <w:b w:val="0"/>
                <w:bCs/>
                <w:color w:val="auto"/>
                <w:szCs w:val="24"/>
                <w:u w:val="none"/>
                <w:lang w:val="en-US" w:eastAsia="zh-CN"/>
              </w:rPr>
              <w:t>有组织</w:t>
            </w:r>
            <w:r>
              <w:rPr>
                <w:rFonts w:hint="default" w:ascii="Times New Roman" w:hAnsi="Times New Roman" w:eastAsia="宋体" w:cs="Times New Roman"/>
                <w:b w:val="0"/>
                <w:bCs/>
                <w:color w:val="auto"/>
                <w:szCs w:val="24"/>
                <w:u w:val="none"/>
                <w:lang w:val="en-US" w:eastAsia="zh-CN"/>
              </w:rPr>
              <w:t>废气主要是</w:t>
            </w:r>
            <w:r>
              <w:rPr>
                <w:rFonts w:hint="default" w:ascii="Times New Roman" w:hAnsi="Times New Roman" w:cs="Times New Roman"/>
                <w:b w:val="0"/>
                <w:bCs/>
                <w:color w:val="auto"/>
                <w:szCs w:val="24"/>
                <w:u w:val="none"/>
                <w:lang w:val="en-US" w:eastAsia="zh-CN"/>
              </w:rPr>
              <w:t>废编织袋熔融挤出过程中产生的有机废气（</w:t>
            </w:r>
            <w:r>
              <w:rPr>
                <w:rFonts w:hint="eastAsia" w:cs="Times New Roman"/>
                <w:b w:val="0"/>
                <w:bCs/>
                <w:color w:val="auto"/>
                <w:szCs w:val="24"/>
                <w:u w:val="none"/>
                <w:lang w:val="en-US" w:eastAsia="zh-CN"/>
              </w:rPr>
              <w:t>以</w:t>
            </w:r>
            <w:r>
              <w:rPr>
                <w:rFonts w:hint="default" w:ascii="Times New Roman" w:hAnsi="Times New Roman" w:cs="Times New Roman"/>
                <w:b w:val="0"/>
                <w:bCs/>
                <w:color w:val="auto"/>
                <w:szCs w:val="24"/>
                <w:u w:val="none"/>
                <w:lang w:val="en-US" w:eastAsia="zh-CN"/>
              </w:rPr>
              <w:t>非甲烷总烃</w:t>
            </w:r>
            <w:r>
              <w:rPr>
                <w:rFonts w:hint="eastAsia" w:cs="Times New Roman"/>
                <w:b w:val="0"/>
                <w:bCs/>
                <w:color w:val="auto"/>
                <w:szCs w:val="24"/>
                <w:u w:val="none"/>
                <w:lang w:val="en-US" w:eastAsia="zh-CN"/>
              </w:rPr>
              <w:t>计</w:t>
            </w:r>
            <w:r>
              <w:rPr>
                <w:rFonts w:hint="default" w:ascii="Times New Roman" w:hAnsi="Times New Roman" w:cs="Times New Roman"/>
                <w:b w:val="0"/>
                <w:bCs/>
                <w:color w:val="auto"/>
                <w:szCs w:val="24"/>
                <w:u w:val="none"/>
                <w:lang w:val="en-US" w:eastAsia="zh-CN"/>
              </w:rPr>
              <w:t>）</w:t>
            </w:r>
            <w:r>
              <w:rPr>
                <w:rFonts w:hint="default" w:ascii="Times New Roman" w:hAnsi="Times New Roman" w:eastAsia="宋体" w:cs="Times New Roman"/>
                <w:b w:val="0"/>
                <w:bCs/>
                <w:color w:val="auto"/>
                <w:szCs w:val="24"/>
                <w:u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val="0"/>
                <w:sz w:val="24"/>
                <w:szCs w:val="24"/>
                <w:u w:val="single"/>
                <w:lang w:val="en-US" w:eastAsia="zh-CN"/>
              </w:rPr>
            </w:pPr>
            <w:r>
              <w:rPr>
                <w:rFonts w:hint="default" w:ascii="Times New Roman" w:hAnsi="Times New Roman" w:cs="Times New Roman"/>
                <w:b/>
                <w:bCs w:val="0"/>
                <w:sz w:val="24"/>
                <w:szCs w:val="24"/>
                <w:u w:val="single"/>
                <w:lang w:val="en-US" w:eastAsia="zh-CN"/>
              </w:rPr>
              <w:t>熔融挤出废气（2条废编织袋再利用生产线）</w:t>
            </w:r>
          </w:p>
          <w:p>
            <w:pPr>
              <w:pStyle w:val="42"/>
              <w:adjustRightInd w:val="0"/>
              <w:snapToGrid w:val="0"/>
              <w:spacing w:line="36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所用大编织袋主要成分为聚丙烯(PP)，塑料粒子加热温度控制在180-200℃左右，聚乙烯和聚丙烯裂解温度分别为≥380℃，和350℃，塑料粒子不会分解，无分解废气产生。但塑料原料在受热情况下，塑料中残存未聚合的反应单体挥发至空气中，从而形成有机废气。由于塑料加热温度一般控制在塑料原料允许的范围内，在加热挤出工序中会产生少量废气排放，主要为低分子量的烃类</w:t>
            </w:r>
            <w:r>
              <w:rPr>
                <w:rFonts w:hint="eastAsia" w:cs="Times New Roman"/>
                <w:sz w:val="24"/>
                <w:szCs w:val="24"/>
                <w:lang w:eastAsia="zh-CN"/>
              </w:rPr>
              <w:t>（</w:t>
            </w:r>
            <w:r>
              <w:rPr>
                <w:rFonts w:hint="eastAsia" w:cs="Times New Roman"/>
                <w:sz w:val="24"/>
                <w:szCs w:val="24"/>
                <w:lang w:val="en-US" w:eastAsia="zh-CN"/>
              </w:rPr>
              <w:t>挥发性有机物</w:t>
            </w:r>
            <w:r>
              <w:rPr>
                <w:rFonts w:hint="eastAsia" w:cs="Times New Roman"/>
                <w:sz w:val="24"/>
                <w:szCs w:val="24"/>
                <w:lang w:eastAsia="zh-CN"/>
              </w:rPr>
              <w:t>）</w:t>
            </w:r>
            <w:r>
              <w:rPr>
                <w:rFonts w:hint="eastAsia" w:cs="Times New Roman"/>
                <w:sz w:val="24"/>
                <w:szCs w:val="24"/>
                <w:lang w:val="en-US" w:eastAsia="zh-CN"/>
              </w:rPr>
              <w:t>和少量颗粒物</w:t>
            </w:r>
            <w:r>
              <w:rPr>
                <w:rFonts w:hint="default" w:ascii="Times New Roman" w:hAnsi="Times New Roman" w:cs="Times New Roman"/>
                <w:sz w:val="24"/>
                <w:szCs w:val="24"/>
                <w:lang w:eastAsia="zh-CN"/>
              </w:rPr>
              <w:t>，</w:t>
            </w:r>
            <w:r>
              <w:rPr>
                <w:rFonts w:hint="eastAsia" w:cs="Times New Roman"/>
                <w:sz w:val="24"/>
                <w:szCs w:val="24"/>
                <w:lang w:val="en-US" w:eastAsia="zh-CN"/>
              </w:rPr>
              <w:t>其中挥发性有机物主要为有机废气（以非甲烷总烃计）</w:t>
            </w:r>
            <w:r>
              <w:rPr>
                <w:rFonts w:hint="default" w:ascii="Times New Roman" w:hAnsi="Times New Roman" w:cs="Times New Roman"/>
                <w:sz w:val="24"/>
                <w:szCs w:val="24"/>
                <w:lang w:eastAsia="zh-CN"/>
              </w:rPr>
              <w:t>。</w:t>
            </w:r>
          </w:p>
          <w:p>
            <w:pPr>
              <w:pStyle w:val="42"/>
              <w:keepNext w:val="0"/>
              <w:keepLines w:val="0"/>
              <w:pageBreakBefore w:val="0"/>
              <w:widowControl w:val="0"/>
              <w:kinsoku/>
              <w:wordWrap w:val="0"/>
              <w:overflowPunct w:val="0"/>
              <w:topLinePunct w:val="0"/>
              <w:autoSpaceDE/>
              <w:autoSpaceDN/>
              <w:bidi w:val="0"/>
              <w:adjustRightInd w:val="0"/>
              <w:snapToGrid w:val="0"/>
              <w:spacing w:line="360" w:lineRule="auto"/>
              <w:textAlignment w:val="auto"/>
              <w:rPr>
                <w:rFonts w:hint="default" w:ascii="Times New Roman" w:hAnsi="Times New Roman" w:cs="Times New Roman"/>
                <w:bCs/>
                <w:color w:val="auto"/>
                <w:sz w:val="24"/>
                <w:u w:val="none"/>
                <w:lang w:val="en-US" w:eastAsia="zh-CN"/>
              </w:rPr>
            </w:pPr>
            <w:r>
              <w:rPr>
                <w:rFonts w:hint="default" w:ascii="Times New Roman" w:hAnsi="Times New Roman" w:cs="Times New Roman"/>
                <w:sz w:val="24"/>
                <w:szCs w:val="24"/>
              </w:rPr>
              <w:t>参照《第二次全国污染源普查产排污量核算系数手册》4220非金属废料和碎屑加工处理行业系数手册，废</w:t>
            </w:r>
            <w:r>
              <w:rPr>
                <w:rFonts w:hint="default" w:ascii="Times New Roman" w:hAnsi="Times New Roman" w:cs="Times New Roman"/>
                <w:sz w:val="24"/>
                <w:szCs w:val="24"/>
                <w:lang w:val="en-US" w:eastAsia="zh-CN"/>
              </w:rPr>
              <w:t>编织袋（PP）</w:t>
            </w:r>
            <w:r>
              <w:rPr>
                <w:rFonts w:hint="default" w:ascii="Times New Roman" w:hAnsi="Times New Roman" w:cs="Times New Roman"/>
                <w:sz w:val="24"/>
                <w:szCs w:val="24"/>
              </w:rPr>
              <w:t>塑料再生挥发性有机物产生量为</w:t>
            </w:r>
            <w:r>
              <w:rPr>
                <w:rFonts w:hint="default" w:ascii="Times New Roman" w:hAnsi="Times New Roman" w:cs="Times New Roman"/>
                <w:sz w:val="24"/>
                <w:szCs w:val="24"/>
                <w:lang w:val="en-US" w:eastAsia="zh-CN"/>
              </w:rPr>
              <w:t>350</w:t>
            </w:r>
            <w:r>
              <w:rPr>
                <w:rFonts w:hint="default" w:ascii="Times New Roman" w:hAnsi="Times New Roman" w:cs="Times New Roman"/>
                <w:sz w:val="24"/>
                <w:szCs w:val="24"/>
              </w:rPr>
              <w:t>g/t原料，</w:t>
            </w:r>
            <w:r>
              <w:rPr>
                <w:rFonts w:hint="default" w:ascii="Times New Roman" w:hAnsi="Times New Roman" w:cs="Times New Roman"/>
                <w:sz w:val="24"/>
                <w:szCs w:val="24"/>
                <w:lang w:val="en-US" w:eastAsia="zh-CN"/>
              </w:rPr>
              <w:t>工业废气量为4000m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/t原料；本</w:t>
            </w:r>
            <w:r>
              <w:rPr>
                <w:rFonts w:hint="default" w:ascii="Times New Roman" w:hAnsi="Times New Roman" w:cs="Times New Roman"/>
                <w:sz w:val="24"/>
                <w:szCs w:val="24"/>
              </w:rPr>
              <w:t>项目</w:t>
            </w:r>
            <w:r>
              <w:rPr>
                <w:rFonts w:hint="default" w:ascii="Times New Roman" w:hAnsi="Times New Roman" w:cs="Times New Roman"/>
                <w:sz w:val="24"/>
                <w:szCs w:val="24"/>
                <w:lang w:val="en-US" w:eastAsia="zh-CN"/>
              </w:rPr>
              <w:t>熔融挤出工序</w:t>
            </w:r>
            <w:r>
              <w:rPr>
                <w:rFonts w:hint="default" w:ascii="Times New Roman" w:hAnsi="Times New Roman" w:cs="Times New Roman"/>
                <w:sz w:val="24"/>
                <w:szCs w:val="24"/>
              </w:rPr>
              <w:t>年用</w:t>
            </w:r>
            <w:r>
              <w:rPr>
                <w:rFonts w:hint="default" w:ascii="Times New Roman" w:hAnsi="Times New Roman" w:cs="Times New Roman"/>
                <w:sz w:val="24"/>
                <w:szCs w:val="24"/>
                <w:lang w:val="en-US" w:eastAsia="zh-CN"/>
              </w:rPr>
              <w:t>废</w:t>
            </w:r>
            <w:r>
              <w:rPr>
                <w:rFonts w:hint="default" w:ascii="Times New Roman" w:hAnsi="Times New Roman" w:cs="Times New Roman"/>
                <w:color w:val="auto"/>
                <w:sz w:val="24"/>
                <w:szCs w:val="24"/>
                <w:lang w:val="en-US" w:eastAsia="zh-CN"/>
              </w:rPr>
              <w:t>编织袋（PP）7</w:t>
            </w: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6.45</w:t>
            </w:r>
            <w:r>
              <w:rPr>
                <w:rFonts w:hint="default" w:ascii="Times New Roman" w:hAnsi="Times New Roman" w:cs="Times New Roman"/>
                <w:color w:val="auto"/>
                <w:sz w:val="24"/>
                <w:szCs w:val="24"/>
              </w:rPr>
              <w:t>t</w:t>
            </w:r>
            <w:r>
              <w:rPr>
                <w:rFonts w:hint="default" w:ascii="Times New Roman" w:hAnsi="Times New Roman" w:cs="Times New Roman"/>
                <w:sz w:val="24"/>
                <w:szCs w:val="24"/>
              </w:rPr>
              <w:t>，则</w:t>
            </w:r>
            <w:r>
              <w:rPr>
                <w:rFonts w:hint="default" w:ascii="Times New Roman" w:hAnsi="Times New Roman" w:cs="Times New Roman"/>
                <w:sz w:val="24"/>
                <w:szCs w:val="24"/>
                <w:lang w:val="en-US" w:eastAsia="zh-CN"/>
              </w:rPr>
              <w:t>废编织袋（PP）</w:t>
            </w:r>
            <w:r>
              <w:rPr>
                <w:rFonts w:hint="default" w:ascii="Times New Roman" w:hAnsi="Times New Roman" w:cs="Times New Roman"/>
                <w:sz w:val="24"/>
                <w:szCs w:val="24"/>
              </w:rPr>
              <w:t>挥发性有机物</w:t>
            </w:r>
            <w:r>
              <w:rPr>
                <w:rFonts w:hint="eastAsia" w:cs="Times New Roman"/>
                <w:sz w:val="24"/>
                <w:szCs w:val="24"/>
                <w:lang w:eastAsia="zh-CN"/>
              </w:rPr>
              <w:t>（主要为非甲烷总烃）</w:t>
            </w:r>
            <w:r>
              <w:rPr>
                <w:rFonts w:hint="default" w:ascii="Times New Roman" w:hAnsi="Times New Roman" w:cs="Times New Roman"/>
                <w:sz w:val="24"/>
                <w:szCs w:val="24"/>
              </w:rPr>
              <w:t>产生量约为</w:t>
            </w:r>
            <w:r>
              <w:rPr>
                <w:rFonts w:hint="default" w:ascii="Times New Roman" w:hAnsi="Times New Roman" w:cs="Times New Roman"/>
                <w:sz w:val="24"/>
                <w:szCs w:val="24"/>
                <w:lang w:val="en-US" w:eastAsia="zh-CN"/>
              </w:rPr>
              <w:t>2.45</w:t>
            </w:r>
            <w:r>
              <w:rPr>
                <w:rFonts w:hint="default" w:ascii="Times New Roman" w:hAnsi="Times New Roman" w:cs="Times New Roman"/>
                <w:sz w:val="24"/>
                <w:szCs w:val="24"/>
              </w:rPr>
              <w:t>t/a</w:t>
            </w:r>
            <w:r>
              <w:rPr>
                <w:rFonts w:hint="eastAsia" w:cs="Times New Roman"/>
                <w:sz w:val="24"/>
                <w:szCs w:val="24"/>
                <w:lang w:eastAsia="zh-CN"/>
              </w:rPr>
              <w:t>。</w:t>
            </w:r>
            <w:r>
              <w:rPr>
                <w:rFonts w:hint="eastAsia" w:cs="Times New Roman"/>
                <w:sz w:val="24"/>
                <w:szCs w:val="24"/>
                <w:lang w:val="en-US" w:eastAsia="zh-CN"/>
              </w:rPr>
              <w:t>另外该工序</w:t>
            </w:r>
            <w:r>
              <w:rPr>
                <w:rFonts w:hint="default" w:ascii="Times New Roman" w:hAnsi="Times New Roman" w:cs="Times New Roman"/>
                <w:sz w:val="24"/>
                <w:szCs w:val="24"/>
                <w:lang w:eastAsia="zh-CN"/>
              </w:rPr>
              <w:t>颗粒物产生量参考《空气污染物排放和控制手册 工业污染源调查与研究》（第二辑），塑料热熔挤出颗粒产生系数为0.15kg/t原料，则本项目挤塑过程颗粒物产生量为1.05t/a。</w:t>
            </w:r>
            <w:r>
              <w:rPr>
                <w:rFonts w:hint="default" w:ascii="Times New Roman" w:hAnsi="Times New Roman" w:cs="Times New Roman"/>
                <w:sz w:val="24"/>
                <w:szCs w:val="24"/>
                <w:lang w:val="en-US" w:eastAsia="zh-CN"/>
              </w:rPr>
              <w:t>熔融挤出工序废气量为28025800m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（3892.47m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/h），考虑集气设施运行期间要保持负压状态，本次环保设施设计风量取16000m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/h。本项目针对2条废编织袋再利用生产线熔融挤出工序产污点采取密闭措施，并通过集气管道引入废气处理设施（干式过滤除尘（过滤棉）+活性炭吸附浓缩+催化燃烧（RCO））进行</w:t>
            </w:r>
            <w:r>
              <w:rPr>
                <w:rFonts w:hint="default" w:ascii="Times New Roman" w:hAnsi="Times New Roman" w:cs="Times New Roman"/>
                <w:color w:val="auto"/>
                <w:sz w:val="24"/>
                <w:szCs w:val="24"/>
                <w:lang w:val="en-US" w:eastAsia="zh-CN"/>
              </w:rPr>
              <w:t>处理，最终经20m排气筒P1（DA001）高空达标排放。</w:t>
            </w:r>
            <w:r>
              <w:rPr>
                <w:rFonts w:hint="default" w:ascii="Times New Roman" w:hAnsi="Times New Roman" w:cs="Times New Roman"/>
                <w:bCs/>
                <w:color w:val="auto"/>
                <w:sz w:val="24"/>
                <w:u w:val="none"/>
                <w:lang w:val="en-US" w:eastAsia="zh-CN"/>
              </w:rPr>
              <w:t>其中废气</w:t>
            </w:r>
            <w:r>
              <w:rPr>
                <w:rFonts w:hint="default" w:ascii="Times New Roman" w:hAnsi="Times New Roman" w:cs="Times New Roman"/>
                <w:bCs/>
                <w:color w:val="auto"/>
                <w:sz w:val="24"/>
                <w:u w:val="none"/>
              </w:rPr>
              <w:t>收集率</w:t>
            </w:r>
            <w:r>
              <w:rPr>
                <w:rFonts w:hint="default" w:ascii="Times New Roman" w:hAnsi="Times New Roman" w:cs="Times New Roman"/>
                <w:bCs/>
                <w:color w:val="auto"/>
                <w:sz w:val="24"/>
                <w:u w:val="none"/>
                <w:lang w:val="en-US" w:eastAsia="zh-CN"/>
              </w:rPr>
              <w:t>按95</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val="en-US" w:eastAsia="zh-CN"/>
              </w:rPr>
              <w:t>计</w:t>
            </w:r>
            <w:r>
              <w:rPr>
                <w:rFonts w:hint="default" w:ascii="Times New Roman" w:hAnsi="Times New Roman" w:cs="Times New Roman"/>
                <w:bCs/>
                <w:color w:val="auto"/>
                <w:sz w:val="24"/>
                <w:u w:val="none"/>
              </w:rPr>
              <w:t>，</w:t>
            </w:r>
            <w:r>
              <w:rPr>
                <w:rFonts w:hint="default" w:ascii="Times New Roman" w:hAnsi="Times New Roman" w:cs="Times New Roman"/>
                <w:color w:val="auto"/>
                <w:sz w:val="24"/>
                <w:szCs w:val="24"/>
                <w:lang w:val="en-US" w:eastAsia="zh-CN"/>
              </w:rPr>
              <w:t>活性炭吸附浓缩+催化燃烧（RCO）</w:t>
            </w:r>
            <w:r>
              <w:rPr>
                <w:rFonts w:hint="default" w:ascii="Times New Roman" w:hAnsi="Times New Roman" w:cs="Times New Roman"/>
                <w:bCs/>
                <w:color w:val="auto"/>
                <w:sz w:val="24"/>
                <w:u w:val="none"/>
                <w:lang w:val="en-US" w:eastAsia="zh-CN"/>
              </w:rPr>
              <w:t>处理效率按95%计</w:t>
            </w:r>
            <w:r>
              <w:rPr>
                <w:rFonts w:hint="eastAsia" w:cs="Times New Roman"/>
                <w:bCs/>
                <w:color w:val="auto"/>
                <w:sz w:val="24"/>
                <w:u w:val="none"/>
                <w:lang w:val="en-US" w:eastAsia="zh-CN"/>
              </w:rPr>
              <w:t>，过滤棉除尘效率按90%计</w:t>
            </w:r>
            <w:r>
              <w:rPr>
                <w:rFonts w:hint="default" w:ascii="Times New Roman" w:hAnsi="Times New Roman" w:cs="Times New Roman"/>
                <w:bCs/>
                <w:color w:val="auto"/>
                <w:sz w:val="24"/>
                <w:u w:val="none"/>
                <w:lang w:val="en-US" w:eastAsia="zh-CN"/>
              </w:rPr>
              <w:t>。</w:t>
            </w:r>
          </w:p>
          <w:p>
            <w:pPr>
              <w:pStyle w:val="54"/>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表4-2废编织袋熔融挤出过程中产生的废气产排情况一览表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04"/>
              <w:gridCol w:w="645"/>
              <w:gridCol w:w="765"/>
              <w:gridCol w:w="877"/>
              <w:gridCol w:w="1935"/>
              <w:gridCol w:w="1095"/>
              <w:gridCol w:w="1125"/>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 w:type="pct"/>
                  <w:gridSpan w:val="3"/>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污染物</w:t>
                  </w:r>
                </w:p>
              </w:tc>
              <w:tc>
                <w:tcPr>
                  <w:tcW w:w="873" w:type="pct"/>
                  <w:gridSpan w:val="2"/>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产生情况</w:t>
                  </w:r>
                </w:p>
              </w:tc>
              <w:tc>
                <w:tcPr>
                  <w:tcW w:w="1029"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处理</w:t>
                  </w:r>
                </w:p>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措施</w:t>
                  </w:r>
                </w:p>
              </w:tc>
              <w:tc>
                <w:tcPr>
                  <w:tcW w:w="1634" w:type="pct"/>
                  <w:gridSpan w:val="3"/>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 w:type="pct"/>
                  <w:gridSpan w:val="3"/>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406"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t/a</w:t>
                  </w:r>
                </w:p>
              </w:tc>
              <w:tc>
                <w:tcPr>
                  <w:tcW w:w="466"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kg/h</w:t>
                  </w:r>
                </w:p>
              </w:tc>
              <w:tc>
                <w:tcPr>
                  <w:tcW w:w="102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582"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eastAsia="宋体" w:cs="Times New Roman"/>
                      <w:b w:val="0"/>
                      <w:bCs/>
                      <w:szCs w:val="21"/>
                      <w:u w:val="none"/>
                      <w:lang w:val="en-US" w:eastAsia="zh-CN"/>
                    </w:rPr>
                    <w:t>mg/m</w:t>
                  </w:r>
                  <w:r>
                    <w:rPr>
                      <w:rFonts w:hint="default" w:ascii="Times New Roman" w:hAnsi="Times New Roman" w:eastAsia="宋体" w:cs="Times New Roman"/>
                      <w:b w:val="0"/>
                      <w:bCs/>
                      <w:szCs w:val="21"/>
                      <w:u w:val="none"/>
                      <w:vertAlign w:val="superscript"/>
                      <w:lang w:val="en-US" w:eastAsia="zh-CN"/>
                    </w:rPr>
                    <w:t>3</w:t>
                  </w:r>
                </w:p>
              </w:tc>
              <w:tc>
                <w:tcPr>
                  <w:tcW w:w="598"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kg/h</w:t>
                  </w:r>
                </w:p>
              </w:tc>
              <w:tc>
                <w:tcPr>
                  <w:tcW w:w="453"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5" w:hRule="atLeast"/>
                <w:jc w:val="center"/>
              </w:trPr>
              <w:tc>
                <w:tcPr>
                  <w:tcW w:w="372"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rPr>
                  </w:pPr>
                  <w:r>
                    <w:rPr>
                      <w:rFonts w:hint="default" w:ascii="Times New Roman" w:hAnsi="Times New Roman" w:cs="Times New Roman"/>
                      <w:b w:val="0"/>
                      <w:bCs/>
                      <w:szCs w:val="21"/>
                      <w:u w:val="none"/>
                      <w:lang w:val="en-US" w:eastAsia="zh-CN"/>
                    </w:rPr>
                    <w:t>2条废编织袋再利用生产线</w:t>
                  </w:r>
                </w:p>
              </w:tc>
              <w:tc>
                <w:tcPr>
                  <w:tcW w:w="74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熔融挤出废气（有组织）</w:t>
                  </w:r>
                </w:p>
              </w:tc>
              <w:tc>
                <w:tcPr>
                  <w:tcW w:w="343"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非甲烷总烃</w:t>
                  </w:r>
                </w:p>
              </w:tc>
              <w:tc>
                <w:tcPr>
                  <w:tcW w:w="40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2.33</w:t>
                  </w:r>
                </w:p>
              </w:tc>
              <w:tc>
                <w:tcPr>
                  <w:tcW w:w="46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0.324</w:t>
                  </w:r>
                </w:p>
              </w:tc>
              <w:tc>
                <w:tcPr>
                  <w:tcW w:w="1029" w:type="pct"/>
                  <w:vMerge w:val="restart"/>
                  <w:tcBorders>
                    <w:tl2br w:val="nil"/>
                    <w:tr2bl w:val="nil"/>
                  </w:tcBorders>
                  <w:noWrap w:val="0"/>
                  <w:vAlign w:val="center"/>
                </w:tcPr>
                <w:p>
                  <w:pPr>
                    <w:adjustRightInd w:val="0"/>
                    <w:spacing w:line="360" w:lineRule="exact"/>
                    <w:jc w:val="center"/>
                    <w:rPr>
                      <w:rFonts w:hint="eastAsia" w:cs="Times New Roman"/>
                      <w:b w:val="0"/>
                      <w:bCs/>
                      <w:szCs w:val="21"/>
                      <w:u w:val="none"/>
                      <w:lang w:val="en-US" w:eastAsia="zh-CN"/>
                    </w:rPr>
                  </w:pPr>
                  <w:r>
                    <w:rPr>
                      <w:rFonts w:hint="eastAsia" w:cs="Times New Roman"/>
                      <w:b w:val="0"/>
                      <w:bCs/>
                      <w:szCs w:val="21"/>
                      <w:u w:val="none"/>
                      <w:lang w:val="en-US" w:eastAsia="zh-CN"/>
                    </w:rPr>
                    <w:t>有组织废气环保设施：集气设施</w:t>
                  </w:r>
                  <w:r>
                    <w:rPr>
                      <w:rFonts w:hint="default" w:ascii="Times New Roman" w:hAnsi="Times New Roman" w:cs="Times New Roman"/>
                      <w:b w:val="0"/>
                      <w:bCs/>
                      <w:szCs w:val="21"/>
                      <w:u w:val="none"/>
                      <w:lang w:val="en-US" w:eastAsia="zh-CN"/>
                    </w:rPr>
                    <w:t>+</w:t>
                  </w:r>
                  <w:r>
                    <w:rPr>
                      <w:rFonts w:hint="eastAsia"/>
                      <w:lang w:val="en-US" w:eastAsia="zh-CN"/>
                    </w:rPr>
                    <w:t>干式过滤除尘（过滤棉）+</w:t>
                  </w:r>
                  <w:r>
                    <w:rPr>
                      <w:rFonts w:hint="default" w:ascii="Times New Roman" w:hAnsi="Times New Roman" w:cs="Times New Roman"/>
                      <w:color w:val="auto"/>
                      <w:kern w:val="2"/>
                      <w:sz w:val="21"/>
                      <w:szCs w:val="21"/>
                      <w:vertAlign w:val="baseline"/>
                      <w:lang w:val="en-US" w:eastAsia="zh-CN" w:bidi="ar-SA"/>
                    </w:rPr>
                    <w:t>活性炭吸附浓缩+催化燃烧（RCO）</w:t>
                  </w:r>
                  <w:r>
                    <w:rPr>
                      <w:rFonts w:hint="default" w:ascii="Times New Roman" w:hAnsi="Times New Roman" w:cs="Times New Roman"/>
                      <w:b w:val="0"/>
                      <w:bCs/>
                      <w:szCs w:val="21"/>
                      <w:u w:val="none"/>
                      <w:lang w:val="en-US" w:eastAsia="zh-CN"/>
                    </w:rPr>
                    <w:t>+20m排气筒P1（DA001）</w:t>
                  </w:r>
                </w:p>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无组织废气环保设施：</w:t>
                  </w:r>
                  <w:r>
                    <w:rPr>
                      <w:rFonts w:hint="default" w:ascii="Times New Roman" w:hAnsi="Times New Roman" w:cs="Times New Roman"/>
                      <w:b w:val="0"/>
                      <w:bCs/>
                      <w:szCs w:val="21"/>
                      <w:u w:val="none"/>
                      <w:lang w:val="en-US" w:eastAsia="zh-CN"/>
                    </w:rPr>
                    <w:t>密闭厂房</w:t>
                  </w:r>
                </w:p>
              </w:tc>
              <w:tc>
                <w:tcPr>
                  <w:tcW w:w="58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1.013</w:t>
                  </w:r>
                </w:p>
              </w:tc>
              <w:tc>
                <w:tcPr>
                  <w:tcW w:w="59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 w:val="21"/>
                      <w:szCs w:val="21"/>
                      <w:u w:val="none"/>
                      <w:lang w:val="en-US" w:eastAsia="zh-CN"/>
                    </w:rPr>
                    <w:t>0.0162</w:t>
                  </w:r>
                </w:p>
              </w:tc>
              <w:tc>
                <w:tcPr>
                  <w:tcW w:w="453"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 w:val="21"/>
                      <w:szCs w:val="21"/>
                      <w:u w:val="none"/>
                      <w:lang w:val="en-US" w:eastAsia="zh-CN"/>
                    </w:rPr>
                    <w:t>0.1165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72"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74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无组织废气</w:t>
                  </w:r>
                </w:p>
              </w:tc>
              <w:tc>
                <w:tcPr>
                  <w:tcW w:w="343"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p>
              </w:tc>
              <w:tc>
                <w:tcPr>
                  <w:tcW w:w="40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0.12</w:t>
                  </w:r>
                </w:p>
              </w:tc>
              <w:tc>
                <w:tcPr>
                  <w:tcW w:w="46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0.017</w:t>
                  </w:r>
                </w:p>
              </w:tc>
              <w:tc>
                <w:tcPr>
                  <w:tcW w:w="102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8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w:t>
                  </w:r>
                </w:p>
              </w:tc>
              <w:tc>
                <w:tcPr>
                  <w:tcW w:w="59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0.017</w:t>
                  </w:r>
                </w:p>
              </w:tc>
              <w:tc>
                <w:tcPr>
                  <w:tcW w:w="453"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72"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74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熔融挤出废气（有组织）</w:t>
                  </w:r>
                </w:p>
              </w:tc>
              <w:tc>
                <w:tcPr>
                  <w:tcW w:w="343"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颗粒物</w:t>
                  </w:r>
                </w:p>
              </w:tc>
              <w:tc>
                <w:tcPr>
                  <w:tcW w:w="40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0.9975</w:t>
                  </w:r>
                </w:p>
              </w:tc>
              <w:tc>
                <w:tcPr>
                  <w:tcW w:w="46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0.1385</w:t>
                  </w:r>
                  <w:r>
                    <w:rPr>
                      <w:rFonts w:hint="default" w:ascii="Times New Roman" w:hAnsi="Times New Roman" w:cs="Times New Roman"/>
                      <w:b w:val="0"/>
                      <w:bCs/>
                      <w:sz w:val="21"/>
                      <w:szCs w:val="21"/>
                      <w:u w:val="none"/>
                      <w:lang w:val="en-US" w:eastAsia="zh-CN"/>
                    </w:rPr>
                    <w:t>2</w:t>
                  </w:r>
                </w:p>
              </w:tc>
              <w:tc>
                <w:tcPr>
                  <w:tcW w:w="102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8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0.87</w:t>
                  </w:r>
                </w:p>
              </w:tc>
              <w:tc>
                <w:tcPr>
                  <w:tcW w:w="59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0.01385</w:t>
                  </w:r>
                  <w:r>
                    <w:rPr>
                      <w:rFonts w:hint="default" w:ascii="Times New Roman" w:hAnsi="Times New Roman" w:cs="Times New Roman"/>
                      <w:b w:val="0"/>
                      <w:bCs/>
                      <w:sz w:val="21"/>
                      <w:szCs w:val="21"/>
                      <w:u w:val="none"/>
                      <w:lang w:val="en-US" w:eastAsia="zh-CN"/>
                    </w:rPr>
                    <w:t>2</w:t>
                  </w:r>
                </w:p>
              </w:tc>
              <w:tc>
                <w:tcPr>
                  <w:tcW w:w="453"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0.09975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72"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74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无组织废气</w:t>
                  </w:r>
                </w:p>
              </w:tc>
              <w:tc>
                <w:tcPr>
                  <w:tcW w:w="343"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40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0.0525</w:t>
                  </w:r>
                </w:p>
              </w:tc>
              <w:tc>
                <w:tcPr>
                  <w:tcW w:w="46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0.007</w:t>
                  </w:r>
                  <w:r>
                    <w:rPr>
                      <w:rFonts w:hint="default" w:ascii="Times New Roman" w:hAnsi="Times New Roman" w:cs="Times New Roman"/>
                      <w:b w:val="0"/>
                      <w:bCs/>
                      <w:sz w:val="21"/>
                      <w:szCs w:val="21"/>
                      <w:u w:val="none"/>
                      <w:lang w:val="en-US" w:eastAsia="zh-CN"/>
                    </w:rPr>
                    <w:t>2</w:t>
                  </w:r>
                </w:p>
              </w:tc>
              <w:tc>
                <w:tcPr>
                  <w:tcW w:w="102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8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w:t>
                  </w:r>
                </w:p>
              </w:tc>
              <w:tc>
                <w:tcPr>
                  <w:tcW w:w="59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Cs w:val="21"/>
                      <w:u w:val="none"/>
                      <w:lang w:val="en-US" w:eastAsia="zh-CN"/>
                    </w:rPr>
                    <w:t>0.007</w:t>
                  </w:r>
                </w:p>
              </w:tc>
              <w:tc>
                <w:tcPr>
                  <w:tcW w:w="453"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Cs w:val="21"/>
                      <w:u w:val="none"/>
                      <w:lang w:val="en-US" w:eastAsia="zh-CN"/>
                    </w:rPr>
                    <w:t>0.0525</w:t>
                  </w:r>
                  <w:r>
                    <w:rPr>
                      <w:rFonts w:hint="default" w:ascii="Times New Roman" w:hAnsi="Times New Roman" w:cs="Times New Roman"/>
                      <w:b w:val="0"/>
                      <w:bCs/>
                      <w:sz w:val="21"/>
                      <w:szCs w:val="21"/>
                      <w:u w:val="none"/>
                      <w:lang w:val="en-US" w:eastAsia="zh-CN"/>
                    </w:rPr>
                    <w:t>2</w:t>
                  </w:r>
                </w:p>
              </w:tc>
            </w:tr>
          </w:tbl>
          <w:p>
            <w:pPr>
              <w:pStyle w:val="42"/>
              <w:adjustRightInd w:val="0"/>
              <w:snapToGrid w:val="0"/>
              <w:spacing w:line="360" w:lineRule="auto"/>
              <w:rPr>
                <w:rFonts w:hint="default" w:ascii="Times New Roman" w:hAnsi="Times New Roman" w:cs="Times New Roman"/>
                <w:bCs/>
                <w:color w:val="auto"/>
                <w:sz w:val="24"/>
                <w:u w:val="none"/>
                <w:vertAlign w:val="baseline"/>
                <w:lang w:val="en-US"/>
              </w:rPr>
            </w:pPr>
            <w:r>
              <w:rPr>
                <w:rFonts w:hint="default" w:ascii="Times New Roman" w:hAnsi="Times New Roman" w:cs="Times New Roman"/>
                <w:bCs/>
                <w:color w:val="auto"/>
                <w:sz w:val="24"/>
                <w:u w:val="none"/>
                <w:lang w:val="en-US" w:eastAsia="zh-CN"/>
              </w:rPr>
              <w:t>因此本项目熔融挤出工序产生的</w:t>
            </w:r>
            <w:r>
              <w:rPr>
                <w:rFonts w:hint="eastAsia" w:cs="Times New Roman"/>
                <w:bCs/>
                <w:color w:val="auto"/>
                <w:sz w:val="24"/>
                <w:u w:val="none"/>
                <w:lang w:val="en-US" w:eastAsia="zh-CN"/>
              </w:rPr>
              <w:t>有机</w:t>
            </w:r>
            <w:r>
              <w:rPr>
                <w:rFonts w:hint="default" w:ascii="Times New Roman" w:hAnsi="Times New Roman" w:cs="Times New Roman"/>
                <w:bCs/>
                <w:color w:val="auto"/>
                <w:sz w:val="24"/>
                <w:u w:val="none"/>
              </w:rPr>
              <w:t>废气</w:t>
            </w:r>
            <w:r>
              <w:rPr>
                <w:rFonts w:hint="default" w:ascii="Times New Roman" w:hAnsi="Times New Roman" w:cs="Times New Roman"/>
                <w:bCs/>
                <w:color w:val="auto"/>
                <w:sz w:val="24"/>
                <w:u w:val="none"/>
                <w:lang w:eastAsia="zh-CN"/>
              </w:rPr>
              <w:t>（</w:t>
            </w:r>
            <w:r>
              <w:rPr>
                <w:rFonts w:hint="eastAsia" w:cs="Times New Roman"/>
                <w:sz w:val="24"/>
                <w:szCs w:val="24"/>
                <w:lang w:val="en-US" w:eastAsia="zh-CN"/>
              </w:rPr>
              <w:t>主要为非甲烷总烃</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排放</w:t>
            </w:r>
            <w:r>
              <w:rPr>
                <w:rFonts w:hint="default" w:ascii="Times New Roman" w:hAnsi="Times New Roman" w:cs="Times New Roman"/>
                <w:bCs/>
                <w:color w:val="auto"/>
                <w:sz w:val="24"/>
                <w:u w:val="none"/>
                <w:lang w:val="en-US" w:eastAsia="zh-CN"/>
              </w:rPr>
              <w:t>可</w:t>
            </w:r>
            <w:r>
              <w:rPr>
                <w:rFonts w:hint="default" w:ascii="Times New Roman" w:hAnsi="Times New Roman" w:cs="Times New Roman"/>
                <w:bCs/>
                <w:color w:val="auto"/>
                <w:sz w:val="24"/>
                <w:u w:val="none"/>
              </w:rPr>
              <w:t>满足</w:t>
            </w:r>
            <w:r>
              <w:rPr>
                <w:rFonts w:hint="default" w:ascii="Times New Roman" w:hAnsi="Times New Roman" w:cs="Times New Roman"/>
                <w:bCs/>
                <w:color w:val="auto"/>
                <w:sz w:val="24"/>
                <w:u w:val="none"/>
                <w:lang w:eastAsia="zh-CN"/>
              </w:rPr>
              <w:t>《大气污染物综合排放标准》（GB16297-1996）表2标准（</w:t>
            </w:r>
            <w:r>
              <w:rPr>
                <w:rFonts w:hint="default" w:ascii="Times New Roman" w:hAnsi="Times New Roman" w:cs="Times New Roman"/>
                <w:bCs/>
                <w:color w:val="auto"/>
                <w:sz w:val="24"/>
                <w:u w:val="none"/>
                <w:lang w:val="en-US" w:eastAsia="zh-CN"/>
              </w:rPr>
              <w:t>20</w:t>
            </w:r>
            <w:r>
              <w:rPr>
                <w:rFonts w:hint="default" w:ascii="Times New Roman" w:hAnsi="Times New Roman" w:cs="Times New Roman"/>
                <w:bCs/>
                <w:color w:val="auto"/>
                <w:sz w:val="24"/>
                <w:u w:val="none"/>
                <w:lang w:eastAsia="zh-CN"/>
              </w:rPr>
              <w:t>m高排气筒）</w:t>
            </w:r>
            <w:r>
              <w:rPr>
                <w:rFonts w:hint="default" w:ascii="Times New Roman" w:hAnsi="Times New Roman" w:cs="Times New Roman"/>
                <w:bCs/>
                <w:color w:val="auto"/>
                <w:sz w:val="24"/>
                <w:u w:val="none"/>
                <w:lang w:val="en-US" w:eastAsia="zh-CN"/>
              </w:rPr>
              <w:t>以及《关于全省开展工业企业挥发性有机物专项治理工作中排放建议值的通知》（豫环攻坚办〔2017〕162号）三者中关于非甲烷总烃</w:t>
            </w:r>
            <w:r>
              <w:rPr>
                <w:rFonts w:hint="eastAsia" w:cs="Times New Roman"/>
                <w:bCs/>
                <w:color w:val="auto"/>
                <w:sz w:val="24"/>
                <w:u w:val="none"/>
                <w:lang w:val="en-US" w:eastAsia="zh-CN"/>
              </w:rPr>
              <w:t>和二甲苯</w:t>
            </w:r>
            <w:r>
              <w:rPr>
                <w:rFonts w:hint="default" w:ascii="Times New Roman" w:hAnsi="Times New Roman" w:cs="Times New Roman"/>
                <w:bCs/>
                <w:color w:val="auto"/>
                <w:sz w:val="24"/>
                <w:u w:val="none"/>
                <w:lang w:val="en-US" w:eastAsia="zh-CN"/>
              </w:rPr>
              <w:t>限值的严格值，即非甲烷总烃</w:t>
            </w:r>
            <w:r>
              <w:rPr>
                <w:rFonts w:hint="default" w:ascii="Times New Roman" w:hAnsi="Times New Roman" w:eastAsia="宋体" w:cs="Times New Roman"/>
                <w:sz w:val="24"/>
              </w:rPr>
              <w:t>≦</w:t>
            </w:r>
            <w:r>
              <w:rPr>
                <w:rFonts w:hint="default" w:ascii="Times New Roman" w:hAnsi="Times New Roman" w:cs="Times New Roman"/>
                <w:sz w:val="24"/>
                <w:lang w:val="en-US" w:eastAsia="zh-CN"/>
              </w:rPr>
              <w:t>80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vertAlign w:val="baseline"/>
                <w:lang w:eastAsia="zh-CN"/>
              </w:rPr>
              <w:t>，</w:t>
            </w:r>
            <w:r>
              <w:rPr>
                <w:rFonts w:hint="default" w:ascii="Times New Roman" w:hAnsi="Times New Roman" w:cs="Times New Roman"/>
                <w:sz w:val="24"/>
                <w:vertAlign w:val="baseline"/>
                <w:lang w:val="en-US" w:eastAsia="zh-CN"/>
              </w:rPr>
              <w:t>排放速率</w:t>
            </w:r>
            <w:r>
              <w:rPr>
                <w:rFonts w:hint="default" w:ascii="Times New Roman" w:hAnsi="Times New Roman" w:eastAsia="宋体" w:cs="Times New Roman"/>
                <w:sz w:val="24"/>
              </w:rPr>
              <w:t>≦</w:t>
            </w:r>
            <w:r>
              <w:rPr>
                <w:rFonts w:hint="default" w:ascii="Times New Roman" w:hAnsi="Times New Roman" w:cs="Times New Roman"/>
                <w:sz w:val="24"/>
                <w:lang w:val="en-US" w:eastAsia="zh-CN"/>
              </w:rPr>
              <w:t>1</w:t>
            </w:r>
            <w:r>
              <w:rPr>
                <w:rFonts w:hint="eastAsia" w:cs="Times New Roman"/>
                <w:sz w:val="24"/>
                <w:lang w:val="en-US" w:eastAsia="zh-CN"/>
              </w:rPr>
              <w:t>7</w:t>
            </w:r>
            <w:r>
              <w:rPr>
                <w:rFonts w:hint="default" w:ascii="Times New Roman" w:hAnsi="Times New Roman" w:cs="Times New Roman"/>
                <w:sz w:val="24"/>
                <w:lang w:val="en-US" w:eastAsia="zh-CN"/>
              </w:rPr>
              <w:t>kg/h</w:t>
            </w:r>
            <w:r>
              <w:rPr>
                <w:rFonts w:hint="default" w:ascii="Times New Roman" w:hAnsi="Times New Roman" w:cs="Times New Roman"/>
                <w:lang w:val="en-US" w:eastAsia="zh-CN"/>
              </w:rPr>
              <w:t>。因此本项目该工序</w:t>
            </w:r>
            <w:r>
              <w:rPr>
                <w:rFonts w:hint="eastAsia" w:cs="Times New Roman"/>
                <w:lang w:val="en-US" w:eastAsia="zh-CN"/>
              </w:rPr>
              <w:t>有机废气</w:t>
            </w:r>
            <w:r>
              <w:rPr>
                <w:rFonts w:hint="default" w:ascii="Times New Roman" w:hAnsi="Times New Roman" w:cs="Times New Roman"/>
                <w:lang w:val="en-US" w:eastAsia="zh-CN"/>
              </w:rPr>
              <w:t>（有组织）排放</w:t>
            </w:r>
            <w:r>
              <w:rPr>
                <w:rFonts w:hint="default" w:ascii="Times New Roman" w:hAnsi="Times New Roman" w:cs="Times New Roman"/>
                <w:b w:val="0"/>
                <w:bCs/>
                <w:color w:val="auto"/>
                <w:szCs w:val="24"/>
                <w:u w:val="none"/>
              </w:rPr>
              <w:t>对周围大气环境影响不大</w:t>
            </w:r>
            <w:r>
              <w:rPr>
                <w:rFonts w:hint="default" w:ascii="Times New Roman" w:hAnsi="Times New Roman" w:cs="Times New Roman"/>
                <w:b w:val="0"/>
                <w:bCs/>
                <w:color w:val="auto"/>
                <w:szCs w:val="24"/>
                <w:u w:val="none"/>
                <w:lang w:eastAsia="zh-CN"/>
              </w:rPr>
              <w:t>。</w:t>
            </w:r>
            <w:r>
              <w:rPr>
                <w:rFonts w:hint="default" w:ascii="Times New Roman" w:hAnsi="Times New Roman" w:cs="Times New Roman"/>
                <w:bCs/>
                <w:color w:val="auto"/>
                <w:sz w:val="24"/>
                <w:u w:val="none"/>
                <w:lang w:val="en-US" w:eastAsia="zh-CN"/>
              </w:rPr>
              <w:t>项目后续运营期间</w:t>
            </w:r>
            <w:r>
              <w:rPr>
                <w:rFonts w:hint="eastAsia" w:cs="Times New Roman"/>
                <w:bCs/>
                <w:color w:val="auto"/>
                <w:sz w:val="24"/>
                <w:u w:val="none"/>
                <w:lang w:val="en-US" w:eastAsia="zh-CN"/>
              </w:rPr>
              <w:t>厂界</w:t>
            </w:r>
            <w:r>
              <w:rPr>
                <w:rFonts w:hint="default" w:ascii="Times New Roman" w:hAnsi="Times New Roman" w:cs="Times New Roman"/>
                <w:bCs/>
                <w:color w:val="auto"/>
                <w:sz w:val="24"/>
                <w:u w:val="none"/>
                <w:lang w:val="en-US" w:eastAsia="zh-CN"/>
              </w:rPr>
              <w:t>无组织</w:t>
            </w:r>
            <w:r>
              <w:rPr>
                <w:rFonts w:hint="eastAsia" w:cs="Times New Roman"/>
                <w:bCs/>
                <w:color w:val="auto"/>
                <w:sz w:val="24"/>
                <w:u w:val="none"/>
                <w:lang w:val="en-US" w:eastAsia="zh-CN"/>
              </w:rPr>
              <w:t>有机</w:t>
            </w:r>
            <w:r>
              <w:rPr>
                <w:rFonts w:hint="default" w:ascii="Times New Roman" w:hAnsi="Times New Roman" w:cs="Times New Roman"/>
                <w:bCs/>
                <w:color w:val="auto"/>
                <w:sz w:val="24"/>
                <w:u w:val="none"/>
              </w:rPr>
              <w:t>废气</w:t>
            </w:r>
            <w:r>
              <w:rPr>
                <w:rFonts w:hint="default" w:ascii="Times New Roman" w:hAnsi="Times New Roman" w:cs="Times New Roman"/>
                <w:bCs/>
                <w:color w:val="auto"/>
                <w:sz w:val="24"/>
                <w:u w:val="none"/>
                <w:lang w:eastAsia="zh-CN"/>
              </w:rPr>
              <w:t>（</w:t>
            </w:r>
            <w:r>
              <w:rPr>
                <w:rFonts w:hint="eastAsia" w:cs="Times New Roman"/>
                <w:sz w:val="24"/>
                <w:szCs w:val="24"/>
                <w:lang w:val="en-US" w:eastAsia="zh-CN"/>
              </w:rPr>
              <w:t>主要为非甲烷总烃</w:t>
            </w:r>
            <w:r>
              <w:rPr>
                <w:rFonts w:hint="default" w:ascii="Times New Roman" w:hAnsi="Times New Roman" w:cs="Times New Roman"/>
                <w:bCs/>
                <w:color w:val="auto"/>
                <w:sz w:val="24"/>
                <w:u w:val="none"/>
                <w:lang w:eastAsia="zh-CN"/>
              </w:rPr>
              <w:t>）</w:t>
            </w:r>
            <w:r>
              <w:rPr>
                <w:rFonts w:hint="default" w:ascii="Times New Roman" w:hAnsi="Times New Roman" w:cs="Times New Roman"/>
                <w:b w:val="0"/>
                <w:bCs w:val="0"/>
                <w:spacing w:val="5"/>
                <w:sz w:val="24"/>
                <w:szCs w:val="24"/>
                <w:u w:val="none"/>
                <w:lang w:val="en-US" w:eastAsia="zh-CN"/>
              </w:rPr>
              <w:t>需</w:t>
            </w:r>
            <w:r>
              <w:rPr>
                <w:rFonts w:hint="default" w:ascii="Times New Roman" w:hAnsi="Times New Roman" w:cs="Times New Roman"/>
                <w:b w:val="0"/>
                <w:bCs w:val="0"/>
                <w:spacing w:val="5"/>
                <w:sz w:val="24"/>
                <w:szCs w:val="24"/>
                <w:u w:val="none"/>
                <w:lang w:eastAsia="zh-CN"/>
              </w:rPr>
              <w:t>满足</w:t>
            </w:r>
            <w:r>
              <w:rPr>
                <w:rFonts w:hint="default" w:ascii="Times New Roman" w:hAnsi="Times New Roman" w:cs="Times New Roman"/>
                <w:b w:val="0"/>
                <w:bCs w:val="0"/>
                <w:sz w:val="24"/>
                <w:u w:val="none"/>
              </w:rPr>
              <w:t>河南省环境污染防治攻坚战领导小组办公室文件《关于全省开展工业企业挥发性有机物专项治理工作中排放建议值的通知》（豫环攻坚办</w:t>
            </w:r>
            <w:r>
              <w:rPr>
                <w:rFonts w:hint="default" w:ascii="Times New Roman" w:hAnsi="Times New Roman" w:cs="Times New Roman"/>
                <w:b w:val="0"/>
                <w:bCs w:val="0"/>
                <w:sz w:val="24"/>
                <w:u w:val="none"/>
                <w:lang w:eastAsia="zh-CN"/>
              </w:rPr>
              <w:t>〔</w:t>
            </w:r>
            <w:r>
              <w:rPr>
                <w:rFonts w:hint="default" w:ascii="Times New Roman" w:hAnsi="Times New Roman" w:cs="Times New Roman"/>
                <w:b w:val="0"/>
                <w:bCs w:val="0"/>
                <w:sz w:val="24"/>
                <w:u w:val="none"/>
              </w:rPr>
              <w:t>2017</w:t>
            </w:r>
            <w:r>
              <w:rPr>
                <w:rFonts w:hint="default" w:ascii="Times New Roman" w:hAnsi="Times New Roman" w:cs="Times New Roman"/>
                <w:b w:val="0"/>
                <w:bCs w:val="0"/>
                <w:sz w:val="24"/>
                <w:u w:val="none"/>
                <w:lang w:eastAsia="zh-CN"/>
              </w:rPr>
              <w:t>〕</w:t>
            </w:r>
            <w:r>
              <w:rPr>
                <w:rFonts w:hint="default" w:ascii="Times New Roman" w:hAnsi="Times New Roman" w:cs="Times New Roman"/>
                <w:b w:val="0"/>
                <w:bCs w:val="0"/>
                <w:sz w:val="24"/>
                <w:u w:val="none"/>
              </w:rPr>
              <w:t>162号）中表2</w:t>
            </w:r>
            <w:r>
              <w:rPr>
                <w:rFonts w:hint="default" w:ascii="Times New Roman" w:hAnsi="Times New Roman" w:cs="Times New Roman"/>
                <w:b w:val="0"/>
                <w:bCs w:val="0"/>
                <w:sz w:val="24"/>
                <w:u w:val="none"/>
                <w:lang w:val="en-US" w:eastAsia="zh-CN"/>
              </w:rPr>
              <w:t>中限值</w:t>
            </w:r>
            <w:r>
              <w:rPr>
                <w:rFonts w:hint="default" w:ascii="Times New Roman" w:hAnsi="Times New Roman" w:cs="Times New Roman"/>
                <w:b w:val="0"/>
                <w:bCs w:val="0"/>
                <w:sz w:val="24"/>
                <w:u w:val="none"/>
                <w:lang w:eastAsia="zh-CN"/>
              </w:rPr>
              <w:t>（其他企业非甲烷总烃</w:t>
            </w:r>
            <w:r>
              <w:rPr>
                <w:rFonts w:hint="default" w:ascii="Times New Roman" w:hAnsi="Times New Roman" w:cs="Times New Roman"/>
                <w:b w:val="0"/>
                <w:bCs w:val="0"/>
                <w:sz w:val="24"/>
                <w:u w:val="none"/>
                <w:lang w:val="en-US" w:eastAsia="zh-CN"/>
              </w:rPr>
              <w:t>2.0</w:t>
            </w:r>
            <w:r>
              <w:rPr>
                <w:rFonts w:hint="default" w:ascii="Times New Roman" w:hAnsi="Times New Roman" w:cs="Times New Roman"/>
                <w:b w:val="0"/>
                <w:bCs w:val="0"/>
                <w:sz w:val="24"/>
                <w:highlight w:val="none"/>
                <w:u w:val="none"/>
              </w:rPr>
              <w:t>mg/m</w:t>
            </w:r>
            <w:r>
              <w:rPr>
                <w:rFonts w:hint="default" w:ascii="Times New Roman" w:hAnsi="Times New Roman" w:cs="Times New Roman"/>
                <w:b w:val="0"/>
                <w:bCs w:val="0"/>
                <w:sz w:val="24"/>
                <w:highlight w:val="none"/>
                <w:u w:val="none"/>
                <w:vertAlign w:val="superscript"/>
              </w:rPr>
              <w:t>3</w:t>
            </w:r>
            <w:r>
              <w:rPr>
                <w:rFonts w:hint="default" w:ascii="Times New Roman" w:hAnsi="Times New Roman" w:cs="Times New Roman"/>
                <w:b w:val="0"/>
                <w:bCs w:val="0"/>
                <w:sz w:val="24"/>
                <w:u w:val="none"/>
                <w:lang w:eastAsia="zh-CN"/>
              </w:rPr>
              <w:t>）。</w:t>
            </w:r>
            <w:r>
              <w:rPr>
                <w:rFonts w:hint="eastAsia" w:cs="Times New Roman"/>
                <w:b w:val="0"/>
                <w:bCs w:val="0"/>
                <w:sz w:val="24"/>
                <w:u w:val="none"/>
                <w:lang w:val="en-US" w:eastAsia="zh-CN"/>
              </w:rPr>
              <w:t>颗粒物（有组织）需满足《河南省重污染天气通用行业应急减排措施制定技术指南（2021年修订版）》文件中相关标准要求，即PM排放浓度不高于10mg/m</w:t>
            </w:r>
            <w:r>
              <w:rPr>
                <w:rFonts w:hint="eastAsia" w:cs="Times New Roman"/>
                <w:b w:val="0"/>
                <w:bCs w:val="0"/>
                <w:sz w:val="24"/>
                <w:u w:val="none"/>
                <w:vertAlign w:val="superscript"/>
                <w:lang w:val="en-US" w:eastAsia="zh-CN"/>
              </w:rPr>
              <w:t>3</w:t>
            </w:r>
            <w:r>
              <w:rPr>
                <w:rFonts w:hint="eastAsia" w:cs="Times New Roman"/>
                <w:b w:val="0"/>
                <w:bCs w:val="0"/>
                <w:sz w:val="24"/>
                <w:u w:val="none"/>
                <w:lang w:val="en-US" w:eastAsia="zh-CN"/>
              </w:rPr>
              <w:t>限值要求；颗粒物（无组织）需满足《大气污染物综合排放标准》（GB16297-1996）表2标准（周界外浓度最高点）浓度1.0mg/m</w:t>
            </w:r>
            <w:r>
              <w:rPr>
                <w:rFonts w:hint="eastAsia" w:cs="Times New Roman"/>
                <w:b w:val="0"/>
                <w:bCs w:val="0"/>
                <w:sz w:val="24"/>
                <w:u w:val="none"/>
                <w:vertAlign w:val="superscript"/>
                <w:lang w:val="en-US" w:eastAsia="zh-CN"/>
              </w:rPr>
              <w:t>3</w:t>
            </w:r>
            <w:r>
              <w:rPr>
                <w:rFonts w:hint="eastAsia" w:cs="Times New Roman"/>
                <w:b w:val="0"/>
                <w:bCs w:val="0"/>
                <w:sz w:val="24"/>
                <w:u w:val="none"/>
                <w:vertAlign w:val="baseline"/>
                <w:lang w:val="en-US" w:eastAsia="zh-CN"/>
              </w:rPr>
              <w:t>。</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cs="Times New Roman"/>
                <w:b/>
                <w:bCs/>
                <w:u w:val="single"/>
                <w:lang w:val="en-US" w:eastAsia="zh-CN"/>
              </w:rPr>
            </w:pPr>
            <w:r>
              <w:rPr>
                <w:rFonts w:hint="default" w:ascii="Times New Roman" w:hAnsi="Times New Roman" w:cs="Times New Roman"/>
                <w:b/>
                <w:bCs/>
                <w:u w:val="single"/>
                <w:lang w:val="en-US" w:eastAsia="zh-CN"/>
              </w:rPr>
              <w:t>废泡沫再利用生产线（共2条线）废气源强计算</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val="0"/>
                <w:sz w:val="24"/>
                <w:szCs w:val="24"/>
                <w:u w:val="single"/>
                <w:lang w:val="en-US" w:eastAsia="zh-CN"/>
              </w:rPr>
            </w:pPr>
            <w:r>
              <w:rPr>
                <w:rFonts w:hint="default" w:ascii="Times New Roman" w:hAnsi="Times New Roman" w:cs="Times New Roman"/>
                <w:b/>
                <w:bCs w:val="0"/>
                <w:sz w:val="24"/>
                <w:szCs w:val="24"/>
                <w:u w:val="single"/>
                <w:lang w:val="en-US" w:eastAsia="zh-CN"/>
              </w:rPr>
              <w:t>废泡沫破碎过程中产生的粉尘（2条废泡沫再利用生产线）</w:t>
            </w:r>
          </w:p>
          <w:p>
            <w:pPr>
              <w:pStyle w:val="42"/>
              <w:adjustRightInd w:val="0"/>
              <w:snapToGrid w:val="0"/>
              <w:spacing w:line="360" w:lineRule="auto"/>
              <w:rPr>
                <w:rFonts w:hint="default" w:ascii="Times New Roman" w:hAnsi="Times New Roman" w:cs="Times New Roman"/>
                <w:bCs/>
                <w:color w:val="auto"/>
                <w:sz w:val="24"/>
                <w:u w:val="none"/>
                <w:lang w:val="en-US" w:eastAsia="zh-CN"/>
              </w:rPr>
            </w:pPr>
            <w:r>
              <w:rPr>
                <w:rFonts w:hint="default" w:ascii="Times New Roman" w:hAnsi="Times New Roman" w:cs="Times New Roman"/>
                <w:color w:val="auto"/>
                <w:sz w:val="24"/>
                <w:szCs w:val="24"/>
              </w:rPr>
              <w:t>本项目废</w:t>
            </w:r>
            <w:r>
              <w:rPr>
                <w:rFonts w:hint="default" w:ascii="Times New Roman" w:hAnsi="Times New Roman" w:cs="Times New Roman"/>
                <w:color w:val="auto"/>
                <w:sz w:val="24"/>
                <w:szCs w:val="24"/>
                <w:lang w:val="en-US" w:eastAsia="zh-CN"/>
              </w:rPr>
              <w:t>泡沫</w:t>
            </w:r>
            <w:r>
              <w:rPr>
                <w:rFonts w:hint="default" w:ascii="Times New Roman" w:hAnsi="Times New Roman" w:cs="Times New Roman"/>
                <w:color w:val="auto"/>
                <w:sz w:val="24"/>
                <w:szCs w:val="24"/>
              </w:rPr>
              <w:t>在利用干式破碎机进行破碎过程，</w:t>
            </w:r>
            <w:r>
              <w:rPr>
                <w:rFonts w:hint="default" w:ascii="Times New Roman" w:hAnsi="Times New Roman" w:cs="Times New Roman"/>
                <w:color w:val="auto"/>
                <w:sz w:val="24"/>
                <w:szCs w:val="24"/>
                <w:lang w:val="en-US" w:eastAsia="zh-CN"/>
              </w:rPr>
              <w:t>会</w:t>
            </w:r>
            <w:r>
              <w:rPr>
                <w:rFonts w:hint="default" w:ascii="Times New Roman" w:hAnsi="Times New Roman" w:cs="Times New Roman"/>
                <w:color w:val="auto"/>
                <w:sz w:val="24"/>
                <w:szCs w:val="24"/>
              </w:rPr>
              <w:t>产生一定的</w:t>
            </w:r>
            <w:r>
              <w:rPr>
                <w:rFonts w:hint="default" w:ascii="Times New Roman" w:hAnsi="Times New Roman" w:cs="Times New Roman"/>
                <w:color w:val="auto"/>
                <w:sz w:val="24"/>
                <w:szCs w:val="24"/>
                <w:lang w:val="en-US" w:eastAsia="zh-CN"/>
              </w:rPr>
              <w:t>粉尘</w:t>
            </w:r>
            <w:r>
              <w:rPr>
                <w:rFonts w:hint="default" w:ascii="Times New Roman" w:hAnsi="Times New Roman" w:cs="Times New Roman"/>
                <w:color w:val="auto"/>
                <w:sz w:val="24"/>
                <w:szCs w:val="24"/>
              </w:rPr>
              <w:t>。参照《第二次全国污染源普查产排污量核算系数手册》4220非金属废料和碎屑加工处理行业系数手册，废</w:t>
            </w:r>
            <w:r>
              <w:rPr>
                <w:rFonts w:hint="default" w:ascii="Times New Roman" w:hAnsi="Times New Roman" w:cs="Times New Roman"/>
                <w:color w:val="auto"/>
                <w:sz w:val="24"/>
                <w:szCs w:val="24"/>
                <w:lang w:val="en-US" w:eastAsia="zh-CN"/>
              </w:rPr>
              <w:t>泡沫（PS）</w:t>
            </w:r>
            <w:r>
              <w:rPr>
                <w:rFonts w:hint="default" w:ascii="Times New Roman" w:hAnsi="Times New Roman" w:cs="Times New Roman"/>
                <w:color w:val="auto"/>
                <w:sz w:val="24"/>
                <w:szCs w:val="24"/>
              </w:rPr>
              <w:t>塑料颗粒物产生量为</w:t>
            </w:r>
            <w:r>
              <w:rPr>
                <w:rFonts w:hint="default"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rPr>
              <w:t>g/t原料，</w:t>
            </w:r>
            <w:r>
              <w:rPr>
                <w:rFonts w:hint="default" w:ascii="Times New Roman" w:hAnsi="Times New Roman" w:cs="Times New Roman"/>
                <w:color w:val="auto"/>
                <w:sz w:val="24"/>
                <w:szCs w:val="24"/>
                <w:lang w:val="en-US" w:eastAsia="zh-CN"/>
              </w:rPr>
              <w:t>工业废气量为2500m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/t原料；原料</w:t>
            </w:r>
            <w:r>
              <w:rPr>
                <w:rFonts w:hint="default" w:ascii="Times New Roman" w:hAnsi="Times New Roman" w:cs="Times New Roman"/>
                <w:color w:val="auto"/>
                <w:sz w:val="24"/>
                <w:szCs w:val="24"/>
              </w:rPr>
              <w:t>项目年用废</w:t>
            </w:r>
            <w:r>
              <w:rPr>
                <w:rFonts w:hint="default" w:ascii="Times New Roman" w:hAnsi="Times New Roman" w:cs="Times New Roman"/>
                <w:color w:val="auto"/>
                <w:sz w:val="24"/>
                <w:szCs w:val="24"/>
                <w:lang w:val="en-US" w:eastAsia="zh-CN"/>
              </w:rPr>
              <w:t>编织袋（PS）</w:t>
            </w:r>
            <w:r>
              <w:rPr>
                <w:rFonts w:hint="default" w:ascii="Times New Roman" w:hAnsi="Times New Roman" w:cs="Times New Roman"/>
                <w:color w:val="auto"/>
                <w:sz w:val="24"/>
                <w:szCs w:val="24"/>
              </w:rPr>
              <w:t>塑料</w:t>
            </w:r>
            <w:r>
              <w:rPr>
                <w:rFonts w:hint="default" w:ascii="Times New Roman" w:hAnsi="Times New Roman" w:cs="Times New Roman"/>
                <w:color w:val="auto"/>
                <w:sz w:val="24"/>
                <w:szCs w:val="24"/>
                <w:lang w:val="en-US" w:eastAsia="zh-CN"/>
              </w:rPr>
              <w:t>3004.15</w:t>
            </w:r>
            <w:r>
              <w:rPr>
                <w:rFonts w:hint="default" w:ascii="Times New Roman" w:hAnsi="Times New Roman" w:cs="Times New Roman"/>
                <w:color w:val="auto"/>
                <w:sz w:val="24"/>
                <w:szCs w:val="24"/>
              </w:rPr>
              <w:t>t，则项目废</w:t>
            </w:r>
            <w:r>
              <w:rPr>
                <w:rFonts w:hint="default" w:ascii="Times New Roman" w:hAnsi="Times New Roman" w:cs="Times New Roman"/>
                <w:color w:val="auto"/>
                <w:sz w:val="24"/>
                <w:szCs w:val="24"/>
                <w:lang w:val="en-US" w:eastAsia="zh-CN"/>
              </w:rPr>
              <w:t>编织袋（PS）</w:t>
            </w:r>
            <w:r>
              <w:rPr>
                <w:rFonts w:hint="default" w:ascii="Times New Roman" w:hAnsi="Times New Roman" w:cs="Times New Roman"/>
                <w:color w:val="auto"/>
                <w:sz w:val="24"/>
                <w:szCs w:val="24"/>
              </w:rPr>
              <w:t>塑料颗粒物产生量为</w:t>
            </w:r>
            <w:r>
              <w:rPr>
                <w:rFonts w:hint="default" w:ascii="Times New Roman" w:hAnsi="Times New Roman" w:cs="Times New Roman"/>
                <w:color w:val="auto"/>
                <w:sz w:val="24"/>
                <w:szCs w:val="24"/>
                <w:lang w:val="en-US" w:eastAsia="zh-CN"/>
              </w:rPr>
              <w:t>1.28</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破碎工序产生废气量为7510375m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（1043m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sz w:val="24"/>
                <w:szCs w:val="24"/>
                <w:lang w:val="en-US" w:eastAsia="zh-CN"/>
              </w:rPr>
              <w:t>考虑集气设施运行期间要保持负压状态，本次环保设施设计风量取6000m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/h</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本项目针对2条废泡沫再利用生产线破碎工序产尘点（进料口和下料口）采取密闭措施，并通过集气管道引入袋式除尘器处理，最终经20m排气筒P2（DA002）高空达标排放。</w:t>
            </w:r>
            <w:r>
              <w:rPr>
                <w:rFonts w:hint="default" w:ascii="Times New Roman" w:hAnsi="Times New Roman" w:cs="Times New Roman"/>
                <w:bCs/>
                <w:color w:val="auto"/>
                <w:sz w:val="24"/>
                <w:u w:val="none"/>
                <w:lang w:val="en-US" w:eastAsia="zh-CN"/>
              </w:rPr>
              <w:t>其中</w:t>
            </w:r>
            <w:r>
              <w:rPr>
                <w:rFonts w:hint="default" w:ascii="Times New Roman" w:hAnsi="Times New Roman" w:cs="Times New Roman"/>
                <w:bCs/>
                <w:color w:val="auto"/>
                <w:sz w:val="24"/>
                <w:u w:val="none"/>
              </w:rPr>
              <w:t>粉尘收集率</w:t>
            </w:r>
            <w:r>
              <w:rPr>
                <w:rFonts w:hint="default" w:ascii="Times New Roman" w:hAnsi="Times New Roman" w:cs="Times New Roman"/>
                <w:bCs/>
                <w:color w:val="auto"/>
                <w:sz w:val="24"/>
                <w:u w:val="none"/>
                <w:lang w:val="en-US" w:eastAsia="zh-CN"/>
              </w:rPr>
              <w:t>按95</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val="en-US" w:eastAsia="zh-CN"/>
              </w:rPr>
              <w:t>计</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val="en-US" w:eastAsia="zh-CN"/>
              </w:rPr>
              <w:t>袋式除尘器处理效率按95%计。</w:t>
            </w:r>
          </w:p>
          <w:p>
            <w:pPr>
              <w:pStyle w:val="54"/>
              <w:adjustRightInd w:val="0"/>
              <w:snapToGrid w:val="0"/>
              <w:spacing w:line="240" w:lineRule="auto"/>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表4-3废泡沫破碎过程中产生的粉尘产排情况一览表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82"/>
              <w:gridCol w:w="645"/>
              <w:gridCol w:w="795"/>
              <w:gridCol w:w="878"/>
              <w:gridCol w:w="1815"/>
              <w:gridCol w:w="1110"/>
              <w:gridCol w:w="1121"/>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1" w:type="pct"/>
                  <w:gridSpan w:val="3"/>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污染物</w:t>
                  </w:r>
                </w:p>
              </w:tc>
              <w:tc>
                <w:tcPr>
                  <w:tcW w:w="889" w:type="pct"/>
                  <w:gridSpan w:val="2"/>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产生情况</w:t>
                  </w:r>
                </w:p>
              </w:tc>
              <w:tc>
                <w:tcPr>
                  <w:tcW w:w="965"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处理</w:t>
                  </w:r>
                </w:p>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措施</w:t>
                  </w:r>
                </w:p>
              </w:tc>
              <w:tc>
                <w:tcPr>
                  <w:tcW w:w="1723" w:type="pct"/>
                  <w:gridSpan w:val="3"/>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1" w:type="pct"/>
                  <w:gridSpan w:val="3"/>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422"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 w:val="21"/>
                      <w:szCs w:val="21"/>
                      <w:u w:val="none"/>
                    </w:rPr>
                    <w:t>t/a</w:t>
                  </w:r>
                </w:p>
              </w:tc>
              <w:tc>
                <w:tcPr>
                  <w:tcW w:w="467"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 w:val="21"/>
                      <w:szCs w:val="21"/>
                      <w:u w:val="none"/>
                    </w:rPr>
                    <w:t>kg/h</w:t>
                  </w:r>
                </w:p>
              </w:tc>
              <w:tc>
                <w:tcPr>
                  <w:tcW w:w="965"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590"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eastAsia="宋体" w:cs="Times New Roman"/>
                      <w:b w:val="0"/>
                      <w:bCs/>
                      <w:szCs w:val="21"/>
                      <w:u w:val="none"/>
                      <w:lang w:val="en-US" w:eastAsia="zh-CN"/>
                    </w:rPr>
                    <w:t>mg/m</w:t>
                  </w:r>
                  <w:r>
                    <w:rPr>
                      <w:rFonts w:hint="default" w:ascii="Times New Roman" w:hAnsi="Times New Roman" w:eastAsia="宋体" w:cs="Times New Roman"/>
                      <w:b w:val="0"/>
                      <w:bCs/>
                      <w:szCs w:val="21"/>
                      <w:u w:val="none"/>
                      <w:vertAlign w:val="superscript"/>
                      <w:lang w:val="en-US" w:eastAsia="zh-CN"/>
                    </w:rPr>
                    <w:t>3</w:t>
                  </w:r>
                </w:p>
              </w:tc>
              <w:tc>
                <w:tcPr>
                  <w:tcW w:w="596"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kg/h</w:t>
                  </w:r>
                </w:p>
              </w:tc>
              <w:tc>
                <w:tcPr>
                  <w:tcW w:w="536"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rPr>
                  </w:pPr>
                  <w:r>
                    <w:rPr>
                      <w:rFonts w:hint="default" w:ascii="Times New Roman" w:hAnsi="Times New Roman" w:cs="Times New Roman"/>
                      <w:b w:val="0"/>
                      <w:bCs/>
                      <w:szCs w:val="21"/>
                      <w:u w:val="none"/>
                      <w:lang w:val="en-US" w:eastAsia="zh-CN"/>
                    </w:rPr>
                    <w:t>2条废泡沫再利用生产线</w:t>
                  </w:r>
                </w:p>
              </w:tc>
              <w:tc>
                <w:tcPr>
                  <w:tcW w:w="681"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破碎工序粉尘（有组织）</w:t>
                  </w:r>
                </w:p>
              </w:tc>
              <w:tc>
                <w:tcPr>
                  <w:tcW w:w="343"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eastAsia="宋体" w:cs="Times New Roman"/>
                      <w:b w:val="0"/>
                      <w:bCs/>
                      <w:szCs w:val="21"/>
                      <w:u w:val="none"/>
                      <w:lang w:val="en-US" w:eastAsia="zh-CN"/>
                    </w:rPr>
                    <w:t>颗粒物</w:t>
                  </w:r>
                </w:p>
              </w:tc>
              <w:tc>
                <w:tcPr>
                  <w:tcW w:w="42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1.216</w:t>
                  </w:r>
                </w:p>
              </w:tc>
              <w:tc>
                <w:tcPr>
                  <w:tcW w:w="467"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0.17</w:t>
                  </w:r>
                </w:p>
              </w:tc>
              <w:tc>
                <w:tcPr>
                  <w:tcW w:w="965"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集气设施</w:t>
                  </w:r>
                  <w:r>
                    <w:rPr>
                      <w:rFonts w:hint="default" w:ascii="Times New Roman" w:hAnsi="Times New Roman" w:cs="Times New Roman"/>
                      <w:b w:val="0"/>
                      <w:bCs/>
                      <w:szCs w:val="21"/>
                      <w:u w:val="none"/>
                      <w:lang w:val="en-US" w:eastAsia="zh-CN"/>
                    </w:rPr>
                    <w:t>+袋式除尘器+20m排气筒P2（DA002）</w:t>
                  </w:r>
                </w:p>
              </w:tc>
              <w:tc>
                <w:tcPr>
                  <w:tcW w:w="590"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Cs w:val="21"/>
                      <w:u w:val="none"/>
                      <w:lang w:val="en-US" w:eastAsia="zh-CN"/>
                    </w:rPr>
                    <w:t>1.42</w:t>
                  </w:r>
                </w:p>
              </w:tc>
              <w:tc>
                <w:tcPr>
                  <w:tcW w:w="5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 w:val="21"/>
                      <w:szCs w:val="21"/>
                      <w:u w:val="none"/>
                      <w:lang w:val="en-US" w:eastAsia="zh-CN"/>
                    </w:rPr>
                    <w:t>0.0085</w:t>
                  </w:r>
                </w:p>
              </w:tc>
              <w:tc>
                <w:tcPr>
                  <w:tcW w:w="53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default" w:ascii="Times New Roman" w:hAnsi="Times New Roman" w:cs="Times New Roman"/>
                      <w:b w:val="0"/>
                      <w:bCs/>
                      <w:sz w:val="21"/>
                      <w:szCs w:val="21"/>
                      <w:u w:val="none"/>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jc w:val="center"/>
              </w:trPr>
              <w:tc>
                <w:tcPr>
                  <w:tcW w:w="396"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681"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无组织粉尘</w:t>
                  </w:r>
                </w:p>
              </w:tc>
              <w:tc>
                <w:tcPr>
                  <w:tcW w:w="343"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p>
              </w:tc>
              <w:tc>
                <w:tcPr>
                  <w:tcW w:w="4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0.064</w:t>
                  </w:r>
                </w:p>
              </w:tc>
              <w:tc>
                <w:tcPr>
                  <w:tcW w:w="46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0.009</w:t>
                  </w:r>
                </w:p>
              </w:tc>
              <w:tc>
                <w:tcPr>
                  <w:tcW w:w="965"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密闭厂房</w:t>
                  </w:r>
                </w:p>
              </w:tc>
              <w:tc>
                <w:tcPr>
                  <w:tcW w:w="590"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w:t>
                  </w:r>
                </w:p>
              </w:tc>
              <w:tc>
                <w:tcPr>
                  <w:tcW w:w="5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0.009</w:t>
                  </w:r>
                </w:p>
              </w:tc>
              <w:tc>
                <w:tcPr>
                  <w:tcW w:w="53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0.064</w:t>
                  </w:r>
                </w:p>
              </w:tc>
            </w:tr>
          </w:tbl>
          <w:p>
            <w:pPr>
              <w:pStyle w:val="42"/>
              <w:adjustRightInd w:val="0"/>
              <w:snapToGrid w:val="0"/>
              <w:spacing w:line="360" w:lineRule="auto"/>
              <w:rPr>
                <w:rFonts w:hint="default" w:ascii="Times New Roman" w:hAnsi="Times New Roman" w:eastAsia="宋体" w:cs="Times New Roman"/>
                <w:b w:val="0"/>
                <w:bCs/>
                <w:color w:val="0000FF"/>
                <w:szCs w:val="24"/>
                <w:u w:val="none"/>
                <w:vertAlign w:val="baseline"/>
                <w:lang w:val="en-US" w:eastAsia="zh-CN"/>
              </w:rPr>
            </w:pPr>
            <w:r>
              <w:rPr>
                <w:rFonts w:hint="default" w:ascii="Times New Roman" w:hAnsi="Times New Roman" w:cs="Times New Roman"/>
                <w:bCs/>
                <w:color w:val="auto"/>
                <w:sz w:val="24"/>
                <w:u w:val="none"/>
                <w:lang w:val="en-US" w:eastAsia="zh-CN"/>
              </w:rPr>
              <w:t>因此本项目破碎工序产生的</w:t>
            </w:r>
            <w:r>
              <w:rPr>
                <w:rFonts w:hint="default" w:ascii="Times New Roman" w:hAnsi="Times New Roman" w:cs="Times New Roman"/>
                <w:bCs/>
                <w:color w:val="auto"/>
                <w:sz w:val="24"/>
                <w:u w:val="none"/>
              </w:rPr>
              <w:t>废气排放可满足</w:t>
            </w:r>
            <w:r>
              <w:rPr>
                <w:rFonts w:hint="default" w:ascii="Times New Roman" w:hAnsi="Times New Roman" w:cs="Times New Roman"/>
                <w:b w:val="0"/>
                <w:bCs w:val="0"/>
                <w:color w:val="auto"/>
                <w:sz w:val="24"/>
                <w:szCs w:val="24"/>
                <w:u w:val="none"/>
                <w:lang w:val="en-US" w:eastAsia="zh-CN"/>
              </w:rPr>
              <w:t>《河南省重污染天气通用行业应急减排措施制定技术指南（2021年修订版）》文件中相关标准要求，</w:t>
            </w:r>
            <w:r>
              <w:rPr>
                <w:rFonts w:hint="default" w:ascii="Times New Roman" w:hAnsi="Times New Roman" w:cs="Times New Roman"/>
                <w:sz w:val="24"/>
              </w:rPr>
              <w:t>即PM排放浓度</w:t>
            </w:r>
            <w:r>
              <w:rPr>
                <w:rFonts w:hint="default" w:ascii="Times New Roman" w:hAnsi="Times New Roman" w:eastAsia="宋体" w:cs="Times New Roman"/>
                <w:sz w:val="24"/>
              </w:rPr>
              <w:t>≦</w:t>
            </w:r>
            <w:r>
              <w:rPr>
                <w:rFonts w:hint="default" w:ascii="Times New Roman" w:hAnsi="Times New Roman" w:cs="Times New Roman"/>
                <w:sz w:val="24"/>
              </w:rPr>
              <w:t>10mg/m</w:t>
            </w:r>
            <w:r>
              <w:rPr>
                <w:rFonts w:hint="default" w:ascii="Times New Roman" w:hAnsi="Times New Roman" w:cs="Times New Roman"/>
                <w:sz w:val="24"/>
                <w:vertAlign w:val="superscript"/>
              </w:rPr>
              <w:t>3</w:t>
            </w:r>
            <w:r>
              <w:rPr>
                <w:rFonts w:hint="default" w:ascii="Times New Roman" w:hAnsi="Times New Roman" w:cs="Times New Roman"/>
                <w:sz w:val="24"/>
              </w:rPr>
              <w:t>限值要求</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lang w:val="en-US" w:eastAsia="zh-CN"/>
              </w:rPr>
              <w:t>同时满足</w:t>
            </w:r>
            <w:r>
              <w:rPr>
                <w:rFonts w:hint="default" w:ascii="Times New Roman" w:hAnsi="Times New Roman" w:cs="Times New Roman"/>
              </w:rPr>
              <w:t>《大气污染物综合排放标准》（GB16297-1996）表2标准</w:t>
            </w:r>
            <w:r>
              <w:rPr>
                <w:rFonts w:hint="default" w:ascii="Times New Roman" w:hAnsi="Times New Roman" w:cs="Times New Roman"/>
                <w:lang w:val="en-US" w:eastAsia="zh-CN"/>
              </w:rPr>
              <w:t>中排放速率</w:t>
            </w:r>
            <w:r>
              <w:rPr>
                <w:rFonts w:hint="default" w:ascii="Times New Roman" w:hAnsi="Times New Roman" w:eastAsia="宋体" w:cs="Times New Roman"/>
                <w:sz w:val="24"/>
              </w:rPr>
              <w:t>≦</w:t>
            </w:r>
            <w:r>
              <w:rPr>
                <w:rFonts w:hint="default" w:ascii="Times New Roman" w:hAnsi="Times New Roman" w:cs="Times New Roman"/>
                <w:lang w:val="en-US" w:eastAsia="zh-CN"/>
              </w:rPr>
              <w:t>5.9kg/h的要求；因此本项目该工序颗粒物（有组织）排放</w:t>
            </w:r>
            <w:r>
              <w:rPr>
                <w:rFonts w:hint="default" w:ascii="Times New Roman" w:hAnsi="Times New Roman" w:cs="Times New Roman"/>
                <w:b w:val="0"/>
                <w:bCs/>
                <w:color w:val="auto"/>
                <w:szCs w:val="24"/>
                <w:u w:val="none"/>
              </w:rPr>
              <w:t>对周围大气环境影响不大</w:t>
            </w:r>
            <w:r>
              <w:rPr>
                <w:rFonts w:hint="default" w:ascii="Times New Roman" w:hAnsi="Times New Roman" w:cs="Times New Roman"/>
                <w:b w:val="0"/>
                <w:bCs/>
                <w:color w:val="auto"/>
                <w:szCs w:val="24"/>
                <w:u w:val="none"/>
                <w:lang w:eastAsia="zh-CN"/>
              </w:rPr>
              <w:t>。</w:t>
            </w:r>
            <w:r>
              <w:rPr>
                <w:rFonts w:hint="default" w:ascii="Times New Roman" w:hAnsi="Times New Roman" w:cs="Times New Roman"/>
                <w:b w:val="0"/>
                <w:bCs/>
                <w:color w:val="auto"/>
                <w:szCs w:val="24"/>
                <w:u w:val="none"/>
                <w:lang w:val="en-US" w:eastAsia="zh-CN"/>
              </w:rPr>
              <w:t>本项目未收集的无组织破碎粉尘经全密闭原料库拦截后，只有少量无组织粉尘外溢，排放量较小，对周围环境影响不大。无组织粉尘排放需</w:t>
            </w:r>
            <w:r>
              <w:rPr>
                <w:rFonts w:hint="default" w:ascii="Times New Roman" w:hAnsi="Times New Roman" w:cs="Times New Roman"/>
                <w:sz w:val="24"/>
                <w:vertAlign w:val="baseline"/>
                <w:lang w:val="en-US" w:eastAsia="zh-CN"/>
              </w:rPr>
              <w:t>满足《大气污染物综合排放标准》（GB16297-1996）表2标准（周界外浓度最高点）中</w:t>
            </w:r>
            <w:r>
              <w:rPr>
                <w:rFonts w:hint="default" w:ascii="Times New Roman" w:hAnsi="Times New Roman" w:cs="Times New Roman"/>
                <w:b w:val="0"/>
                <w:bCs/>
                <w:color w:val="auto"/>
                <w:szCs w:val="24"/>
                <w:u w:val="none"/>
                <w:lang w:val="en-US" w:eastAsia="zh-CN"/>
              </w:rPr>
              <w:t>颗粒物</w:t>
            </w:r>
            <w:r>
              <w:rPr>
                <w:rFonts w:hint="default" w:ascii="Times New Roman" w:hAnsi="Times New Roman" w:eastAsia="宋体" w:cs="Times New Roman"/>
                <w:sz w:val="24"/>
              </w:rPr>
              <w:t>≦</w:t>
            </w:r>
            <w:r>
              <w:rPr>
                <w:rFonts w:hint="default" w:ascii="Times New Roman" w:hAnsi="Times New Roman" w:cs="Times New Roman"/>
                <w:sz w:val="24"/>
                <w:lang w:val="en-US" w:eastAsia="zh-CN"/>
              </w:rPr>
              <w:t>1.0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vertAlign w:val="baseline"/>
                <w:lang w:eastAsia="zh-CN"/>
              </w:rPr>
              <w:t>。</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val="0"/>
                <w:sz w:val="24"/>
                <w:szCs w:val="24"/>
                <w:u w:val="single"/>
                <w:lang w:val="en-US" w:eastAsia="zh-CN"/>
              </w:rPr>
            </w:pPr>
            <w:r>
              <w:rPr>
                <w:rFonts w:hint="default" w:ascii="Times New Roman" w:hAnsi="Times New Roman" w:cs="Times New Roman"/>
                <w:b/>
                <w:bCs w:val="0"/>
                <w:sz w:val="24"/>
                <w:szCs w:val="24"/>
                <w:u w:val="single"/>
                <w:lang w:val="en-US" w:eastAsia="zh-CN"/>
              </w:rPr>
              <w:t>熔融挤出废气（2条废泡沫再利用生产线）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根据企业提供资料可知，废泡沫（PS）主要成分聚苯乙烯；因此</w:t>
            </w:r>
            <w:r>
              <w:rPr>
                <w:rFonts w:hint="default" w:ascii="Times New Roman" w:hAnsi="Times New Roman" w:cs="Times New Roman"/>
                <w:color w:val="auto"/>
                <w:sz w:val="24"/>
                <w:szCs w:val="24"/>
              </w:rPr>
              <w:t>本项目废</w:t>
            </w:r>
            <w:r>
              <w:rPr>
                <w:rFonts w:hint="default" w:ascii="Times New Roman" w:hAnsi="Times New Roman" w:cs="Times New Roman"/>
                <w:color w:val="auto"/>
                <w:sz w:val="24"/>
                <w:szCs w:val="24"/>
                <w:lang w:val="en-US" w:eastAsia="zh-CN"/>
              </w:rPr>
              <w:t>泡沫</w:t>
            </w:r>
            <w:r>
              <w:rPr>
                <w:rFonts w:hint="default" w:ascii="Times New Roman" w:hAnsi="Times New Roman" w:cs="Times New Roman"/>
                <w:color w:val="auto"/>
                <w:sz w:val="24"/>
                <w:szCs w:val="24"/>
              </w:rPr>
              <w:t>再生（造粒）过程中，在熔融挤出工序由于塑料受热会产生一定的挥发性有机废气</w:t>
            </w:r>
            <w:r>
              <w:rPr>
                <w:rFonts w:hint="eastAsia" w:cs="Times New Roman"/>
                <w:color w:val="auto"/>
                <w:sz w:val="24"/>
                <w:szCs w:val="24"/>
                <w:lang w:eastAsia="zh-CN"/>
              </w:rPr>
              <w:t>。</w:t>
            </w:r>
            <w:r>
              <w:rPr>
                <w:rFonts w:hint="eastAsia" w:cs="Times New Roman"/>
                <w:color w:val="auto"/>
                <w:sz w:val="24"/>
                <w:szCs w:val="24"/>
                <w:lang w:val="en-US" w:eastAsia="zh-CN"/>
              </w:rPr>
              <w:t>通过查阅相关资料，本项目有机废气主要成分为非甲烷总烃和二甲苯。</w:t>
            </w:r>
            <w:r>
              <w:rPr>
                <w:rFonts w:hint="default" w:ascii="Times New Roman" w:hAnsi="Times New Roman" w:cs="Times New Roman"/>
                <w:color w:val="auto"/>
                <w:sz w:val="24"/>
                <w:szCs w:val="24"/>
              </w:rPr>
              <w:t>项目所使用的挤塑机为电加热设备，在生产过程中不加任何助剂，不进行原料改性。参照《第二次全国污染源普查产排污量核算系数手册》4220非金属废料和碎屑加工处理行业系数手册，废</w:t>
            </w:r>
            <w:r>
              <w:rPr>
                <w:rFonts w:hint="default" w:ascii="Times New Roman" w:hAnsi="Times New Roman" w:cs="Times New Roman"/>
                <w:color w:val="auto"/>
                <w:sz w:val="24"/>
                <w:szCs w:val="24"/>
                <w:lang w:val="en-US" w:eastAsia="zh-CN"/>
              </w:rPr>
              <w:t>泡沫（PS）</w:t>
            </w:r>
            <w:r>
              <w:rPr>
                <w:rFonts w:hint="default" w:ascii="Times New Roman" w:hAnsi="Times New Roman" w:cs="Times New Roman"/>
                <w:color w:val="auto"/>
                <w:sz w:val="24"/>
                <w:szCs w:val="24"/>
              </w:rPr>
              <w:t>再生挥发性有机物产生量为957g/t原料，</w:t>
            </w:r>
            <w:r>
              <w:rPr>
                <w:rFonts w:hint="default" w:ascii="Times New Roman" w:hAnsi="Times New Roman" w:cs="Times New Roman"/>
                <w:color w:val="auto"/>
                <w:sz w:val="24"/>
                <w:szCs w:val="24"/>
                <w:lang w:val="en-US" w:eastAsia="zh-CN"/>
              </w:rPr>
              <w:t>工业废气量为4000m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/t原料，</w:t>
            </w:r>
            <w:r>
              <w:rPr>
                <w:rFonts w:hint="default" w:ascii="Times New Roman" w:hAnsi="Times New Roman" w:cs="Times New Roman"/>
                <w:color w:val="auto"/>
                <w:sz w:val="24"/>
                <w:szCs w:val="24"/>
              </w:rPr>
              <w:t>项目年用废</w:t>
            </w:r>
            <w:r>
              <w:rPr>
                <w:rFonts w:hint="default" w:ascii="Times New Roman" w:hAnsi="Times New Roman" w:cs="Times New Roman"/>
                <w:color w:val="auto"/>
                <w:sz w:val="24"/>
                <w:szCs w:val="24"/>
                <w:lang w:val="en-US" w:eastAsia="zh-CN"/>
              </w:rPr>
              <w:t>泡沫（</w:t>
            </w:r>
            <w:r>
              <w:rPr>
                <w:rFonts w:hint="default" w:ascii="Times New Roman" w:hAnsi="Times New Roman" w:cs="Times New Roman"/>
                <w:color w:val="auto"/>
                <w:sz w:val="24"/>
                <w:szCs w:val="24"/>
              </w:rPr>
              <w:t>PS</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2.995</w:t>
            </w:r>
            <w:r>
              <w:rPr>
                <w:rFonts w:hint="default" w:ascii="Times New Roman" w:hAnsi="Times New Roman" w:cs="Times New Roman"/>
                <w:color w:val="auto"/>
                <w:sz w:val="24"/>
                <w:szCs w:val="24"/>
              </w:rPr>
              <w:t>t，则废</w:t>
            </w:r>
            <w:r>
              <w:rPr>
                <w:rFonts w:hint="default" w:ascii="Times New Roman" w:hAnsi="Times New Roman" w:cs="Times New Roman"/>
                <w:color w:val="auto"/>
                <w:sz w:val="24"/>
                <w:szCs w:val="24"/>
                <w:lang w:val="en-US" w:eastAsia="zh-CN"/>
              </w:rPr>
              <w:t>泡沫（</w:t>
            </w:r>
            <w:r>
              <w:rPr>
                <w:rFonts w:hint="default" w:ascii="Times New Roman" w:hAnsi="Times New Roman" w:cs="Times New Roman"/>
                <w:color w:val="auto"/>
                <w:sz w:val="24"/>
                <w:szCs w:val="24"/>
              </w:rPr>
              <w:t>PS</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挥发性有机物</w:t>
            </w:r>
            <w:r>
              <w:rPr>
                <w:rFonts w:hint="eastAsia" w:cs="Times New Roman"/>
                <w:color w:val="auto"/>
                <w:sz w:val="24"/>
                <w:szCs w:val="24"/>
                <w:lang w:eastAsia="zh-CN"/>
              </w:rPr>
              <w:t>（</w:t>
            </w:r>
            <w:r>
              <w:rPr>
                <w:rFonts w:hint="eastAsia" w:cs="Times New Roman"/>
                <w:color w:val="auto"/>
                <w:sz w:val="24"/>
                <w:szCs w:val="24"/>
                <w:lang w:val="en-US" w:eastAsia="zh-CN"/>
              </w:rPr>
              <w:t>非甲烷总烃和二甲苯</w:t>
            </w:r>
            <w:r>
              <w:rPr>
                <w:rFonts w:hint="eastAsia" w:cs="Times New Roman"/>
                <w:color w:val="auto"/>
                <w:sz w:val="24"/>
                <w:szCs w:val="24"/>
                <w:lang w:eastAsia="zh-CN"/>
              </w:rPr>
              <w:t>）</w:t>
            </w:r>
            <w:r>
              <w:rPr>
                <w:rFonts w:hint="default" w:ascii="Times New Roman" w:hAnsi="Times New Roman" w:cs="Times New Roman"/>
                <w:color w:val="auto"/>
                <w:sz w:val="24"/>
                <w:szCs w:val="24"/>
              </w:rPr>
              <w:t>产生量约为</w:t>
            </w:r>
            <w:r>
              <w:rPr>
                <w:rFonts w:hint="default" w:ascii="Times New Roman" w:hAnsi="Times New Roman" w:cs="Times New Roman"/>
                <w:color w:val="auto"/>
                <w:sz w:val="24"/>
                <w:szCs w:val="24"/>
                <w:lang w:val="en-US" w:eastAsia="zh-CN"/>
              </w:rPr>
              <w:t>2.87</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废气量为12011980m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（1668.3m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考虑集气设施运行期间要保持负压状态，本次环保设施设计风量取12000m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/h。根据中国卫生检验杂志2009年9月第19卷第9期《气相色谱-质谱法分析聚苯乙烯加热分解产物》，废PS塑料</w:t>
            </w:r>
            <w:r>
              <w:rPr>
                <w:rFonts w:hint="eastAsia" w:cs="Times New Roman"/>
                <w:color w:val="auto"/>
                <w:sz w:val="24"/>
                <w:szCs w:val="24"/>
                <w:lang w:val="en-US" w:eastAsia="zh-CN"/>
              </w:rPr>
              <w:t>（泡沫）</w:t>
            </w:r>
            <w:r>
              <w:rPr>
                <w:rFonts w:hint="default" w:ascii="Times New Roman" w:hAnsi="Times New Roman" w:cs="Times New Roman"/>
                <w:color w:val="auto"/>
                <w:sz w:val="24"/>
                <w:szCs w:val="24"/>
                <w:lang w:val="en-US" w:eastAsia="zh-CN"/>
              </w:rPr>
              <w:t>二甲苯产生量约为0.0714kg/t，项目年用PS废塑料</w:t>
            </w:r>
            <w:r>
              <w:rPr>
                <w:rFonts w:hint="eastAsia" w:cs="Times New Roman"/>
                <w:color w:val="auto"/>
                <w:sz w:val="24"/>
                <w:szCs w:val="24"/>
                <w:lang w:val="en-US" w:eastAsia="zh-CN"/>
              </w:rPr>
              <w:t>（泡沫）3002.995</w:t>
            </w:r>
            <w:r>
              <w:rPr>
                <w:rFonts w:hint="default" w:ascii="Times New Roman" w:hAnsi="Times New Roman" w:cs="Times New Roman"/>
                <w:color w:val="auto"/>
                <w:sz w:val="24"/>
                <w:szCs w:val="24"/>
                <w:lang w:val="en-US" w:eastAsia="zh-CN"/>
              </w:rPr>
              <w:t>t，则项目二甲苯产生量为0.</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14t/a</w:t>
            </w:r>
            <w:r>
              <w:rPr>
                <w:rFonts w:hint="eastAsia" w:cs="Times New Roman"/>
                <w:color w:val="auto"/>
                <w:sz w:val="24"/>
                <w:szCs w:val="24"/>
                <w:lang w:val="en-US" w:eastAsia="zh-CN"/>
              </w:rPr>
              <w:t>。</w:t>
            </w:r>
            <w:r>
              <w:rPr>
                <w:rFonts w:hint="eastAsia" w:cs="Times New Roman"/>
                <w:sz w:val="24"/>
                <w:szCs w:val="24"/>
                <w:lang w:val="en-US" w:eastAsia="zh-CN"/>
              </w:rPr>
              <w:t>另外该工序</w:t>
            </w:r>
            <w:r>
              <w:rPr>
                <w:rFonts w:hint="default" w:ascii="Times New Roman" w:hAnsi="Times New Roman" w:cs="Times New Roman"/>
                <w:sz w:val="24"/>
                <w:szCs w:val="24"/>
                <w:lang w:eastAsia="zh-CN"/>
              </w:rPr>
              <w:t>颗粒物产生量参考《空气污染物排放和控制手册 工业污染源调查与研究》（第二辑），塑料热熔挤出颗粒产生系数为0.15kg/t原料，则本项目挤塑过程颗粒物产生量为</w:t>
            </w:r>
            <w:r>
              <w:rPr>
                <w:rFonts w:hint="eastAsia" w:cs="Times New Roman"/>
                <w:sz w:val="24"/>
                <w:szCs w:val="24"/>
                <w:lang w:val="en-US" w:eastAsia="zh-CN"/>
              </w:rPr>
              <w:t>0.45</w:t>
            </w:r>
            <w:r>
              <w:rPr>
                <w:rFonts w:hint="default" w:ascii="Times New Roman" w:hAnsi="Times New Roman" w:cs="Times New Roman"/>
                <w:sz w:val="24"/>
                <w:szCs w:val="24"/>
                <w:lang w:eastAsia="zh-CN"/>
              </w:rPr>
              <w:t>t/a。</w:t>
            </w:r>
          </w:p>
          <w:p>
            <w:pPr>
              <w:pStyle w:val="42"/>
              <w:adjustRightInd w:val="0"/>
              <w:snapToGrid w:val="0"/>
              <w:spacing w:line="360" w:lineRule="auto"/>
              <w:rPr>
                <w:rFonts w:hint="default" w:ascii="Times New Roman" w:hAnsi="Times New Roman" w:cs="Times New Roman"/>
                <w:bCs/>
                <w:color w:val="auto"/>
                <w:sz w:val="24"/>
                <w:u w:val="none"/>
                <w:lang w:val="en-US" w:eastAsia="zh-CN"/>
              </w:rPr>
            </w:pPr>
            <w:r>
              <w:rPr>
                <w:rFonts w:hint="default" w:ascii="Times New Roman" w:hAnsi="Times New Roman" w:cs="Times New Roman"/>
                <w:color w:val="auto"/>
                <w:sz w:val="24"/>
                <w:szCs w:val="24"/>
                <w:lang w:val="en-US" w:eastAsia="zh-CN"/>
              </w:rPr>
              <w:t>本项目针对2条废泡沫再利用生产线熔融挤出工序产污点采取密闭措施，并通过集气管道引入废气处理设施（</w:t>
            </w:r>
            <w:r>
              <w:rPr>
                <w:rFonts w:hint="eastAsia" w:cs="Times New Roman"/>
                <w:color w:val="auto"/>
                <w:sz w:val="24"/>
                <w:szCs w:val="24"/>
                <w:lang w:val="en-US" w:eastAsia="zh-CN"/>
              </w:rPr>
              <w:t>干式过滤（过滤棉）+</w:t>
            </w:r>
            <w:r>
              <w:rPr>
                <w:rFonts w:hint="default" w:ascii="Times New Roman" w:hAnsi="Times New Roman" w:cs="Times New Roman"/>
                <w:color w:val="auto"/>
                <w:sz w:val="24"/>
                <w:szCs w:val="24"/>
                <w:lang w:val="en-US" w:eastAsia="zh-CN"/>
              </w:rPr>
              <w:t>活性炭吸附浓缩+催化燃烧（RCO））进行处理，最终经20m排气筒P3（DA003）高空达标排放。</w:t>
            </w:r>
            <w:r>
              <w:rPr>
                <w:rFonts w:hint="default" w:ascii="Times New Roman" w:hAnsi="Times New Roman" w:cs="Times New Roman"/>
                <w:bCs/>
                <w:color w:val="auto"/>
                <w:sz w:val="24"/>
                <w:u w:val="none"/>
                <w:lang w:val="en-US" w:eastAsia="zh-CN"/>
              </w:rPr>
              <w:t>其中废气</w:t>
            </w:r>
            <w:r>
              <w:rPr>
                <w:rFonts w:hint="default" w:ascii="Times New Roman" w:hAnsi="Times New Roman" w:cs="Times New Roman"/>
                <w:bCs/>
                <w:color w:val="auto"/>
                <w:sz w:val="24"/>
                <w:u w:val="none"/>
              </w:rPr>
              <w:t>收集率</w:t>
            </w:r>
            <w:r>
              <w:rPr>
                <w:rFonts w:hint="default" w:ascii="Times New Roman" w:hAnsi="Times New Roman" w:cs="Times New Roman"/>
                <w:bCs/>
                <w:color w:val="auto"/>
                <w:sz w:val="24"/>
                <w:u w:val="none"/>
                <w:lang w:val="en-US" w:eastAsia="zh-CN"/>
              </w:rPr>
              <w:t>按95</w:t>
            </w:r>
            <w:r>
              <w:rPr>
                <w:rFonts w:hint="default" w:ascii="Times New Roman" w:hAnsi="Times New Roman" w:cs="Times New Roman"/>
                <w:bCs/>
                <w:color w:val="auto"/>
                <w:sz w:val="24"/>
                <w:u w:val="none"/>
              </w:rPr>
              <w:t>%</w:t>
            </w:r>
            <w:r>
              <w:rPr>
                <w:rFonts w:hint="default" w:ascii="Times New Roman" w:hAnsi="Times New Roman" w:cs="Times New Roman"/>
                <w:bCs/>
                <w:color w:val="auto"/>
                <w:sz w:val="24"/>
                <w:u w:val="none"/>
                <w:lang w:val="en-US" w:eastAsia="zh-CN"/>
              </w:rPr>
              <w:t>计</w:t>
            </w:r>
            <w:r>
              <w:rPr>
                <w:rFonts w:hint="default" w:ascii="Times New Roman" w:hAnsi="Times New Roman" w:cs="Times New Roman"/>
                <w:bCs/>
                <w:color w:val="auto"/>
                <w:sz w:val="24"/>
                <w:u w:val="none"/>
              </w:rPr>
              <w:t>，</w:t>
            </w:r>
            <w:r>
              <w:rPr>
                <w:rFonts w:hint="default" w:ascii="Times New Roman" w:hAnsi="Times New Roman" w:cs="Times New Roman"/>
                <w:color w:val="auto"/>
                <w:sz w:val="24"/>
                <w:szCs w:val="24"/>
                <w:lang w:val="en-US" w:eastAsia="zh-CN"/>
              </w:rPr>
              <w:t>活性炭吸附浓缩+催化燃烧（RCO）</w:t>
            </w:r>
            <w:r>
              <w:rPr>
                <w:rFonts w:hint="default" w:ascii="Times New Roman" w:hAnsi="Times New Roman" w:cs="Times New Roman"/>
                <w:bCs/>
                <w:color w:val="auto"/>
                <w:sz w:val="24"/>
                <w:u w:val="none"/>
                <w:lang w:val="en-US" w:eastAsia="zh-CN"/>
              </w:rPr>
              <w:t>处理效率按95%计</w:t>
            </w:r>
            <w:r>
              <w:rPr>
                <w:rFonts w:hint="eastAsia" w:cs="Times New Roman"/>
                <w:bCs/>
                <w:color w:val="auto"/>
                <w:sz w:val="24"/>
                <w:u w:val="none"/>
                <w:lang w:val="en-US" w:eastAsia="zh-CN"/>
              </w:rPr>
              <w:t>，过滤棉除尘效率按90%计</w:t>
            </w:r>
            <w:r>
              <w:rPr>
                <w:rFonts w:hint="default" w:ascii="Times New Roman" w:hAnsi="Times New Roman" w:cs="Times New Roman"/>
                <w:bCs/>
                <w:color w:val="auto"/>
                <w:sz w:val="24"/>
                <w:u w:val="none"/>
                <w:lang w:val="en-US" w:eastAsia="zh-CN"/>
              </w:rPr>
              <w:t>。</w:t>
            </w:r>
          </w:p>
          <w:p>
            <w:pPr>
              <w:pStyle w:val="54"/>
              <w:adjustRightInd w:val="0"/>
              <w:snapToGrid w:val="0"/>
              <w:spacing w:line="240" w:lineRule="auto"/>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表4-4废泡沫熔融挤出过程中产生的废气产排情况一览表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005"/>
              <w:gridCol w:w="915"/>
              <w:gridCol w:w="900"/>
              <w:gridCol w:w="1170"/>
              <w:gridCol w:w="1541"/>
              <w:gridCol w:w="1142"/>
              <w:gridCol w:w="1117"/>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42" w:type="pct"/>
                  <w:gridSpan w:val="3"/>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污染物</w:t>
                  </w:r>
                </w:p>
              </w:tc>
              <w:tc>
                <w:tcPr>
                  <w:tcW w:w="1101" w:type="pct"/>
                  <w:gridSpan w:val="2"/>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产生情况</w:t>
                  </w:r>
                </w:p>
              </w:tc>
              <w:tc>
                <w:tcPr>
                  <w:tcW w:w="819"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处理</w:t>
                  </w:r>
                </w:p>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措施</w:t>
                  </w:r>
                </w:p>
              </w:tc>
              <w:tc>
                <w:tcPr>
                  <w:tcW w:w="1736" w:type="pct"/>
                  <w:gridSpan w:val="3"/>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42" w:type="pct"/>
                  <w:gridSpan w:val="3"/>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478"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t/a</w:t>
                  </w:r>
                </w:p>
              </w:tc>
              <w:tc>
                <w:tcPr>
                  <w:tcW w:w="622"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szCs w:val="21"/>
                      <w:u w:val="none"/>
                    </w:rPr>
                  </w:pPr>
                  <w:r>
                    <w:rPr>
                      <w:rFonts w:hint="default" w:ascii="Times New Roman" w:hAnsi="Times New Roman" w:cs="Times New Roman"/>
                      <w:b w:val="0"/>
                      <w:bCs/>
                      <w:szCs w:val="21"/>
                      <w:u w:val="none"/>
                    </w:rPr>
                    <w:t>kg/h</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rPr>
                  </w:pPr>
                </w:p>
              </w:tc>
              <w:tc>
                <w:tcPr>
                  <w:tcW w:w="607"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eastAsia="宋体" w:cs="Times New Roman"/>
                      <w:b w:val="0"/>
                      <w:bCs/>
                      <w:szCs w:val="21"/>
                      <w:u w:val="none"/>
                      <w:lang w:val="en-US" w:eastAsia="zh-CN"/>
                    </w:rPr>
                    <w:t>mg/m</w:t>
                  </w:r>
                  <w:r>
                    <w:rPr>
                      <w:rFonts w:hint="default" w:ascii="Times New Roman" w:hAnsi="Times New Roman" w:eastAsia="宋体" w:cs="Times New Roman"/>
                      <w:b w:val="0"/>
                      <w:bCs/>
                      <w:szCs w:val="21"/>
                      <w:u w:val="none"/>
                      <w:vertAlign w:val="superscript"/>
                      <w:lang w:val="en-US" w:eastAsia="zh-CN"/>
                    </w:rPr>
                    <w:t>3</w:t>
                  </w:r>
                </w:p>
              </w:tc>
              <w:tc>
                <w:tcPr>
                  <w:tcW w:w="594"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kg/h</w:t>
                  </w:r>
                </w:p>
              </w:tc>
              <w:tc>
                <w:tcPr>
                  <w:tcW w:w="534" w:type="pct"/>
                  <w:tcBorders>
                    <w:tl2br w:val="nil"/>
                    <w:tr2bl w:val="nil"/>
                  </w:tcBorders>
                  <w:noWrap w:val="0"/>
                  <w:vAlign w:val="center"/>
                </w:tcPr>
                <w:p>
                  <w:pPr>
                    <w:pStyle w:val="40"/>
                    <w:snapToGrid w:val="0"/>
                    <w:spacing w:line="360" w:lineRule="exact"/>
                    <w:ind w:firstLine="0"/>
                    <w:jc w:val="center"/>
                    <w:rPr>
                      <w:rFonts w:hint="default" w:ascii="Times New Roman" w:hAnsi="Times New Roman" w:cs="Times New Roman"/>
                      <w:b w:val="0"/>
                      <w:bCs/>
                      <w:kern w:val="2"/>
                      <w:sz w:val="21"/>
                      <w:szCs w:val="21"/>
                      <w:u w:val="none"/>
                    </w:rPr>
                  </w:pPr>
                  <w:r>
                    <w:rPr>
                      <w:rFonts w:hint="default" w:ascii="Times New Roman" w:hAnsi="Times New Roman" w:cs="Times New Roman"/>
                      <w:b w:val="0"/>
                      <w:bCs/>
                      <w:sz w:val="21"/>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321" w:type="pct"/>
                  <w:vMerge w:val="restar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rPr>
                  </w:pPr>
                  <w:r>
                    <w:rPr>
                      <w:rFonts w:hint="default" w:ascii="Times New Roman" w:hAnsi="Times New Roman" w:cs="Times New Roman"/>
                      <w:b w:val="0"/>
                      <w:bCs/>
                      <w:szCs w:val="21"/>
                      <w:u w:val="none"/>
                      <w:lang w:val="en-US" w:eastAsia="zh-CN"/>
                    </w:rPr>
                    <w:t>2条废泡沫再利用生产线</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有组织</w:t>
                  </w:r>
                  <w:r>
                    <w:rPr>
                      <w:rFonts w:hint="eastAsia" w:cs="Times New Roman"/>
                      <w:b w:val="0"/>
                      <w:bCs/>
                      <w:szCs w:val="21"/>
                      <w:u w:val="none"/>
                      <w:lang w:val="en-US" w:eastAsia="zh-CN"/>
                    </w:rPr>
                    <w:t>废气</w:t>
                  </w:r>
                </w:p>
              </w:tc>
              <w:tc>
                <w:tcPr>
                  <w:tcW w:w="486"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非甲烷总烃</w:t>
                  </w: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2.5232</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0.350</w:t>
                  </w:r>
                </w:p>
              </w:tc>
              <w:tc>
                <w:tcPr>
                  <w:tcW w:w="819" w:type="pct"/>
                  <w:vMerge w:val="restart"/>
                  <w:tcBorders>
                    <w:tl2br w:val="nil"/>
                    <w:tr2bl w:val="nil"/>
                  </w:tcBorders>
                  <w:noWrap w:val="0"/>
                  <w:vAlign w:val="center"/>
                </w:tcPr>
                <w:p>
                  <w:pPr>
                    <w:adjustRightInd w:val="0"/>
                    <w:spacing w:line="360" w:lineRule="exact"/>
                    <w:jc w:val="center"/>
                    <w:rPr>
                      <w:rFonts w:hint="eastAsia" w:cs="Times New Roman"/>
                      <w:b w:val="0"/>
                      <w:bCs/>
                      <w:szCs w:val="21"/>
                      <w:u w:val="none"/>
                      <w:lang w:val="en-US" w:eastAsia="zh-CN"/>
                    </w:rPr>
                  </w:pPr>
                  <w:r>
                    <w:rPr>
                      <w:rFonts w:hint="eastAsia" w:cs="Times New Roman"/>
                      <w:b w:val="0"/>
                      <w:bCs/>
                      <w:szCs w:val="21"/>
                      <w:u w:val="none"/>
                      <w:lang w:val="en-US" w:eastAsia="zh-CN"/>
                    </w:rPr>
                    <w:t>有组织废气环保设施：集气设施</w:t>
                  </w:r>
                  <w:r>
                    <w:rPr>
                      <w:rFonts w:hint="default" w:ascii="Times New Roman" w:hAnsi="Times New Roman" w:cs="Times New Roman"/>
                      <w:b w:val="0"/>
                      <w:bCs/>
                      <w:szCs w:val="21"/>
                      <w:u w:val="none"/>
                      <w:lang w:val="en-US" w:eastAsia="zh-CN"/>
                    </w:rPr>
                    <w:t>+</w:t>
                  </w:r>
                  <w:r>
                    <w:rPr>
                      <w:rFonts w:hint="eastAsia" w:cs="Times New Roman"/>
                      <w:b w:val="0"/>
                      <w:bCs/>
                      <w:szCs w:val="21"/>
                      <w:u w:val="none"/>
                      <w:lang w:val="en-US" w:eastAsia="zh-CN"/>
                    </w:rPr>
                    <w:t>干式过滤（过滤棉）</w:t>
                  </w:r>
                  <w:r>
                    <w:rPr>
                      <w:rFonts w:hint="default" w:ascii="Times New Roman" w:hAnsi="Times New Roman" w:cs="Times New Roman"/>
                      <w:color w:val="auto"/>
                      <w:kern w:val="2"/>
                      <w:sz w:val="21"/>
                      <w:szCs w:val="21"/>
                      <w:vertAlign w:val="baseline"/>
                      <w:lang w:val="en-US" w:eastAsia="zh-CN" w:bidi="ar-SA"/>
                    </w:rPr>
                    <w:t>活性炭吸附浓缩+催化燃烧（RCO）</w:t>
                  </w:r>
                  <w:r>
                    <w:rPr>
                      <w:rFonts w:hint="default" w:ascii="Times New Roman" w:hAnsi="Times New Roman" w:cs="Times New Roman"/>
                      <w:b w:val="0"/>
                      <w:bCs/>
                      <w:szCs w:val="21"/>
                      <w:u w:val="none"/>
                      <w:lang w:val="en-US" w:eastAsia="zh-CN"/>
                    </w:rPr>
                    <w:t>+20m排气筒P3（DA003）</w:t>
                  </w:r>
                </w:p>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Cs w:val="21"/>
                      <w:u w:val="none"/>
                      <w:lang w:val="en-US" w:eastAsia="zh-CN"/>
                    </w:rPr>
                    <w:t>无组织废气环保设施：</w:t>
                  </w:r>
                  <w:r>
                    <w:rPr>
                      <w:rFonts w:hint="default" w:ascii="Times New Roman" w:hAnsi="Times New Roman" w:cs="Times New Roman"/>
                      <w:b w:val="0"/>
                      <w:bCs/>
                      <w:szCs w:val="21"/>
                      <w:u w:val="none"/>
                      <w:lang w:val="en-US" w:eastAsia="zh-CN"/>
                    </w:rPr>
                    <w:t>密闭厂房</w:t>
                  </w: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 w:val="21"/>
                      <w:szCs w:val="21"/>
                      <w:u w:val="none"/>
                      <w:lang w:val="en-US" w:eastAsia="zh-CN"/>
                    </w:rPr>
                  </w:pPr>
                  <w:r>
                    <w:rPr>
                      <w:rFonts w:hint="eastAsia" w:cs="Times New Roman"/>
                      <w:b w:val="0"/>
                      <w:bCs/>
                      <w:color w:val="auto"/>
                      <w:sz w:val="21"/>
                      <w:szCs w:val="21"/>
                      <w:u w:val="none"/>
                      <w:lang w:val="en-US" w:eastAsia="zh-CN"/>
                    </w:rPr>
                    <w:t>1.46</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eastAsia" w:cs="Times New Roman"/>
                      <w:b w:val="0"/>
                      <w:bCs/>
                      <w:color w:val="auto"/>
                      <w:szCs w:val="21"/>
                      <w:u w:val="none"/>
                      <w:lang w:val="en-US" w:eastAsia="zh-CN"/>
                    </w:rPr>
                    <w:t>0.0175</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default" w:ascii="Times New Roman" w:hAnsi="Times New Roman" w:cs="Times New Roman"/>
                      <w:b w:val="0"/>
                      <w:bCs/>
                      <w:color w:val="auto"/>
                      <w:szCs w:val="21"/>
                      <w:u w:val="none"/>
                      <w:lang w:val="en-US" w:eastAsia="zh-CN"/>
                    </w:rPr>
                    <w:t>0.12616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jc w:val="center"/>
              </w:trPr>
              <w:tc>
                <w:tcPr>
                  <w:tcW w:w="321"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无组织废气</w:t>
                  </w:r>
                </w:p>
              </w:tc>
              <w:tc>
                <w:tcPr>
                  <w:tcW w:w="486"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0.1328</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0.0184</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0.0184</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0.1328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21"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有组织</w:t>
                  </w:r>
                  <w:r>
                    <w:rPr>
                      <w:rFonts w:hint="eastAsia" w:cs="Times New Roman"/>
                      <w:b w:val="0"/>
                      <w:bCs/>
                      <w:szCs w:val="21"/>
                      <w:u w:val="none"/>
                      <w:lang w:val="en-US" w:eastAsia="zh-CN"/>
                    </w:rPr>
                    <w:t>废气</w:t>
                  </w:r>
                </w:p>
              </w:tc>
              <w:tc>
                <w:tcPr>
                  <w:tcW w:w="486"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二甲苯</w:t>
                  </w: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0.2033</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0.028</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 w:val="21"/>
                      <w:szCs w:val="21"/>
                      <w:u w:val="none"/>
                      <w:lang w:val="en-US" w:eastAsia="zh-CN"/>
                    </w:rPr>
                  </w:pPr>
                  <w:r>
                    <w:rPr>
                      <w:rFonts w:hint="eastAsia" w:cs="Times New Roman"/>
                      <w:b w:val="0"/>
                      <w:bCs/>
                      <w:color w:val="auto"/>
                      <w:sz w:val="21"/>
                      <w:szCs w:val="21"/>
                      <w:u w:val="none"/>
                      <w:lang w:val="en-US" w:eastAsia="zh-CN"/>
                    </w:rPr>
                    <w:t>0.12</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default" w:ascii="Times New Roman" w:hAnsi="Times New Roman" w:cs="Times New Roman"/>
                      <w:b w:val="0"/>
                      <w:bCs/>
                      <w:color w:val="auto"/>
                      <w:szCs w:val="21"/>
                      <w:u w:val="none"/>
                      <w:lang w:val="en-US" w:eastAsia="zh-CN"/>
                    </w:rPr>
                    <w:t>0.0</w:t>
                  </w:r>
                  <w:r>
                    <w:rPr>
                      <w:rFonts w:hint="eastAsia" w:cs="Times New Roman"/>
                      <w:b w:val="0"/>
                      <w:bCs/>
                      <w:color w:val="auto"/>
                      <w:szCs w:val="21"/>
                      <w:u w:val="none"/>
                      <w:lang w:val="en-US" w:eastAsia="zh-CN"/>
                    </w:rPr>
                    <w:t>014</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default" w:ascii="Times New Roman" w:hAnsi="Times New Roman" w:cs="Times New Roman"/>
                      <w:b w:val="0"/>
                      <w:bCs/>
                      <w:color w:val="auto"/>
                      <w:szCs w:val="21"/>
                      <w:u w:val="none"/>
                      <w:lang w:val="en-US" w:eastAsia="zh-CN"/>
                    </w:rPr>
                    <w:t>0.010</w:t>
                  </w:r>
                  <w:r>
                    <w:rPr>
                      <w:rFonts w:hint="eastAsia" w:cs="Times New Roman"/>
                      <w:b w:val="0"/>
                      <w:bCs/>
                      <w:color w:val="auto"/>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21"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无组织废气</w:t>
                  </w:r>
                </w:p>
              </w:tc>
              <w:tc>
                <w:tcPr>
                  <w:tcW w:w="486"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0.0107</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0.001</w:t>
                  </w:r>
                  <w:r>
                    <w:rPr>
                      <w:rFonts w:hint="eastAsia" w:cs="Times New Roman"/>
                      <w:b w:val="0"/>
                      <w:bCs/>
                      <w:szCs w:val="21"/>
                      <w:u w:val="none"/>
                      <w:lang w:val="en-US" w:eastAsia="zh-CN"/>
                    </w:rPr>
                    <w:t>5</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0.001</w:t>
                  </w:r>
                  <w:r>
                    <w:rPr>
                      <w:rFonts w:hint="eastAsia" w:cs="Times New Roman"/>
                      <w:b w:val="0"/>
                      <w:bCs/>
                      <w:szCs w:val="21"/>
                      <w:u w:val="none"/>
                      <w:lang w:val="en-US" w:eastAsia="zh-CN"/>
                    </w:rPr>
                    <w:t>5</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jc w:val="center"/>
              </w:trPr>
              <w:tc>
                <w:tcPr>
                  <w:tcW w:w="321"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有组织</w:t>
                  </w:r>
                  <w:r>
                    <w:rPr>
                      <w:rFonts w:hint="eastAsia" w:cs="Times New Roman"/>
                      <w:b w:val="0"/>
                      <w:bCs/>
                      <w:szCs w:val="21"/>
                      <w:u w:val="none"/>
                      <w:lang w:val="en-US" w:eastAsia="zh-CN"/>
                    </w:rPr>
                    <w:t>废气</w:t>
                  </w:r>
                </w:p>
              </w:tc>
              <w:tc>
                <w:tcPr>
                  <w:tcW w:w="486" w:type="pct"/>
                  <w:vMerge w:val="restar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r>
                    <w:rPr>
                      <w:rFonts w:hint="eastAsia" w:cs="Times New Roman"/>
                      <w:b w:val="0"/>
                      <w:bCs/>
                      <w:szCs w:val="21"/>
                      <w:u w:val="none"/>
                      <w:lang w:val="en-US" w:eastAsia="zh-CN"/>
                    </w:rPr>
                    <w:t>颗粒物</w:t>
                  </w: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eastAsia" w:cs="Times New Roman"/>
                      <w:b w:val="0"/>
                      <w:bCs/>
                      <w:color w:val="auto"/>
                      <w:szCs w:val="21"/>
                      <w:u w:val="none"/>
                      <w:lang w:val="en-US" w:eastAsia="zh-CN"/>
                    </w:rPr>
                    <w:t>0.4275</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eastAsia" w:cs="Times New Roman"/>
                      <w:b w:val="0"/>
                      <w:bCs/>
                      <w:color w:val="auto"/>
                      <w:szCs w:val="21"/>
                      <w:u w:val="none"/>
                      <w:lang w:val="en-US" w:eastAsia="zh-CN"/>
                    </w:rPr>
                    <w:t>0.059</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 w:val="21"/>
                      <w:szCs w:val="21"/>
                      <w:u w:val="none"/>
                      <w:lang w:val="en-US" w:eastAsia="zh-CN"/>
                    </w:rPr>
                  </w:pPr>
                  <w:r>
                    <w:rPr>
                      <w:rFonts w:hint="eastAsia" w:cs="Times New Roman"/>
                      <w:b w:val="0"/>
                      <w:bCs/>
                      <w:color w:val="auto"/>
                      <w:sz w:val="21"/>
                      <w:szCs w:val="21"/>
                      <w:u w:val="none"/>
                      <w:lang w:val="en-US" w:eastAsia="zh-CN"/>
                    </w:rPr>
                    <w:t>0.492</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eastAsia" w:cs="Times New Roman"/>
                      <w:b w:val="0"/>
                      <w:bCs/>
                      <w:color w:val="auto"/>
                      <w:szCs w:val="21"/>
                      <w:u w:val="none"/>
                      <w:lang w:val="en-US" w:eastAsia="zh-CN"/>
                    </w:rPr>
                    <w:t>0.0059</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color w:val="auto"/>
                      <w:szCs w:val="21"/>
                      <w:u w:val="none"/>
                      <w:lang w:val="en-US" w:eastAsia="zh-CN"/>
                    </w:rPr>
                  </w:pPr>
                  <w:r>
                    <w:rPr>
                      <w:rFonts w:hint="eastAsia" w:cs="Times New Roman"/>
                      <w:b w:val="0"/>
                      <w:bCs/>
                      <w:color w:val="auto"/>
                      <w:szCs w:val="21"/>
                      <w:u w:val="none"/>
                      <w:lang w:val="en-US" w:eastAsia="zh-CN"/>
                    </w:rPr>
                    <w:t>0.04275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21"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534"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无组织废气</w:t>
                  </w:r>
                </w:p>
              </w:tc>
              <w:tc>
                <w:tcPr>
                  <w:tcW w:w="486" w:type="pct"/>
                  <w:vMerge w:val="continue"/>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szCs w:val="21"/>
                      <w:u w:val="none"/>
                      <w:lang w:val="en-US" w:eastAsia="zh-CN"/>
                    </w:rPr>
                  </w:pPr>
                </w:p>
              </w:tc>
              <w:tc>
                <w:tcPr>
                  <w:tcW w:w="47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0.0225</w:t>
                  </w:r>
                </w:p>
              </w:tc>
              <w:tc>
                <w:tcPr>
                  <w:tcW w:w="62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0.0031</w:t>
                  </w:r>
                </w:p>
              </w:tc>
              <w:tc>
                <w:tcPr>
                  <w:tcW w:w="819" w:type="pct"/>
                  <w:vMerge w:val="continue"/>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p>
              </w:tc>
              <w:tc>
                <w:tcPr>
                  <w:tcW w:w="607"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59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0.0031</w:t>
                  </w:r>
                </w:p>
              </w:tc>
              <w:tc>
                <w:tcPr>
                  <w:tcW w:w="534"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0.0225</w:t>
                  </w:r>
                </w:p>
              </w:tc>
            </w:tr>
          </w:tbl>
          <w:p>
            <w:pPr>
              <w:pStyle w:val="42"/>
              <w:adjustRightInd w:val="0"/>
              <w:snapToGrid w:val="0"/>
              <w:spacing w:line="360" w:lineRule="auto"/>
              <w:rPr>
                <w:rFonts w:hint="eastAsia" w:cs="Times New Roman"/>
                <w:b w:val="0"/>
                <w:bCs w:val="0"/>
                <w:sz w:val="24"/>
                <w:u w:val="none"/>
                <w:vertAlign w:val="baseline"/>
                <w:lang w:val="en-US" w:eastAsia="zh-CN"/>
              </w:rPr>
            </w:pPr>
            <w:r>
              <w:rPr>
                <w:rFonts w:hint="eastAsia" w:cs="Times New Roman"/>
                <w:bCs/>
                <w:color w:val="auto"/>
                <w:sz w:val="24"/>
                <w:u w:val="none"/>
                <w:lang w:val="en-US" w:eastAsia="zh-CN"/>
              </w:rPr>
              <w:t>由上表可知，</w:t>
            </w:r>
            <w:r>
              <w:rPr>
                <w:rFonts w:hint="default" w:ascii="Times New Roman" w:hAnsi="Times New Roman" w:cs="Times New Roman"/>
                <w:bCs/>
                <w:color w:val="auto"/>
                <w:sz w:val="24"/>
                <w:u w:val="none"/>
                <w:lang w:val="en-US" w:eastAsia="zh-CN"/>
              </w:rPr>
              <w:t>本项目熔融挤出工序产生的</w:t>
            </w:r>
            <w:r>
              <w:rPr>
                <w:rFonts w:hint="eastAsia" w:cs="Times New Roman"/>
                <w:bCs/>
                <w:color w:val="auto"/>
                <w:sz w:val="24"/>
                <w:u w:val="none"/>
                <w:lang w:val="en-US" w:eastAsia="zh-CN"/>
              </w:rPr>
              <w:t>有机</w:t>
            </w:r>
            <w:r>
              <w:rPr>
                <w:rFonts w:hint="default" w:ascii="Times New Roman" w:hAnsi="Times New Roman" w:cs="Times New Roman"/>
                <w:bCs/>
                <w:color w:val="auto"/>
                <w:sz w:val="24"/>
                <w:u w:val="none"/>
              </w:rPr>
              <w:t>废气</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lang w:val="en-US" w:eastAsia="zh-CN"/>
              </w:rPr>
              <w:t>非甲烷总烃</w:t>
            </w:r>
            <w:r>
              <w:rPr>
                <w:rFonts w:hint="eastAsia" w:cs="Times New Roman"/>
                <w:bCs/>
                <w:color w:val="auto"/>
                <w:sz w:val="24"/>
                <w:u w:val="none"/>
                <w:lang w:val="en-US" w:eastAsia="zh-CN"/>
              </w:rPr>
              <w:t>和二甲苯</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排放</w:t>
            </w:r>
            <w:r>
              <w:rPr>
                <w:rFonts w:hint="default" w:ascii="Times New Roman" w:hAnsi="Times New Roman" w:cs="Times New Roman"/>
                <w:bCs/>
                <w:color w:val="auto"/>
                <w:sz w:val="24"/>
                <w:u w:val="none"/>
                <w:lang w:val="en-US" w:eastAsia="zh-CN"/>
              </w:rPr>
              <w:t>可</w:t>
            </w:r>
            <w:r>
              <w:rPr>
                <w:rFonts w:hint="default" w:ascii="Times New Roman" w:hAnsi="Times New Roman" w:cs="Times New Roman"/>
                <w:bCs/>
                <w:color w:val="auto"/>
                <w:sz w:val="24"/>
                <w:u w:val="none"/>
              </w:rPr>
              <w:t>满足</w:t>
            </w:r>
            <w:r>
              <w:rPr>
                <w:rFonts w:hint="default" w:ascii="Times New Roman" w:hAnsi="Times New Roman" w:cs="Times New Roman"/>
                <w:bCs/>
                <w:color w:val="auto"/>
                <w:sz w:val="24"/>
                <w:u w:val="none"/>
                <w:lang w:eastAsia="zh-CN"/>
              </w:rPr>
              <w:t>《大气污染物综合排放标准》（GB16297-1996）表2标准（</w:t>
            </w:r>
            <w:r>
              <w:rPr>
                <w:rFonts w:hint="default" w:ascii="Times New Roman" w:hAnsi="Times New Roman" w:cs="Times New Roman"/>
                <w:bCs/>
                <w:color w:val="auto"/>
                <w:sz w:val="24"/>
                <w:u w:val="none"/>
                <w:lang w:val="en-US" w:eastAsia="zh-CN"/>
              </w:rPr>
              <w:t>20</w:t>
            </w:r>
            <w:r>
              <w:rPr>
                <w:rFonts w:hint="default" w:ascii="Times New Roman" w:hAnsi="Times New Roman" w:cs="Times New Roman"/>
                <w:bCs/>
                <w:color w:val="auto"/>
                <w:sz w:val="24"/>
                <w:u w:val="none"/>
                <w:lang w:eastAsia="zh-CN"/>
              </w:rPr>
              <w:t>m高排气筒）</w:t>
            </w:r>
            <w:r>
              <w:rPr>
                <w:rFonts w:hint="default" w:ascii="Times New Roman" w:hAnsi="Times New Roman" w:cs="Times New Roman"/>
                <w:bCs/>
                <w:color w:val="auto"/>
                <w:sz w:val="24"/>
                <w:u w:val="none"/>
                <w:lang w:val="en-US" w:eastAsia="zh-CN"/>
              </w:rPr>
              <w:t>以及《关于全省开展工业企业挥发性有机物专项治理工作中排放建议值的通知》（豫环攻坚办〔2017〕162号）三者中关于非甲烷总烃限值的严格值，即非甲烷总烃</w:t>
            </w:r>
            <w:r>
              <w:rPr>
                <w:rFonts w:hint="default" w:ascii="Times New Roman" w:hAnsi="Times New Roman" w:eastAsia="宋体" w:cs="Times New Roman"/>
                <w:sz w:val="24"/>
              </w:rPr>
              <w:t>≦</w:t>
            </w:r>
            <w:r>
              <w:rPr>
                <w:rFonts w:hint="default" w:ascii="Times New Roman" w:hAnsi="Times New Roman" w:cs="Times New Roman"/>
                <w:sz w:val="24"/>
                <w:lang w:val="en-US" w:eastAsia="zh-CN"/>
              </w:rPr>
              <w:t>80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vertAlign w:val="baseline"/>
                <w:lang w:eastAsia="zh-CN"/>
              </w:rPr>
              <w:t>，</w:t>
            </w:r>
            <w:r>
              <w:rPr>
                <w:rFonts w:hint="default" w:ascii="Times New Roman" w:hAnsi="Times New Roman" w:cs="Times New Roman"/>
                <w:sz w:val="24"/>
                <w:vertAlign w:val="baseline"/>
                <w:lang w:val="en-US" w:eastAsia="zh-CN"/>
              </w:rPr>
              <w:t>排放速率</w:t>
            </w:r>
            <w:r>
              <w:rPr>
                <w:rFonts w:hint="default" w:ascii="Times New Roman" w:hAnsi="Times New Roman" w:eastAsia="宋体" w:cs="Times New Roman"/>
                <w:sz w:val="24"/>
              </w:rPr>
              <w:t>≦</w:t>
            </w:r>
            <w:r>
              <w:rPr>
                <w:rFonts w:hint="eastAsia" w:cs="Times New Roman"/>
                <w:sz w:val="24"/>
                <w:lang w:val="en-US" w:eastAsia="zh-CN"/>
              </w:rPr>
              <w:t>17</w:t>
            </w:r>
            <w:r>
              <w:rPr>
                <w:rFonts w:hint="default" w:ascii="Times New Roman" w:hAnsi="Times New Roman" w:cs="Times New Roman"/>
                <w:sz w:val="24"/>
                <w:lang w:val="en-US" w:eastAsia="zh-CN"/>
              </w:rPr>
              <w:t>kg/h</w:t>
            </w:r>
            <w:r>
              <w:rPr>
                <w:rFonts w:hint="eastAsia" w:cs="Times New Roman"/>
                <w:sz w:val="24"/>
                <w:lang w:val="en-US" w:eastAsia="zh-CN"/>
              </w:rPr>
              <w:t>；二甲苯</w:t>
            </w:r>
            <w:r>
              <w:rPr>
                <w:rFonts w:hint="default" w:ascii="Times New Roman" w:hAnsi="Times New Roman" w:eastAsia="宋体" w:cs="Times New Roman"/>
                <w:sz w:val="24"/>
              </w:rPr>
              <w:t>≦</w:t>
            </w:r>
            <w:r>
              <w:rPr>
                <w:rFonts w:hint="eastAsia" w:cs="Times New Roman"/>
                <w:sz w:val="24"/>
                <w:lang w:val="en-US" w:eastAsia="zh-CN"/>
              </w:rPr>
              <w:t>4</w:t>
            </w:r>
            <w:r>
              <w:rPr>
                <w:rFonts w:hint="default" w:ascii="Times New Roman" w:hAnsi="Times New Roman" w:cs="Times New Roman"/>
                <w:sz w:val="24"/>
                <w:lang w:val="en-US" w:eastAsia="zh-CN"/>
              </w:rPr>
              <w:t>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eastAsia" w:cs="Times New Roman"/>
                <w:sz w:val="24"/>
                <w:vertAlign w:val="baseline"/>
                <w:lang w:eastAsia="zh-CN"/>
              </w:rPr>
              <w:t>，</w:t>
            </w:r>
            <w:r>
              <w:rPr>
                <w:rFonts w:hint="default" w:ascii="Times New Roman" w:hAnsi="Times New Roman" w:cs="Times New Roman"/>
                <w:sz w:val="24"/>
                <w:vertAlign w:val="baseline"/>
                <w:lang w:val="en-US" w:eastAsia="zh-CN"/>
              </w:rPr>
              <w:t>排放速率</w:t>
            </w:r>
            <w:r>
              <w:rPr>
                <w:rFonts w:hint="default" w:ascii="Times New Roman" w:hAnsi="Times New Roman" w:eastAsia="宋体" w:cs="Times New Roman"/>
                <w:sz w:val="24"/>
              </w:rPr>
              <w:t>≦</w:t>
            </w:r>
            <w:r>
              <w:rPr>
                <w:rFonts w:hint="eastAsia" w:cs="Times New Roman"/>
                <w:sz w:val="24"/>
                <w:lang w:val="en-US" w:eastAsia="zh-CN"/>
              </w:rPr>
              <w:t>1.7</w:t>
            </w:r>
            <w:r>
              <w:rPr>
                <w:rFonts w:hint="default" w:ascii="Times New Roman" w:hAnsi="Times New Roman" w:cs="Times New Roman"/>
                <w:sz w:val="24"/>
                <w:lang w:val="en-US" w:eastAsia="zh-CN"/>
              </w:rPr>
              <w:t>kg/h</w:t>
            </w:r>
            <w:r>
              <w:rPr>
                <w:rFonts w:hint="default" w:ascii="Times New Roman" w:hAnsi="Times New Roman" w:cs="Times New Roman"/>
                <w:lang w:val="en-US" w:eastAsia="zh-CN"/>
              </w:rPr>
              <w:t>。因此本项目该工序</w:t>
            </w:r>
            <w:r>
              <w:rPr>
                <w:rFonts w:hint="eastAsia" w:cs="Times New Roman"/>
                <w:lang w:val="en-US" w:eastAsia="zh-CN"/>
              </w:rPr>
              <w:t>有机废气</w:t>
            </w:r>
            <w:r>
              <w:rPr>
                <w:rFonts w:hint="default" w:ascii="Times New Roman" w:hAnsi="Times New Roman" w:cs="Times New Roman"/>
                <w:lang w:val="en-US" w:eastAsia="zh-CN"/>
              </w:rPr>
              <w:t>（有组织）排放</w:t>
            </w:r>
            <w:r>
              <w:rPr>
                <w:rFonts w:hint="default" w:ascii="Times New Roman" w:hAnsi="Times New Roman" w:cs="Times New Roman"/>
                <w:b w:val="0"/>
                <w:bCs/>
                <w:color w:val="auto"/>
                <w:szCs w:val="24"/>
                <w:u w:val="none"/>
              </w:rPr>
              <w:t>对周围大气环境影响不大</w:t>
            </w:r>
            <w:r>
              <w:rPr>
                <w:rFonts w:hint="default" w:ascii="Times New Roman" w:hAnsi="Times New Roman" w:cs="Times New Roman"/>
                <w:b w:val="0"/>
                <w:bCs/>
                <w:color w:val="auto"/>
                <w:szCs w:val="24"/>
                <w:u w:val="none"/>
                <w:lang w:eastAsia="zh-CN"/>
              </w:rPr>
              <w:t>。</w:t>
            </w:r>
            <w:r>
              <w:rPr>
                <w:rFonts w:hint="default" w:ascii="Times New Roman" w:hAnsi="Times New Roman" w:cs="Times New Roman"/>
                <w:bCs/>
                <w:color w:val="auto"/>
                <w:sz w:val="24"/>
                <w:u w:val="none"/>
              </w:rPr>
              <w:t>本项目未收集的</w:t>
            </w:r>
            <w:r>
              <w:rPr>
                <w:rFonts w:hint="eastAsia" w:cs="Times New Roman"/>
                <w:bCs/>
                <w:color w:val="auto"/>
                <w:sz w:val="24"/>
                <w:u w:val="none"/>
                <w:lang w:val="en-US" w:eastAsia="zh-CN"/>
              </w:rPr>
              <w:t>厂界</w:t>
            </w:r>
            <w:r>
              <w:rPr>
                <w:rFonts w:hint="default" w:ascii="Times New Roman" w:hAnsi="Times New Roman" w:cs="Times New Roman"/>
                <w:bCs/>
                <w:color w:val="auto"/>
                <w:sz w:val="24"/>
                <w:u w:val="none"/>
              </w:rPr>
              <w:t>无组织</w:t>
            </w:r>
            <w:r>
              <w:rPr>
                <w:rFonts w:hint="eastAsia" w:cs="Times New Roman"/>
                <w:bCs/>
                <w:color w:val="auto"/>
                <w:sz w:val="24"/>
                <w:u w:val="none"/>
                <w:lang w:val="en-US" w:eastAsia="zh-CN"/>
              </w:rPr>
              <w:t>有机</w:t>
            </w:r>
            <w:r>
              <w:rPr>
                <w:rFonts w:hint="default" w:ascii="Times New Roman" w:hAnsi="Times New Roman" w:cs="Times New Roman"/>
                <w:bCs/>
                <w:color w:val="auto"/>
                <w:sz w:val="24"/>
                <w:u w:val="none"/>
              </w:rPr>
              <w:t>废气</w:t>
            </w:r>
            <w:r>
              <w:rPr>
                <w:rFonts w:hint="eastAsia" w:cs="Times New Roman"/>
                <w:bCs/>
                <w:color w:val="auto"/>
                <w:sz w:val="24"/>
                <w:u w:val="none"/>
                <w:lang w:eastAsia="zh-CN"/>
              </w:rPr>
              <w:t>（</w:t>
            </w:r>
            <w:r>
              <w:rPr>
                <w:rFonts w:hint="default" w:ascii="Times New Roman" w:hAnsi="Times New Roman" w:cs="Times New Roman"/>
                <w:bCs/>
                <w:color w:val="auto"/>
                <w:sz w:val="24"/>
                <w:u w:val="none"/>
              </w:rPr>
              <w:t>非甲烷总烃</w:t>
            </w:r>
            <w:r>
              <w:rPr>
                <w:rFonts w:hint="eastAsia" w:cs="Times New Roman"/>
                <w:bCs/>
                <w:color w:val="auto"/>
                <w:sz w:val="24"/>
                <w:u w:val="none"/>
                <w:lang w:val="en-US" w:eastAsia="zh-CN"/>
              </w:rPr>
              <w:t>和二甲苯</w:t>
            </w:r>
            <w:r>
              <w:rPr>
                <w:rFonts w:hint="eastAsia" w:cs="Times New Roman"/>
                <w:bCs/>
                <w:color w:val="auto"/>
                <w:sz w:val="24"/>
                <w:u w:val="none"/>
                <w:lang w:eastAsia="zh-CN"/>
              </w:rPr>
              <w:t>）</w:t>
            </w:r>
            <w:r>
              <w:rPr>
                <w:rFonts w:hint="default" w:ascii="Times New Roman" w:hAnsi="Times New Roman" w:cs="Times New Roman"/>
                <w:bCs/>
                <w:color w:val="auto"/>
                <w:sz w:val="24"/>
                <w:u w:val="none"/>
                <w:lang w:val="en-US" w:eastAsia="zh-CN"/>
              </w:rPr>
              <w:t>需</w:t>
            </w:r>
            <w:r>
              <w:rPr>
                <w:rFonts w:hint="default" w:ascii="Times New Roman" w:hAnsi="Times New Roman" w:cs="Times New Roman"/>
                <w:b w:val="0"/>
                <w:bCs w:val="0"/>
                <w:spacing w:val="5"/>
                <w:sz w:val="24"/>
                <w:szCs w:val="24"/>
                <w:u w:val="none"/>
                <w:lang w:eastAsia="zh-CN"/>
              </w:rPr>
              <w:t>满足</w:t>
            </w:r>
            <w:r>
              <w:rPr>
                <w:rFonts w:hint="default" w:ascii="Times New Roman" w:hAnsi="Times New Roman" w:cs="Times New Roman"/>
                <w:b w:val="0"/>
                <w:bCs w:val="0"/>
                <w:sz w:val="24"/>
                <w:u w:val="none"/>
              </w:rPr>
              <w:t>河南省环境污染防治攻坚战领导小组办公室文件《关于全省开展工业企业挥发性有机物专项治理工作中排放建议值的通知》（豫环攻坚办</w:t>
            </w:r>
            <w:r>
              <w:rPr>
                <w:rFonts w:hint="default" w:ascii="Times New Roman" w:hAnsi="Times New Roman" w:cs="Times New Roman"/>
                <w:b w:val="0"/>
                <w:bCs w:val="0"/>
                <w:sz w:val="24"/>
                <w:u w:val="none"/>
                <w:lang w:eastAsia="zh-CN"/>
              </w:rPr>
              <w:t>〔</w:t>
            </w:r>
            <w:r>
              <w:rPr>
                <w:rFonts w:hint="default" w:ascii="Times New Roman" w:hAnsi="Times New Roman" w:cs="Times New Roman"/>
                <w:b w:val="0"/>
                <w:bCs w:val="0"/>
                <w:sz w:val="24"/>
                <w:u w:val="none"/>
              </w:rPr>
              <w:t>2017</w:t>
            </w:r>
            <w:r>
              <w:rPr>
                <w:rFonts w:hint="default" w:ascii="Times New Roman" w:hAnsi="Times New Roman" w:cs="Times New Roman"/>
                <w:b w:val="0"/>
                <w:bCs w:val="0"/>
                <w:sz w:val="24"/>
                <w:u w:val="none"/>
                <w:lang w:eastAsia="zh-CN"/>
              </w:rPr>
              <w:t>〕</w:t>
            </w:r>
            <w:r>
              <w:rPr>
                <w:rFonts w:hint="default" w:ascii="Times New Roman" w:hAnsi="Times New Roman" w:cs="Times New Roman"/>
                <w:b w:val="0"/>
                <w:bCs w:val="0"/>
                <w:sz w:val="24"/>
                <w:u w:val="none"/>
              </w:rPr>
              <w:t>162号）中表2</w:t>
            </w:r>
            <w:r>
              <w:rPr>
                <w:rFonts w:hint="default" w:ascii="Times New Roman" w:hAnsi="Times New Roman" w:cs="Times New Roman"/>
                <w:b w:val="0"/>
                <w:bCs w:val="0"/>
                <w:sz w:val="24"/>
                <w:u w:val="none"/>
                <w:lang w:val="en-US" w:eastAsia="zh-CN"/>
              </w:rPr>
              <w:t>中限值</w:t>
            </w:r>
            <w:r>
              <w:rPr>
                <w:rFonts w:hint="default" w:ascii="Times New Roman" w:hAnsi="Times New Roman" w:cs="Times New Roman"/>
                <w:b w:val="0"/>
                <w:bCs w:val="0"/>
                <w:sz w:val="24"/>
                <w:u w:val="none"/>
                <w:lang w:eastAsia="zh-CN"/>
              </w:rPr>
              <w:t>（其他企业非甲烷总烃</w:t>
            </w:r>
            <w:r>
              <w:rPr>
                <w:rFonts w:hint="default" w:ascii="Times New Roman" w:hAnsi="Times New Roman" w:cs="Times New Roman"/>
                <w:b w:val="0"/>
                <w:bCs w:val="0"/>
                <w:sz w:val="24"/>
                <w:u w:val="none"/>
                <w:lang w:val="en-US" w:eastAsia="zh-CN"/>
              </w:rPr>
              <w:t>2.0</w:t>
            </w:r>
            <w:r>
              <w:rPr>
                <w:rFonts w:hint="default" w:ascii="Times New Roman" w:hAnsi="Times New Roman" w:cs="Times New Roman"/>
                <w:b w:val="0"/>
                <w:bCs w:val="0"/>
                <w:sz w:val="24"/>
                <w:highlight w:val="none"/>
                <w:u w:val="none"/>
              </w:rPr>
              <w:t>mg/m</w:t>
            </w:r>
            <w:r>
              <w:rPr>
                <w:rFonts w:hint="default" w:ascii="Times New Roman" w:hAnsi="Times New Roman" w:cs="Times New Roman"/>
                <w:b w:val="0"/>
                <w:bCs w:val="0"/>
                <w:sz w:val="24"/>
                <w:highlight w:val="none"/>
                <w:u w:val="none"/>
                <w:vertAlign w:val="superscript"/>
              </w:rPr>
              <w:t>3</w:t>
            </w:r>
            <w:r>
              <w:rPr>
                <w:rFonts w:hint="eastAsia" w:cs="Times New Roman"/>
                <w:b w:val="0"/>
                <w:bCs w:val="0"/>
                <w:sz w:val="24"/>
                <w:highlight w:val="none"/>
                <w:u w:val="none"/>
                <w:vertAlign w:val="baseline"/>
                <w:lang w:eastAsia="zh-CN"/>
              </w:rPr>
              <w:t>，</w:t>
            </w:r>
            <w:r>
              <w:rPr>
                <w:rFonts w:hint="eastAsia" w:cs="Times New Roman"/>
                <w:b w:val="0"/>
                <w:bCs w:val="0"/>
                <w:sz w:val="24"/>
                <w:highlight w:val="none"/>
                <w:u w:val="none"/>
                <w:vertAlign w:val="baseline"/>
                <w:lang w:val="en-US" w:eastAsia="zh-CN"/>
              </w:rPr>
              <w:t>二甲苯0.2</w:t>
            </w:r>
            <w:r>
              <w:rPr>
                <w:rFonts w:hint="default" w:ascii="Times New Roman" w:hAnsi="Times New Roman" w:cs="Times New Roman"/>
                <w:b w:val="0"/>
                <w:bCs w:val="0"/>
                <w:sz w:val="24"/>
                <w:highlight w:val="none"/>
                <w:u w:val="none"/>
              </w:rPr>
              <w:t>mg/m</w:t>
            </w:r>
            <w:r>
              <w:rPr>
                <w:rFonts w:hint="default" w:ascii="Times New Roman" w:hAnsi="Times New Roman" w:cs="Times New Roman"/>
                <w:b w:val="0"/>
                <w:bCs w:val="0"/>
                <w:sz w:val="24"/>
                <w:highlight w:val="none"/>
                <w:u w:val="none"/>
                <w:vertAlign w:val="superscript"/>
              </w:rPr>
              <w:t>3</w:t>
            </w:r>
            <w:r>
              <w:rPr>
                <w:rFonts w:hint="default" w:ascii="Times New Roman" w:hAnsi="Times New Roman" w:cs="Times New Roman"/>
                <w:b w:val="0"/>
                <w:bCs w:val="0"/>
                <w:sz w:val="24"/>
                <w:u w:val="none"/>
                <w:lang w:eastAsia="zh-CN"/>
              </w:rPr>
              <w:t>）。</w:t>
            </w:r>
            <w:r>
              <w:rPr>
                <w:rFonts w:hint="eastAsia" w:cs="Times New Roman"/>
                <w:b w:val="0"/>
                <w:bCs w:val="0"/>
                <w:sz w:val="24"/>
                <w:u w:val="none"/>
                <w:lang w:val="en-US" w:eastAsia="zh-CN"/>
              </w:rPr>
              <w:t>颗粒物（有组织）需满足《河南省重污染天气通用行业应急减排措施制定技术指南（2021年修订版）》文件中相关标准要求，即PM排放浓度不高于10mg/m</w:t>
            </w:r>
            <w:r>
              <w:rPr>
                <w:rFonts w:hint="eastAsia" w:cs="Times New Roman"/>
                <w:b w:val="0"/>
                <w:bCs w:val="0"/>
                <w:sz w:val="24"/>
                <w:u w:val="none"/>
                <w:vertAlign w:val="superscript"/>
                <w:lang w:val="en-US" w:eastAsia="zh-CN"/>
              </w:rPr>
              <w:t>3</w:t>
            </w:r>
            <w:r>
              <w:rPr>
                <w:rFonts w:hint="eastAsia" w:cs="Times New Roman"/>
                <w:b w:val="0"/>
                <w:bCs w:val="0"/>
                <w:sz w:val="24"/>
                <w:u w:val="none"/>
                <w:lang w:val="en-US" w:eastAsia="zh-CN"/>
              </w:rPr>
              <w:t>限值要求；颗粒物（无组织）需满足《大气污染物综合排放标准》（GB16297-1996）表2标准（周界外浓度最高点）浓度1.0mg/m</w:t>
            </w:r>
            <w:r>
              <w:rPr>
                <w:rFonts w:hint="eastAsia" w:cs="Times New Roman"/>
                <w:b w:val="0"/>
                <w:bCs w:val="0"/>
                <w:sz w:val="24"/>
                <w:u w:val="none"/>
                <w:vertAlign w:val="superscript"/>
                <w:lang w:val="en-US" w:eastAsia="zh-CN"/>
              </w:rPr>
              <w:t>3</w:t>
            </w:r>
            <w:r>
              <w:rPr>
                <w:rFonts w:hint="eastAsia" w:cs="Times New Roman"/>
                <w:b w:val="0"/>
                <w:bCs w:val="0"/>
                <w:sz w:val="24"/>
                <w:u w:val="none"/>
                <w:vertAlign w:val="baseline"/>
                <w:lang w:val="en-US" w:eastAsia="zh-CN"/>
              </w:rPr>
              <w:t>。</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cs="Times New Roman"/>
                <w:b/>
                <w:bCs/>
                <w:u w:val="single"/>
                <w:lang w:val="en-US" w:eastAsia="zh-CN"/>
              </w:rPr>
            </w:pPr>
            <w:r>
              <w:rPr>
                <w:rFonts w:hint="eastAsia" w:cs="Times New Roman"/>
                <w:b/>
                <w:bCs/>
                <w:u w:val="single"/>
                <w:lang w:val="en-US" w:eastAsia="zh-CN"/>
              </w:rPr>
              <w:t>一体化污水处理设施废气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恶臭是大气、水、固体废物中的异味通过空气介质，作用于人的嗅觉思维被感知的一种感觉污染。污水处理站的恶臭来源于污水、污泥中有机物的分解、发酵过程中散发的化学物质，主要产生在处理污水厌氧环节中，包括化粪池、格栅池、调节池、污泥池等，污水处理站恶臭的主要表征因子为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与H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判断恶臭对人体的影响，主要是以带给人们带来不愉快感觉的影响为中心进行的，受害者主观感觉是评价恶臭污染程度的主要依据。恶臭是由多种气态污染物组成，其阈值或最小检出浓度不相同，数值通常很低，但如果恶臭达到阀值以后，会立即感受强烈的恶臭气味。人们对恶臭的厌恶感与恶臭成份的性质、强度及浓度有关，并且包含着环境气象条件和个人条件（身体条件和精神条件等）等因素在内。恶臭强度是以臭味的嗅觉阈值为基准划分等级的，恶臭强度划分为6级，见</w:t>
            </w:r>
            <w:r>
              <w:rPr>
                <w:rFonts w:hint="eastAsia" w:ascii="Times New Roman" w:hAnsi="Times New Roman" w:eastAsia="宋体" w:cs="Times New Roman"/>
                <w:color w:val="auto"/>
                <w:sz w:val="24"/>
                <w:szCs w:val="24"/>
                <w:lang w:eastAsia="zh-CN"/>
              </w:rPr>
              <w:t>下</w:t>
            </w:r>
            <w:r>
              <w:rPr>
                <w:rFonts w:hint="default" w:ascii="Times New Roman" w:hAnsi="Times New Roman" w:eastAsia="宋体" w:cs="Times New Roman"/>
                <w:color w:val="auto"/>
                <w:sz w:val="24"/>
                <w:szCs w:val="24"/>
              </w:rPr>
              <w:t>表。</w:t>
            </w:r>
          </w:p>
          <w:p>
            <w:pPr>
              <w:pStyle w:val="54"/>
              <w:keepNext w:val="0"/>
              <w:keepLines w:val="0"/>
              <w:pageBreakBefore w:val="0"/>
              <w:widowControl w:val="0"/>
              <w:kinsoku/>
              <w:wordWrap/>
              <w:overflowPunct/>
              <w:topLinePunct w:val="0"/>
              <w:autoSpaceDE/>
              <w:autoSpaceDN/>
              <w:bidi w:val="0"/>
              <w:adjustRightInd w:val="0"/>
              <w:snapToGrid w:val="0"/>
              <w:spacing w:before="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zh-CN" w:eastAsia="zh-CN"/>
              </w:rPr>
            </w:pPr>
            <w:bookmarkStart w:id="2" w:name="_Toc15974"/>
            <w:bookmarkStart w:id="3" w:name="_Toc9560"/>
            <w:r>
              <w:rPr>
                <w:rFonts w:hint="default"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val="en-US" w:eastAsia="zh-CN"/>
              </w:rPr>
              <w:t>4-5</w:t>
            </w:r>
            <w:r>
              <w:rPr>
                <w:rFonts w:hint="default" w:ascii="Times New Roman" w:hAnsi="Times New Roman" w:eastAsia="宋体" w:cs="Times New Roman"/>
                <w:b/>
                <w:bCs/>
                <w:color w:val="auto"/>
                <w:sz w:val="24"/>
                <w:szCs w:val="24"/>
                <w:lang w:val="zh-CN" w:eastAsia="zh-CN"/>
              </w:rPr>
              <w:t xml:space="preserve"> 恶臭强度6级分类表</w:t>
            </w:r>
            <w:bookmarkEnd w:id="2"/>
            <w:bookmarkEnd w:id="3"/>
          </w:p>
          <w:tbl>
            <w:tblPr>
              <w:tblStyle w:val="24"/>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586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b/>
                      <w:bCs/>
                      <w:color w:val="auto"/>
                      <w:kern w:val="18"/>
                      <w:sz w:val="21"/>
                      <w:szCs w:val="21"/>
                    </w:rPr>
                  </w:pPr>
                  <w:r>
                    <w:rPr>
                      <w:rFonts w:hint="default" w:ascii="Times New Roman" w:hAnsi="Times New Roman" w:eastAsia="宋体" w:cs="Times New Roman"/>
                      <w:b/>
                      <w:bCs/>
                      <w:color w:val="auto"/>
                      <w:kern w:val="18"/>
                      <w:sz w:val="21"/>
                      <w:szCs w:val="21"/>
                    </w:rPr>
                    <w:t>强度分类</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b/>
                      <w:bCs/>
                      <w:color w:val="auto"/>
                      <w:kern w:val="18"/>
                      <w:sz w:val="21"/>
                      <w:szCs w:val="21"/>
                    </w:rPr>
                  </w:pPr>
                  <w:r>
                    <w:rPr>
                      <w:rFonts w:hint="default" w:ascii="Times New Roman" w:hAnsi="Times New Roman" w:eastAsia="宋体" w:cs="Times New Roman"/>
                      <w:b/>
                      <w:bCs/>
                      <w:color w:val="auto"/>
                      <w:kern w:val="18"/>
                      <w:sz w:val="21"/>
                      <w:szCs w:val="21"/>
                    </w:rPr>
                    <w:t>臭气感觉强度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0</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无气味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1</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勉强感觉到气味（检知阈值浓度）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2</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能够确定气味性质的较弱气体（确认阈值浓度）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很容易闻到有明显气味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很强的气味</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jc w:val="center"/>
              </w:trPr>
              <w:tc>
                <w:tcPr>
                  <w:tcW w:w="1883"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5</w:t>
                  </w:r>
                </w:p>
              </w:tc>
              <w:tc>
                <w:tcPr>
                  <w:tcW w:w="3116" w:type="pct"/>
                  <w:tcBorders>
                    <w:tl2br w:val="nil"/>
                    <w:tr2bl w:val="nil"/>
                  </w:tcBorders>
                  <w:noWrap w:val="0"/>
                  <w:vAlign w:val="center"/>
                </w:tcPr>
                <w:p>
                  <w:pPr>
                    <w:pStyle w:val="65"/>
                    <w:keepNext w:val="0"/>
                    <w:keepLines w:val="0"/>
                    <w:pageBreakBefore w:val="0"/>
                    <w:widowControl w:val="0"/>
                    <w:kinsoku/>
                    <w:wordWrap/>
                    <w:overflowPunct/>
                    <w:topLinePunct w:val="0"/>
                    <w:autoSpaceDE/>
                    <w:autoSpaceDN/>
                    <w:bidi w:val="0"/>
                    <w:adjustRightInd/>
                    <w:snapToGrid/>
                    <w:spacing w:line="360" w:lineRule="exact"/>
                    <w:textAlignment w:val="baseline"/>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极强的气味</w:t>
                  </w:r>
                </w:p>
              </w:tc>
            </w:tr>
          </w:tbl>
          <w:p>
            <w:pPr>
              <w:pStyle w:val="42"/>
              <w:adjustRightInd w:val="0"/>
              <w:snapToGrid w:val="0"/>
              <w:spacing w:line="360" w:lineRule="auto"/>
              <w:rPr>
                <w:rFonts w:hint="default" w:eastAsia="宋体" w:cs="Times New Roman"/>
                <w:b w:val="0"/>
                <w:bCs w:val="0"/>
                <w:sz w:val="24"/>
                <w:u w:val="none"/>
                <w:vertAlign w:val="baseline"/>
                <w:lang w:val="en-US" w:eastAsia="zh-CN"/>
              </w:rPr>
            </w:pPr>
            <w:r>
              <w:rPr>
                <w:rFonts w:hint="eastAsia" w:cs="Times New Roman"/>
                <w:b w:val="0"/>
                <w:bCs w:val="0"/>
                <w:sz w:val="24"/>
                <w:u w:val="none"/>
                <w:vertAlign w:val="baseline"/>
                <w:lang w:val="en-US" w:eastAsia="zh-CN"/>
              </w:rPr>
              <w:t>根据企业提供资料可知，为减少</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与H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w:t>
            </w:r>
            <w:r>
              <w:rPr>
                <w:rFonts w:hint="eastAsia" w:ascii="Times New Roman" w:hAnsi="Times New Roman" w:eastAsia="宋体" w:cs="Times New Roman"/>
                <w:color w:val="auto"/>
                <w:sz w:val="24"/>
                <w:szCs w:val="24"/>
                <w:lang w:val="en-US" w:eastAsia="zh-CN"/>
              </w:rPr>
              <w:t>的溢出，</w:t>
            </w:r>
            <w:r>
              <w:rPr>
                <w:rFonts w:hint="eastAsia" w:cs="Times New Roman"/>
                <w:b w:val="0"/>
                <w:bCs w:val="0"/>
                <w:sz w:val="24"/>
                <w:u w:val="none"/>
                <w:vertAlign w:val="baseline"/>
                <w:lang w:val="en-US" w:eastAsia="zh-CN"/>
              </w:rPr>
              <w:t>本项目一体化污水处理设施各处理单元均采取加盖封闭措施</w:t>
            </w:r>
            <w:r>
              <w:rPr>
                <w:rFonts w:hint="eastAsia" w:ascii="Times New Roman" w:hAnsi="Times New Roman" w:eastAsia="宋体" w:cs="Times New Roman"/>
                <w:color w:val="auto"/>
                <w:sz w:val="24"/>
                <w:szCs w:val="24"/>
                <w:lang w:val="en-US" w:eastAsia="zh-CN"/>
              </w:rPr>
              <w:t>。同时建议企业加强车间内通风，在车间周围做好绿化措施，厂界边缘地带形成多层防护林带，以降低恶臭对周围环境的影响程度。</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污染物治理设施可行性</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有组织粉尘污染控制措施</w:t>
            </w:r>
          </w:p>
          <w:p>
            <w:pPr>
              <w:pStyle w:val="3"/>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本项目针对废泡沫破碎工序采取</w:t>
            </w:r>
            <w:r>
              <w:rPr>
                <w:rFonts w:hint="eastAsia" w:cs="Times New Roman"/>
                <w:lang w:val="en-US" w:eastAsia="zh-CN"/>
              </w:rPr>
              <w:t>全密闭</w:t>
            </w:r>
            <w:r>
              <w:rPr>
                <w:rFonts w:hint="default" w:ascii="Times New Roman" w:hAnsi="Times New Roman" w:cs="Times New Roman"/>
                <w:lang w:val="en-US" w:eastAsia="zh-CN"/>
              </w:rPr>
              <w:t>集气设施</w:t>
            </w:r>
            <w:r>
              <w:rPr>
                <w:rFonts w:hint="eastAsia" w:cs="Times New Roman"/>
                <w:lang w:val="en-US" w:eastAsia="zh-CN"/>
              </w:rPr>
              <w:t>负压收集</w:t>
            </w:r>
            <w:r>
              <w:rPr>
                <w:rFonts w:hint="default" w:ascii="Times New Roman" w:hAnsi="Times New Roman" w:cs="Times New Roman"/>
                <w:lang w:val="en-US" w:eastAsia="zh-CN"/>
              </w:rPr>
              <w:t>+袋式除尘器进行处理，最终经20m排气筒P2（DA002）达标排放。</w:t>
            </w:r>
          </w:p>
          <w:p>
            <w:pPr>
              <w:pStyle w:val="3"/>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其中袋式除尘器的优点主要如下：①除尘效率高，其除尘效率可达到95%—99.9%，可捕集粒径大于0.3µm的细小粉尘颗粒，能满足严格的环保要求；②性能稳定，处理风量、气体含尘量、温度等工作条件的变化，对袋式除尘器的除尘效果影响不大；③粉尘处理容易，袋式除尘器是一种干式净化设备，不需用水，所以不存在污水处理或泥浆处理问题，收集的粉尘容易回收利用；④使用灵活，处理风量可由每小时数百立方米到每小时数十万立方米，可以作为直接设于室内、机床附近的小型机组，也可做成大型的除尘室；⑤结构比较简单，运行比较稳定，维护方便；⑥袋式除尘器比静电除尘器有更高的除尘效率，尤其对人体有严重影响的重金属粒子及亚微米级尘粒的捕集更为有效，通常除尘效率可达99.9%以上。袋式除尘器的可捕集粒径大于0.3µm的细小粉尘颗粒；因此本项目颗粒物处理措施选取袋式除尘器处理的措施可行。</w:t>
            </w:r>
          </w:p>
          <w:p>
            <w:pPr>
              <w:pStyle w:val="54"/>
              <w:adjustRightInd w:val="0"/>
              <w:snapToGrid w:val="0"/>
              <w:spacing w:line="360" w:lineRule="auto"/>
              <w:ind w:firstLine="482"/>
              <w:rPr>
                <w:rFonts w:hint="default" w:ascii="Times New Roman" w:hAnsi="Times New Roman" w:cs="Times New Roman"/>
                <w:sz w:val="24"/>
                <w:szCs w:val="24"/>
                <w:lang w:val="en-US" w:eastAsia="zh-CN"/>
              </w:rPr>
            </w:pPr>
            <w:r>
              <w:rPr>
                <w:rFonts w:hint="default" w:ascii="Times New Roman" w:hAnsi="Times New Roman" w:cs="Times New Roman"/>
                <w:b w:val="0"/>
                <w:bCs/>
                <w:sz w:val="24"/>
                <w:szCs w:val="24"/>
                <w:u w:val="none"/>
                <w:lang w:val="en-US" w:eastAsia="zh-CN"/>
              </w:rPr>
              <w:t>项目运行过程中各工序产生的颗粒物经上述工艺处理后</w:t>
            </w:r>
            <w:r>
              <w:rPr>
                <w:rFonts w:hint="default" w:ascii="Times New Roman" w:hAnsi="Times New Roman" w:cs="Times New Roman"/>
                <w:b w:val="0"/>
                <w:bCs/>
                <w:sz w:val="24"/>
                <w:szCs w:val="24"/>
                <w:u w:val="none"/>
              </w:rPr>
              <w:t>可满足</w:t>
            </w:r>
            <w:r>
              <w:rPr>
                <w:rFonts w:hint="default" w:ascii="Times New Roman" w:hAnsi="Times New Roman" w:cs="Times New Roman"/>
                <w:b w:val="0"/>
                <w:bCs w:val="0"/>
                <w:color w:val="auto"/>
                <w:sz w:val="24"/>
                <w:szCs w:val="24"/>
                <w:u w:val="none"/>
                <w:lang w:val="en-US" w:eastAsia="zh-CN"/>
              </w:rPr>
              <w:t>《河南省重污染天气通用行业应急减排措施制定技术指南（2021年修订版）》文件中相关标准要求，</w:t>
            </w:r>
            <w:r>
              <w:rPr>
                <w:rFonts w:hint="default" w:ascii="Times New Roman" w:hAnsi="Times New Roman" w:cs="Times New Roman"/>
                <w:sz w:val="24"/>
              </w:rPr>
              <w:t>即PM排放浓度</w:t>
            </w:r>
            <w:r>
              <w:rPr>
                <w:rFonts w:hint="default" w:ascii="Times New Roman" w:hAnsi="Times New Roman" w:eastAsia="宋体" w:cs="Times New Roman"/>
                <w:sz w:val="24"/>
              </w:rPr>
              <w:t>≦</w:t>
            </w:r>
            <w:r>
              <w:rPr>
                <w:rFonts w:hint="default" w:ascii="Times New Roman" w:hAnsi="Times New Roman" w:cs="Times New Roman"/>
                <w:sz w:val="24"/>
              </w:rPr>
              <w:t>10mg/m</w:t>
            </w:r>
            <w:r>
              <w:rPr>
                <w:rFonts w:hint="default" w:ascii="Times New Roman" w:hAnsi="Times New Roman" w:cs="Times New Roman"/>
                <w:sz w:val="24"/>
                <w:vertAlign w:val="superscript"/>
              </w:rPr>
              <w:t>3</w:t>
            </w:r>
            <w:r>
              <w:rPr>
                <w:rFonts w:hint="default" w:ascii="Times New Roman" w:hAnsi="Times New Roman" w:cs="Times New Roman"/>
                <w:sz w:val="24"/>
              </w:rPr>
              <w:t>限值要求</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szCs w:val="24"/>
                <w:u w:val="none"/>
                <w:lang w:val="en-US" w:eastAsia="zh-CN"/>
              </w:rPr>
              <w:t>同时满足</w:t>
            </w:r>
            <w:r>
              <w:rPr>
                <w:rFonts w:hint="default" w:ascii="Times New Roman" w:hAnsi="Times New Roman" w:cs="Times New Roman"/>
                <w:sz w:val="24"/>
                <w:szCs w:val="24"/>
              </w:rPr>
              <w:t>《大气污染物综合排放标准》（GB16297-1996）表2标准</w:t>
            </w:r>
            <w:r>
              <w:rPr>
                <w:rFonts w:hint="default" w:ascii="Times New Roman" w:hAnsi="Times New Roman" w:cs="Times New Roman"/>
                <w:sz w:val="24"/>
                <w:szCs w:val="24"/>
                <w:lang w:val="en-US" w:eastAsia="zh-CN"/>
              </w:rPr>
              <w:t>中排放速率</w:t>
            </w:r>
            <w:r>
              <w:rPr>
                <w:rFonts w:hint="default" w:ascii="Times New Roman" w:hAnsi="Times New Roman" w:eastAsia="宋体" w:cs="Times New Roman"/>
                <w:sz w:val="24"/>
                <w:szCs w:val="24"/>
              </w:rPr>
              <w:t>≦</w:t>
            </w:r>
            <w:r>
              <w:rPr>
                <w:rFonts w:hint="eastAsia" w:cs="Times New Roman"/>
                <w:sz w:val="24"/>
                <w:szCs w:val="24"/>
                <w:lang w:val="en-US" w:eastAsia="zh-CN"/>
              </w:rPr>
              <w:t>5.9</w:t>
            </w:r>
            <w:r>
              <w:rPr>
                <w:rFonts w:hint="default" w:ascii="Times New Roman" w:hAnsi="Times New Roman" w:cs="Times New Roman"/>
                <w:sz w:val="24"/>
                <w:szCs w:val="24"/>
                <w:lang w:val="en-US" w:eastAsia="zh-CN"/>
              </w:rPr>
              <w:t>kg/h的要求；因此本项目该工序颗粒物（有组织）排放</w:t>
            </w:r>
            <w:r>
              <w:rPr>
                <w:rFonts w:hint="default" w:ascii="Times New Roman" w:hAnsi="Times New Roman" w:cs="Times New Roman"/>
                <w:b w:val="0"/>
                <w:bCs/>
                <w:color w:val="auto"/>
                <w:sz w:val="24"/>
                <w:szCs w:val="24"/>
                <w:u w:val="none"/>
              </w:rPr>
              <w:t>对周围大气环境影响不大</w:t>
            </w:r>
            <w:r>
              <w:rPr>
                <w:rFonts w:hint="default" w:ascii="Times New Roman" w:hAnsi="Times New Roman" w:cs="Times New Roman"/>
                <w:b w:val="0"/>
                <w:bCs/>
                <w:color w:val="auto"/>
                <w:sz w:val="24"/>
                <w:szCs w:val="24"/>
                <w:u w:val="none"/>
                <w:lang w:eastAsia="zh-CN"/>
              </w:rPr>
              <w:t>。</w:t>
            </w:r>
            <w:r>
              <w:rPr>
                <w:rFonts w:hint="default" w:ascii="Times New Roman" w:hAnsi="Times New Roman" w:cs="Times New Roman"/>
                <w:color w:val="auto"/>
                <w:sz w:val="24"/>
                <w:szCs w:val="24"/>
                <w:lang w:val="en-US" w:eastAsia="zh-CN"/>
              </w:rPr>
              <w:t>距本项目最近的敏感点为位于项目东南侧350m的宝丰县产业集聚区公租房小区，</w:t>
            </w:r>
            <w:r>
              <w:rPr>
                <w:rFonts w:hint="default" w:ascii="Times New Roman" w:hAnsi="Times New Roman" w:cs="Times New Roman"/>
                <w:sz w:val="24"/>
                <w:szCs w:val="24"/>
                <w:lang w:val="en-US" w:eastAsia="zh-CN"/>
              </w:rPr>
              <w:t>根据平面布置图可知，项目产尘点位于厂区东南部，本项目生产厂房全密闭，产尘点配备袋式除尘系统除尘。本项目针对生产过程中产生的废气采取应收尽收原则，生产过程中务必满足相关本次评价报告中相关的最新环保要求；因此</w:t>
            </w:r>
            <w:r>
              <w:rPr>
                <w:rFonts w:hint="default" w:ascii="Times New Roman" w:hAnsi="Times New Roman" w:cs="Times New Roman"/>
                <w:color w:val="auto"/>
                <w:sz w:val="24"/>
                <w:szCs w:val="24"/>
                <w:lang w:val="en-US" w:eastAsia="zh-CN"/>
              </w:rPr>
              <w:t>采</w:t>
            </w:r>
            <w:r>
              <w:rPr>
                <w:rFonts w:hint="default" w:ascii="Times New Roman" w:hAnsi="Times New Roman" w:cs="Times New Roman"/>
                <w:sz w:val="24"/>
                <w:szCs w:val="24"/>
                <w:lang w:val="en-US" w:eastAsia="zh-CN"/>
              </w:rPr>
              <w:t>取以上环保措施后，本项目最终排放至外环境的废气对周围敏感点的影响较小。本次评价参考相关同类行业以及环保工程相关经验可知，本项目运行过程中所采用处理工艺（袋式除尘）均为可行技术，可将产生的颗粒物处理至达标排放。综上所述，本项目的建设对周边环境影响不大。</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无组织粉尘污染控制措施</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lang w:val="en-US" w:eastAsia="zh-CN"/>
              </w:rPr>
              <w:t>本</w:t>
            </w:r>
            <w:r>
              <w:rPr>
                <w:rFonts w:hint="default" w:ascii="Times New Roman" w:hAnsi="Times New Roman" w:cs="Times New Roman"/>
                <w:kern w:val="0"/>
                <w:sz w:val="24"/>
              </w:rPr>
              <w:t>项目</w:t>
            </w:r>
            <w:r>
              <w:rPr>
                <w:rFonts w:hint="default" w:ascii="Times New Roman" w:hAnsi="Times New Roman" w:cs="Times New Roman"/>
                <w:kern w:val="0"/>
                <w:sz w:val="24"/>
                <w:lang w:val="en-US" w:eastAsia="zh-CN"/>
              </w:rPr>
              <w:t>无组织粉尘产生工序主要为破碎工序未被</w:t>
            </w:r>
            <w:r>
              <w:rPr>
                <w:rFonts w:hint="eastAsia" w:cs="Times New Roman"/>
                <w:kern w:val="0"/>
                <w:sz w:val="24"/>
                <w:lang w:val="en-US" w:eastAsia="zh-CN"/>
              </w:rPr>
              <w:t>负压集气系统</w:t>
            </w:r>
            <w:r>
              <w:rPr>
                <w:rFonts w:hint="default" w:ascii="Times New Roman" w:hAnsi="Times New Roman" w:cs="Times New Roman"/>
                <w:kern w:val="0"/>
                <w:sz w:val="24"/>
                <w:lang w:val="en-US" w:eastAsia="zh-CN"/>
              </w:rPr>
              <w:t>收集的粉尘和车辆运输扬尘。项目厂房全密闭，并在</w:t>
            </w:r>
            <w:r>
              <w:rPr>
                <w:rFonts w:hint="default" w:ascii="Times New Roman" w:hAnsi="Times New Roman" w:cs="Times New Roman"/>
                <w:kern w:val="0"/>
                <w:sz w:val="24"/>
              </w:rPr>
              <w:t>厂房的周围及道路两旁等凡能绿化的地带尽量种植乔木、灌木和草坪，加强厂区周围环境的绿化，减少无组织粉尘对外环境的影响。</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为了进一步减小项目粉尘对周围环境的影响，建议建设单位采取以下措施进行控制：</w:t>
            </w:r>
          </w:p>
          <w:p>
            <w:pPr>
              <w:pStyle w:val="3"/>
              <w:rPr>
                <w:rFonts w:hint="default" w:ascii="Times New Roman" w:hAnsi="Times New Roman" w:cs="Times New Roman"/>
                <w:b/>
                <w:bCs/>
                <w:kern w:val="0"/>
                <w:sz w:val="24"/>
                <w:lang w:val="en-US" w:eastAsia="zh-CN"/>
              </w:rPr>
            </w:pPr>
            <w:r>
              <w:rPr>
                <w:rFonts w:hint="default" w:ascii="Times New Roman" w:hAnsi="Times New Roman" w:cs="Times New Roman"/>
                <w:b/>
                <w:bCs/>
                <w:kern w:val="0"/>
                <w:sz w:val="24"/>
                <w:lang w:val="en-US" w:eastAsia="zh-CN"/>
              </w:rPr>
              <w:t>针对厂区内运输道路扬尘采取的环保措施：</w:t>
            </w:r>
          </w:p>
          <w:p>
            <w:pPr>
              <w:pStyle w:val="3"/>
              <w:rPr>
                <w:rFonts w:hint="default" w:ascii="Times New Roman" w:hAnsi="Times New Roman" w:cs="Times New Roman"/>
                <w:kern w:val="0"/>
                <w:sz w:val="24"/>
              </w:rPr>
            </w:pPr>
            <w:r>
              <w:rPr>
                <w:rFonts w:hint="default" w:ascii="Times New Roman" w:hAnsi="Times New Roman" w:cs="Times New Roman"/>
                <w:kern w:val="0"/>
                <w:sz w:val="24"/>
              </w:rPr>
              <w:t>①及时对</w:t>
            </w:r>
            <w:r>
              <w:rPr>
                <w:rFonts w:hint="default" w:ascii="Times New Roman" w:hAnsi="Times New Roman" w:cs="Times New Roman"/>
                <w:kern w:val="0"/>
                <w:sz w:val="24"/>
                <w:lang w:val="en-US" w:eastAsia="zh-CN"/>
              </w:rPr>
              <w:t>厂区</w:t>
            </w:r>
            <w:r>
              <w:rPr>
                <w:rFonts w:hint="default" w:ascii="Times New Roman" w:hAnsi="Times New Roman" w:cs="Times New Roman"/>
                <w:kern w:val="0"/>
                <w:sz w:val="24"/>
              </w:rPr>
              <w:t>内地面进行洒水降尘、清扫；</w:t>
            </w:r>
          </w:p>
          <w:p>
            <w:pPr>
              <w:pStyle w:val="3"/>
              <w:rPr>
                <w:rFonts w:hint="default" w:ascii="Times New Roman" w:hAnsi="Times New Roman" w:cs="Times New Roman"/>
                <w:kern w:val="0"/>
                <w:sz w:val="24"/>
              </w:rPr>
            </w:pPr>
            <w:r>
              <w:rPr>
                <w:rFonts w:hint="default" w:ascii="Times New Roman" w:hAnsi="Times New Roman" w:cs="Times New Roman"/>
                <w:kern w:val="0"/>
                <w:sz w:val="24"/>
              </w:rPr>
              <w:t>②汽车进入厂区后要减速慢行，运输车辆均全封闭遮盖，减少原料的散落；</w:t>
            </w:r>
          </w:p>
          <w:p>
            <w:pPr>
              <w:pStyle w:val="3"/>
              <w:rPr>
                <w:rFonts w:hint="default" w:ascii="Times New Roman" w:hAnsi="Times New Roman" w:cs="Times New Roman"/>
                <w:kern w:val="0"/>
                <w:sz w:val="24"/>
              </w:rPr>
            </w:pPr>
            <w:r>
              <w:rPr>
                <w:rFonts w:hint="default" w:ascii="Times New Roman" w:hAnsi="Times New Roman" w:cs="Times New Roman"/>
                <w:kern w:val="0"/>
                <w:sz w:val="24"/>
              </w:rPr>
              <w:t>③</w:t>
            </w:r>
            <w:r>
              <w:rPr>
                <w:rFonts w:hint="default" w:ascii="Times New Roman" w:hAnsi="Times New Roman" w:cs="Times New Roman"/>
                <w:kern w:val="0"/>
                <w:sz w:val="24"/>
                <w:lang w:val="en-US" w:eastAsia="zh-CN"/>
              </w:rPr>
              <w:t>厂房</w:t>
            </w:r>
            <w:r>
              <w:rPr>
                <w:rFonts w:hint="default" w:ascii="Times New Roman" w:hAnsi="Times New Roman" w:cs="Times New Roman"/>
                <w:kern w:val="0"/>
                <w:sz w:val="24"/>
              </w:rPr>
              <w:t>门口设置车辆清洗设施，车辆离场时确保冲洗干净后方可上路。</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应选用稳定成熟的设备、加强操作人员的责任心以减少非正常排放。环评要求建设单位落实各项环保措施，保证设备的正常运转，防止人为或设备故障导致事故排放，实现废气达标排放。同时设备的制造和安装应严格进行调试。</w:t>
            </w:r>
          </w:p>
          <w:p>
            <w:pPr>
              <w:pStyle w:val="3"/>
              <w:keepNext w:val="0"/>
              <w:keepLines w:val="0"/>
              <w:pageBreakBefore w:val="0"/>
              <w:widowControl/>
              <w:numPr>
                <w:ilvl w:val="0"/>
                <w:numId w:val="10"/>
              </w:numPr>
              <w:kinsoku/>
              <w:wordWrap/>
              <w:overflowPunct/>
              <w:topLinePunct w:val="0"/>
              <w:autoSpaceDE/>
              <w:autoSpaceDN/>
              <w:bidi w:val="0"/>
              <w:adjustRightInd/>
              <w:snapToGrid w:val="0"/>
              <w:ind w:left="0" w:leftChars="0" w:right="0" w:righ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有机废气（非甲烷总烃）控制措施</w:t>
            </w:r>
          </w:p>
          <w:p>
            <w:pPr>
              <w:pStyle w:val="3"/>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本项目针对生产过程中产生的有机废气（非甲烷总烃）采取环保措施为</w:t>
            </w:r>
            <w:r>
              <w:rPr>
                <w:rFonts w:hint="default" w:ascii="Times New Roman" w:hAnsi="Times New Roman" w:cs="Times New Roman"/>
                <w:lang w:val="en-US" w:eastAsia="zh-CN"/>
              </w:rPr>
              <w:t>集气设施+</w:t>
            </w:r>
            <w:r>
              <w:rPr>
                <w:rFonts w:hint="default" w:ascii="Times New Roman" w:hAnsi="Times New Roman" w:eastAsia="宋体" w:cs="Times New Roman"/>
                <w:lang w:val="en-US" w:eastAsia="zh-CN"/>
              </w:rPr>
              <w:t>活性炭吸附</w:t>
            </w:r>
            <w:r>
              <w:rPr>
                <w:rFonts w:hint="default" w:ascii="Times New Roman" w:hAnsi="Times New Roman" w:cs="Times New Roman"/>
                <w:lang w:val="en-US" w:eastAsia="zh-CN"/>
              </w:rPr>
              <w:t>浓缩+催化燃烧（RCO）</w:t>
            </w:r>
            <w:r>
              <w:rPr>
                <w:rFonts w:hint="default" w:ascii="Times New Roman" w:hAnsi="Times New Roman" w:eastAsia="宋体" w:cs="Times New Roman"/>
                <w:lang w:val="en-US" w:eastAsia="zh-CN"/>
              </w:rPr>
              <w:t>，最终废气经排气筒达标排放。</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吸附+脱附催化燃烧技术是将吸附和催化燃烧相结合的一种集成技术，将大风量、低浓度的有机废气经过吸附/脱附过程转换成小风量、高浓度的有机废气，然后经过燃烧净化。可处理含有苯、醇、酮、酚、醛、酯、醚、烷的混合有机废气，</w:t>
            </w:r>
            <w:r>
              <w:rPr>
                <w:rFonts w:hint="default" w:ascii="Times New Roman" w:hAnsi="Times New Roman" w:eastAsia="宋体" w:cs="Times New Roman"/>
                <w:sz w:val="24"/>
                <w:szCs w:val="24"/>
              </w:rPr>
              <w:t>该技术反应温度低、不产生热力型氮氧化物。</w:t>
            </w:r>
            <w:r>
              <w:rPr>
                <w:rFonts w:hint="default" w:ascii="Times New Roman" w:hAnsi="Times New Roman" w:cs="Times New Roman"/>
                <w:sz w:val="24"/>
                <w:szCs w:val="24"/>
                <w:lang w:eastAsia="zh-CN"/>
              </w:rPr>
              <w:t>装置</w:t>
            </w:r>
            <w:r>
              <w:rPr>
                <w:rFonts w:hint="default" w:ascii="Times New Roman" w:hAnsi="Times New Roman" w:eastAsia="宋体" w:cs="Times New Roman"/>
                <w:sz w:val="24"/>
                <w:szCs w:val="24"/>
              </w:rPr>
              <w:t>的VOCs去除效率通常可达95%以上。</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“活性炭吸附浓缩+催化燃烧（RCO）”</w:t>
            </w:r>
            <w:r>
              <w:rPr>
                <w:rFonts w:hint="default" w:ascii="Times New Roman" w:hAnsi="Times New Roman" w:eastAsia="宋体" w:cs="Times New Roman"/>
                <w:b/>
                <w:bCs/>
                <w:sz w:val="24"/>
                <w:szCs w:val="24"/>
                <w:lang w:val="en-US" w:eastAsia="zh-CN"/>
              </w:rPr>
              <w:t>装置原理：</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RCO催化净化是典型的气固相催化反应，采用电能运行工作，其实质是活性氧参与的深度氧化作用。在催化净化过程中，催化剂的作用是降低活化能，同时催化剂表面具有吸附作用，使反应物分子富集于表面提高了反应速率，加快了反应的进行。借助催化剂可使有机废气在较低的起燃温度条件下，发生无焰燃烧，并氧化分解为C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和H</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O，同时放出大量热能，从而达到去除废气中的有害物的方法。其反应过程为：</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rPr>
              <w:drawing>
                <wp:inline distT="0" distB="0" distL="114300" distR="114300">
                  <wp:extent cx="3772535" cy="474980"/>
                  <wp:effectExtent l="0" t="0" r="18415" b="127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26"/>
                          <a:stretch>
                            <a:fillRect/>
                          </a:stretch>
                        </pic:blipFill>
                        <pic:spPr>
                          <a:xfrm>
                            <a:off x="0" y="0"/>
                            <a:ext cx="3772535" cy="474980"/>
                          </a:xfrm>
                          <a:prstGeom prst="rect">
                            <a:avLst/>
                          </a:prstGeom>
                          <a:noFill/>
                          <a:ln>
                            <a:noFill/>
                          </a:ln>
                        </pic:spPr>
                      </pic:pic>
                    </a:graphicData>
                  </a:graphic>
                </wp:inline>
              </w:drawing>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在将废气进行催化净化的过程中，废气经管道由风机送入热交换器，将废气加热到催化燃烧所需要的起始温度。经过预热的废气，通过催化剂层使之</w:t>
            </w:r>
            <w:r>
              <w:rPr>
                <w:rFonts w:hint="default" w:ascii="Times New Roman" w:hAnsi="Times New Roman" w:cs="Times New Roman"/>
                <w:sz w:val="24"/>
                <w:szCs w:val="24"/>
                <w:lang w:val="en-US" w:eastAsia="zh-CN"/>
              </w:rPr>
              <w:t>进行无火焰</w:t>
            </w:r>
            <w:r>
              <w:rPr>
                <w:rFonts w:hint="default" w:ascii="Times New Roman" w:hAnsi="Times New Roman" w:eastAsia="宋体" w:cs="Times New Roman"/>
                <w:sz w:val="24"/>
                <w:szCs w:val="24"/>
                <w:lang w:val="en-US" w:eastAsia="zh-CN"/>
              </w:rPr>
              <w:t>燃烧。由于催化剂的作用，催化燃烧法废气燃烧的起始温度约为250-300℃，大大低于直接燃烧法的燃烧温度650-800℃，高温气体再次进入热交换器，经换热冷却， 最终以较低的温度经风机排入大气。</w:t>
            </w:r>
            <w:r>
              <w:rPr>
                <w:rFonts w:hint="default" w:ascii="Times New Roman" w:hAnsi="Times New Roman" w:cs="Times New Roman"/>
                <w:sz w:val="24"/>
                <w:szCs w:val="24"/>
                <w:lang w:val="en-US" w:eastAsia="zh-CN"/>
              </w:rPr>
              <w:t>催化燃烧装置根据催化燃烧机理，由催化室、电加热箱、热交换器、风机、电控柜五大部分组成。</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“活性炭吸附浓缩+催化燃烧（RCO）”</w:t>
            </w:r>
            <w:r>
              <w:rPr>
                <w:rFonts w:hint="default" w:ascii="Times New Roman" w:hAnsi="Times New Roman" w:eastAsia="宋体" w:cs="Times New Roman"/>
                <w:b/>
                <w:bCs/>
                <w:sz w:val="24"/>
                <w:szCs w:val="24"/>
                <w:lang w:val="en-US" w:eastAsia="zh-CN"/>
              </w:rPr>
              <w:t>装置运行工艺：</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D0D0D"/>
                <w:sz w:val="24"/>
                <w:szCs w:val="24"/>
              </w:rPr>
              <w:t>有机废气在风机作用下进入活性炭吸附浓缩</w:t>
            </w:r>
            <w:r>
              <w:rPr>
                <w:rFonts w:hint="default" w:ascii="Times New Roman" w:hAnsi="Times New Roman" w:cs="Times New Roman"/>
                <w:color w:val="0D0D0D"/>
                <w:sz w:val="24"/>
                <w:szCs w:val="24"/>
                <w:lang w:val="en-US" w:eastAsia="zh-CN"/>
              </w:rPr>
              <w:t>+</w:t>
            </w:r>
            <w:r>
              <w:rPr>
                <w:rFonts w:hint="default" w:ascii="Times New Roman" w:hAnsi="Times New Roman" w:cs="Times New Roman"/>
                <w:color w:val="0D0D0D"/>
                <w:sz w:val="24"/>
                <w:szCs w:val="24"/>
              </w:rPr>
              <w:t>催化燃烧装置的吸附箱，此时活性炭吸附床开始对废气中的有机物质进行吸附，在一定时间里吸附床达到饱和。当活性炭吸附饱和后，启动脱附风机对吸附饱和的活性炭进行脱附，脱附</w:t>
            </w:r>
            <w:r>
              <w:rPr>
                <w:rFonts w:hint="default" w:ascii="Times New Roman" w:hAnsi="Times New Roman" w:cs="Times New Roman"/>
                <w:color w:val="0D0D0D"/>
                <w:sz w:val="24"/>
                <w:szCs w:val="24"/>
                <w:lang w:val="en-US" w:eastAsia="zh-CN"/>
              </w:rPr>
              <w:t>的</w:t>
            </w:r>
            <w:r>
              <w:rPr>
                <w:rFonts w:hint="default" w:ascii="Times New Roman" w:hAnsi="Times New Roman" w:eastAsia="宋体" w:cs="Times New Roman"/>
                <w:sz w:val="24"/>
                <w:szCs w:val="24"/>
                <w:lang w:val="en-US" w:eastAsia="zh-CN"/>
              </w:rPr>
              <w:t>含VOCs的废气进入双槽RCO，三向切换风阀将此废气导入RCO的蓄热槽而预热此废气，含污染的废气被蓄热陶块渐渐地加热后进入催化床，VOCs在经催化剂分解被氧化而放出热能于第二蓄热槽中之陶块，用以减少辅助燃料的消耗。陶块被加热，燃烧氧化后的干净气体逐渐降低温度，因此出口温度略高于RCO入口温度。三向切换风阀切换改变RCO出口/入口温度。</w:t>
            </w:r>
            <w:r>
              <w:rPr>
                <w:rFonts w:hint="default" w:ascii="Times New Roman" w:hAnsi="Times New Roman" w:cs="Times New Roman"/>
                <w:color w:val="0D0D0D"/>
                <w:sz w:val="24"/>
                <w:szCs w:val="24"/>
              </w:rPr>
              <w:t>有机</w:t>
            </w:r>
            <w:r>
              <w:rPr>
                <w:rFonts w:hint="default" w:ascii="Times New Roman" w:hAnsi="Times New Roman" w:cs="Times New Roman"/>
                <w:color w:val="0D0D0D"/>
                <w:sz w:val="24"/>
                <w:szCs w:val="24"/>
                <w:lang w:val="en-US" w:eastAsia="zh-CN"/>
              </w:rPr>
              <w:t>废气</w:t>
            </w:r>
            <w:r>
              <w:rPr>
                <w:rFonts w:hint="default" w:ascii="Times New Roman" w:hAnsi="Times New Roman" w:cs="Times New Roman"/>
                <w:color w:val="0D0D0D"/>
                <w:sz w:val="24"/>
                <w:szCs w:val="24"/>
              </w:rPr>
              <w:t>在催化剂的作用下高温氧化，被分解为CO</w:t>
            </w:r>
            <w:r>
              <w:rPr>
                <w:rFonts w:hint="default" w:ascii="Times New Roman" w:hAnsi="Times New Roman" w:cs="Times New Roman"/>
                <w:color w:val="0D0D0D"/>
                <w:sz w:val="24"/>
                <w:szCs w:val="24"/>
                <w:vertAlign w:val="subscript"/>
              </w:rPr>
              <w:t>2</w:t>
            </w:r>
            <w:r>
              <w:rPr>
                <w:rFonts w:hint="default" w:ascii="Times New Roman" w:hAnsi="Times New Roman" w:cs="Times New Roman"/>
                <w:color w:val="0D0D0D"/>
                <w:sz w:val="24"/>
                <w:szCs w:val="24"/>
              </w:rPr>
              <w:t>和H</w:t>
            </w:r>
            <w:r>
              <w:rPr>
                <w:rFonts w:hint="default" w:ascii="Times New Roman" w:hAnsi="Times New Roman" w:cs="Times New Roman"/>
                <w:color w:val="0D0D0D"/>
                <w:sz w:val="24"/>
                <w:szCs w:val="24"/>
                <w:vertAlign w:val="subscript"/>
              </w:rPr>
              <w:t>2</w:t>
            </w:r>
            <w:r>
              <w:rPr>
                <w:rFonts w:hint="default" w:ascii="Times New Roman" w:hAnsi="Times New Roman" w:cs="Times New Roman"/>
                <w:color w:val="0D0D0D"/>
                <w:sz w:val="24"/>
                <w:szCs w:val="24"/>
              </w:rPr>
              <w:t>O，同时放出大量的热。经过脱附后的活性炭又保持了活性，可以进行第二轮的吸附，依次循环</w:t>
            </w:r>
            <w:r>
              <w:rPr>
                <w:rFonts w:hint="default" w:ascii="Times New Roman" w:hAnsi="Times New Roman" w:eastAsia="宋体" w:cs="Times New Roman"/>
                <w:sz w:val="24"/>
                <w:szCs w:val="24"/>
                <w:lang w:val="en-US" w:eastAsia="zh-CN"/>
              </w:rPr>
              <w:t>，活性炭更换周期为一年更换一次</w:t>
            </w:r>
            <w:r>
              <w:rPr>
                <w:rFonts w:hint="default" w:ascii="Times New Roman" w:hAnsi="Times New Roman" w:cs="Times New Roman"/>
                <w:color w:val="0D0D0D"/>
                <w:sz w:val="24"/>
                <w:szCs w:val="24"/>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default" w:ascii="Times New Roman" w:hAnsi="Times New Roman" w:cs="Times New Roman"/>
                <w:sz w:val="24"/>
                <w:szCs w:val="24"/>
                <w:lang w:val="en-US" w:eastAsia="zh-CN"/>
              </w:rPr>
              <w:t>“活性炭吸附浓缩+催化燃烧”</w:t>
            </w:r>
            <w:r>
              <w:rPr>
                <w:rFonts w:hint="default" w:ascii="Times New Roman" w:hAnsi="Times New Roman" w:eastAsia="宋体" w:cs="Times New Roman"/>
                <w:sz w:val="24"/>
                <w:szCs w:val="24"/>
                <w:lang w:val="en-US" w:eastAsia="zh-CN"/>
              </w:rPr>
              <w:t>装置设置3个活性炭吸附箱，一次填充量约1.2t，</w:t>
            </w:r>
            <w:r>
              <w:rPr>
                <w:rFonts w:hint="default" w:ascii="Times New Roman" w:hAnsi="Times New Roman" w:cs="Times New Roman"/>
                <w:sz w:val="24"/>
                <w:szCs w:val="24"/>
                <w:lang w:val="en-US" w:eastAsia="zh-CN"/>
              </w:rPr>
              <w:t>吸附箱2用1备，装置通过PLC系统控制柜全自动工作。</w:t>
            </w:r>
          </w:p>
          <w:p>
            <w:pPr>
              <w:jc w:val="center"/>
              <w:rPr>
                <w:rFonts w:hint="default"/>
                <w:lang w:eastAsia="zh-CN"/>
              </w:rPr>
            </w:pPr>
            <w:r>
              <w:drawing>
                <wp:inline distT="0" distB="0" distL="114300" distR="114300">
                  <wp:extent cx="5256530" cy="2916555"/>
                  <wp:effectExtent l="0" t="0" r="1270" b="1714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7"/>
                          <a:stretch>
                            <a:fillRect/>
                          </a:stretch>
                        </pic:blipFill>
                        <pic:spPr>
                          <a:xfrm>
                            <a:off x="0" y="0"/>
                            <a:ext cx="5256530" cy="2916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bCs/>
                <w:color w:val="000000"/>
                <w:kern w:val="0"/>
                <w:sz w:val="24"/>
                <w:szCs w:val="24"/>
                <w:lang w:val="en-US" w:eastAsia="zh-CN"/>
              </w:rPr>
            </w:pPr>
            <w:r>
              <w:rPr>
                <w:rFonts w:hint="default" w:ascii="Times New Roman" w:hAnsi="Times New Roman" w:cs="Times New Roman"/>
                <w:b/>
                <w:bCs/>
                <w:sz w:val="24"/>
                <w:szCs w:val="24"/>
                <w:lang w:val="en-US" w:eastAsia="zh-CN"/>
              </w:rPr>
              <w:t>图4-2    “活性炭吸附浓缩+催化燃烧（RCO）”</w:t>
            </w:r>
            <w:r>
              <w:rPr>
                <w:rFonts w:hint="default" w:ascii="Times New Roman" w:hAnsi="Times New Roman" w:eastAsia="宋体" w:cs="Times New Roman"/>
                <w:b/>
                <w:bCs/>
                <w:sz w:val="24"/>
                <w:szCs w:val="24"/>
                <w:lang w:val="en-US" w:eastAsia="zh-CN"/>
              </w:rPr>
              <w:t>装置运行</w:t>
            </w:r>
            <w:r>
              <w:rPr>
                <w:rFonts w:hint="default" w:ascii="Times New Roman" w:hAnsi="Times New Roman" w:cs="Times New Roman"/>
                <w:b/>
                <w:bCs/>
                <w:sz w:val="24"/>
                <w:szCs w:val="24"/>
                <w:lang w:val="en-US" w:eastAsia="zh-CN"/>
              </w:rPr>
              <w:t>示意图</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本项目废气污染物产排情况</w:t>
            </w:r>
          </w:p>
          <w:p>
            <w:pPr>
              <w:widowControl/>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本项目污染物产排情况见下表</w:t>
            </w:r>
          </w:p>
          <w:p>
            <w:pPr>
              <w:pStyle w:val="3"/>
              <w:widowControl w:val="0"/>
              <w:spacing w:line="240" w:lineRule="auto"/>
              <w:ind w:firstLine="0" w:firstLineChars="0"/>
              <w:jc w:val="center"/>
              <w:rPr>
                <w:rFonts w:hint="default" w:ascii="Times New Roman" w:hAnsi="Times New Roman" w:cs="Times New Roman"/>
                <w:b/>
                <w:bCs/>
              </w:rPr>
            </w:pPr>
            <w:r>
              <w:rPr>
                <w:rFonts w:hint="default" w:ascii="Times New Roman" w:hAnsi="Times New Roman" w:cs="Times New Roman"/>
                <w:b/>
                <w:bCs/>
              </w:rPr>
              <w:t>表4-</w:t>
            </w:r>
            <w:r>
              <w:rPr>
                <w:rFonts w:hint="eastAsia" w:cs="Times New Roman"/>
                <w:b/>
                <w:bCs/>
                <w:lang w:val="en-US" w:eastAsia="zh-CN"/>
              </w:rPr>
              <w:t>6</w:t>
            </w:r>
            <w:r>
              <w:rPr>
                <w:rFonts w:hint="default" w:ascii="Times New Roman" w:hAnsi="Times New Roman" w:cs="Times New Roman"/>
                <w:b/>
                <w:bCs/>
                <w:lang w:val="en-US" w:eastAsia="zh-CN"/>
              </w:rPr>
              <w:t xml:space="preserve">  </w:t>
            </w:r>
            <w:r>
              <w:rPr>
                <w:rFonts w:hint="default" w:ascii="Times New Roman" w:hAnsi="Times New Roman" w:cs="Times New Roman"/>
                <w:b/>
                <w:bCs/>
              </w:rPr>
              <w:t>本项目废气污染物产排情况</w:t>
            </w:r>
          </w:p>
          <w:tbl>
            <w:tblPr>
              <w:tblStyle w:val="24"/>
              <w:tblW w:w="492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2"/>
              <w:gridCol w:w="993"/>
              <w:gridCol w:w="914"/>
              <w:gridCol w:w="2873"/>
              <w:gridCol w:w="802"/>
              <w:gridCol w:w="794"/>
              <w:gridCol w:w="734"/>
              <w:gridCol w:w="141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00" w:hRule="atLeast"/>
                <w:jc w:val="center"/>
              </w:trPr>
              <w:tc>
                <w:tcPr>
                  <w:tcW w:w="936"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污染源</w:t>
                  </w: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污染物</w:t>
                  </w:r>
                </w:p>
              </w:tc>
              <w:tc>
                <w:tcPr>
                  <w:tcW w:w="15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治理设施</w:t>
                  </w:r>
                </w:p>
              </w:tc>
              <w:tc>
                <w:tcPr>
                  <w:tcW w:w="12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排放</w:t>
                  </w:r>
                </w:p>
              </w:tc>
              <w:tc>
                <w:tcPr>
                  <w:tcW w:w="7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排放方式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3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c>
                <w:tcPr>
                  <w:tcW w:w="4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kg/h</w:t>
                  </w:r>
                </w:p>
              </w:tc>
              <w:tc>
                <w:tcPr>
                  <w:tcW w:w="3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t/a</w:t>
                  </w:r>
                </w:p>
              </w:tc>
              <w:tc>
                <w:tcPr>
                  <w:tcW w:w="7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10" w:hRule="atLeast"/>
                <w:jc w:val="center"/>
              </w:trPr>
              <w:tc>
                <w:tcPr>
                  <w:tcW w:w="40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cs="Times New Roman"/>
                      <w:lang w:val="en-US" w:eastAsia="zh-CN"/>
                    </w:rPr>
                    <w:t>废编织袋再利用</w:t>
                  </w:r>
                  <w:r>
                    <w:rPr>
                      <w:rFonts w:hint="default" w:ascii="Times New Roman" w:hAnsi="Times New Roman" w:cs="Times New Roman"/>
                    </w:rPr>
                    <w:t>生产线</w:t>
                  </w:r>
                  <w:r>
                    <w:rPr>
                      <w:rFonts w:hint="default" w:ascii="Times New Roman" w:hAnsi="Times New Roman" w:cs="Times New Roman"/>
                      <w:lang w:eastAsia="zh-CN"/>
                    </w:rPr>
                    <w:t>（</w:t>
                  </w:r>
                  <w:r>
                    <w:rPr>
                      <w:rFonts w:hint="default" w:ascii="Times New Roman" w:hAnsi="Times New Roman" w:cs="Times New Roman"/>
                      <w:lang w:val="en-US" w:eastAsia="zh-CN"/>
                    </w:rPr>
                    <w:t>2条</w:t>
                  </w:r>
                  <w:r>
                    <w:rPr>
                      <w:rFonts w:hint="default" w:ascii="Times New Roman" w:hAnsi="Times New Roman" w:cs="Times New Roman"/>
                      <w:lang w:eastAsia="zh-CN"/>
                    </w:rPr>
                    <w:t>）</w:t>
                  </w:r>
                </w:p>
              </w:tc>
              <w:tc>
                <w:tcPr>
                  <w:tcW w:w="5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熔融挤出废气</w:t>
                  </w: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有机废气（非甲烷总烃）</w:t>
                  </w:r>
                </w:p>
              </w:tc>
              <w:tc>
                <w:tcPr>
                  <w:tcW w:w="15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有组织废气环保设施：</w:t>
                  </w:r>
                  <w:r>
                    <w:rPr>
                      <w:rFonts w:hint="eastAsia"/>
                      <w:color w:val="auto"/>
                      <w:szCs w:val="21"/>
                      <w:lang w:val="en-US" w:eastAsia="zh-CN"/>
                    </w:rPr>
                    <w:t>全密闭</w:t>
                  </w:r>
                  <w:r>
                    <w:rPr>
                      <w:rFonts w:hint="default" w:ascii="Times New Roman" w:hAnsi="Times New Roman" w:cs="Times New Roman"/>
                      <w:lang w:val="en-US" w:eastAsia="zh-CN"/>
                    </w:rPr>
                    <w:t>集气设施</w:t>
                  </w:r>
                  <w:r>
                    <w:rPr>
                      <w:rFonts w:hint="eastAsia" w:cs="Times New Roman"/>
                      <w:lang w:val="en-US" w:eastAsia="zh-CN"/>
                    </w:rPr>
                    <w:t>负压收集</w:t>
                  </w:r>
                  <w:r>
                    <w:rPr>
                      <w:rFonts w:hint="default" w:ascii="Times New Roman" w:hAnsi="Times New Roman" w:cs="Times New Roman"/>
                      <w:lang w:val="en-US" w:eastAsia="zh-CN"/>
                    </w:rPr>
                    <w:t>+</w:t>
                  </w:r>
                  <w:r>
                    <w:rPr>
                      <w:rFonts w:hint="eastAsia" w:cs="Times New Roman"/>
                      <w:lang w:val="en-US" w:eastAsia="zh-CN"/>
                    </w:rPr>
                    <w:t>干式过滤（过滤棉）+</w:t>
                  </w:r>
                  <w:r>
                    <w:rPr>
                      <w:rFonts w:hint="default" w:ascii="Times New Roman" w:hAnsi="Times New Roman" w:cs="Times New Roman"/>
                      <w:lang w:val="en-US" w:eastAsia="zh-CN"/>
                    </w:rPr>
                    <w:t>活性炭吸附浓缩+催化燃烧（RCO）进行处理，最终经20m高排气筒P1（DA001）达标排放。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无组织废气环保设施：</w:t>
                  </w:r>
                  <w:r>
                    <w:rPr>
                      <w:rFonts w:hint="default" w:ascii="Times New Roman" w:hAnsi="Times New Roman" w:cs="Times New Roman"/>
                      <w:lang w:val="en-US" w:eastAsia="zh-CN"/>
                    </w:rPr>
                    <w:t>全封闭车间</w:t>
                  </w: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1.013</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0.0162</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lang w:val="en-US" w:eastAsia="zh-CN"/>
                    </w:rPr>
                    <w:t>0.1165</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20m排气筒P1（DA001）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1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Cs w:val="21"/>
                      <w:u w:val="none"/>
                      <w:lang w:val="en-US" w:eastAsia="zh-CN"/>
                    </w:rPr>
                    <w:t>0.017</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Cs w:val="21"/>
                      <w:u w:val="none"/>
                      <w:lang w:val="en-US" w:eastAsia="zh-CN"/>
                    </w:rPr>
                    <w:t>0.12</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05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颗粒物</w:t>
                  </w: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0.87</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0.01385</w:t>
                  </w:r>
                  <w:r>
                    <w:rPr>
                      <w:rFonts w:hint="default" w:ascii="Times New Roman" w:hAnsi="Times New Roman" w:cs="Times New Roman"/>
                      <w:b w:val="0"/>
                      <w:bCs/>
                      <w:sz w:val="21"/>
                      <w:szCs w:val="21"/>
                      <w:u w:val="none"/>
                      <w:lang w:val="en-US" w:eastAsia="zh-CN"/>
                    </w:rPr>
                    <w:t>2</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0.09975</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20m排气筒P1（DA001）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0.007</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0.0525</w:t>
                  </w:r>
                  <w:r>
                    <w:rPr>
                      <w:rFonts w:hint="default" w:ascii="Times New Roman" w:hAnsi="Times New Roman" w:cs="Times New Roman"/>
                      <w:b w:val="0"/>
                      <w:bCs/>
                      <w:sz w:val="21"/>
                      <w:szCs w:val="21"/>
                      <w:u w:val="none"/>
                      <w:lang w:val="en-US" w:eastAsia="zh-CN"/>
                    </w:rPr>
                    <w:t>2</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50" w:hRule="atLeast"/>
                <w:jc w:val="center"/>
              </w:trPr>
              <w:tc>
                <w:tcPr>
                  <w:tcW w:w="40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废泡沫再利用生产线（2条）</w:t>
                  </w:r>
                </w:p>
              </w:tc>
              <w:tc>
                <w:tcPr>
                  <w:tcW w:w="5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破碎</w:t>
                  </w:r>
                  <w:r>
                    <w:rPr>
                      <w:rFonts w:hint="default" w:ascii="Times New Roman" w:hAnsi="Times New Roman" w:cs="Times New Roman"/>
                    </w:rPr>
                    <w:t>粉尘</w:t>
                  </w: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颗粒物</w:t>
                  </w:r>
                </w:p>
              </w:tc>
              <w:tc>
                <w:tcPr>
                  <w:tcW w:w="1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b w:val="0"/>
                      <w:bCs/>
                      <w:szCs w:val="21"/>
                      <w:u w:val="none"/>
                      <w:lang w:val="en-US" w:eastAsia="zh-CN"/>
                    </w:rPr>
                    <w:t>全密闭</w:t>
                  </w:r>
                  <w:r>
                    <w:rPr>
                      <w:rFonts w:hint="default" w:ascii="Times New Roman" w:hAnsi="Times New Roman" w:cs="Times New Roman"/>
                      <w:b w:val="0"/>
                      <w:bCs/>
                      <w:szCs w:val="21"/>
                      <w:u w:val="none"/>
                    </w:rPr>
                    <w:t>集气设施</w:t>
                  </w:r>
                  <w:r>
                    <w:rPr>
                      <w:rFonts w:hint="eastAsia" w:cs="Times New Roman"/>
                      <w:b w:val="0"/>
                      <w:bCs/>
                      <w:szCs w:val="21"/>
                      <w:u w:val="none"/>
                      <w:lang w:val="en-US" w:eastAsia="zh-CN"/>
                    </w:rPr>
                    <w:t>负压</w:t>
                  </w:r>
                  <w:r>
                    <w:rPr>
                      <w:rFonts w:hint="default" w:ascii="Times New Roman" w:hAnsi="Times New Roman" w:cs="Times New Roman"/>
                      <w:b w:val="0"/>
                      <w:bCs/>
                      <w:szCs w:val="21"/>
                      <w:u w:val="none"/>
                    </w:rPr>
                    <w:t>+袋式除尘器处理后，最终经1根</w:t>
                  </w:r>
                  <w:r>
                    <w:rPr>
                      <w:rFonts w:hint="default" w:ascii="Times New Roman" w:hAnsi="Times New Roman" w:cs="Times New Roman"/>
                      <w:b w:val="0"/>
                      <w:bCs/>
                      <w:szCs w:val="21"/>
                      <w:u w:val="none"/>
                      <w:lang w:val="en-US" w:eastAsia="zh-CN"/>
                    </w:rPr>
                    <w:t>20</w:t>
                  </w:r>
                  <w:r>
                    <w:rPr>
                      <w:rFonts w:hint="default" w:ascii="Times New Roman" w:hAnsi="Times New Roman" w:cs="Times New Roman"/>
                      <w:b w:val="0"/>
                      <w:bCs/>
                      <w:szCs w:val="21"/>
                      <w:u w:val="none"/>
                      <w:lang w:eastAsia="zh-CN"/>
                    </w:rPr>
                    <w:t>m</w:t>
                  </w:r>
                  <w:r>
                    <w:rPr>
                      <w:rFonts w:hint="default" w:ascii="Times New Roman" w:hAnsi="Times New Roman" w:cs="Times New Roman"/>
                      <w:b w:val="0"/>
                      <w:bCs/>
                      <w:szCs w:val="21"/>
                      <w:u w:val="none"/>
                    </w:rPr>
                    <w:t>排气筒P</w:t>
                  </w:r>
                  <w:r>
                    <w:rPr>
                      <w:rFonts w:hint="default" w:ascii="Times New Roman" w:hAnsi="Times New Roman" w:cs="Times New Roman"/>
                      <w:b w:val="0"/>
                      <w:bCs/>
                      <w:szCs w:val="21"/>
                      <w:u w:val="none"/>
                      <w:lang w:val="en-US" w:eastAsia="zh-CN"/>
                    </w:rPr>
                    <w:t>2</w:t>
                  </w:r>
                  <w:r>
                    <w:rPr>
                      <w:rFonts w:hint="default" w:ascii="Times New Roman" w:hAnsi="Times New Roman" w:cs="Times New Roman"/>
                      <w:lang w:val="en-US" w:eastAsia="zh-CN"/>
                    </w:rPr>
                    <w:t>（DA002）</w:t>
                  </w:r>
                  <w:r>
                    <w:rPr>
                      <w:rFonts w:hint="default" w:ascii="Times New Roman" w:hAnsi="Times New Roman" w:cs="Times New Roman"/>
                      <w:b w:val="0"/>
                      <w:bCs/>
                      <w:szCs w:val="21"/>
                      <w:u w:val="none"/>
                    </w:rPr>
                    <w:t>高空排放</w:t>
                  </w: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default" w:ascii="Times New Roman" w:hAnsi="Times New Roman" w:cs="Times New Roman"/>
                      <w:b w:val="0"/>
                      <w:bCs/>
                      <w:sz w:val="21"/>
                      <w:szCs w:val="21"/>
                      <w:u w:val="none"/>
                      <w:lang w:val="en-US" w:eastAsia="zh-CN"/>
                    </w:rPr>
                    <w:t>1.42</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0.0085</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0.061</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20m排气筒P2（DA002）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15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全封闭车间</w:t>
                  </w: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Cs w:val="21"/>
                      <w:u w:val="none"/>
                      <w:lang w:val="en-US" w:eastAsia="zh-CN"/>
                    </w:rPr>
                    <w:t>0.009</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lang w:val="en-US" w:eastAsia="zh-CN"/>
                    </w:rPr>
                  </w:pPr>
                  <w:r>
                    <w:rPr>
                      <w:rFonts w:hint="default" w:ascii="Times New Roman" w:hAnsi="Times New Roman" w:cs="Times New Roman"/>
                      <w:b w:val="0"/>
                      <w:bCs/>
                      <w:szCs w:val="21"/>
                      <w:u w:val="none"/>
                      <w:lang w:val="en-US" w:eastAsia="zh-CN"/>
                    </w:rPr>
                    <w:t>0.064</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12"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5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熔融挤出废气</w:t>
                  </w: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kern w:val="2"/>
                      <w:sz w:val="21"/>
                      <w:szCs w:val="24"/>
                      <w:lang w:val="en-US" w:eastAsia="zh-CN" w:bidi="ar-SA"/>
                    </w:rPr>
                    <w:t>非甲烷总烃</w:t>
                  </w:r>
                </w:p>
              </w:tc>
              <w:tc>
                <w:tcPr>
                  <w:tcW w:w="15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有组织废气环保设施：</w:t>
                  </w:r>
                  <w:r>
                    <w:rPr>
                      <w:rFonts w:hint="eastAsia"/>
                      <w:color w:val="auto"/>
                      <w:szCs w:val="21"/>
                      <w:lang w:val="en-US" w:eastAsia="zh-CN"/>
                    </w:rPr>
                    <w:t>全密闭</w:t>
                  </w:r>
                  <w:r>
                    <w:rPr>
                      <w:rFonts w:hint="default" w:ascii="Times New Roman" w:hAnsi="Times New Roman" w:cs="Times New Roman"/>
                      <w:lang w:val="en-US" w:eastAsia="zh-CN"/>
                    </w:rPr>
                    <w:t>集气设施</w:t>
                  </w:r>
                  <w:r>
                    <w:rPr>
                      <w:rFonts w:hint="eastAsia" w:cs="Times New Roman"/>
                      <w:lang w:val="en-US" w:eastAsia="zh-CN"/>
                    </w:rPr>
                    <w:t>负压收集</w:t>
                  </w:r>
                  <w:r>
                    <w:rPr>
                      <w:rFonts w:hint="default" w:ascii="Times New Roman" w:hAnsi="Times New Roman" w:cs="Times New Roman"/>
                      <w:lang w:val="en-US" w:eastAsia="zh-CN"/>
                    </w:rPr>
                    <w:t>+</w:t>
                  </w:r>
                  <w:r>
                    <w:rPr>
                      <w:rFonts w:hint="eastAsia" w:cs="Times New Roman"/>
                      <w:lang w:val="en-US" w:eastAsia="zh-CN"/>
                    </w:rPr>
                    <w:t>干式过滤（过滤棉）+</w:t>
                  </w:r>
                  <w:r>
                    <w:rPr>
                      <w:rFonts w:hint="default" w:ascii="Times New Roman" w:hAnsi="Times New Roman" w:cs="Times New Roman"/>
                      <w:lang w:val="en-US" w:eastAsia="zh-CN"/>
                    </w:rPr>
                    <w:t>活性炭吸附浓缩+催化燃烧（RCO）进行处理，最终经20m高排气筒P3（DA003）达标排放。</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eastAsia" w:cs="Times New Roman"/>
                      <w:lang w:val="en-US" w:eastAsia="zh-CN"/>
                    </w:rPr>
                    <w:t>无组织废气环保设施：</w:t>
                  </w:r>
                  <w:r>
                    <w:rPr>
                      <w:rFonts w:hint="default" w:ascii="Times New Roman" w:hAnsi="Times New Roman" w:cs="Times New Roman"/>
                      <w:lang w:val="en-US" w:eastAsia="zh-CN"/>
                    </w:rPr>
                    <w:t>全封闭车间</w:t>
                  </w:r>
                </w:p>
              </w:tc>
              <w:tc>
                <w:tcPr>
                  <w:tcW w:w="43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eastAsia" w:cs="Times New Roman"/>
                      <w:b w:val="0"/>
                      <w:bCs/>
                      <w:color w:val="auto"/>
                      <w:sz w:val="21"/>
                      <w:szCs w:val="21"/>
                      <w:u w:val="none"/>
                      <w:lang w:val="en-US" w:eastAsia="zh-CN"/>
                    </w:rPr>
                    <w:t>1.46</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eastAsia" w:cs="Times New Roman"/>
                      <w:b w:val="0"/>
                      <w:bCs/>
                      <w:color w:val="auto"/>
                      <w:szCs w:val="21"/>
                      <w:u w:val="none"/>
                      <w:lang w:val="en-US" w:eastAsia="zh-CN"/>
                    </w:rPr>
                    <w:t>0.0175</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color w:val="auto"/>
                      <w:kern w:val="2"/>
                      <w:sz w:val="21"/>
                      <w:szCs w:val="21"/>
                      <w:u w:val="none"/>
                      <w:lang w:val="en-US" w:eastAsia="zh-CN" w:bidi="ar-SA"/>
                    </w:rPr>
                  </w:pPr>
                  <w:r>
                    <w:rPr>
                      <w:rFonts w:hint="default" w:ascii="Times New Roman" w:hAnsi="Times New Roman" w:cs="Times New Roman"/>
                      <w:b w:val="0"/>
                      <w:bCs/>
                      <w:color w:val="auto"/>
                      <w:szCs w:val="21"/>
                      <w:u w:val="none"/>
                      <w:lang w:val="en-US" w:eastAsia="zh-CN"/>
                    </w:rPr>
                    <w:t>0.12616</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20m排气筒P3（DA003）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eastAsia"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0.0184</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Cs w:val="21"/>
                      <w:u w:val="none"/>
                      <w:lang w:val="en-US" w:eastAsia="zh-CN"/>
                    </w:rPr>
                    <w:t>0.1328</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3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二甲苯</w:t>
                  </w: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color w:val="auto"/>
                      <w:sz w:val="21"/>
                      <w:szCs w:val="21"/>
                      <w:u w:val="none"/>
                      <w:lang w:val="en-US" w:eastAsia="zh-CN"/>
                    </w:rPr>
                    <w:t>0.12</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color w:val="auto"/>
                      <w:szCs w:val="21"/>
                      <w:u w:val="none"/>
                      <w:lang w:val="en-US" w:eastAsia="zh-CN"/>
                    </w:rPr>
                    <w:t>0.0</w:t>
                  </w:r>
                  <w:r>
                    <w:rPr>
                      <w:rFonts w:hint="eastAsia" w:cs="Times New Roman"/>
                      <w:b w:val="0"/>
                      <w:bCs/>
                      <w:color w:val="auto"/>
                      <w:szCs w:val="21"/>
                      <w:u w:val="none"/>
                      <w:lang w:val="en-US" w:eastAsia="zh-CN"/>
                    </w:rPr>
                    <w:t>014</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color w:val="auto"/>
                      <w:szCs w:val="21"/>
                      <w:u w:val="none"/>
                      <w:lang w:val="en-US" w:eastAsia="zh-CN"/>
                    </w:rPr>
                    <w:t>0.010</w:t>
                  </w:r>
                  <w:r>
                    <w:rPr>
                      <w:rFonts w:hint="eastAsia" w:cs="Times New Roman"/>
                      <w:b w:val="0"/>
                      <w:bCs/>
                      <w:color w:val="auto"/>
                      <w:szCs w:val="21"/>
                      <w:u w:val="none"/>
                      <w:lang w:val="en-US" w:eastAsia="zh-CN"/>
                    </w:rPr>
                    <w:t>2</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20m排气筒P3（DA003）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0.001</w:t>
                  </w:r>
                  <w:r>
                    <w:rPr>
                      <w:rFonts w:hint="eastAsia" w:cs="Times New Roman"/>
                      <w:b w:val="0"/>
                      <w:bCs/>
                      <w:szCs w:val="21"/>
                      <w:u w:val="none"/>
                      <w:lang w:val="en-US" w:eastAsia="zh-CN"/>
                    </w:rPr>
                    <w:t>5</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0.0107</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3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lang w:val="en-US" w:eastAsia="zh-CN"/>
                    </w:rPr>
                  </w:pPr>
                  <w:r>
                    <w:rPr>
                      <w:rFonts w:hint="eastAsia" w:cs="Times New Roman"/>
                      <w:lang w:val="en-US" w:eastAsia="zh-CN"/>
                    </w:rPr>
                    <w:t>颗粒物</w:t>
                  </w: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color w:val="auto"/>
                      <w:sz w:val="21"/>
                      <w:szCs w:val="21"/>
                      <w:u w:val="none"/>
                      <w:lang w:val="en-US" w:eastAsia="zh-CN"/>
                    </w:rPr>
                    <w:t>0.492</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color w:val="auto"/>
                      <w:szCs w:val="21"/>
                      <w:u w:val="none"/>
                      <w:lang w:val="en-US" w:eastAsia="zh-CN"/>
                    </w:rPr>
                    <w:t>0.0059</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color w:val="auto"/>
                      <w:szCs w:val="21"/>
                      <w:u w:val="none"/>
                      <w:lang w:val="en-US" w:eastAsia="zh-CN"/>
                    </w:rPr>
                    <w:t>0.04275</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20m排气筒P3（DA003）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5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p>
              </w:tc>
              <w:tc>
                <w:tcPr>
                  <w:tcW w:w="4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p>
              </w:tc>
              <w:tc>
                <w:tcPr>
                  <w:tcW w:w="155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p>
              </w:tc>
              <w:tc>
                <w:tcPr>
                  <w:tcW w:w="432"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 w:val="21"/>
                      <w:szCs w:val="21"/>
                      <w:u w:val="none"/>
                      <w:lang w:val="en-US" w:eastAsia="zh-CN"/>
                    </w:rPr>
                  </w:pPr>
                  <w:r>
                    <w:rPr>
                      <w:rFonts w:hint="eastAsia" w:cs="Times New Roman"/>
                      <w:b w:val="0"/>
                      <w:bCs/>
                      <w:sz w:val="21"/>
                      <w:szCs w:val="21"/>
                      <w:u w:val="none"/>
                      <w:lang w:val="en-US" w:eastAsia="zh-CN"/>
                    </w:rPr>
                    <w:t>/</w:t>
                  </w:r>
                </w:p>
              </w:tc>
              <w:tc>
                <w:tcPr>
                  <w:tcW w:w="428"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default" w:ascii="Times New Roman" w:hAnsi="Times New Roman" w:cs="Times New Roman"/>
                      <w:b w:val="0"/>
                      <w:bCs/>
                      <w:szCs w:val="21"/>
                      <w:u w:val="none"/>
                      <w:lang w:val="en-US" w:eastAsia="zh-CN"/>
                    </w:rPr>
                    <w:t>0.0031</w:t>
                  </w:r>
                </w:p>
              </w:tc>
              <w:tc>
                <w:tcPr>
                  <w:tcW w:w="396" w:type="pct"/>
                  <w:tcBorders>
                    <w:tl2br w:val="nil"/>
                    <w:tr2bl w:val="nil"/>
                  </w:tcBorders>
                  <w:noWrap w:val="0"/>
                  <w:vAlign w:val="center"/>
                </w:tcPr>
                <w:p>
                  <w:pPr>
                    <w:adjustRightInd w:val="0"/>
                    <w:spacing w:line="360" w:lineRule="exact"/>
                    <w:jc w:val="center"/>
                    <w:rPr>
                      <w:rFonts w:hint="default" w:ascii="Times New Roman" w:hAnsi="Times New Roman" w:cs="Times New Roman"/>
                      <w:b w:val="0"/>
                      <w:bCs/>
                      <w:szCs w:val="21"/>
                      <w:u w:val="none"/>
                      <w:lang w:val="en-US" w:eastAsia="zh-CN"/>
                    </w:rPr>
                  </w:pPr>
                  <w:r>
                    <w:rPr>
                      <w:rFonts w:hint="eastAsia" w:cs="Times New Roman"/>
                      <w:b w:val="0"/>
                      <w:bCs/>
                      <w:szCs w:val="21"/>
                      <w:u w:val="none"/>
                      <w:lang w:val="en-US" w:eastAsia="zh-CN"/>
                    </w:rPr>
                    <w:t>0.0225</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9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t>厂区内运输道路</w:t>
                  </w:r>
                  <w:r>
                    <w:rPr>
                      <w:rFonts w:hint="default" w:ascii="Times New Roman" w:hAnsi="Times New Roman" w:cs="Times New Roman"/>
                      <w:lang w:val="en-US" w:eastAsia="zh-CN"/>
                    </w:rPr>
                    <w:t>起尘</w:t>
                  </w:r>
                </w:p>
              </w:tc>
              <w:tc>
                <w:tcPr>
                  <w:tcW w:w="4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颗粒物</w:t>
                  </w:r>
                </w:p>
              </w:tc>
              <w:tc>
                <w:tcPr>
                  <w:tcW w:w="280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①及时对厂区内地面进行洒水降尘、清扫；</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②汽车进入厂区后要减速慢行，运输车辆均全封闭遮盖，减少原料的散落；</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rPr>
                    <w:t>③厂区门口设置车辆清洗设施，车辆离场时确保冲洗干净后方可上路。</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无组织排放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9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一体化污水处理设施</w:t>
                  </w:r>
                </w:p>
              </w:tc>
              <w:tc>
                <w:tcPr>
                  <w:tcW w:w="4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eastAsia" w:cs="Times New Roman"/>
                      <w:vertAlign w:val="baseline"/>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280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一体污水处理设施各处理单元加盖密闭，加强车间通风，车间周围绿化</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无组织排放</w:t>
                  </w:r>
                </w:p>
              </w:tc>
            </w:tr>
          </w:tbl>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single"/>
                <w:lang w:val="en-US" w:eastAsia="zh-CN"/>
              </w:rPr>
            </w:pPr>
            <w:r>
              <w:rPr>
                <w:rFonts w:hint="default" w:ascii="Times New Roman" w:hAnsi="Times New Roman" w:cs="Times New Roman"/>
                <w:b/>
                <w:bCs w:val="0"/>
                <w:sz w:val="24"/>
                <w:szCs w:val="24"/>
                <w:u w:val="single"/>
                <w:lang w:val="en-US" w:eastAsia="zh-CN"/>
              </w:rPr>
              <w:t>非正常工况污染物排放情况</w:t>
            </w:r>
          </w:p>
          <w:p>
            <w:pPr>
              <w:keepNext w:val="0"/>
              <w:keepLines w:val="0"/>
              <w:pageBreakBefore w:val="0"/>
              <w:widowControl w:val="0"/>
              <w:tabs>
                <w:tab w:val="center" w:pos="4057"/>
              </w:tabs>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cs="Times New Roman"/>
                <w:b w:val="0"/>
                <w:bCs w:val="0"/>
                <w:sz w:val="24"/>
                <w:szCs w:val="24"/>
                <w:u w:val="single"/>
              </w:rPr>
            </w:pPr>
            <w:r>
              <w:rPr>
                <w:rFonts w:hint="default" w:ascii="Times New Roman" w:hAnsi="Times New Roman" w:cs="Times New Roman"/>
                <w:b w:val="0"/>
                <w:bCs w:val="0"/>
                <w:sz w:val="24"/>
                <w:szCs w:val="24"/>
                <w:u w:val="single"/>
              </w:rPr>
              <w:t>根据《环境影响评价技术导则 大气环境》（HJ2.2-2018），非正常排放包括设备检修、污染物排放控制措施达不到应有效率、工艺设备运转异常等。</w:t>
            </w:r>
          </w:p>
          <w:p>
            <w:pPr>
              <w:keepNext w:val="0"/>
              <w:keepLines w:val="0"/>
              <w:pageBreakBefore w:val="0"/>
              <w:widowControl w:val="0"/>
              <w:tabs>
                <w:tab w:val="center" w:pos="4057"/>
              </w:tabs>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cs="Times New Roman"/>
                <w:b w:val="0"/>
                <w:bCs w:val="0"/>
                <w:sz w:val="24"/>
                <w:szCs w:val="24"/>
                <w:u w:val="single"/>
              </w:rPr>
            </w:pPr>
            <w:r>
              <w:rPr>
                <w:rFonts w:hint="default" w:ascii="Times New Roman" w:hAnsi="Times New Roman" w:cs="Times New Roman"/>
                <w:b w:val="0"/>
                <w:bCs w:val="0"/>
                <w:sz w:val="24"/>
                <w:szCs w:val="24"/>
                <w:u w:val="single"/>
              </w:rPr>
              <w:t>本项目非正常工况主</w:t>
            </w:r>
            <w:r>
              <w:rPr>
                <w:rFonts w:hint="default" w:ascii="Times New Roman" w:hAnsi="Times New Roman" w:eastAsia="宋体" w:cs="Times New Roman"/>
                <w:b w:val="0"/>
                <w:bCs w:val="0"/>
                <w:sz w:val="24"/>
                <w:szCs w:val="24"/>
                <w:u w:val="single"/>
              </w:rPr>
              <w:t>要为废气处理设施不能正常运行，达不到设计去除效率造成的废气事故排放</w:t>
            </w:r>
            <w:r>
              <w:rPr>
                <w:rFonts w:hint="default" w:ascii="Times New Roman" w:hAnsi="Times New Roman" w:eastAsia="宋体" w:cs="Times New Roman"/>
                <w:b w:val="0"/>
                <w:bCs w:val="0"/>
                <w:sz w:val="24"/>
                <w:szCs w:val="24"/>
                <w:u w:val="single"/>
                <w:lang w:eastAsia="zh-CN"/>
              </w:rPr>
              <w:t>，本次评价将废气处理装置中袋式除尘器</w:t>
            </w:r>
            <w:r>
              <w:rPr>
                <w:rFonts w:hint="eastAsia" w:cs="Times New Roman"/>
                <w:b w:val="0"/>
                <w:bCs w:val="0"/>
                <w:sz w:val="24"/>
                <w:szCs w:val="24"/>
                <w:u w:val="single"/>
                <w:lang w:eastAsia="zh-CN"/>
              </w:rPr>
              <w:t>、</w:t>
            </w:r>
            <w:r>
              <w:rPr>
                <w:rFonts w:hint="eastAsia" w:cs="Times New Roman"/>
                <w:b w:val="0"/>
                <w:bCs w:val="0"/>
                <w:sz w:val="24"/>
                <w:szCs w:val="24"/>
                <w:u w:val="single"/>
                <w:lang w:val="en-US" w:eastAsia="zh-CN"/>
              </w:rPr>
              <w:t>干式过滤（过滤棉）</w:t>
            </w:r>
            <w:r>
              <w:rPr>
                <w:rFonts w:hint="default" w:ascii="Times New Roman" w:hAnsi="Times New Roman" w:eastAsia="宋体" w:cs="Times New Roman"/>
                <w:b w:val="0"/>
                <w:bCs w:val="0"/>
                <w:sz w:val="24"/>
                <w:szCs w:val="24"/>
                <w:u w:val="single"/>
                <w:lang w:eastAsia="zh-CN"/>
              </w:rPr>
              <w:t>对颗粒物净化效率降低至50%、活性炭吸附浓缩+催化燃烧设施对非甲烷总烃</w:t>
            </w:r>
            <w:r>
              <w:rPr>
                <w:rFonts w:hint="eastAsia" w:cs="Times New Roman"/>
                <w:b w:val="0"/>
                <w:bCs w:val="0"/>
                <w:sz w:val="24"/>
                <w:szCs w:val="24"/>
                <w:u w:val="single"/>
                <w:lang w:val="en-US" w:eastAsia="zh-CN"/>
              </w:rPr>
              <w:t>和二甲苯</w:t>
            </w:r>
            <w:r>
              <w:rPr>
                <w:rFonts w:hint="default" w:ascii="Times New Roman" w:hAnsi="Times New Roman" w:eastAsia="宋体" w:cs="Times New Roman"/>
                <w:b w:val="0"/>
                <w:bCs w:val="0"/>
                <w:sz w:val="24"/>
                <w:szCs w:val="24"/>
                <w:u w:val="single"/>
                <w:lang w:eastAsia="zh-CN"/>
              </w:rPr>
              <w:t>效率降至50%作为本项目非正常排放</w:t>
            </w:r>
            <w:r>
              <w:rPr>
                <w:rFonts w:hint="default" w:ascii="Times New Roman" w:hAnsi="Times New Roman" w:eastAsia="宋体" w:cs="Times New Roman"/>
                <w:b w:val="0"/>
                <w:bCs w:val="0"/>
                <w:sz w:val="24"/>
                <w:szCs w:val="24"/>
                <w:u w:val="single"/>
              </w:rPr>
              <w:t>。</w:t>
            </w:r>
            <w:r>
              <w:rPr>
                <w:rFonts w:hint="default" w:ascii="Times New Roman" w:hAnsi="Times New Roman" w:cs="Times New Roman"/>
                <w:b w:val="0"/>
                <w:bCs w:val="0"/>
                <w:sz w:val="24"/>
                <w:szCs w:val="24"/>
                <w:u w:val="single"/>
                <w:lang w:val="en-US" w:eastAsia="zh-CN"/>
              </w:rPr>
              <w:t>考虑</w:t>
            </w:r>
            <w:r>
              <w:rPr>
                <w:rFonts w:hint="default" w:ascii="Times New Roman" w:hAnsi="Times New Roman" w:cs="Times New Roman"/>
                <w:b w:val="0"/>
                <w:bCs w:val="0"/>
                <w:sz w:val="24"/>
                <w:szCs w:val="24"/>
                <w:u w:val="single"/>
              </w:rPr>
              <w:t>在此情景下，本项目废气污染物产生情况及排放情况，具体见下表</w:t>
            </w:r>
            <w:r>
              <w:rPr>
                <w:rFonts w:hint="default" w:ascii="Times New Roman" w:hAnsi="Times New Roman" w:cs="Times New Roman"/>
                <w:b w:val="0"/>
                <w:bCs w:val="0"/>
                <w:sz w:val="24"/>
                <w:szCs w:val="24"/>
                <w:u w:val="single"/>
                <w:lang w:val="en-US" w:eastAsia="zh-CN"/>
              </w:rPr>
              <w:t>4-</w:t>
            </w:r>
            <w:r>
              <w:rPr>
                <w:rFonts w:hint="eastAsia" w:cs="Times New Roman"/>
                <w:b w:val="0"/>
                <w:bCs w:val="0"/>
                <w:sz w:val="24"/>
                <w:szCs w:val="24"/>
                <w:u w:val="single"/>
                <w:lang w:val="en-US" w:eastAsia="zh-CN"/>
              </w:rPr>
              <w:t>7</w:t>
            </w:r>
            <w:r>
              <w:rPr>
                <w:rFonts w:hint="default" w:ascii="Times New Roman" w:hAnsi="Times New Roman" w:cs="Times New Roman"/>
                <w:b w:val="0"/>
                <w:bCs w:val="0"/>
                <w:sz w:val="24"/>
                <w:szCs w:val="24"/>
                <w:u w:val="single"/>
              </w:rPr>
              <w:t>。</w:t>
            </w:r>
          </w:p>
          <w:p>
            <w:pPr>
              <w:pStyle w:val="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u w:val="single"/>
                <w:lang w:val="en-US" w:eastAsia="zh-CN"/>
              </w:rPr>
            </w:pPr>
            <w:r>
              <w:rPr>
                <w:rFonts w:hint="default" w:ascii="Times New Roman" w:hAnsi="Times New Roman" w:eastAsia="宋体" w:cs="Times New Roman"/>
                <w:b/>
                <w:bCs/>
                <w:u w:val="single"/>
                <w:lang w:val="en-US" w:eastAsia="zh-CN"/>
              </w:rPr>
              <w:t>表4-</w:t>
            </w:r>
            <w:r>
              <w:rPr>
                <w:rFonts w:hint="eastAsia" w:cs="Times New Roman"/>
                <w:b/>
                <w:bCs/>
                <w:u w:val="single"/>
                <w:lang w:val="en-US" w:eastAsia="zh-CN"/>
              </w:rPr>
              <w:t>7</w:t>
            </w:r>
            <w:r>
              <w:rPr>
                <w:rFonts w:hint="default" w:ascii="Times New Roman" w:hAnsi="Times New Roman" w:eastAsia="宋体" w:cs="Times New Roman"/>
                <w:b/>
                <w:bCs/>
                <w:u w:val="single"/>
                <w:lang w:val="en-US" w:eastAsia="zh-CN"/>
              </w:rPr>
              <w:t xml:space="preserve"> 项目非正常工况下废气污染物产生情况一览表</w:t>
            </w:r>
          </w:p>
          <w:tbl>
            <w:tblPr>
              <w:tblStyle w:val="24"/>
              <w:tblW w:w="489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90"/>
              <w:gridCol w:w="849"/>
              <w:gridCol w:w="1414"/>
              <w:gridCol w:w="658"/>
              <w:gridCol w:w="1051"/>
              <w:gridCol w:w="1146"/>
              <w:gridCol w:w="960"/>
              <w:gridCol w:w="838"/>
              <w:gridCol w:w="179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序号</w:t>
                  </w:r>
                </w:p>
              </w:tc>
              <w:tc>
                <w:tcPr>
                  <w:tcW w:w="46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污染源</w:t>
                  </w:r>
                </w:p>
              </w:tc>
              <w:tc>
                <w:tcPr>
                  <w:tcW w:w="76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非正常排放原因</w:t>
                  </w: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污染物</w:t>
                  </w:r>
                </w:p>
              </w:tc>
              <w:tc>
                <w:tcPr>
                  <w:tcW w:w="57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非正常排放浓度mg/m</w:t>
                  </w:r>
                  <w:r>
                    <w:rPr>
                      <w:rFonts w:hint="default" w:ascii="Times New Roman" w:hAnsi="Times New Roman" w:cs="Times New Roman"/>
                      <w:sz w:val="21"/>
                      <w:szCs w:val="21"/>
                      <w:u w:val="single"/>
                      <w:vertAlign w:val="superscript"/>
                    </w:rPr>
                    <w:t>3</w:t>
                  </w:r>
                </w:p>
              </w:tc>
              <w:tc>
                <w:tcPr>
                  <w:tcW w:w="62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非正常排放速率kg/h</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单次持续时间</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年发生频次</w:t>
                  </w:r>
                </w:p>
              </w:tc>
              <w:tc>
                <w:tcPr>
                  <w:tcW w:w="9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应对措施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c>
                <w:tcPr>
                  <w:tcW w:w="461"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sz w:val="21"/>
                      <w:szCs w:val="21"/>
                      <w:u w:val="single"/>
                    </w:rPr>
                  </w:pPr>
                  <w:r>
                    <w:rPr>
                      <w:rFonts w:hint="default" w:ascii="Times New Roman" w:hAnsi="Times New Roman" w:eastAsia="宋体" w:cs="Times New Roman"/>
                      <w:sz w:val="21"/>
                      <w:szCs w:val="21"/>
                      <w:highlight w:val="none"/>
                      <w:u w:val="single"/>
                      <w:lang w:val="en-US" w:eastAsia="zh-CN"/>
                    </w:rPr>
                    <w:t>DA001</w:t>
                  </w:r>
                </w:p>
              </w:tc>
              <w:tc>
                <w:tcPr>
                  <w:tcW w:w="76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活性炭吸附浓缩+催化燃烧设施效率降为50%</w:t>
                  </w: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非甲烷总烃</w:t>
                  </w:r>
                </w:p>
              </w:tc>
              <w:tc>
                <w:tcPr>
                  <w:tcW w:w="57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sz w:val="21"/>
                      <w:szCs w:val="21"/>
                      <w:highlight w:val="none"/>
                      <w:u w:val="single"/>
                      <w:lang w:val="en-US" w:eastAsia="zh-CN"/>
                    </w:rPr>
                    <w:t>10.125</w:t>
                  </w:r>
                </w:p>
              </w:tc>
              <w:tc>
                <w:tcPr>
                  <w:tcW w:w="62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0.</w:t>
                  </w:r>
                  <w:r>
                    <w:rPr>
                      <w:rFonts w:hint="eastAsia" w:cs="Times New Roman"/>
                      <w:sz w:val="21"/>
                      <w:szCs w:val="21"/>
                      <w:highlight w:val="none"/>
                      <w:u w:val="single"/>
                      <w:lang w:val="en-US" w:eastAsia="zh-CN"/>
                    </w:rPr>
                    <w:t>162</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1次</w:t>
                  </w:r>
                </w:p>
              </w:tc>
              <w:tc>
                <w:tcPr>
                  <w:tcW w:w="9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日常加强废气集气设施、管路、活性炭吸附浓缩、催化燃烧设施的维修和检查，定期对设备维护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59" w:hRule="atLeast"/>
                <w:jc w:val="center"/>
              </w:trPr>
              <w:tc>
                <w:tcPr>
                  <w:tcW w:w="266"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rPr>
                  </w:pPr>
                </w:p>
              </w:tc>
              <w:tc>
                <w:tcPr>
                  <w:tcW w:w="461"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single"/>
                      <w:lang w:val="en-US" w:eastAsia="zh-CN"/>
                    </w:rPr>
                  </w:pPr>
                </w:p>
              </w:tc>
              <w:tc>
                <w:tcPr>
                  <w:tcW w:w="76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干式过滤（过滤棉）</w:t>
                  </w:r>
                  <w:r>
                    <w:rPr>
                      <w:rFonts w:hint="default" w:ascii="Times New Roman" w:hAnsi="Times New Roman" w:eastAsia="宋体" w:cs="Times New Roman"/>
                      <w:sz w:val="21"/>
                      <w:szCs w:val="21"/>
                      <w:highlight w:val="none"/>
                      <w:u w:val="single"/>
                      <w:lang w:val="en-US" w:eastAsia="zh-CN"/>
                    </w:rPr>
                    <w:t>效率降为50%</w:t>
                  </w: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颗粒物</w:t>
                  </w:r>
                </w:p>
              </w:tc>
              <w:tc>
                <w:tcPr>
                  <w:tcW w:w="57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4.31</w:t>
                  </w:r>
                </w:p>
              </w:tc>
              <w:tc>
                <w:tcPr>
                  <w:tcW w:w="62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0.069</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1次</w:t>
                  </w:r>
                </w:p>
              </w:tc>
              <w:tc>
                <w:tcPr>
                  <w:tcW w:w="9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日常加强废气集气设施、管路、</w:t>
                  </w:r>
                  <w:r>
                    <w:rPr>
                      <w:rFonts w:hint="eastAsia" w:cs="Times New Roman"/>
                      <w:sz w:val="21"/>
                      <w:szCs w:val="21"/>
                      <w:highlight w:val="none"/>
                      <w:u w:val="single"/>
                      <w:lang w:val="en-US" w:eastAsia="zh-CN"/>
                    </w:rPr>
                    <w:t>干式过滤（过滤棉）</w:t>
                  </w:r>
                  <w:r>
                    <w:rPr>
                      <w:rFonts w:hint="default" w:ascii="Times New Roman" w:hAnsi="Times New Roman" w:eastAsia="宋体" w:cs="Times New Roman"/>
                      <w:sz w:val="21"/>
                      <w:szCs w:val="21"/>
                      <w:highlight w:val="none"/>
                      <w:u w:val="single"/>
                      <w:lang w:val="en-US" w:eastAsia="zh-CN"/>
                    </w:rPr>
                    <w:t>设施的维修和检查，定期对设备维护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2</w:t>
                  </w:r>
                </w:p>
              </w:tc>
              <w:tc>
                <w:tcPr>
                  <w:tcW w:w="461" w:type="pc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DA002</w:t>
                  </w:r>
                </w:p>
              </w:tc>
              <w:tc>
                <w:tcPr>
                  <w:tcW w:w="76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覆膜袋式除尘器效率降为50%</w:t>
                  </w: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cs="Times New Roman"/>
                      <w:color w:val="000000"/>
                      <w:sz w:val="21"/>
                      <w:szCs w:val="21"/>
                      <w:u w:val="single"/>
                      <w:lang w:val="en-US" w:eastAsia="zh-CN"/>
                    </w:rPr>
                    <w:t>颗粒物</w:t>
                  </w:r>
                </w:p>
              </w:tc>
              <w:tc>
                <w:tcPr>
                  <w:tcW w:w="5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29.8</w:t>
                  </w:r>
                </w:p>
              </w:tc>
              <w:tc>
                <w:tcPr>
                  <w:tcW w:w="62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0.179</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1次</w:t>
                  </w:r>
                </w:p>
              </w:tc>
              <w:tc>
                <w:tcPr>
                  <w:tcW w:w="9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日常加强</w:t>
                  </w:r>
                  <w:r>
                    <w:rPr>
                      <w:rFonts w:hint="default" w:ascii="Times New Roman" w:hAnsi="Times New Roman" w:cs="Times New Roman"/>
                      <w:sz w:val="21"/>
                      <w:szCs w:val="21"/>
                      <w:u w:val="single"/>
                      <w:lang w:val="en-US" w:eastAsia="zh-CN"/>
                    </w:rPr>
                    <w:t>废气集气设施、管路、覆膜袋式除尘器的维修和检查，</w:t>
                  </w:r>
                  <w:r>
                    <w:rPr>
                      <w:rFonts w:hint="default" w:ascii="Times New Roman" w:hAnsi="Times New Roman" w:cs="Times New Roman"/>
                      <w:sz w:val="21"/>
                      <w:szCs w:val="21"/>
                      <w:u w:val="single"/>
                    </w:rPr>
                    <w:t>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3</w:t>
                  </w:r>
                </w:p>
              </w:tc>
              <w:tc>
                <w:tcPr>
                  <w:tcW w:w="461" w:type="pct"/>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DA003</w:t>
                  </w:r>
                </w:p>
              </w:tc>
              <w:tc>
                <w:tcPr>
                  <w:tcW w:w="768"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活性炭吸附浓缩+催化燃烧设施效率降为50%</w:t>
                  </w: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sz w:val="21"/>
                      <w:szCs w:val="21"/>
                      <w:highlight w:val="none"/>
                      <w:u w:val="single"/>
                      <w:lang w:val="en-US" w:eastAsia="zh-CN"/>
                    </w:rPr>
                    <w:t>非甲烷总烃</w:t>
                  </w:r>
                </w:p>
              </w:tc>
              <w:tc>
                <w:tcPr>
                  <w:tcW w:w="5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14.58</w:t>
                  </w:r>
                </w:p>
              </w:tc>
              <w:tc>
                <w:tcPr>
                  <w:tcW w:w="62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0.175</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1次</w:t>
                  </w:r>
                </w:p>
              </w:tc>
              <w:tc>
                <w:tcPr>
                  <w:tcW w:w="97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sz w:val="21"/>
                      <w:szCs w:val="21"/>
                      <w:highlight w:val="none"/>
                      <w:u w:val="single"/>
                      <w:lang w:val="en-US" w:eastAsia="zh-CN"/>
                    </w:rPr>
                    <w:t>日常加强废气集气设施、管路、光催化设施、活性炭吸附设施的维修和检查，定期对设备维护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1"/>
                      <w:szCs w:val="21"/>
                      <w:u w:val="single"/>
                      <w:lang w:val="en-US" w:eastAsia="zh-CN"/>
                    </w:rPr>
                  </w:pPr>
                </w:p>
              </w:tc>
              <w:tc>
                <w:tcPr>
                  <w:tcW w:w="461" w:type="pct"/>
                  <w:vMerge w:val="continue"/>
                  <w:tcBorders>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single"/>
                      <w:lang w:val="en-US" w:eastAsia="zh-CN"/>
                    </w:rPr>
                  </w:pPr>
                </w:p>
              </w:tc>
              <w:tc>
                <w:tcPr>
                  <w:tcW w:w="768"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二甲苯</w:t>
                  </w:r>
                </w:p>
              </w:tc>
              <w:tc>
                <w:tcPr>
                  <w:tcW w:w="5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1.17</w:t>
                  </w:r>
                </w:p>
              </w:tc>
              <w:tc>
                <w:tcPr>
                  <w:tcW w:w="62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0.014</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1次</w:t>
                  </w:r>
                </w:p>
              </w:tc>
              <w:tc>
                <w:tcPr>
                  <w:tcW w:w="975"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66"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u w:val="single"/>
                      <w:lang w:val="en-US" w:eastAsia="zh-CN"/>
                    </w:rPr>
                  </w:pPr>
                </w:p>
              </w:tc>
              <w:tc>
                <w:tcPr>
                  <w:tcW w:w="461" w:type="pct"/>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sz w:val="21"/>
                      <w:szCs w:val="21"/>
                      <w:highlight w:val="none"/>
                      <w:u w:val="single"/>
                      <w:lang w:val="en-US" w:eastAsia="zh-CN"/>
                    </w:rPr>
                  </w:pPr>
                </w:p>
              </w:tc>
              <w:tc>
                <w:tcPr>
                  <w:tcW w:w="768"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p>
              </w:tc>
              <w:tc>
                <w:tcPr>
                  <w:tcW w:w="35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eastAsia" w:cs="Times New Roman"/>
                      <w:sz w:val="21"/>
                      <w:szCs w:val="21"/>
                      <w:highlight w:val="none"/>
                      <w:u w:val="single"/>
                      <w:lang w:val="en-US" w:eastAsia="zh-CN"/>
                    </w:rPr>
                    <w:t>颗粒物</w:t>
                  </w:r>
                </w:p>
              </w:tc>
              <w:tc>
                <w:tcPr>
                  <w:tcW w:w="57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2.46</w:t>
                  </w:r>
                </w:p>
              </w:tc>
              <w:tc>
                <w:tcPr>
                  <w:tcW w:w="62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kern w:val="2"/>
                      <w:sz w:val="21"/>
                      <w:szCs w:val="21"/>
                      <w:highlight w:val="none"/>
                      <w:u w:val="single"/>
                      <w:lang w:val="en-US" w:eastAsia="zh-CN" w:bidi="ar-SA"/>
                    </w:rPr>
                  </w:pPr>
                  <w:r>
                    <w:rPr>
                      <w:rFonts w:hint="eastAsia" w:cs="Times New Roman"/>
                      <w:kern w:val="2"/>
                      <w:sz w:val="21"/>
                      <w:szCs w:val="21"/>
                      <w:highlight w:val="none"/>
                      <w:u w:val="single"/>
                      <w:lang w:val="en-US" w:eastAsia="zh-CN" w:bidi="ar-SA"/>
                    </w:rPr>
                    <w:t>0.0295</w:t>
                  </w:r>
                </w:p>
              </w:tc>
              <w:tc>
                <w:tcPr>
                  <w:tcW w:w="5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以1h计</w:t>
                  </w:r>
                </w:p>
              </w:tc>
              <w:tc>
                <w:tcPr>
                  <w:tcW w:w="45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1次</w:t>
                  </w:r>
                </w:p>
              </w:tc>
              <w:tc>
                <w:tcPr>
                  <w:tcW w:w="9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日常加强废气集气设施、管路、</w:t>
                  </w:r>
                  <w:r>
                    <w:rPr>
                      <w:rFonts w:hint="eastAsia" w:cs="Times New Roman"/>
                      <w:sz w:val="21"/>
                      <w:szCs w:val="21"/>
                      <w:highlight w:val="none"/>
                      <w:u w:val="single"/>
                      <w:lang w:val="en-US" w:eastAsia="zh-CN"/>
                    </w:rPr>
                    <w:t>干式过滤（过滤棉）</w:t>
                  </w:r>
                  <w:r>
                    <w:rPr>
                      <w:rFonts w:hint="default" w:ascii="Times New Roman" w:hAnsi="Times New Roman" w:eastAsia="宋体" w:cs="Times New Roman"/>
                      <w:sz w:val="21"/>
                      <w:szCs w:val="21"/>
                      <w:highlight w:val="none"/>
                      <w:u w:val="single"/>
                      <w:lang w:val="en-US" w:eastAsia="zh-CN"/>
                    </w:rPr>
                    <w:t>设施的维修和检查，定期对设备维护</w:t>
                  </w:r>
                </w:p>
              </w:tc>
            </w:tr>
          </w:tbl>
          <w:p>
            <w:pPr>
              <w:pStyle w:val="33"/>
              <w:keepNext w:val="0"/>
              <w:keepLines w:val="0"/>
              <w:pageBreakBefore w:val="0"/>
              <w:widowControl w:val="0"/>
              <w:kinsoku/>
              <w:wordWrap/>
              <w:overflowPunct/>
              <w:topLinePunct w:val="0"/>
              <w:bidi w:val="0"/>
              <w:snapToGrid/>
              <w:spacing w:line="360" w:lineRule="auto"/>
              <w:rPr>
                <w:rFonts w:hint="default" w:ascii="Times New Roman" w:hAnsi="Times New Roman" w:eastAsia="宋体" w:cs="Times New Roman"/>
                <w:b w:val="0"/>
                <w:bCs w:val="0"/>
                <w:kern w:val="2"/>
                <w:sz w:val="24"/>
                <w:szCs w:val="24"/>
                <w:u w:val="single"/>
                <w:lang w:val="en-US" w:eastAsia="zh-CN" w:bidi="ar-SA"/>
              </w:rPr>
            </w:pPr>
            <w:r>
              <w:rPr>
                <w:rFonts w:hint="default" w:ascii="Times New Roman" w:hAnsi="Times New Roman" w:eastAsia="宋体" w:cs="Times New Roman"/>
                <w:b w:val="0"/>
                <w:bCs w:val="0"/>
                <w:kern w:val="2"/>
                <w:sz w:val="24"/>
                <w:szCs w:val="24"/>
                <w:u w:val="single"/>
                <w:lang w:val="en-US" w:eastAsia="zh-CN" w:bidi="ar-SA"/>
              </w:rPr>
              <w:t>由表可知，项目一旦废气处理设施发生故障，将不满足环保要求，故项目应加强对设备的日常维护、保养，出现故障立即更换，确保废气得到有效收集，同时也减少废气聚集带来的安全隐患；废气处理设计过程中注重加强气流的组织和引导，确保废气被有效收集，减少短流、绕流及死角现象出现；加强设备的日常维护和检修，出现破损、螺栓、密封条等损坏，立即解决，减少无组织排放；加强废气袋式除尘装置、活性炭吸附浓缩及催化燃烧设施的日常监测，定期更换，及时监控污染物治理效果，发现故障或效率降低立即停产检修，直至排除故障；建立环保设施运行台账。</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废气排放达标总结</w:t>
            </w:r>
          </w:p>
          <w:p>
            <w:pPr>
              <w:pStyle w:val="33"/>
              <w:keepNext w:val="0"/>
              <w:keepLines w:val="0"/>
              <w:pageBreakBefore w:val="0"/>
              <w:widowControl w:val="0"/>
              <w:kinsoku/>
              <w:wordWrap/>
              <w:overflowPunct/>
              <w:topLinePunct w:val="0"/>
              <w:bidi w:val="0"/>
              <w:snapToGrid/>
              <w:spacing w:line="360" w:lineRule="auto"/>
              <w:rPr>
                <w:rFonts w:hint="default" w:ascii="Times New Roman" w:hAnsi="Times New Roman" w:eastAsia="宋体" w:cs="Times New Roman"/>
                <w:b w:val="0"/>
                <w:bCs w:val="0"/>
                <w:kern w:val="2"/>
                <w:sz w:val="24"/>
                <w:szCs w:val="24"/>
                <w:u w:val="single"/>
                <w:lang w:val="en-US" w:eastAsia="zh-CN" w:bidi="ar-SA"/>
              </w:rPr>
            </w:pPr>
            <w:r>
              <w:rPr>
                <w:rFonts w:hint="default" w:ascii="Times New Roman" w:hAnsi="Times New Roman" w:eastAsia="宋体" w:cs="Times New Roman"/>
                <w:b w:val="0"/>
                <w:bCs w:val="0"/>
                <w:kern w:val="2"/>
                <w:sz w:val="24"/>
                <w:szCs w:val="24"/>
                <w:u w:val="single"/>
                <w:lang w:val="en-US" w:eastAsia="zh-CN" w:bidi="ar-SA"/>
              </w:rPr>
              <w:t>本项目运营期间产生废气主要为废编织袋生产线熔融挤出废气、废泡沫生产线破碎废气以及废泡沫生产线熔融挤出废气。通过源强计算，本项目运营期间产生的废气经过环保设施处理后均能够达标排放，对周围环境影响较小。</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废气排放口基本情况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本项目营运后厂区设置</w:t>
            </w:r>
            <w:r>
              <w:rPr>
                <w:rFonts w:hint="default" w:ascii="Times New Roman" w:hAnsi="Times New Roman" w:cs="Times New Roman"/>
                <w:b w:val="0"/>
                <w:bCs w:val="0"/>
                <w:color w:val="auto"/>
                <w:sz w:val="24"/>
                <w:u w:val="none"/>
                <w:lang w:val="en-US" w:eastAsia="zh-CN"/>
              </w:rPr>
              <w:t>3</w:t>
            </w:r>
            <w:r>
              <w:rPr>
                <w:rFonts w:hint="default" w:ascii="Times New Roman" w:hAnsi="Times New Roman" w:eastAsia="宋体" w:cs="Times New Roman"/>
                <w:b w:val="0"/>
                <w:bCs w:val="0"/>
                <w:color w:val="auto"/>
                <w:sz w:val="24"/>
                <w:u w:val="none"/>
                <w:lang w:val="en-US" w:eastAsia="zh-CN"/>
              </w:rPr>
              <w:t>个废气排放口，为一般排放口，其基本情况见下表：</w:t>
            </w:r>
          </w:p>
          <w:p>
            <w:pPr>
              <w:pStyle w:val="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w:t>
            </w:r>
            <w:r>
              <w:rPr>
                <w:rFonts w:hint="default" w:ascii="Times New Roman" w:hAnsi="Times New Roman" w:cs="Times New Roman"/>
                <w:b/>
                <w:bCs/>
                <w:sz w:val="24"/>
                <w:lang w:val="en-US" w:eastAsia="zh-CN"/>
              </w:rPr>
              <w:t>4-</w:t>
            </w:r>
            <w:r>
              <w:rPr>
                <w:rFonts w:hint="eastAsia" w:cs="Times New Roman"/>
                <w:b/>
                <w:bCs/>
                <w:sz w:val="24"/>
                <w:lang w:val="en-US" w:eastAsia="zh-CN"/>
              </w:rPr>
              <w:t>8</w:t>
            </w:r>
            <w:r>
              <w:rPr>
                <w:rFonts w:hint="default" w:ascii="Times New Roman" w:hAnsi="Times New Roman" w:eastAsia="宋体" w:cs="Times New Roman"/>
                <w:b/>
                <w:bCs/>
                <w:sz w:val="24"/>
                <w:lang w:val="en-US" w:eastAsia="zh-CN"/>
              </w:rPr>
              <w:t>本项目废气排放口基本情况</w:t>
            </w:r>
          </w:p>
          <w:tbl>
            <w:tblPr>
              <w:tblStyle w:val="25"/>
              <w:tblW w:w="497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913"/>
              <w:gridCol w:w="1744"/>
              <w:gridCol w:w="939"/>
              <w:gridCol w:w="1212"/>
              <w:gridCol w:w="1126"/>
              <w:gridCol w:w="8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55" w:hRule="atLeast"/>
                <w:jc w:val="center"/>
              </w:trPr>
              <w:tc>
                <w:tcPr>
                  <w:tcW w:w="853"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编号</w:t>
                  </w:r>
                </w:p>
              </w:tc>
              <w:tc>
                <w:tcPr>
                  <w:tcW w:w="1952" w:type="pct"/>
                  <w:gridSpan w:val="2"/>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地理坐标</w:t>
                  </w:r>
                </w:p>
              </w:tc>
              <w:tc>
                <w:tcPr>
                  <w:tcW w:w="501"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排放口类型</w:t>
                  </w:r>
                </w:p>
              </w:tc>
              <w:tc>
                <w:tcPr>
                  <w:tcW w:w="647"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排气筒高度</w:t>
                  </w:r>
                </w:p>
              </w:tc>
              <w:tc>
                <w:tcPr>
                  <w:tcW w:w="601"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排气筒内径</w:t>
                  </w:r>
                </w:p>
              </w:tc>
              <w:tc>
                <w:tcPr>
                  <w:tcW w:w="444"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温度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53"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rPr>
                  </w:pPr>
                </w:p>
              </w:tc>
              <w:tc>
                <w:tcPr>
                  <w:tcW w:w="102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sz w:val="21"/>
                      <w:szCs w:val="21"/>
                      <w:vertAlign w:val="baseline"/>
                      <w:lang w:val="en-US" w:eastAsia="zh-CN"/>
                    </w:rPr>
                    <w:t>X</w:t>
                  </w:r>
                </w:p>
              </w:tc>
              <w:tc>
                <w:tcPr>
                  <w:tcW w:w="93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Y</w:t>
                  </w:r>
                </w:p>
              </w:tc>
              <w:tc>
                <w:tcPr>
                  <w:tcW w:w="501"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c>
                <w:tcPr>
                  <w:tcW w:w="647"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c>
                <w:tcPr>
                  <w:tcW w:w="601"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c>
                <w:tcPr>
                  <w:tcW w:w="444"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853"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DA001（P1）</w:t>
                  </w:r>
                </w:p>
              </w:tc>
              <w:tc>
                <w:tcPr>
                  <w:tcW w:w="102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113.06427777</w:t>
                  </w:r>
                </w:p>
              </w:tc>
              <w:tc>
                <w:tcPr>
                  <w:tcW w:w="93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33.83810847</w:t>
                  </w:r>
                </w:p>
              </w:tc>
              <w:tc>
                <w:tcPr>
                  <w:tcW w:w="501" w:type="pct"/>
                  <w:vMerge w:val="restar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一般排放口</w:t>
                  </w:r>
                </w:p>
              </w:tc>
              <w:tc>
                <w:tcPr>
                  <w:tcW w:w="64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20m</w:t>
                  </w:r>
                </w:p>
              </w:tc>
              <w:tc>
                <w:tcPr>
                  <w:tcW w:w="60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0.4m</w:t>
                  </w:r>
                </w:p>
              </w:tc>
              <w:tc>
                <w:tcPr>
                  <w:tcW w:w="444"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853"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DA002（P2）</w:t>
                  </w:r>
                </w:p>
              </w:tc>
              <w:tc>
                <w:tcPr>
                  <w:tcW w:w="102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113.06398809</w:t>
                  </w:r>
                </w:p>
              </w:tc>
              <w:tc>
                <w:tcPr>
                  <w:tcW w:w="93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33.83831344</w:t>
                  </w:r>
                </w:p>
              </w:tc>
              <w:tc>
                <w:tcPr>
                  <w:tcW w:w="501"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c>
                <w:tcPr>
                  <w:tcW w:w="64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20m</w:t>
                  </w:r>
                </w:p>
              </w:tc>
              <w:tc>
                <w:tcPr>
                  <w:tcW w:w="60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0.4m</w:t>
                  </w:r>
                </w:p>
              </w:tc>
              <w:tc>
                <w:tcPr>
                  <w:tcW w:w="444"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853"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DA003（P3）</w:t>
                  </w:r>
                </w:p>
              </w:tc>
              <w:tc>
                <w:tcPr>
                  <w:tcW w:w="102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113.06383789</w:t>
                  </w:r>
                </w:p>
              </w:tc>
              <w:tc>
                <w:tcPr>
                  <w:tcW w:w="93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kern w:val="0"/>
                      <w:sz w:val="21"/>
                      <w:szCs w:val="21"/>
                      <w:vertAlign w:val="baseline"/>
                      <w:lang w:val="en-US" w:eastAsia="zh-CN" w:bidi="ar-SA"/>
                    </w:rPr>
                    <w:t>33.83838919</w:t>
                  </w:r>
                </w:p>
              </w:tc>
              <w:tc>
                <w:tcPr>
                  <w:tcW w:w="501" w:type="pct"/>
                  <w:vMerge w:val="continue"/>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vertAlign w:val="baseline"/>
                      <w:lang w:val="en-US" w:eastAsia="zh-CN"/>
                    </w:rPr>
                  </w:pPr>
                </w:p>
              </w:tc>
              <w:tc>
                <w:tcPr>
                  <w:tcW w:w="64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20m</w:t>
                  </w:r>
                </w:p>
              </w:tc>
              <w:tc>
                <w:tcPr>
                  <w:tcW w:w="601"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0.4m</w:t>
                  </w:r>
                </w:p>
              </w:tc>
              <w:tc>
                <w:tcPr>
                  <w:tcW w:w="444"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25℃</w:t>
                  </w:r>
                </w:p>
              </w:tc>
            </w:tr>
          </w:tbl>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eastAsia="宋体" w:cs="Times New Roman"/>
                <w:b/>
                <w:bCs w:val="0"/>
                <w:sz w:val="24"/>
                <w:szCs w:val="24"/>
                <w:u w:val="none"/>
                <w:lang w:val="en-US" w:eastAsia="zh-CN"/>
              </w:rPr>
              <w:t>监测要求</w:t>
            </w:r>
          </w:p>
          <w:p>
            <w:pPr>
              <w:pStyle w:val="3"/>
              <w:keepNext w:val="0"/>
              <w:keepLines w:val="0"/>
              <w:pageBreakBefore w:val="0"/>
              <w:widowControl/>
              <w:numPr>
                <w:ilvl w:val="0"/>
                <w:numId w:val="0"/>
              </w:numPr>
              <w:kinsoku/>
              <w:wordWrap/>
              <w:overflowPunct/>
              <w:topLinePunct w:val="0"/>
              <w:autoSpaceDE/>
              <w:autoSpaceDN/>
              <w:bidi w:val="0"/>
              <w:adjustRightInd/>
              <w:snapToGrid w:val="0"/>
              <w:ind w:right="0" w:rightChars="0" w:firstLine="480" w:firstLineChars="200"/>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根据参考《排污许可证申请与核发技术规范总则》（HJ942-2018）以及</w:t>
            </w:r>
            <w:r>
              <w:rPr>
                <w:rFonts w:hint="default" w:ascii="Times New Roman" w:hAnsi="Times New Roman" w:cs="Times New Roman"/>
                <w:sz w:val="24"/>
                <w:szCs w:val="24"/>
                <w:u w:val="single"/>
                <w:lang w:val="en-US" w:eastAsia="zh-CN"/>
              </w:rPr>
              <w:t>《排污许可证申请与核发技术规范 废弃资源加工工业》（HJ1034—2019）</w:t>
            </w:r>
            <w:r>
              <w:rPr>
                <w:rFonts w:hint="default" w:ascii="Times New Roman" w:hAnsi="Times New Roman" w:cs="Times New Roman"/>
                <w:u w:val="single"/>
                <w:lang w:val="en-US" w:eastAsia="zh-CN"/>
              </w:rPr>
              <w:t>中自行监测要求，本项目有组织和无组织废气排放监测要求见下表</w:t>
            </w:r>
          </w:p>
          <w:p>
            <w:pPr>
              <w:pStyle w:val="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bCs/>
                <w:sz w:val="24"/>
                <w:u w:val="single"/>
                <w:lang w:val="en-US" w:eastAsia="zh-CN"/>
              </w:rPr>
            </w:pPr>
            <w:r>
              <w:rPr>
                <w:rFonts w:hint="default" w:ascii="Times New Roman" w:hAnsi="Times New Roman" w:eastAsia="宋体" w:cs="Times New Roman"/>
                <w:b/>
                <w:bCs/>
                <w:sz w:val="24"/>
                <w:u w:val="single"/>
                <w:lang w:val="en-US" w:eastAsia="zh-CN"/>
              </w:rPr>
              <w:t>表</w:t>
            </w:r>
            <w:r>
              <w:rPr>
                <w:rFonts w:hint="default" w:ascii="Times New Roman" w:hAnsi="Times New Roman" w:cs="Times New Roman"/>
                <w:b/>
                <w:bCs/>
                <w:sz w:val="24"/>
                <w:u w:val="single"/>
                <w:lang w:val="en-US" w:eastAsia="zh-CN"/>
              </w:rPr>
              <w:t>4-</w:t>
            </w:r>
            <w:r>
              <w:rPr>
                <w:rFonts w:hint="eastAsia" w:cs="Times New Roman"/>
                <w:b/>
                <w:bCs/>
                <w:sz w:val="24"/>
                <w:u w:val="single"/>
                <w:lang w:val="en-US" w:eastAsia="zh-CN"/>
              </w:rPr>
              <w:t>9</w:t>
            </w:r>
            <w:r>
              <w:rPr>
                <w:rFonts w:hint="default" w:ascii="Times New Roman" w:hAnsi="Times New Roman" w:eastAsia="宋体" w:cs="Times New Roman"/>
                <w:b/>
                <w:bCs/>
                <w:sz w:val="24"/>
                <w:u w:val="single"/>
                <w:lang w:val="en-US" w:eastAsia="zh-CN"/>
              </w:rPr>
              <w:t>废气</w:t>
            </w:r>
            <w:r>
              <w:rPr>
                <w:rFonts w:hint="default" w:ascii="Times New Roman" w:hAnsi="Times New Roman" w:cs="Times New Roman"/>
                <w:b/>
                <w:bCs/>
                <w:sz w:val="24"/>
                <w:u w:val="single"/>
                <w:lang w:val="en-US" w:eastAsia="zh-CN"/>
              </w:rPr>
              <w:t>（有组织和无组织）</w:t>
            </w:r>
            <w:r>
              <w:rPr>
                <w:rFonts w:hint="default" w:ascii="Times New Roman" w:hAnsi="Times New Roman" w:eastAsia="宋体" w:cs="Times New Roman"/>
                <w:b/>
                <w:bCs/>
                <w:sz w:val="24"/>
                <w:u w:val="single"/>
                <w:lang w:val="en-US" w:eastAsia="zh-CN"/>
              </w:rPr>
              <w:t>排放监测指标及最低监测频次</w:t>
            </w:r>
          </w:p>
          <w:tbl>
            <w:tblPr>
              <w:tblStyle w:val="25"/>
              <w:tblW w:w="499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3336"/>
              <w:gridCol w:w="263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05" w:hRule="atLeast"/>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监测点位</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监测指标</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DA001（P1）排放口</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非甲烷总烃</w:t>
                  </w:r>
                  <w:r>
                    <w:rPr>
                      <w:rFonts w:hint="eastAsia" w:cs="Times New Roman"/>
                      <w:sz w:val="21"/>
                      <w:szCs w:val="21"/>
                      <w:u w:val="single"/>
                      <w:vertAlign w:val="baseline"/>
                      <w:lang w:val="en-US" w:eastAsia="zh-CN"/>
                    </w:rPr>
                    <w:t>、颗粒物</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每季度监测一次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DA002（P2）排放口</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颗粒物</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每季度监测一次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0"/>
                      <w:sz w:val="21"/>
                      <w:szCs w:val="21"/>
                      <w:u w:val="single"/>
                      <w:vertAlign w:val="baseline"/>
                      <w:lang w:val="en-US" w:eastAsia="zh-CN" w:bidi="ar-SA"/>
                    </w:rPr>
                  </w:pPr>
                  <w:r>
                    <w:rPr>
                      <w:rFonts w:hint="default" w:ascii="Times New Roman" w:hAnsi="Times New Roman" w:cs="Times New Roman"/>
                      <w:sz w:val="21"/>
                      <w:szCs w:val="21"/>
                      <w:u w:val="single"/>
                      <w:vertAlign w:val="baseline"/>
                      <w:lang w:val="en-US" w:eastAsia="zh-CN"/>
                    </w:rPr>
                    <w:t>DA003（P3）排放口</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非甲烷总烃</w:t>
                  </w:r>
                  <w:r>
                    <w:rPr>
                      <w:rFonts w:hint="eastAsia" w:cs="Times New Roman"/>
                      <w:sz w:val="21"/>
                      <w:szCs w:val="21"/>
                      <w:u w:val="single"/>
                      <w:vertAlign w:val="baseline"/>
                      <w:lang w:val="en-US" w:eastAsia="zh-CN"/>
                    </w:rPr>
                    <w:t>、颗粒物、二甲苯</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每季度监测一次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厂界</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颗粒物、非甲烷总烃</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每季度监测一次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1819"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eastAsia" w:cs="Times New Roman"/>
                      <w:sz w:val="21"/>
                      <w:szCs w:val="21"/>
                      <w:u w:val="single"/>
                      <w:vertAlign w:val="baseline"/>
                      <w:lang w:val="en-US" w:eastAsia="zh-CN"/>
                    </w:rPr>
                    <w:t>厂界</w:t>
                  </w:r>
                </w:p>
              </w:tc>
              <w:tc>
                <w:tcPr>
                  <w:tcW w:w="1777"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eastAsia" w:cs="Times New Roman"/>
                      <w:sz w:val="21"/>
                      <w:szCs w:val="21"/>
                      <w:vertAlign w:val="baseline"/>
                      <w:lang w:eastAsia="zh-CN"/>
                    </w:rPr>
                    <w:t>、</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1402" w:type="pct"/>
                  <w:tcBorders>
                    <w:tl2br w:val="nil"/>
                    <w:tr2bl w:val="nil"/>
                  </w:tcBorders>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sz w:val="21"/>
                      <w:szCs w:val="21"/>
                      <w:u w:val="single"/>
                      <w:vertAlign w:val="baseline"/>
                      <w:lang w:val="en-US" w:eastAsia="zh-CN"/>
                    </w:rPr>
                  </w:pPr>
                  <w:r>
                    <w:rPr>
                      <w:rFonts w:hint="default" w:ascii="Times New Roman" w:hAnsi="Times New Roman" w:cs="Times New Roman"/>
                      <w:sz w:val="21"/>
                      <w:szCs w:val="21"/>
                      <w:u w:val="single"/>
                      <w:vertAlign w:val="baseline"/>
                      <w:lang w:val="en-US" w:eastAsia="zh-CN"/>
                    </w:rPr>
                    <w:t>每季度监测一次</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2、地表水环境影响和保护措施</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sz w:val="24"/>
                <w:szCs w:val="24"/>
                <w:u w:val="none"/>
                <w:lang w:val="en-US" w:eastAsia="zh-CN"/>
              </w:rPr>
            </w:pPr>
            <w:r>
              <w:rPr>
                <w:rFonts w:hint="default" w:ascii="Times New Roman" w:hAnsi="Times New Roman" w:cs="Times New Roman"/>
                <w:b/>
                <w:bCs w:val="0"/>
                <w:sz w:val="24"/>
                <w:szCs w:val="24"/>
                <w:u w:val="none"/>
                <w:lang w:val="en-US" w:eastAsia="zh-CN"/>
              </w:rPr>
              <w:t>废水源强计算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项目产生的废水主要清洗废水、冷却废水、</w:t>
            </w:r>
            <w:r>
              <w:rPr>
                <w:rFonts w:hint="default" w:ascii="Times New Roman" w:hAnsi="Times New Roman" w:cs="Times New Roman"/>
                <w:b w:val="0"/>
                <w:bCs w:val="0"/>
                <w:color w:val="auto"/>
                <w:sz w:val="24"/>
                <w:u w:val="none"/>
                <w:lang w:val="en-US" w:eastAsia="zh-CN"/>
              </w:rPr>
              <w:t>车辆冲洗废水</w:t>
            </w:r>
            <w:r>
              <w:rPr>
                <w:rFonts w:hint="default" w:ascii="Times New Roman" w:hAnsi="Times New Roman" w:eastAsia="宋体" w:cs="Times New Roman"/>
                <w:b w:val="0"/>
                <w:bCs w:val="0"/>
                <w:color w:val="auto"/>
                <w:sz w:val="24"/>
                <w:u w:val="none"/>
                <w:lang w:val="en-US" w:eastAsia="zh-CN"/>
              </w:rPr>
              <w:t>和生活污水。</w:t>
            </w:r>
          </w:p>
          <w:p>
            <w:pPr>
              <w:pStyle w:val="17"/>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清洗废水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u w:val="single"/>
                <w:lang w:val="en-US" w:eastAsia="zh-CN"/>
              </w:rPr>
            </w:pPr>
            <w:r>
              <w:rPr>
                <w:rFonts w:hint="default" w:ascii="Times New Roman" w:hAnsi="Times New Roman" w:cs="Times New Roman"/>
                <w:sz w:val="24"/>
                <w:szCs w:val="24"/>
                <w:u w:val="single"/>
              </w:rPr>
              <w:t>项目清洗工艺采用机械清洗，根据建设单位提供数据，</w:t>
            </w:r>
            <w:r>
              <w:rPr>
                <w:rFonts w:hint="default" w:ascii="Times New Roman" w:hAnsi="Times New Roman" w:cs="Times New Roman"/>
                <w:sz w:val="24"/>
                <w:szCs w:val="24"/>
                <w:u w:val="single"/>
                <w:lang w:val="en-US" w:eastAsia="zh-CN"/>
              </w:rPr>
              <w:t>进厂的废编织袋主要附着少量的粉尘和其他杂质。参照同行业技术水平，清洗废水中主要污染物为</w:t>
            </w:r>
            <w:r>
              <w:rPr>
                <w:rFonts w:hint="eastAsia" w:cs="Times New Roman"/>
                <w:sz w:val="24"/>
                <w:szCs w:val="24"/>
                <w:u w:val="single"/>
                <w:lang w:val="en-US" w:eastAsia="zh-CN"/>
              </w:rPr>
              <w:t>化学需要量（COD）、</w:t>
            </w:r>
            <w:r>
              <w:rPr>
                <w:rFonts w:hint="default" w:ascii="Times New Roman" w:hAnsi="Times New Roman" w:cs="Times New Roman"/>
                <w:sz w:val="24"/>
                <w:szCs w:val="24"/>
                <w:u w:val="single"/>
                <w:lang w:val="en-US" w:eastAsia="zh-CN"/>
              </w:rPr>
              <w:t>悬浮物（SS）。</w:t>
            </w:r>
            <w:r>
              <w:rPr>
                <w:rFonts w:hint="default" w:ascii="Times New Roman" w:hAnsi="Times New Roman" w:cs="Times New Roman"/>
                <w:sz w:val="24"/>
                <w:szCs w:val="24"/>
              </w:rPr>
              <w:t>参照《第二次全国污染源普查产排污量核算系数手册》4220非金属废料和碎屑加工处理行业系数手册，</w:t>
            </w:r>
            <w:r>
              <w:rPr>
                <w:rFonts w:hint="default" w:ascii="Times New Roman" w:hAnsi="Times New Roman" w:cs="Times New Roman"/>
                <w:color w:val="auto"/>
                <w:sz w:val="24"/>
                <w:szCs w:val="24"/>
                <w:u w:val="single"/>
              </w:rPr>
              <w:t>清洗</w:t>
            </w:r>
            <w:r>
              <w:rPr>
                <w:rFonts w:hint="default" w:ascii="Times New Roman" w:hAnsi="Times New Roman" w:cs="Times New Roman"/>
                <w:color w:val="auto"/>
                <w:sz w:val="24"/>
                <w:szCs w:val="24"/>
                <w:u w:val="single"/>
                <w:lang w:val="en-US" w:eastAsia="zh-CN"/>
              </w:rPr>
              <w:t>工序</w:t>
            </w:r>
            <w:r>
              <w:rPr>
                <w:rFonts w:hint="default" w:ascii="Times New Roman" w:hAnsi="Times New Roman" w:cs="Times New Roman"/>
                <w:color w:val="auto"/>
                <w:sz w:val="24"/>
                <w:szCs w:val="24"/>
                <w:u w:val="single"/>
              </w:rPr>
              <w:t>水用量</w:t>
            </w:r>
            <w:r>
              <w:rPr>
                <w:rFonts w:hint="default" w:ascii="Times New Roman" w:hAnsi="Times New Roman" w:cs="Times New Roman"/>
                <w:color w:val="auto"/>
                <w:sz w:val="24"/>
                <w:szCs w:val="24"/>
                <w:u w:val="single"/>
                <w:lang w:val="en-US" w:eastAsia="zh-CN"/>
              </w:rPr>
              <w:t>为1.0t</w:t>
            </w:r>
            <w:r>
              <w:rPr>
                <w:rFonts w:hint="default" w:ascii="Times New Roman" w:hAnsi="Times New Roman" w:cs="Times New Roman"/>
                <w:color w:val="auto"/>
                <w:sz w:val="24"/>
                <w:szCs w:val="24"/>
                <w:u w:val="single"/>
              </w:rPr>
              <w:t>/t原料，</w:t>
            </w:r>
            <w:r>
              <w:rPr>
                <w:rFonts w:hint="default" w:ascii="Times New Roman" w:hAnsi="Times New Roman" w:cs="Times New Roman"/>
                <w:color w:val="auto"/>
                <w:sz w:val="24"/>
                <w:szCs w:val="24"/>
                <w:u w:val="single"/>
                <w:lang w:val="en-US" w:eastAsia="zh-CN"/>
              </w:rPr>
              <w:t>根据物料平衡图，</w:t>
            </w:r>
            <w:r>
              <w:rPr>
                <w:rFonts w:hint="default" w:ascii="Times New Roman" w:hAnsi="Times New Roman" w:cs="Times New Roman"/>
                <w:color w:val="auto"/>
                <w:sz w:val="24"/>
                <w:szCs w:val="24"/>
                <w:u w:val="single"/>
              </w:rPr>
              <w:t>项目需清洗原料</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lang w:val="en-US" w:eastAsia="zh-CN"/>
              </w:rPr>
              <w:t>废编织袋</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rPr>
              <w:t>量为</w:t>
            </w:r>
            <w:r>
              <w:rPr>
                <w:rFonts w:hint="default" w:ascii="Times New Roman" w:hAnsi="Times New Roman" w:cs="Times New Roman"/>
                <w:color w:val="auto"/>
                <w:sz w:val="24"/>
                <w:szCs w:val="24"/>
                <w:u w:val="single"/>
                <w:lang w:val="en-US" w:eastAsia="zh-CN"/>
              </w:rPr>
              <w:t>7019.1</w:t>
            </w:r>
            <w:r>
              <w:rPr>
                <w:rFonts w:hint="default" w:ascii="Times New Roman" w:hAnsi="Times New Roman" w:cs="Times New Roman"/>
                <w:color w:val="auto"/>
                <w:sz w:val="24"/>
                <w:szCs w:val="24"/>
                <w:u w:val="single"/>
              </w:rPr>
              <w:t>t</w:t>
            </w:r>
            <w:r>
              <w:rPr>
                <w:rFonts w:hint="default" w:ascii="Times New Roman" w:hAnsi="Times New Roman" w:cs="Times New Roman"/>
                <w:color w:val="auto"/>
                <w:sz w:val="24"/>
                <w:szCs w:val="24"/>
                <w:u w:val="single"/>
                <w:lang w:val="en-US" w:eastAsia="zh-CN"/>
              </w:rPr>
              <w:t>/a</w:t>
            </w:r>
            <w:r>
              <w:rPr>
                <w:rFonts w:hint="default" w:ascii="Times New Roman" w:hAnsi="Times New Roman" w:cs="Times New Roman"/>
                <w:color w:val="auto"/>
                <w:sz w:val="24"/>
                <w:szCs w:val="24"/>
                <w:u w:val="single"/>
              </w:rPr>
              <w:t>，清洗水用量为</w:t>
            </w:r>
            <w:r>
              <w:rPr>
                <w:rFonts w:hint="default" w:ascii="Times New Roman" w:hAnsi="Times New Roman" w:cs="Times New Roman"/>
                <w:color w:val="auto"/>
                <w:sz w:val="24"/>
                <w:szCs w:val="24"/>
                <w:u w:val="single"/>
                <w:lang w:val="en-US" w:eastAsia="zh-CN"/>
              </w:rPr>
              <w:t>7019.1</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/a。项目清洗废水经</w:t>
            </w:r>
            <w:r>
              <w:rPr>
                <w:rFonts w:hint="default" w:ascii="Times New Roman" w:hAnsi="Times New Roman" w:cs="Times New Roman"/>
                <w:color w:val="auto"/>
                <w:sz w:val="24"/>
                <w:szCs w:val="24"/>
                <w:u w:val="single"/>
                <w:lang w:val="en-US" w:eastAsia="zh-CN"/>
              </w:rPr>
              <w:t>车间内</w:t>
            </w:r>
            <w:r>
              <w:rPr>
                <w:rFonts w:hint="default" w:ascii="Times New Roman" w:hAnsi="Times New Roman" w:cs="Times New Roman"/>
                <w:color w:val="auto"/>
                <w:sz w:val="24"/>
                <w:szCs w:val="24"/>
                <w:u w:val="single"/>
              </w:rPr>
              <w:t>污水处理</w:t>
            </w:r>
            <w:r>
              <w:rPr>
                <w:rFonts w:hint="default" w:ascii="Times New Roman" w:hAnsi="Times New Roman" w:cs="Times New Roman"/>
                <w:color w:val="auto"/>
                <w:sz w:val="24"/>
                <w:szCs w:val="24"/>
                <w:u w:val="single"/>
                <w:lang w:val="en-US" w:eastAsia="zh-CN"/>
              </w:rPr>
              <w:t>设施处理</w:t>
            </w:r>
            <w:r>
              <w:rPr>
                <w:rFonts w:hint="default" w:ascii="Times New Roman" w:hAnsi="Times New Roman" w:cs="Times New Roman"/>
                <w:color w:val="auto"/>
                <w:sz w:val="24"/>
                <w:szCs w:val="24"/>
                <w:u w:val="single"/>
              </w:rPr>
              <w:t>后回用于清洗环节，在此过程中散失量约为</w:t>
            </w:r>
            <w:r>
              <w:rPr>
                <w:rFonts w:hint="default" w:ascii="Times New Roman" w:hAnsi="Times New Roman" w:cs="Times New Roman"/>
                <w:color w:val="auto"/>
                <w:sz w:val="24"/>
                <w:szCs w:val="24"/>
                <w:u w:val="single"/>
                <w:lang w:val="en-US" w:eastAsia="zh-CN"/>
              </w:rPr>
              <w:t>5</w:t>
            </w:r>
            <w:r>
              <w:rPr>
                <w:rFonts w:hint="default" w:ascii="Times New Roman" w:hAnsi="Times New Roman" w:cs="Times New Roman"/>
                <w:color w:val="auto"/>
                <w:sz w:val="24"/>
                <w:szCs w:val="24"/>
                <w:u w:val="single"/>
              </w:rPr>
              <w:t>%（350.955m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/a）</w:t>
            </w:r>
            <w:r>
              <w:rPr>
                <w:rFonts w:hint="eastAsia" w:cs="Times New Roman"/>
                <w:color w:val="auto"/>
                <w:sz w:val="24"/>
                <w:szCs w:val="24"/>
                <w:u w:val="single"/>
                <w:lang w:eastAsia="zh-CN"/>
              </w:rPr>
              <w:t>，</w:t>
            </w:r>
            <w:r>
              <w:rPr>
                <w:rFonts w:hint="eastAsia" w:cs="Times New Roman"/>
                <w:color w:val="auto"/>
                <w:sz w:val="24"/>
                <w:szCs w:val="24"/>
                <w:u w:val="single"/>
                <w:lang w:val="en-US" w:eastAsia="zh-CN"/>
              </w:rPr>
              <w:t>进入污泥水量为37.95（0.1265</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/d</w:t>
            </w:r>
            <w:r>
              <w:rPr>
                <w:rFonts w:hint="eastAsia" w:cs="Times New Roman"/>
                <w:color w:val="auto"/>
                <w:sz w:val="24"/>
                <w:szCs w:val="24"/>
                <w:u w:val="single"/>
                <w:lang w:val="en-US" w:eastAsia="zh-CN"/>
              </w:rPr>
              <w:t>）</w:t>
            </w:r>
            <w:r>
              <w:rPr>
                <w:rFonts w:hint="default" w:ascii="Times New Roman" w:hAnsi="Times New Roman" w:cs="Times New Roman"/>
                <w:color w:val="auto"/>
                <w:sz w:val="24"/>
                <w:szCs w:val="24"/>
                <w:u w:val="single"/>
              </w:rPr>
              <w:t>，回用水用量</w:t>
            </w:r>
            <w:r>
              <w:rPr>
                <w:rFonts w:hint="eastAsia" w:cs="Times New Roman"/>
                <w:color w:val="auto"/>
                <w:sz w:val="24"/>
                <w:szCs w:val="24"/>
                <w:u w:val="single"/>
                <w:lang w:val="en-US" w:eastAsia="zh-CN"/>
              </w:rPr>
              <w:t>6630.15</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/a（</w:t>
            </w:r>
            <w:r>
              <w:rPr>
                <w:rFonts w:hint="default" w:ascii="Times New Roman" w:hAnsi="Times New Roman" w:cs="Times New Roman"/>
                <w:color w:val="auto"/>
                <w:sz w:val="24"/>
                <w:szCs w:val="24"/>
                <w:u w:val="single"/>
                <w:lang w:val="en-US" w:eastAsia="zh-CN"/>
              </w:rPr>
              <w:t>22.</w:t>
            </w:r>
            <w:r>
              <w:rPr>
                <w:rFonts w:hint="eastAsia" w:cs="Times New Roman"/>
                <w:color w:val="auto"/>
                <w:sz w:val="24"/>
                <w:szCs w:val="24"/>
                <w:u w:val="single"/>
                <w:lang w:val="en-US" w:eastAsia="zh-CN"/>
              </w:rPr>
              <w:t>1</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/d），新鲜水补充量</w:t>
            </w:r>
            <w:r>
              <w:rPr>
                <w:rFonts w:hint="default" w:ascii="Times New Roman" w:hAnsi="Times New Roman" w:cs="Times New Roman"/>
                <w:color w:val="auto"/>
                <w:sz w:val="24"/>
                <w:szCs w:val="24"/>
                <w:u w:val="single"/>
                <w:lang w:val="en-US" w:eastAsia="zh-CN"/>
              </w:rPr>
              <w:t>3</w:t>
            </w:r>
            <w:r>
              <w:rPr>
                <w:rFonts w:hint="eastAsia" w:cs="Times New Roman"/>
                <w:color w:val="auto"/>
                <w:sz w:val="24"/>
                <w:szCs w:val="24"/>
                <w:u w:val="single"/>
                <w:lang w:val="en-US" w:eastAsia="zh-CN"/>
              </w:rPr>
              <w:t>88.9</w:t>
            </w:r>
            <w:r>
              <w:rPr>
                <w:rFonts w:hint="default" w:ascii="Times New Roman" w:hAnsi="Times New Roman" w:cs="Times New Roman"/>
                <w:color w:val="auto"/>
                <w:sz w:val="24"/>
                <w:szCs w:val="24"/>
                <w:u w:val="single"/>
                <w:lang w:val="en-US" w:eastAsia="zh-CN"/>
              </w:rPr>
              <w:t>5</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/a（</w:t>
            </w:r>
            <w:r>
              <w:rPr>
                <w:rFonts w:hint="eastAsia" w:cs="Times New Roman"/>
                <w:color w:val="auto"/>
                <w:sz w:val="24"/>
                <w:szCs w:val="24"/>
                <w:u w:val="single"/>
                <w:lang w:val="en-US" w:eastAsia="zh-CN"/>
              </w:rPr>
              <w:t>1.2965</w:t>
            </w:r>
            <w:r>
              <w:rPr>
                <w:rFonts w:hint="default" w:ascii="Times New Roman" w:hAnsi="Times New Roman" w:cs="Times New Roman"/>
                <w:color w:val="auto"/>
                <w:sz w:val="24"/>
                <w:szCs w:val="24"/>
                <w:u w:val="single"/>
              </w:rPr>
              <w:t>m</w:t>
            </w:r>
            <w:r>
              <w:rPr>
                <w:rFonts w:hint="default" w:ascii="Times New Roman" w:hAnsi="Times New Roman" w:cs="Times New Roman"/>
                <w:color w:val="auto"/>
                <w:sz w:val="24"/>
                <w:szCs w:val="24"/>
                <w:u w:val="single"/>
                <w:vertAlign w:val="superscript"/>
              </w:rPr>
              <w:t>3</w:t>
            </w:r>
            <w:r>
              <w:rPr>
                <w:rFonts w:hint="default" w:ascii="Times New Roman" w:hAnsi="Times New Roman" w:cs="Times New Roman"/>
                <w:color w:val="auto"/>
                <w:sz w:val="24"/>
                <w:szCs w:val="24"/>
                <w:u w:val="single"/>
              </w:rPr>
              <w:t>/d）。项目清洗废水经处理后循环利用不外排。</w:t>
            </w:r>
            <w:r>
              <w:rPr>
                <w:rFonts w:hint="eastAsia" w:cs="Times New Roman"/>
                <w:color w:val="auto"/>
                <w:sz w:val="24"/>
                <w:szCs w:val="24"/>
                <w:u w:val="single"/>
                <w:lang w:val="en-US" w:eastAsia="zh-CN"/>
              </w:rPr>
              <w:t>同时依据该手册，本项目针对清洗废水处理将采取设计处理量为30m</w:t>
            </w:r>
            <w:r>
              <w:rPr>
                <w:rFonts w:hint="eastAsia" w:cs="Times New Roman"/>
                <w:color w:val="auto"/>
                <w:sz w:val="24"/>
                <w:szCs w:val="24"/>
                <w:u w:val="single"/>
                <w:vertAlign w:val="superscript"/>
                <w:lang w:val="en-US" w:eastAsia="zh-CN"/>
              </w:rPr>
              <w:t>3</w:t>
            </w:r>
            <w:r>
              <w:rPr>
                <w:rFonts w:hint="eastAsia" w:cs="Times New Roman"/>
                <w:color w:val="auto"/>
                <w:sz w:val="24"/>
                <w:szCs w:val="24"/>
                <w:u w:val="single"/>
                <w:lang w:val="en-US" w:eastAsia="zh-CN"/>
              </w:rPr>
              <w:t>/d的一体化处理设施，主体工艺为“初沉池+调节池+A/O+二沉池+消毒池”，处理后水质达到《城市污水再生利用 工业用水水质》（GB/T19923-2005）标准后进行循环使用，不外排。</w:t>
            </w:r>
          </w:p>
          <w:p>
            <w:pPr>
              <w:numPr>
                <w:ilvl w:val="0"/>
                <w:numId w:val="15"/>
              </w:numPr>
              <w:adjustRightInd w:val="0"/>
              <w:spacing w:line="360" w:lineRule="auto"/>
              <w:ind w:left="0" w:firstLine="482" w:firstLineChars="200"/>
              <w:rPr>
                <w:rFonts w:hint="default" w:ascii="Times New Roman" w:hAnsi="Times New Roman" w:cs="Times New Roman"/>
                <w:b/>
                <w:bCs/>
                <w:sz w:val="24"/>
                <w:u w:val="single"/>
                <w:lang w:val="en-US" w:eastAsia="zh-CN"/>
              </w:rPr>
            </w:pPr>
            <w:r>
              <w:rPr>
                <w:rFonts w:hint="eastAsia" w:ascii="Times New Roman" w:hAnsi="Times New Roman" w:cs="Times New Roman"/>
                <w:b/>
                <w:bCs/>
                <w:sz w:val="24"/>
                <w:u w:val="single"/>
                <w:lang w:val="en-US" w:eastAsia="zh-CN"/>
              </w:rPr>
              <w:t>清洗废水循环使用可行性分析</w:t>
            </w:r>
          </w:p>
          <w:p>
            <w:pPr>
              <w:pStyle w:val="3"/>
              <w:rPr>
                <w:rFonts w:hint="default" w:eastAsia="宋体"/>
                <w:u w:val="single"/>
                <w:lang w:val="en-US" w:eastAsia="zh-CN"/>
              </w:rPr>
            </w:pPr>
            <w:r>
              <w:rPr>
                <w:rFonts w:hint="eastAsia" w:cs="Times New Roman"/>
                <w:sz w:val="24"/>
                <w:szCs w:val="24"/>
                <w:u w:val="single"/>
                <w:lang w:val="en-US" w:eastAsia="zh-CN"/>
              </w:rPr>
              <w:t>通过查阅</w:t>
            </w:r>
            <w:r>
              <w:rPr>
                <w:rFonts w:hint="default" w:ascii="Times New Roman" w:hAnsi="Times New Roman" w:cs="Times New Roman"/>
                <w:sz w:val="24"/>
                <w:szCs w:val="24"/>
                <w:u w:val="single"/>
              </w:rPr>
              <w:t>《第二次全国污染源普查产排污量核算系数手册》4220非金属废料和碎屑加工处理行业系数手册</w:t>
            </w:r>
            <w:r>
              <w:rPr>
                <w:rFonts w:hint="eastAsia" w:cs="Times New Roman"/>
                <w:sz w:val="24"/>
                <w:szCs w:val="24"/>
                <w:u w:val="single"/>
                <w:lang w:val="en-US" w:eastAsia="zh-CN"/>
              </w:rPr>
              <w:t>可知，废PP清洗废水COD产污系数为420克/吨-原料，物理处理法+好氧生物处理法COD处理效率为90%。项目需清洗原料（废编织袋）量为7019.1t/a，清洗水用量为7019.1m</w:t>
            </w:r>
            <w:r>
              <w:rPr>
                <w:rFonts w:hint="eastAsia" w:cs="Times New Roman"/>
                <w:sz w:val="24"/>
                <w:szCs w:val="24"/>
                <w:u w:val="single"/>
                <w:vertAlign w:val="superscript"/>
                <w:lang w:val="en-US" w:eastAsia="zh-CN"/>
              </w:rPr>
              <w:t>3</w:t>
            </w:r>
            <w:r>
              <w:rPr>
                <w:rFonts w:hint="eastAsia" w:cs="Times New Roman"/>
                <w:sz w:val="24"/>
                <w:szCs w:val="24"/>
                <w:u w:val="single"/>
                <w:lang w:val="en-US" w:eastAsia="zh-CN"/>
              </w:rPr>
              <w:t>/a。因此COD排放浓度约为44.5mg/L，符合</w:t>
            </w:r>
            <w:r>
              <w:rPr>
                <w:rFonts w:hint="eastAsia" w:cs="Times New Roman"/>
                <w:color w:val="auto"/>
                <w:sz w:val="24"/>
                <w:szCs w:val="24"/>
                <w:u w:val="single"/>
                <w:lang w:val="en-US" w:eastAsia="zh-CN"/>
              </w:rPr>
              <w:t>《城市污水再生利用 工业用水水质》（GB/T19923-2005）标准。</w:t>
            </w:r>
          </w:p>
          <w:p>
            <w:pPr>
              <w:pStyle w:val="17"/>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冷却水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本项目切粒后利用冷却水冷却，</w:t>
            </w:r>
            <w:r>
              <w:rPr>
                <w:rFonts w:hint="default" w:ascii="Times New Roman" w:hAnsi="Times New Roman" w:cs="Times New Roman"/>
                <w:sz w:val="24"/>
                <w:szCs w:val="24"/>
              </w:rPr>
              <w:t>根据建设单位提供数据，</w:t>
            </w:r>
            <w:r>
              <w:rPr>
                <w:rFonts w:hint="default" w:ascii="Times New Roman" w:hAnsi="Times New Roman" w:cs="Times New Roman"/>
                <w:sz w:val="24"/>
                <w:szCs w:val="24"/>
                <w:lang w:eastAsia="zh-CN"/>
              </w:rPr>
              <w:t>冷却水用量约为6m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/h（</w:t>
            </w:r>
            <w:r>
              <w:rPr>
                <w:rFonts w:hint="default" w:ascii="Times New Roman" w:hAnsi="Times New Roman" w:cs="Times New Roman"/>
                <w:sz w:val="24"/>
                <w:szCs w:val="24"/>
                <w:lang w:val="en-US" w:eastAsia="zh-CN"/>
              </w:rPr>
              <w:t>144</w:t>
            </w:r>
            <w:r>
              <w:rPr>
                <w:rFonts w:hint="default" w:ascii="Times New Roman" w:hAnsi="Times New Roman" w:cs="Times New Roman"/>
                <w:sz w:val="24"/>
                <w:szCs w:val="24"/>
                <w:lang w:eastAsia="zh-CN"/>
              </w:rPr>
              <w:t>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/d），冷却水经冷却水循环池循环利用，补充水量按用量的10%计，则冷却系统循环水用量为38880m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/a（129.6m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/d），新鲜水补充量为4320m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/a（14.4m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/d）。</w:t>
            </w:r>
          </w:p>
          <w:p>
            <w:pPr>
              <w:pStyle w:val="17"/>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车辆冲洗用水</w:t>
            </w:r>
          </w:p>
          <w:p>
            <w:pPr>
              <w:pStyle w:val="17"/>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0000FF"/>
              </w:rPr>
            </w:pPr>
            <w:r>
              <w:rPr>
                <w:rFonts w:hint="default" w:ascii="Times New Roman" w:hAnsi="Times New Roman" w:cs="Times New Roman"/>
                <w:color w:val="auto"/>
              </w:rPr>
              <w:t>本项目在厂区出口处设置1套运输车辆冲洗装置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配备沉淀池</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车辆冲洗废水经沉淀池处理后循环使用，不外排</w:t>
            </w:r>
            <w:r>
              <w:rPr>
                <w:rFonts w:hint="default" w:ascii="Times New Roman" w:hAnsi="Times New Roman" w:cs="Times New Roman"/>
                <w:color w:val="auto"/>
              </w:rPr>
              <w:t>。本项目原料年用量为10039.25t</w:t>
            </w:r>
            <w:r>
              <w:rPr>
                <w:rFonts w:hint="default" w:ascii="Times New Roman" w:hAnsi="Times New Roman" w:cs="Times New Roman"/>
                <w:color w:val="auto"/>
                <w:lang w:val="en-US" w:eastAsia="zh-CN"/>
              </w:rPr>
              <w:t>/a</w:t>
            </w:r>
            <w:r>
              <w:rPr>
                <w:rFonts w:hint="default" w:ascii="Times New Roman" w:hAnsi="Times New Roman" w:cs="Times New Roman"/>
                <w:color w:val="auto"/>
              </w:rPr>
              <w:t>，每台原料运输车装载量按40t计，则原料运输车进出厂区</w:t>
            </w:r>
            <w:r>
              <w:rPr>
                <w:rFonts w:hint="default" w:ascii="Times New Roman" w:hAnsi="Times New Roman" w:cs="Times New Roman"/>
                <w:color w:val="auto"/>
                <w:lang w:val="en-US" w:eastAsia="zh-CN"/>
              </w:rPr>
              <w:t>251</w:t>
            </w:r>
            <w:r>
              <w:rPr>
                <w:rFonts w:hint="default" w:ascii="Times New Roman" w:hAnsi="Times New Roman" w:cs="Times New Roman"/>
                <w:color w:val="auto"/>
              </w:rPr>
              <w:t>次/a。</w:t>
            </w:r>
            <w:r>
              <w:rPr>
                <w:rFonts w:hint="default" w:ascii="Times New Roman" w:hAnsi="Times New Roman" w:cs="Times New Roman"/>
                <w:color w:val="auto"/>
                <w:lang w:val="en-US" w:eastAsia="zh-CN"/>
              </w:rPr>
              <w:t>其中本项目年产塑料颗粒1万吨，每辆运输车辆运输量为20t，则运输车辆进出厂区500次/a。因此</w:t>
            </w:r>
            <w:r>
              <w:rPr>
                <w:rFonts w:hint="default" w:ascii="Times New Roman" w:hAnsi="Times New Roman" w:cs="Times New Roman"/>
                <w:color w:val="auto"/>
              </w:rPr>
              <w:t>综上分析，厂区总进出车辆为</w:t>
            </w:r>
            <w:r>
              <w:rPr>
                <w:rFonts w:hint="default" w:ascii="Times New Roman" w:hAnsi="Times New Roman" w:cs="Times New Roman"/>
                <w:color w:val="auto"/>
                <w:lang w:val="en-US" w:eastAsia="zh-CN"/>
              </w:rPr>
              <w:t>751</w:t>
            </w:r>
            <w:r>
              <w:rPr>
                <w:rFonts w:hint="default" w:ascii="Times New Roman" w:hAnsi="Times New Roman" w:cs="Times New Roman"/>
                <w:color w:val="auto"/>
              </w:rPr>
              <w:t>次/a。根据</w:t>
            </w:r>
            <w:r>
              <w:rPr>
                <w:rFonts w:hint="default" w:ascii="Times New Roman" w:hAnsi="Times New Roman" w:cs="Times New Roman"/>
                <w:color w:val="auto"/>
                <w:lang w:val="en-US" w:eastAsia="zh-CN"/>
              </w:rPr>
              <w:t>河南省地方标准</w:t>
            </w:r>
            <w:r>
              <w:rPr>
                <w:rFonts w:hint="default" w:ascii="Times New Roman" w:hAnsi="Times New Roman" w:cs="Times New Roman"/>
                <w:color w:val="auto"/>
              </w:rPr>
              <w:t>《</w:t>
            </w:r>
            <w:r>
              <w:rPr>
                <w:rFonts w:hint="default" w:ascii="Times New Roman" w:hAnsi="Times New Roman" w:cs="Times New Roman"/>
                <w:color w:val="auto"/>
                <w:lang w:val="en-US" w:eastAsia="zh-CN"/>
              </w:rPr>
              <w:t>工业与城镇</w:t>
            </w:r>
            <w:r>
              <w:rPr>
                <w:rFonts w:hint="default" w:ascii="Times New Roman" w:hAnsi="Times New Roman" w:cs="Times New Roman"/>
                <w:color w:val="auto"/>
              </w:rPr>
              <w:t>用水定额》（DB41/T385—2020），大</w:t>
            </w:r>
            <w:r>
              <w:rPr>
                <w:rFonts w:hint="default" w:ascii="Times New Roman" w:hAnsi="Times New Roman" w:cs="Times New Roman"/>
                <w:color w:val="auto"/>
                <w:lang w:val="en-US" w:eastAsia="zh-CN"/>
              </w:rPr>
              <w:t>中</w:t>
            </w:r>
            <w:r>
              <w:rPr>
                <w:rFonts w:hint="default" w:ascii="Times New Roman" w:hAnsi="Times New Roman" w:cs="Times New Roman"/>
                <w:color w:val="auto"/>
              </w:rPr>
              <w:t>型车冲洗水量约</w:t>
            </w:r>
            <w:r>
              <w:rPr>
                <w:rFonts w:hint="default" w:ascii="Times New Roman" w:hAnsi="Times New Roman" w:cs="Times New Roman"/>
                <w:color w:val="auto"/>
                <w:lang w:val="en-US" w:eastAsia="zh-CN"/>
              </w:rPr>
              <w:t>70L</w:t>
            </w:r>
            <w:r>
              <w:rPr>
                <w:rFonts w:hint="default" w:ascii="Times New Roman" w:hAnsi="Times New Roman" w:cs="Times New Roman"/>
                <w:color w:val="auto"/>
              </w:rPr>
              <w:t>/辆·次，则车辆冲洗用水量为</w:t>
            </w:r>
            <w:r>
              <w:rPr>
                <w:rFonts w:hint="default" w:ascii="Times New Roman" w:hAnsi="Times New Roman" w:cs="Times New Roman"/>
                <w:color w:val="auto"/>
                <w:lang w:val="en-US" w:eastAsia="zh-CN"/>
              </w:rPr>
              <w:t>52.57t/a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0.175m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rPr>
              <w:t>。</w:t>
            </w:r>
            <w:r>
              <w:rPr>
                <w:rFonts w:hint="default" w:ascii="Times New Roman" w:hAnsi="Times New Roman" w:cs="Times New Roman"/>
                <w:color w:val="auto"/>
                <w:lang w:val="en-US" w:eastAsia="zh-CN"/>
              </w:rPr>
              <w:t>其中</w:t>
            </w:r>
            <w:r>
              <w:rPr>
                <w:rFonts w:hint="default" w:ascii="Times New Roman" w:hAnsi="Times New Roman" w:cs="Times New Roman"/>
                <w:color w:val="auto"/>
                <w:sz w:val="24"/>
              </w:rPr>
              <w:t>每辆车带走按10%计，则洗车废水产生量为</w:t>
            </w:r>
            <w:r>
              <w:rPr>
                <w:rFonts w:hint="default" w:ascii="Times New Roman" w:hAnsi="Times New Roman" w:cs="Times New Roman"/>
                <w:color w:val="auto"/>
                <w:sz w:val="24"/>
                <w:lang w:val="en-US" w:eastAsia="zh-CN"/>
              </w:rPr>
              <w:t>47.25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0.1575m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，该废水的主要水质污染因子为SS其浓度大致为2000mg/L。由于冲洗用水的损耗，每天需补充一定量的新鲜水，补充水量为</w:t>
            </w:r>
            <w:r>
              <w:rPr>
                <w:rFonts w:hint="default" w:ascii="Times New Roman" w:hAnsi="Times New Roman" w:cs="Times New Roman"/>
                <w:color w:val="auto"/>
                <w:sz w:val="24"/>
                <w:lang w:val="en-US" w:eastAsia="zh-CN"/>
              </w:rPr>
              <w:t>5.257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0.0175m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本次</w:t>
            </w:r>
            <w:r>
              <w:rPr>
                <w:rFonts w:hint="default" w:ascii="Times New Roman" w:hAnsi="Times New Roman" w:cs="Times New Roman"/>
                <w:color w:val="auto"/>
                <w:sz w:val="24"/>
              </w:rPr>
              <w:t>评价</w:t>
            </w:r>
            <w:r>
              <w:rPr>
                <w:rFonts w:hint="default" w:ascii="Times New Roman" w:hAnsi="Times New Roman" w:cs="Times New Roman"/>
                <w:color w:val="auto"/>
                <w:sz w:val="24"/>
                <w:lang w:val="en-US" w:eastAsia="zh-CN"/>
              </w:rPr>
              <w:t>建议车辆冲洗废水经</w:t>
            </w:r>
            <w:r>
              <w:rPr>
                <w:rFonts w:hint="default" w:ascii="Times New Roman" w:hAnsi="Times New Roman" w:eastAsia="宋体" w:cs="Times New Roman"/>
                <w:b w:val="0"/>
                <w:bCs w:val="0"/>
                <w:color w:val="auto"/>
                <w:sz w:val="24"/>
                <w:szCs w:val="24"/>
                <w:u w:val="none"/>
                <w:lang w:val="en-US" w:eastAsia="zh-CN"/>
              </w:rPr>
              <w:t>沉淀池</w:t>
            </w:r>
            <w:r>
              <w:rPr>
                <w:rFonts w:hint="default" w:ascii="Times New Roman" w:hAnsi="Times New Roman" w:cs="Times New Roman"/>
                <w:color w:val="auto"/>
                <w:sz w:val="24"/>
              </w:rPr>
              <w:t>处理后循环使用，不外排。</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rPr>
              <w:t>生活用水</w:t>
            </w:r>
          </w:p>
          <w:p>
            <w:pPr>
              <w:pStyle w:val="17"/>
              <w:keepNext w:val="0"/>
              <w:keepLines w:val="0"/>
              <w:pageBreakBefore w:val="0"/>
              <w:widowControl w:val="0"/>
              <w:kinsoku/>
              <w:wordWrap/>
              <w:overflowPunct/>
              <w:topLinePunct w:val="0"/>
              <w:bidi w:val="0"/>
              <w:adjustRightInd w:val="0"/>
              <w:snapToGrid w:val="0"/>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rPr>
              <w:t>本项目生活用水为自来水。本项目职工共</w:t>
            </w:r>
            <w:r>
              <w:rPr>
                <w:rFonts w:hint="default" w:ascii="Times New Roman" w:hAnsi="Times New Roman" w:cs="Times New Roman"/>
                <w:color w:val="auto"/>
                <w:lang w:val="en-US" w:eastAsia="zh-CN"/>
              </w:rPr>
              <w:t>30</w:t>
            </w:r>
            <w:r>
              <w:rPr>
                <w:rFonts w:hint="default" w:ascii="Times New Roman" w:hAnsi="Times New Roman" w:cs="Times New Roman"/>
                <w:color w:val="auto"/>
              </w:rPr>
              <w:t>人，均不在厂内食宿</w:t>
            </w:r>
            <w:r>
              <w:rPr>
                <w:rFonts w:hint="default" w:ascii="Times New Roman" w:hAnsi="Times New Roman" w:cs="Times New Roman"/>
                <w:color w:val="auto"/>
                <w:lang w:eastAsia="zh-CN"/>
              </w:rPr>
              <w:t>。</w:t>
            </w:r>
            <w:r>
              <w:rPr>
                <w:rFonts w:hint="default" w:ascii="Times New Roman" w:hAnsi="Times New Roman" w:cs="Times New Roman"/>
                <w:color w:val="auto"/>
              </w:rPr>
              <w:t>根据</w:t>
            </w:r>
            <w:r>
              <w:rPr>
                <w:rFonts w:hint="default" w:ascii="Times New Roman" w:hAnsi="Times New Roman" w:cs="Times New Roman"/>
                <w:color w:val="auto"/>
                <w:lang w:val="en-US" w:eastAsia="zh-CN"/>
              </w:rPr>
              <w:t>河南省地方标准</w:t>
            </w:r>
            <w:r>
              <w:rPr>
                <w:rFonts w:hint="default" w:ascii="Times New Roman" w:hAnsi="Times New Roman" w:cs="Times New Roman"/>
                <w:color w:val="auto"/>
              </w:rPr>
              <w:t>《</w:t>
            </w:r>
            <w:r>
              <w:rPr>
                <w:rFonts w:hint="default" w:ascii="Times New Roman" w:hAnsi="Times New Roman" w:cs="Times New Roman"/>
                <w:color w:val="auto"/>
                <w:lang w:val="en-US" w:eastAsia="zh-CN"/>
              </w:rPr>
              <w:t>工业与城镇</w:t>
            </w:r>
            <w:r>
              <w:rPr>
                <w:rFonts w:hint="default" w:ascii="Times New Roman" w:hAnsi="Times New Roman" w:cs="Times New Roman"/>
                <w:color w:val="auto"/>
              </w:rPr>
              <w:t>用水定额》（DB41/T385—2020），职工人均用水量按</w:t>
            </w:r>
            <w:r>
              <w:rPr>
                <w:rFonts w:hint="default" w:ascii="Times New Roman" w:hAnsi="Times New Roman" w:cs="Times New Roman"/>
                <w:color w:val="auto"/>
                <w:lang w:val="en-US" w:eastAsia="zh-CN"/>
              </w:rPr>
              <w:t>120</w:t>
            </w:r>
            <w:r>
              <w:rPr>
                <w:rFonts w:hint="default" w:ascii="Times New Roman" w:hAnsi="Times New Roman" w:cs="Times New Roman"/>
                <w:color w:val="auto"/>
              </w:rPr>
              <w:t>L/d计，则本项目生活用水总量为</w:t>
            </w:r>
            <w:r>
              <w:rPr>
                <w:rFonts w:hint="default" w:ascii="Times New Roman" w:hAnsi="Times New Roman" w:cs="Times New Roman"/>
                <w:color w:val="auto"/>
                <w:lang w:val="en-US" w:eastAsia="zh-CN"/>
              </w:rPr>
              <w:t>3.6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1080</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/a。</w:t>
            </w:r>
            <w:r>
              <w:rPr>
                <w:rFonts w:hint="default" w:ascii="Times New Roman" w:hAnsi="Times New Roman" w:cs="Times New Roman"/>
                <w:color w:val="auto"/>
                <w:sz w:val="24"/>
                <w:szCs w:val="24"/>
                <w:lang w:val="en-US" w:eastAsia="zh-CN"/>
              </w:rPr>
              <w:t>产污系数按0.8计，则本项目生活污水产生量为2.88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864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eastAsia="zh-CN"/>
              </w:rPr>
              <w:t>生活污水排入</w:t>
            </w:r>
            <w:r>
              <w:rPr>
                <w:rFonts w:hint="default" w:ascii="Times New Roman" w:hAnsi="Times New Roman" w:cs="Times New Roman"/>
                <w:color w:val="auto"/>
                <w:sz w:val="24"/>
                <w:szCs w:val="24"/>
                <w:lang w:val="en-US" w:eastAsia="zh-CN"/>
              </w:rPr>
              <w:t>河南旭原不锈钢有限公司已建</w:t>
            </w:r>
            <w:r>
              <w:rPr>
                <w:rFonts w:hint="default" w:ascii="Times New Roman" w:hAnsi="Times New Roman" w:cs="Times New Roman"/>
                <w:color w:val="auto"/>
                <w:sz w:val="24"/>
                <w:szCs w:val="24"/>
                <w:lang w:eastAsia="zh-CN"/>
              </w:rPr>
              <w:t>化粪池</w:t>
            </w:r>
            <w:r>
              <w:rPr>
                <w:rFonts w:hint="default" w:ascii="Times New Roman" w:hAnsi="Times New Roman" w:cs="Times New Roman"/>
                <w:color w:val="auto"/>
                <w:sz w:val="24"/>
                <w:szCs w:val="24"/>
                <w:lang w:val="en-US" w:eastAsia="zh-CN"/>
              </w:rPr>
              <w:t>处理后</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进入园区污水管网，最终进入宝丰第二污水处理厂处理达标排放</w:t>
            </w:r>
            <w:r>
              <w:rPr>
                <w:rFonts w:hint="default" w:ascii="Times New Roman" w:hAnsi="Times New Roman" w:cs="Times New Roman"/>
                <w:color w:val="auto"/>
                <w:sz w:val="24"/>
                <w:szCs w:val="24"/>
                <w:lang w:eastAsia="zh-CN"/>
              </w:rPr>
              <w:t>。</w:t>
            </w:r>
          </w:p>
          <w:p>
            <w:pPr>
              <w:spacing w:line="360" w:lineRule="auto"/>
              <w:ind w:firstLine="472" w:firstLineChars="200"/>
              <w:rPr>
                <w:rFonts w:hint="default" w:ascii="Times New Roman" w:hAnsi="Times New Roman" w:cs="Times New Roman"/>
                <w:bCs/>
                <w:color w:val="auto"/>
              </w:rPr>
            </w:pPr>
            <w:r>
              <w:rPr>
                <w:rFonts w:hint="default" w:ascii="Times New Roman" w:hAnsi="Times New Roman" w:cs="Times New Roman"/>
                <w:bCs/>
                <w:color w:val="auto"/>
                <w:spacing w:val="-2"/>
                <w:sz w:val="24"/>
              </w:rPr>
              <w:t>参考《建筑中水设计规范》“表3.1.</w:t>
            </w:r>
            <w:r>
              <w:rPr>
                <w:rFonts w:hint="default" w:ascii="Times New Roman" w:hAnsi="Times New Roman" w:cs="Times New Roman"/>
                <w:bCs/>
                <w:color w:val="auto"/>
                <w:spacing w:val="-2"/>
                <w:sz w:val="24"/>
                <w:lang w:val="en-US" w:eastAsia="zh-CN"/>
              </w:rPr>
              <w:t>7</w:t>
            </w:r>
            <w:r>
              <w:rPr>
                <w:rFonts w:hint="default" w:ascii="Times New Roman" w:hAnsi="Times New Roman" w:cs="Times New Roman"/>
                <w:bCs/>
                <w:color w:val="auto"/>
                <w:spacing w:val="-2"/>
                <w:sz w:val="24"/>
              </w:rPr>
              <w:t>各类建筑物各种排水污染浓度”中相关数据，生活污水水质取COD340mg/L、BOD</w:t>
            </w:r>
            <w:r>
              <w:rPr>
                <w:rFonts w:hint="default" w:ascii="Times New Roman" w:hAnsi="Times New Roman" w:cs="Times New Roman"/>
                <w:bCs/>
                <w:color w:val="auto"/>
                <w:spacing w:val="-2"/>
                <w:sz w:val="24"/>
                <w:vertAlign w:val="subscript"/>
              </w:rPr>
              <w:t>5</w:t>
            </w:r>
            <w:r>
              <w:rPr>
                <w:rFonts w:hint="default" w:ascii="Times New Roman" w:hAnsi="Times New Roman" w:cs="Times New Roman"/>
                <w:bCs/>
                <w:color w:val="auto"/>
                <w:spacing w:val="-2"/>
                <w:sz w:val="24"/>
              </w:rPr>
              <w:t>250mg/L、SS250mg/L、NH</w:t>
            </w:r>
            <w:r>
              <w:rPr>
                <w:rFonts w:hint="default" w:ascii="Times New Roman" w:hAnsi="Times New Roman" w:cs="Times New Roman"/>
                <w:bCs/>
                <w:color w:val="auto"/>
                <w:spacing w:val="-2"/>
                <w:sz w:val="24"/>
                <w:vertAlign w:val="subscript"/>
              </w:rPr>
              <w:t>3</w:t>
            </w:r>
            <w:r>
              <w:rPr>
                <w:rFonts w:hint="default" w:ascii="Times New Roman" w:hAnsi="Times New Roman" w:cs="Times New Roman"/>
                <w:bCs/>
                <w:color w:val="auto"/>
                <w:spacing w:val="-2"/>
                <w:sz w:val="24"/>
              </w:rPr>
              <w:t>-N40mg/L，</w:t>
            </w:r>
            <w:r>
              <w:rPr>
                <w:rFonts w:hint="default" w:ascii="Times New Roman" w:hAnsi="Times New Roman" w:cs="Times New Roman"/>
                <w:bCs/>
                <w:color w:val="auto"/>
                <w:sz w:val="24"/>
              </w:rPr>
              <w:t>经化粪池预处理之后，进入集聚区污水管网，最终进入</w:t>
            </w:r>
            <w:r>
              <w:rPr>
                <w:rFonts w:hint="default" w:ascii="Times New Roman" w:hAnsi="Times New Roman" w:cs="Times New Roman"/>
                <w:bCs/>
                <w:color w:val="auto"/>
                <w:sz w:val="24"/>
                <w:lang w:val="en-US" w:eastAsia="zh-CN"/>
              </w:rPr>
              <w:t>宝丰县产业集聚区污水处理厂</w:t>
            </w:r>
            <w:r>
              <w:rPr>
                <w:rFonts w:hint="default" w:ascii="Times New Roman" w:hAnsi="Times New Roman" w:cs="Times New Roman"/>
                <w:bCs/>
                <w:color w:val="auto"/>
                <w:sz w:val="24"/>
              </w:rPr>
              <w:t>进行深度处理。</w:t>
            </w:r>
          </w:p>
          <w:p>
            <w:pPr>
              <w:pStyle w:val="3"/>
              <w:widowControl w:val="0"/>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表4-</w:t>
            </w:r>
            <w:r>
              <w:rPr>
                <w:rFonts w:hint="eastAsia" w:cs="Times New Roman"/>
                <w:b/>
                <w:bCs/>
                <w:color w:val="auto"/>
                <w:szCs w:val="24"/>
                <w:lang w:val="en-US" w:eastAsia="zh-CN"/>
              </w:rPr>
              <w:t>10</w:t>
            </w:r>
            <w:r>
              <w:rPr>
                <w:rFonts w:hint="default" w:ascii="Times New Roman" w:hAnsi="Times New Roman" w:cs="Times New Roman"/>
                <w:b/>
                <w:bCs/>
                <w:color w:val="auto"/>
                <w:szCs w:val="24"/>
              </w:rPr>
              <w:t>生活污水水质及处理措施去除效率一览表</w:t>
            </w:r>
          </w:p>
          <w:tbl>
            <w:tblPr>
              <w:tblStyle w:val="24"/>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1541"/>
              <w:gridCol w:w="1353"/>
              <w:gridCol w:w="1321"/>
              <w:gridCol w:w="169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162"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702"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污水排放量</w:t>
                  </w:r>
                </w:p>
              </w:tc>
              <w:tc>
                <w:tcPr>
                  <w:tcW w:w="3141" w:type="pct"/>
                  <w:gridSpan w:val="4"/>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864</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水质</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mg/L)</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340</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250</w:t>
                  </w:r>
                </w:p>
              </w:tc>
              <w:tc>
                <w:tcPr>
                  <w:tcW w:w="702"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污染物产生量（</w:t>
                  </w:r>
                  <w:r>
                    <w:rPr>
                      <w:rFonts w:hint="default" w:ascii="Times New Roman" w:hAnsi="Times New Roman" w:cs="Times New Roman"/>
                      <w:bCs/>
                      <w:color w:val="auto"/>
                      <w:szCs w:val="21"/>
                      <w:lang w:val="en-US" w:eastAsia="zh-CN"/>
                    </w:rPr>
                    <w:t>t</w:t>
                  </w:r>
                  <w:r>
                    <w:rPr>
                      <w:rFonts w:hint="default" w:ascii="Times New Roman" w:hAnsi="Times New Roman" w:cs="Times New Roman"/>
                      <w:bCs/>
                      <w:color w:val="auto"/>
                      <w:szCs w:val="21"/>
                    </w:rPr>
                    <w:t>/a）</w:t>
                  </w:r>
                </w:p>
              </w:tc>
              <w:tc>
                <w:tcPr>
                  <w:tcW w:w="8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0.294</w:t>
                  </w:r>
                </w:p>
              </w:tc>
              <w:tc>
                <w:tcPr>
                  <w:tcW w:w="7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0.216</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0.035</w:t>
                  </w:r>
                </w:p>
              </w:tc>
              <w:tc>
                <w:tcPr>
                  <w:tcW w:w="89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0.216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治理措施</w:t>
                  </w:r>
                </w:p>
              </w:tc>
              <w:tc>
                <w:tcPr>
                  <w:tcW w:w="3141" w:type="pct"/>
                  <w:gridSpan w:val="4"/>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处理效率（%）</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702"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化粪池处理后水质</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mg/L)</w:t>
                  </w:r>
                </w:p>
              </w:tc>
              <w:tc>
                <w:tcPr>
                  <w:tcW w:w="8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289</w:t>
                  </w:r>
                </w:p>
              </w:tc>
              <w:tc>
                <w:tcPr>
                  <w:tcW w:w="71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175</w:t>
                  </w:r>
                </w:p>
              </w:tc>
              <w:tc>
                <w:tcPr>
                  <w:tcW w:w="702"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38.8</w:t>
                  </w:r>
                </w:p>
              </w:tc>
              <w:tc>
                <w:tcPr>
                  <w:tcW w:w="899"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90" w:hRule="atLeast"/>
                <w:jc w:val="center"/>
              </w:trPr>
              <w:tc>
                <w:tcPr>
                  <w:tcW w:w="1858" w:type="pct"/>
                  <w:tcBorders>
                    <w:tl2br w:val="nil"/>
                    <w:tr2bl w:val="nil"/>
                  </w:tcBorders>
                  <w:noWrap w:val="0"/>
                  <w:vAlign w:val="center"/>
                </w:tcPr>
                <w:p>
                  <w:pPr>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污染物产生量（</w:t>
                  </w:r>
                  <w:r>
                    <w:rPr>
                      <w:rFonts w:hint="default" w:ascii="Times New Roman" w:hAnsi="Times New Roman" w:cs="Times New Roman"/>
                      <w:bCs/>
                      <w:color w:val="auto"/>
                      <w:szCs w:val="21"/>
                      <w:lang w:val="en-US" w:eastAsia="zh-CN"/>
                    </w:rPr>
                    <w:t>t</w:t>
                  </w:r>
                  <w:r>
                    <w:rPr>
                      <w:rFonts w:hint="default" w:ascii="Times New Roman" w:hAnsi="Times New Roman" w:cs="Times New Roman"/>
                      <w:bCs/>
                      <w:color w:val="auto"/>
                      <w:szCs w:val="21"/>
                    </w:rPr>
                    <w:t>/a）</w:t>
                  </w:r>
                </w:p>
              </w:tc>
              <w:tc>
                <w:tcPr>
                  <w:tcW w:w="8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0.25</w:t>
                  </w:r>
                </w:p>
              </w:tc>
              <w:tc>
                <w:tcPr>
                  <w:tcW w:w="71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0.151</w:t>
                  </w:r>
                </w:p>
              </w:tc>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0.034</w:t>
                  </w:r>
                </w:p>
              </w:tc>
              <w:tc>
                <w:tcPr>
                  <w:tcW w:w="899" w:type="pct"/>
                  <w:tcBorders>
                    <w:tl2br w:val="nil"/>
                    <w:tr2bl w:val="nil"/>
                  </w:tcBorders>
                  <w:noWrap w:val="0"/>
                  <w:vAlign w:val="center"/>
                </w:tcPr>
                <w:p>
                  <w:pPr>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0.194</w:t>
                  </w:r>
                </w:p>
              </w:tc>
            </w:tr>
          </w:tbl>
          <w:p>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本项目生活污水处理设施依托可行性分析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根据工程分析，本项目营运期排水为职工日常生活污水，排水水量为</w:t>
            </w:r>
            <w:r>
              <w:rPr>
                <w:rFonts w:hint="default" w:ascii="Times New Roman" w:hAnsi="Times New Roman" w:cs="Times New Roman"/>
                <w:color w:val="auto"/>
                <w:sz w:val="24"/>
                <w:szCs w:val="24"/>
                <w:lang w:val="en-US" w:eastAsia="zh-CN"/>
              </w:rPr>
              <w:t>2.88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864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kern w:val="0"/>
                <w:sz w:val="24"/>
                <w:szCs w:val="24"/>
                <w:lang w:val="en-US" w:eastAsia="zh-CN"/>
              </w:rPr>
              <w:t>。废水经厂区内化粪池（利用现有，容积为60m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，目前河南旭原不锈钢厂区院内约有员工150人，化粪池现收集水量为11m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/d，剩余容量为49m</w:t>
            </w:r>
            <w:r>
              <w:rPr>
                <w:rFonts w:hint="default" w:ascii="Times New Roman" w:hAnsi="Times New Roman" w:cs="Times New Roman"/>
                <w:color w:val="auto"/>
                <w:kern w:val="0"/>
                <w:sz w:val="24"/>
                <w:szCs w:val="24"/>
                <w:vertAlign w:val="superscript"/>
                <w:lang w:val="en-US" w:eastAsia="zh-CN"/>
              </w:rPr>
              <w:t>3</w:t>
            </w:r>
            <w:r>
              <w:rPr>
                <w:rFonts w:hint="default" w:ascii="Times New Roman" w:hAnsi="Times New Roman" w:cs="Times New Roman"/>
                <w:color w:val="auto"/>
                <w:kern w:val="0"/>
                <w:sz w:val="24"/>
                <w:szCs w:val="24"/>
                <w:lang w:val="en-US" w:eastAsia="zh-CN"/>
              </w:rPr>
              <w:t>，可满足本项目使用）收集后，通过河南旭原不锈钢有限公司院内铺设的污水管道进入产业集聚区污水管网（河南旭原不锈钢有限公司南侧为兴宝二路，兴宝二路污水管网己铺设完成），最终排入宝丰县产业集聚区污水处理厂深度处理。项目废水产生及排放情况详见下表。</w:t>
            </w:r>
          </w:p>
          <w:p>
            <w:pPr>
              <w:pStyle w:val="3"/>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default" w:ascii="Times New Roman" w:hAnsi="Times New Roman" w:cs="Times New Roman"/>
                <w:b/>
                <w:bCs/>
                <w:szCs w:val="24"/>
                <w:lang w:val="en-US" w:eastAsia="zh-CN"/>
              </w:rPr>
              <w:t>1</w:t>
            </w:r>
            <w:r>
              <w:rPr>
                <w:rFonts w:hint="eastAsia" w:cs="Times New Roman"/>
                <w:b/>
                <w:bCs/>
                <w:szCs w:val="24"/>
                <w:lang w:val="en-US" w:eastAsia="zh-CN"/>
              </w:rPr>
              <w:t>1</w:t>
            </w:r>
            <w:r>
              <w:rPr>
                <w:rFonts w:hint="default" w:ascii="Times New Roman" w:hAnsi="Times New Roman" w:cs="Times New Roman"/>
                <w:b/>
                <w:bCs/>
                <w:szCs w:val="24"/>
              </w:rPr>
              <w:t>项目废水水质与接管标准、排放标准的对比情况一览表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2216"/>
              <w:gridCol w:w="1074"/>
              <w:gridCol w:w="1003"/>
              <w:gridCol w:w="925"/>
              <w:gridCol w:w="1302"/>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废水量（m</w:t>
                  </w:r>
                  <w:r>
                    <w:rPr>
                      <w:rFonts w:hint="default" w:ascii="Times New Roman" w:hAnsi="Times New Roman"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vertAlign w:val="baseline"/>
                      <w:lang w:val="en-US" w:eastAsia="zh-CN"/>
                    </w:rPr>
                    <w:t>/a）</w:t>
                  </w:r>
                </w:p>
              </w:tc>
              <w:tc>
                <w:tcPr>
                  <w:tcW w:w="533"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COD</w:t>
                  </w:r>
                </w:p>
              </w:tc>
              <w:tc>
                <w:tcPr>
                  <w:tcW w:w="492"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SS</w:t>
                  </w:r>
                </w:p>
              </w:tc>
              <w:tc>
                <w:tcPr>
                  <w:tcW w:w="692"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694" w:type="pct"/>
                  <w:vAlign w:val="center"/>
                </w:tcPr>
                <w:p>
                  <w:pPr>
                    <w:spacing w:line="360" w:lineRule="exact"/>
                    <w:jc w:val="center"/>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产生情况</w:t>
                  </w:r>
                </w:p>
              </w:tc>
              <w:tc>
                <w:tcPr>
                  <w:tcW w:w="11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浓度（mg/L）</w:t>
                  </w:r>
                </w:p>
              </w:tc>
              <w:tc>
                <w:tcPr>
                  <w:tcW w:w="57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864</w:t>
                  </w:r>
                </w:p>
              </w:tc>
              <w:tc>
                <w:tcPr>
                  <w:tcW w:w="533"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289</w:t>
                  </w:r>
                </w:p>
              </w:tc>
              <w:tc>
                <w:tcPr>
                  <w:tcW w:w="4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175</w:t>
                  </w:r>
                </w:p>
              </w:tc>
              <w:tc>
                <w:tcPr>
                  <w:tcW w:w="6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38.8</w:t>
                  </w:r>
                </w:p>
              </w:tc>
              <w:tc>
                <w:tcPr>
                  <w:tcW w:w="694"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产生量（t/a）</w:t>
                  </w:r>
                </w:p>
              </w:tc>
              <w:tc>
                <w:tcPr>
                  <w:tcW w:w="57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533"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0.25</w:t>
                  </w:r>
                </w:p>
              </w:tc>
              <w:tc>
                <w:tcPr>
                  <w:tcW w:w="4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0.151</w:t>
                  </w:r>
                </w:p>
              </w:tc>
              <w:tc>
                <w:tcPr>
                  <w:tcW w:w="692"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0.034</w:t>
                  </w:r>
                </w:p>
              </w:tc>
              <w:tc>
                <w:tcPr>
                  <w:tcW w:w="694" w:type="pct"/>
                  <w:vAlign w:val="center"/>
                </w:tcPr>
                <w:p>
                  <w:pPr>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《污水综合排放标准》(GB8978-1996）中三级排放标准（mg/L）</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400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污水处理厂排放口</w:t>
                  </w:r>
                </w:p>
              </w:tc>
              <w:tc>
                <w:tcPr>
                  <w:tcW w:w="11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排放浓度（mg/L）</w:t>
                  </w:r>
                </w:p>
              </w:tc>
              <w:tc>
                <w:tcPr>
                  <w:tcW w:w="57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864</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排放量（t/a）</w:t>
                  </w:r>
                </w:p>
              </w:tc>
              <w:tc>
                <w:tcPr>
                  <w:tcW w:w="57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0.0432</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0.0086</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0.0043</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《城镇污水处理厂污染物排放标准》(GB18918-2002）一级A标准</w:t>
                  </w:r>
                </w:p>
              </w:tc>
              <w:tc>
                <w:tcPr>
                  <w:tcW w:w="57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w:t>
                  </w:r>
                </w:p>
              </w:tc>
              <w:tc>
                <w:tcPr>
                  <w:tcW w:w="53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≤50</w:t>
                  </w:r>
                </w:p>
              </w:tc>
              <w:tc>
                <w:tcPr>
                  <w:tcW w:w="4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c>
                <w:tcPr>
                  <w:tcW w:w="692"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≤5</w:t>
                  </w:r>
                </w:p>
              </w:tc>
              <w:tc>
                <w:tcPr>
                  <w:tcW w:w="694"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由上表可知，本项目营运期废水能够满足《污水综合排放标准》(GB8978-1996</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中三级标准要求，满足</w:t>
            </w:r>
            <w:r>
              <w:rPr>
                <w:rFonts w:hint="default" w:ascii="Times New Roman" w:hAnsi="Times New Roman" w:cs="Times New Roman"/>
                <w:sz w:val="24"/>
                <w:szCs w:val="24"/>
                <w:lang w:eastAsia="zh-CN"/>
              </w:rPr>
              <w:t>宝丰县产业集聚区污水处理厂</w:t>
            </w:r>
            <w:r>
              <w:rPr>
                <w:rFonts w:hint="default" w:ascii="Times New Roman" w:hAnsi="Times New Roman" w:cs="Times New Roman"/>
                <w:sz w:val="24"/>
                <w:szCs w:val="24"/>
              </w:rPr>
              <w:t>进水水质要求：根据宝丰县产业集聚区规划，集聚区内污水经市政污水管网排入</w:t>
            </w:r>
            <w:r>
              <w:rPr>
                <w:rFonts w:hint="default" w:ascii="Times New Roman" w:hAnsi="Times New Roman" w:cs="Times New Roman"/>
                <w:sz w:val="24"/>
                <w:szCs w:val="24"/>
                <w:lang w:eastAsia="zh-CN"/>
              </w:rPr>
              <w:t>宝丰县产业集聚区污水处理厂</w:t>
            </w:r>
            <w:r>
              <w:rPr>
                <w:rFonts w:hint="default" w:ascii="Times New Roman" w:hAnsi="Times New Roman" w:cs="Times New Roman"/>
                <w:sz w:val="24"/>
                <w:szCs w:val="24"/>
                <w:lang w:val="en-US" w:eastAsia="zh-CN"/>
              </w:rPr>
              <w:t>进行深度</w:t>
            </w:r>
            <w:r>
              <w:rPr>
                <w:rFonts w:hint="default" w:ascii="Times New Roman" w:hAnsi="Times New Roman" w:cs="Times New Roman"/>
                <w:sz w:val="24"/>
                <w:szCs w:val="24"/>
              </w:rPr>
              <w:t>处理。</w:t>
            </w:r>
          </w:p>
          <w:p>
            <w:pPr>
              <w:numPr>
                <w:ilvl w:val="0"/>
                <w:numId w:val="15"/>
              </w:numPr>
              <w:adjustRightInd w:val="0"/>
              <w:spacing w:line="360" w:lineRule="auto"/>
              <w:ind w:left="0"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项目水平衡图</w:t>
            </w:r>
          </w:p>
          <w:p>
            <w:pPr>
              <w:pStyle w:val="3"/>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本项目运营</w:t>
            </w:r>
            <w:r>
              <w:rPr>
                <w:rFonts w:hint="default" w:ascii="Times New Roman" w:hAnsi="Times New Roman" w:cs="Times New Roman"/>
                <w:b w:val="0"/>
                <w:bCs w:val="0"/>
                <w:color w:val="auto"/>
                <w:u w:val="none"/>
                <w:lang w:eastAsia="zh-CN"/>
              </w:rPr>
              <w:t>期间的水平</w:t>
            </w:r>
            <w:r>
              <w:rPr>
                <w:rFonts w:hint="default" w:ascii="Times New Roman" w:hAnsi="Times New Roman" w:cs="Times New Roman"/>
                <w:b w:val="0"/>
                <w:bCs w:val="0"/>
                <w:color w:val="auto"/>
                <w:u w:val="none"/>
              </w:rPr>
              <w:t>衡图见下图所示：</w:t>
            </w:r>
          </w:p>
          <w:p>
            <w:pPr>
              <w:pStyle w:val="17"/>
              <w:keepNext w:val="0"/>
              <w:keepLines w:val="0"/>
              <w:pageBreakBefore w:val="0"/>
              <w:widowControl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object>
                <v:shape id="_x0000_i1030" o:spt="75" type="#_x0000_t75" style="height:278.55pt;width:446.9pt;" o:ole="t" filled="f" o:preferrelative="t" stroked="f" coordsize="21600,21600">
                  <v:path/>
                  <v:fill on="f" focussize="0,0"/>
                  <v:stroke on="f"/>
                  <v:imagedata r:id="rId29" o:title=""/>
                  <o:lock v:ext="edit" aspectratio="f"/>
                  <w10:wrap type="none"/>
                  <w10:anchorlock/>
                </v:shape>
                <o:OLEObject Type="Embed" ProgID="Visio.Drawing.15" ShapeID="_x0000_i1030" DrawAspect="Content" ObjectID="_1468075730" r:id="rId28">
                  <o:LockedField>false</o:LockedField>
                </o:OLEObject>
              </w:object>
            </w:r>
          </w:p>
          <w:p>
            <w:pPr>
              <w:pStyle w:val="17"/>
              <w:keepNext w:val="0"/>
              <w:keepLines w:val="0"/>
              <w:pageBreakBefore w:val="0"/>
              <w:widowControl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w:t>
            </w:r>
            <w:r>
              <w:rPr>
                <w:rFonts w:hint="default" w:ascii="Times New Roman" w:hAnsi="Times New Roman"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w:t>
            </w:r>
            <w:r>
              <w:rPr>
                <w:rFonts w:hint="default" w:ascii="Times New Roman" w:hAnsi="Times New Roman"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val="en-US" w:eastAsia="zh-CN" w:bidi="ar"/>
              </w:rPr>
              <w:t>项目水平衡图单位：m</w:t>
            </w:r>
            <w:r>
              <w:rPr>
                <w:rFonts w:hint="default" w:ascii="Times New Roman" w:hAnsi="Times New Roman" w:eastAsia="宋体" w:cs="Times New Roman"/>
                <w:b/>
                <w:bCs/>
                <w:color w:val="auto"/>
                <w:kern w:val="0"/>
                <w:sz w:val="24"/>
                <w:szCs w:val="24"/>
                <w:vertAlign w:val="superscript"/>
                <w:lang w:val="en-US" w:eastAsia="zh-CN" w:bidi="ar"/>
              </w:rPr>
              <w:t>3</w:t>
            </w:r>
            <w:r>
              <w:rPr>
                <w:rFonts w:hint="default" w:ascii="Times New Roman" w:hAnsi="Times New Roman" w:eastAsia="宋体" w:cs="Times New Roman"/>
                <w:b/>
                <w:bCs/>
                <w:color w:val="auto"/>
                <w:kern w:val="0"/>
                <w:sz w:val="24"/>
                <w:szCs w:val="24"/>
                <w:lang w:val="en-US" w:eastAsia="zh-CN" w:bidi="ar"/>
              </w:rPr>
              <w:t>/d</w:t>
            </w:r>
          </w:p>
          <w:p>
            <w:pPr>
              <w:numPr>
                <w:ilvl w:val="0"/>
                <w:numId w:val="15"/>
              </w:numPr>
              <w:adjustRightInd w:val="0"/>
              <w:spacing w:line="360" w:lineRule="auto"/>
              <w:ind w:left="0" w:firstLine="482" w:firstLineChars="200"/>
              <w:rPr>
                <w:rFonts w:hint="default" w:ascii="Times New Roman" w:hAnsi="Times New Roman" w:cs="Times New Roman"/>
                <w:b/>
                <w:bCs/>
                <w:sz w:val="24"/>
              </w:rPr>
            </w:pPr>
            <w:r>
              <w:rPr>
                <w:rFonts w:hint="default" w:ascii="Times New Roman" w:hAnsi="Times New Roman" w:cs="Times New Roman"/>
                <w:b/>
                <w:bCs/>
                <w:sz w:val="24"/>
              </w:rPr>
              <w:t>废水治理设施及排放情况</w:t>
            </w:r>
          </w:p>
          <w:p>
            <w:pPr>
              <w:pStyle w:val="3"/>
              <w:ind w:firstLine="480"/>
              <w:rPr>
                <w:rFonts w:hint="default" w:ascii="Times New Roman" w:hAnsi="Times New Roman" w:cs="Times New Roman"/>
                <w:b/>
                <w:bCs/>
                <w:kern w:val="2"/>
                <w:szCs w:val="24"/>
              </w:rPr>
            </w:pPr>
            <w:r>
              <w:rPr>
                <w:rFonts w:hint="default" w:ascii="Times New Roman" w:hAnsi="Times New Roman" w:cs="Times New Roman"/>
                <w:b/>
                <w:bCs/>
                <w:kern w:val="2"/>
                <w:szCs w:val="24"/>
              </w:rPr>
              <w:t>①废水类别、污染物及污染物治理设施信息表</w:t>
            </w:r>
          </w:p>
          <w:p>
            <w:pPr>
              <w:pStyle w:val="3"/>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default" w:ascii="Times New Roman" w:hAnsi="Times New Roman" w:cs="Times New Roman"/>
                <w:b/>
                <w:bCs/>
                <w:szCs w:val="24"/>
                <w:lang w:val="en-US" w:eastAsia="zh-CN"/>
              </w:rPr>
              <w:t>1</w:t>
            </w:r>
            <w:r>
              <w:rPr>
                <w:rFonts w:hint="eastAsia" w:cs="Times New Roman"/>
                <w:b/>
                <w:bCs/>
                <w:szCs w:val="24"/>
                <w:lang w:val="en-US" w:eastAsia="zh-CN"/>
              </w:rPr>
              <w:t>2</w:t>
            </w:r>
            <w:r>
              <w:rPr>
                <w:rFonts w:hint="default" w:ascii="Times New Roman" w:hAnsi="Times New Roman" w:cs="Times New Roman"/>
                <w:b/>
                <w:bCs/>
                <w:szCs w:val="24"/>
              </w:rPr>
              <w:t>废水类别、污染物及污染物治理设施信息表</w:t>
            </w:r>
          </w:p>
          <w:tbl>
            <w:tblPr>
              <w:tblStyle w:val="24"/>
              <w:tblW w:w="4999"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15" w:type="dxa"/>
                <w:left w:w="15" w:type="dxa"/>
                <w:bottom w:w="15" w:type="dxa"/>
                <w:right w:w="15" w:type="dxa"/>
              </w:tblCellMar>
            </w:tblPr>
            <w:tblGrid>
              <w:gridCol w:w="917"/>
              <w:gridCol w:w="1104"/>
              <w:gridCol w:w="682"/>
              <w:gridCol w:w="537"/>
              <w:gridCol w:w="1081"/>
              <w:gridCol w:w="1055"/>
              <w:gridCol w:w="980"/>
              <w:gridCol w:w="908"/>
              <w:gridCol w:w="1132"/>
              <w:gridCol w:w="101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487"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废水类别</w:t>
                  </w:r>
                </w:p>
              </w:tc>
              <w:tc>
                <w:tcPr>
                  <w:tcW w:w="586"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污染物种类</w:t>
                  </w:r>
                </w:p>
              </w:tc>
              <w:tc>
                <w:tcPr>
                  <w:tcW w:w="362"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排放去向</w:t>
                  </w:r>
                </w:p>
              </w:tc>
              <w:tc>
                <w:tcPr>
                  <w:tcW w:w="285"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排放规律</w:t>
                  </w:r>
                </w:p>
              </w:tc>
              <w:tc>
                <w:tcPr>
                  <w:tcW w:w="1654" w:type="pct"/>
                  <w:gridSpan w:val="3"/>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污染物治理设施</w:t>
                  </w:r>
                </w:p>
              </w:tc>
              <w:tc>
                <w:tcPr>
                  <w:tcW w:w="482"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highlight w:val="none"/>
                      <w:lang w:val="en-US" w:eastAsia="zh-CN"/>
                    </w:rPr>
                    <w:t>口</w:t>
                  </w:r>
                  <w:r>
                    <w:rPr>
                      <w:rFonts w:hint="default" w:ascii="Times New Roman" w:hAnsi="Times New Roman" w:cs="Times New Roman"/>
                    </w:rPr>
                    <w:t>编号</w:t>
                  </w:r>
                </w:p>
              </w:tc>
              <w:tc>
                <w:tcPr>
                  <w:tcW w:w="601"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lang w:val="en-US" w:eastAsia="zh-CN"/>
                    </w:rPr>
                    <w:t>口</w:t>
                  </w:r>
                  <w:r>
                    <w:rPr>
                      <w:rFonts w:hint="default" w:ascii="Times New Roman" w:hAnsi="Times New Roman" w:cs="Times New Roman"/>
                    </w:rPr>
                    <w:t>设置是否符合要求</w:t>
                  </w:r>
                </w:p>
              </w:tc>
              <w:tc>
                <w:tcPr>
                  <w:tcW w:w="539" w:type="pct"/>
                  <w:vMerge w:val="restar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排放</w:t>
                  </w:r>
                  <w:r>
                    <w:rPr>
                      <w:rFonts w:hint="default" w:ascii="Times New Roman" w:hAnsi="Times New Roman" w:cs="Times New Roman"/>
                      <w:highlight w:val="none"/>
                      <w:lang w:val="en-US" w:eastAsia="zh-CN"/>
                    </w:rPr>
                    <w:t>口</w:t>
                  </w:r>
                  <w:r>
                    <w:rPr>
                      <w:rFonts w:hint="default" w:ascii="Times New Roman" w:hAnsi="Times New Roman" w:cs="Times New Roman"/>
                    </w:rPr>
                    <w:t>类型</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487"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86"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362"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285"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74"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污染治理设施编号</w:t>
                  </w:r>
                </w:p>
              </w:tc>
              <w:tc>
                <w:tcPr>
                  <w:tcW w:w="560"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污染治理设施名称</w:t>
                  </w:r>
                </w:p>
              </w:tc>
              <w:tc>
                <w:tcPr>
                  <w:tcW w:w="519"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污染治理设施工艺</w:t>
                  </w:r>
                </w:p>
              </w:tc>
              <w:tc>
                <w:tcPr>
                  <w:tcW w:w="482"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601"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c>
                <w:tcPr>
                  <w:tcW w:w="539" w:type="pct"/>
                  <w:vMerge w:val="continue"/>
                  <w:tcBorders>
                    <w:tl2br w:val="nil"/>
                    <w:tr2bl w:val="nil"/>
                  </w:tcBorders>
                  <w:noWrap w:val="0"/>
                  <w:vAlign w:val="center"/>
                </w:tcPr>
                <w:p>
                  <w:pPr>
                    <w:spacing w:line="360" w:lineRule="exact"/>
                    <w:jc w:val="cente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301" w:hRule="atLeast"/>
                <w:jc w:val="center"/>
              </w:trPr>
              <w:tc>
                <w:tcPr>
                  <w:tcW w:w="487"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生活污水</w:t>
                  </w:r>
                </w:p>
              </w:tc>
              <w:tc>
                <w:tcPr>
                  <w:tcW w:w="586"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pH、COD、BOD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w:t>
                  </w:r>
                </w:p>
              </w:tc>
              <w:tc>
                <w:tcPr>
                  <w:tcW w:w="362"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lang w:val="en-US" w:eastAsia="zh-CN"/>
                    </w:rPr>
                    <w:t>宝丰县产业集聚区污水处理厂</w:t>
                  </w:r>
                </w:p>
              </w:tc>
              <w:tc>
                <w:tcPr>
                  <w:tcW w:w="285"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间接排放</w:t>
                  </w:r>
                </w:p>
              </w:tc>
              <w:tc>
                <w:tcPr>
                  <w:tcW w:w="574"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TW001</w:t>
                  </w:r>
                </w:p>
              </w:tc>
              <w:tc>
                <w:tcPr>
                  <w:tcW w:w="1079" w:type="pct"/>
                  <w:gridSpan w:val="2"/>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化粪池</w:t>
                  </w:r>
                </w:p>
              </w:tc>
              <w:tc>
                <w:tcPr>
                  <w:tcW w:w="482"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DW001</w:t>
                  </w:r>
                </w:p>
              </w:tc>
              <w:tc>
                <w:tcPr>
                  <w:tcW w:w="601"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sym w:font="Wingdings 2" w:char="0052"/>
                  </w:r>
                  <w:r>
                    <w:rPr>
                      <w:rFonts w:hint="default" w:ascii="Times New Roman" w:hAnsi="Times New Roman" w:cs="Times New Roman"/>
                    </w:rPr>
                    <w:t>是</w:t>
                  </w:r>
                  <w:r>
                    <w:rPr>
                      <w:rFonts w:hint="default" w:ascii="Times New Roman" w:hAnsi="Times New Roman" w:cs="Times New Roman"/>
                    </w:rPr>
                    <w:sym w:font="Wingdings 2" w:char="00A3"/>
                  </w:r>
                  <w:r>
                    <w:rPr>
                      <w:rFonts w:hint="default" w:ascii="Times New Roman" w:hAnsi="Times New Roman" w:cs="Times New Roman"/>
                    </w:rPr>
                    <w:t>否</w:t>
                  </w:r>
                </w:p>
              </w:tc>
              <w:tc>
                <w:tcPr>
                  <w:tcW w:w="539"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总排口</w:t>
                  </w:r>
                </w:p>
              </w:tc>
            </w:tr>
          </w:tbl>
          <w:p>
            <w:pPr>
              <w:pStyle w:val="3"/>
              <w:adjustRightInd w:val="0"/>
              <w:ind w:firstLine="480"/>
              <w:rPr>
                <w:rFonts w:hint="default" w:ascii="Times New Roman" w:hAnsi="Times New Roman" w:cs="Times New Roman"/>
                <w:b/>
                <w:bCs/>
                <w:kern w:val="2"/>
                <w:szCs w:val="24"/>
              </w:rPr>
            </w:pPr>
            <w:r>
              <w:rPr>
                <w:rFonts w:hint="default" w:ascii="Times New Roman" w:hAnsi="Times New Roman" w:cs="Times New Roman"/>
                <w:b/>
                <w:bCs/>
                <w:kern w:val="2"/>
                <w:szCs w:val="24"/>
              </w:rPr>
              <w:t>②废水间接排放口基本情况表</w:t>
            </w:r>
          </w:p>
          <w:p>
            <w:pPr>
              <w:pStyle w:val="3"/>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w:t>
            </w:r>
            <w:r>
              <w:rPr>
                <w:rFonts w:hint="default" w:ascii="Times New Roman" w:hAnsi="Times New Roman" w:cs="Times New Roman"/>
                <w:b/>
                <w:bCs/>
                <w:szCs w:val="24"/>
                <w:lang w:val="en-US" w:eastAsia="zh-CN"/>
              </w:rPr>
              <w:t>1</w:t>
            </w:r>
            <w:r>
              <w:rPr>
                <w:rFonts w:hint="eastAsia" w:cs="Times New Roman"/>
                <w:b/>
                <w:bCs/>
                <w:szCs w:val="24"/>
                <w:lang w:val="en-US" w:eastAsia="zh-CN"/>
              </w:rPr>
              <w:t>3</w:t>
            </w:r>
            <w:r>
              <w:rPr>
                <w:rFonts w:hint="default" w:ascii="Times New Roman" w:hAnsi="Times New Roman" w:cs="Times New Roman"/>
                <w:b/>
                <w:bCs/>
                <w:szCs w:val="24"/>
              </w:rPr>
              <w:t>废水间接排放口基本情况表</w:t>
            </w:r>
          </w:p>
          <w:tbl>
            <w:tblPr>
              <w:tblStyle w:val="24"/>
              <w:tblW w:w="5005"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567"/>
              <w:gridCol w:w="1092"/>
              <w:gridCol w:w="1243"/>
              <w:gridCol w:w="828"/>
              <w:gridCol w:w="862"/>
              <w:gridCol w:w="886"/>
              <w:gridCol w:w="685"/>
              <w:gridCol w:w="573"/>
              <w:gridCol w:w="545"/>
              <w:gridCol w:w="868"/>
              <w:gridCol w:w="127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序号</w:t>
                  </w:r>
                </w:p>
              </w:tc>
              <w:tc>
                <w:tcPr>
                  <w:tcW w:w="57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排放口编号</w:t>
                  </w:r>
                </w:p>
              </w:tc>
              <w:tc>
                <w:tcPr>
                  <w:tcW w:w="1098" w:type="pct"/>
                  <w:gridSpan w:val="2"/>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排放口地理坐标</w:t>
                  </w:r>
                </w:p>
              </w:tc>
              <w:tc>
                <w:tcPr>
                  <w:tcW w:w="457"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废水排放量</w:t>
                  </w:r>
                </w:p>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（t/a）</w:t>
                  </w:r>
                </w:p>
              </w:tc>
              <w:tc>
                <w:tcPr>
                  <w:tcW w:w="470"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排放去向</w:t>
                  </w:r>
                </w:p>
              </w:tc>
              <w:tc>
                <w:tcPr>
                  <w:tcW w:w="363"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排放规律</w:t>
                  </w:r>
                </w:p>
              </w:tc>
              <w:tc>
                <w:tcPr>
                  <w:tcW w:w="304"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间接排放时段</w:t>
                  </w:r>
                </w:p>
              </w:tc>
              <w:tc>
                <w:tcPr>
                  <w:tcW w:w="1424" w:type="pct"/>
                  <w:gridSpan w:val="3"/>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0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659"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经度</w:t>
                  </w:r>
                </w:p>
              </w:tc>
              <w:tc>
                <w:tcPr>
                  <w:tcW w:w="439"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纬度</w:t>
                  </w:r>
                </w:p>
              </w:tc>
              <w:tc>
                <w:tcPr>
                  <w:tcW w:w="457"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70"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63"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名称</w:t>
                  </w: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污染物种类</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国家或地方污染物排放标准浓度限值（mg/L）</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w:t>
                  </w:r>
                </w:p>
              </w:tc>
              <w:tc>
                <w:tcPr>
                  <w:tcW w:w="57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DW001</w:t>
                  </w:r>
                </w:p>
              </w:tc>
              <w:tc>
                <w:tcPr>
                  <w:tcW w:w="65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g113.06420803</w:t>
                  </w:r>
                </w:p>
              </w:tc>
              <w:tc>
                <w:tcPr>
                  <w:tcW w:w="43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33.8384515</w:t>
                  </w:r>
                </w:p>
              </w:tc>
              <w:tc>
                <w:tcPr>
                  <w:tcW w:w="457"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1130.02</w:t>
                  </w:r>
                </w:p>
              </w:tc>
              <w:tc>
                <w:tcPr>
                  <w:tcW w:w="470"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lang w:val="en-US" w:eastAsia="zh-CN"/>
                    </w:rPr>
                    <w:t>宝丰县产业集聚区污水处理厂</w:t>
                  </w:r>
                </w:p>
              </w:tc>
              <w:tc>
                <w:tcPr>
                  <w:tcW w:w="363"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间接排放</w:t>
                  </w:r>
                </w:p>
              </w:tc>
              <w:tc>
                <w:tcPr>
                  <w:tcW w:w="304"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w:t>
                  </w:r>
                </w:p>
              </w:tc>
              <w:tc>
                <w:tcPr>
                  <w:tcW w:w="289"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lang w:val="en-US" w:eastAsia="zh-CN"/>
                    </w:rPr>
                    <w:t>宝丰县产业集聚区污水处理厂</w:t>
                  </w: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COD</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50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65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7"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70"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63"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65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7"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70"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63"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SS</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65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7"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70"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63"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氨氮</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5</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0" w:hRule="atLeast"/>
                <w:jc w:val="center"/>
              </w:trPr>
              <w:tc>
                <w:tcPr>
                  <w:tcW w:w="30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57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65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3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57"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70"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63"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304"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289"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rPr>
                  </w:pPr>
                </w:p>
              </w:tc>
              <w:tc>
                <w:tcPr>
                  <w:tcW w:w="460"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pH</w:t>
                  </w:r>
                </w:p>
              </w:tc>
              <w:tc>
                <w:tcPr>
                  <w:tcW w:w="675"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6-9</w:t>
                  </w:r>
                </w:p>
              </w:tc>
            </w:tr>
          </w:tbl>
          <w:p>
            <w:pPr>
              <w:numPr>
                <w:ilvl w:val="0"/>
                <w:numId w:val="15"/>
              </w:numPr>
              <w:adjustRightInd w:val="0"/>
              <w:spacing w:line="360" w:lineRule="auto"/>
              <w:ind w:left="0" w:firstLine="482" w:firstLineChars="200"/>
              <w:rPr>
                <w:rFonts w:hint="default" w:ascii="Times New Roman" w:hAnsi="Times New Roman" w:cs="Times New Roman"/>
                <w:b/>
                <w:bCs/>
                <w:sz w:val="24"/>
              </w:rPr>
            </w:pPr>
            <w:r>
              <w:rPr>
                <w:rFonts w:hint="default" w:ascii="Times New Roman" w:hAnsi="Times New Roman" w:cs="Times New Roman"/>
                <w:b/>
                <w:bCs/>
                <w:sz w:val="24"/>
              </w:rPr>
              <w:t>项目排水进入集聚区污水处理厂的可行性</w:t>
            </w:r>
          </w:p>
          <w:p>
            <w:pPr>
              <w:pStyle w:val="36"/>
              <w:numPr>
                <w:ilvl w:val="0"/>
                <w:numId w:val="0"/>
              </w:numPr>
              <w:tabs>
                <w:tab w:val="left" w:pos="954"/>
              </w:tabs>
              <w:spacing w:line="360" w:lineRule="auto"/>
              <w:ind w:leftChars="200"/>
              <w:rPr>
                <w:rFonts w:hint="default" w:ascii="Times New Roman" w:hAnsi="Times New Roman" w:cs="Times New Roman"/>
                <w:b/>
                <w:bCs/>
                <w:sz w:val="24"/>
              </w:rPr>
            </w:pPr>
            <w:r>
              <w:rPr>
                <w:rFonts w:hint="default" w:ascii="Times New Roman" w:hAnsi="Times New Roman" w:eastAsia="宋体" w:cs="Times New Roman"/>
                <w:b/>
                <w:bCs/>
                <w:sz w:val="24"/>
              </w:rPr>
              <w:t>①</w:t>
            </w:r>
            <w:r>
              <w:rPr>
                <w:rFonts w:hint="default" w:ascii="Times New Roman" w:hAnsi="Times New Roman" w:cs="Times New Roman"/>
                <w:b/>
                <w:bCs/>
                <w:sz w:val="24"/>
              </w:rPr>
              <w:t>建设时间及收水范围的衔接性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根据宝丰县产业集聚区总体发展规划（2016-2020）</w:t>
            </w:r>
            <w:r>
              <w:rPr>
                <w:rFonts w:hint="default" w:ascii="Times New Roman" w:hAnsi="Times New Roman" w:cs="Times New Roman"/>
                <w:sz w:val="24"/>
                <w:szCs w:val="24"/>
                <w:lang w:val="en-US" w:eastAsia="zh-CN"/>
              </w:rPr>
              <w:t>以及《宝丰县第二污水处理项目报告书》</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宝丰县产业集聚区污水处理厂</w:t>
            </w:r>
            <w:r>
              <w:rPr>
                <w:rFonts w:hint="default" w:ascii="Times New Roman" w:hAnsi="Times New Roman" w:cs="Times New Roman"/>
                <w:sz w:val="24"/>
                <w:szCs w:val="24"/>
              </w:rPr>
              <w:t>位于</w:t>
            </w:r>
            <w:r>
              <w:rPr>
                <w:rFonts w:hint="default" w:ascii="Times New Roman" w:hAnsi="Times New Roman" w:cs="Times New Roman"/>
                <w:sz w:val="24"/>
                <w:szCs w:val="24"/>
                <w:lang w:val="en-US" w:eastAsia="zh-CN"/>
              </w:rPr>
              <w:t>宝丰县产业集聚区北部物流园区，大张庄西侧，现有宝丰县污水处理厂南侧。宝丰县产业集聚区污水处理厂</w:t>
            </w:r>
            <w:r>
              <w:rPr>
                <w:rFonts w:hint="default" w:ascii="Times New Roman" w:hAnsi="Times New Roman" w:cs="Times New Roman"/>
                <w:sz w:val="24"/>
                <w:szCs w:val="24"/>
              </w:rPr>
              <w:t>于2016年2月通过环评批复，批文号豫环评备[2016]3号，并于2016年11月通过环保验收，验收批文号为平环建验[2016]5号</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厂区占地面积53275.8m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设计规模</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/d，实际收水量约为1.5万</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d</w:t>
            </w:r>
            <w:r>
              <w:rPr>
                <w:rFonts w:hint="default" w:ascii="Times New Roman" w:hAnsi="Times New Roman" w:cs="Times New Roman"/>
                <w:sz w:val="24"/>
                <w:szCs w:val="24"/>
              </w:rPr>
              <w:t>，主要接收</w:t>
            </w:r>
            <w:r>
              <w:rPr>
                <w:rFonts w:hint="default" w:ascii="Times New Roman" w:hAnsi="Times New Roman" w:cs="Times New Roman"/>
                <w:sz w:val="24"/>
                <w:szCs w:val="24"/>
                <w:lang w:val="en-US" w:eastAsia="zh-CN"/>
              </w:rPr>
              <w:t>宝丰县</w:t>
            </w:r>
            <w:r>
              <w:rPr>
                <w:rFonts w:hint="default" w:ascii="Times New Roman" w:hAnsi="Times New Roman" w:cs="Times New Roman"/>
                <w:sz w:val="24"/>
                <w:szCs w:val="24"/>
              </w:rPr>
              <w:t>产业集聚区污水</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包含生活污水和工业废水</w:t>
            </w:r>
            <w:r>
              <w:rPr>
                <w:rFonts w:hint="default" w:ascii="Times New Roman" w:hAnsi="Times New Roman" w:cs="Times New Roman"/>
                <w:sz w:val="24"/>
                <w:szCs w:val="24"/>
                <w:lang w:eastAsia="zh-CN"/>
              </w:rPr>
              <w:t>）</w:t>
            </w:r>
            <w:r>
              <w:rPr>
                <w:rFonts w:hint="default" w:ascii="Times New Roman" w:hAnsi="Times New Roman" w:cs="Times New Roman"/>
                <w:sz w:val="24"/>
                <w:szCs w:val="24"/>
              </w:rPr>
              <w:t>，采用</w:t>
            </w:r>
            <w:r>
              <w:rPr>
                <w:rFonts w:hint="default" w:ascii="Times New Roman" w:hAnsi="Times New Roman" w:cs="Times New Roman"/>
                <w:sz w:val="24"/>
                <w:szCs w:val="24"/>
                <w:lang w:eastAsia="zh-CN"/>
              </w:rPr>
              <w:t>“水解酸化十改良型氧化沟+转盘纤维滤池十二氧化氯消毒”</w:t>
            </w:r>
            <w:r>
              <w:rPr>
                <w:rFonts w:hint="default" w:ascii="Times New Roman" w:hAnsi="Times New Roman" w:cs="Times New Roman"/>
                <w:sz w:val="24"/>
                <w:szCs w:val="24"/>
              </w:rPr>
              <w:t>，出水满足《城镇污水处理厂污染物排放标准》（GB18918-2002）中一级A标准限值要求，处理达标废水全部回用</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一部分送至鲁阳电厂</w:t>
            </w:r>
            <w:r>
              <w:rPr>
                <w:rFonts w:hint="default" w:ascii="Times New Roman" w:hAnsi="Times New Roman" w:cs="Times New Roman"/>
                <w:sz w:val="24"/>
                <w:szCs w:val="24"/>
                <w:lang w:eastAsia="zh-CN"/>
              </w:rPr>
              <w:t>，</w:t>
            </w:r>
            <w:r>
              <w:rPr>
                <w:rFonts w:hint="default" w:ascii="Times New Roman" w:hAnsi="Times New Roman" w:cs="Times New Roman"/>
                <w:sz w:val="24"/>
                <w:szCs w:val="24"/>
              </w:rPr>
              <w:t>另一部分进入湛河源头作为景观用水</w:t>
            </w:r>
            <w:r>
              <w:rPr>
                <w:rFonts w:hint="default" w:ascii="Times New Roman" w:hAnsi="Times New Roman" w:cs="Times New Roman"/>
                <w:sz w:val="24"/>
                <w:szCs w:val="24"/>
                <w:lang w:eastAsia="zh-CN"/>
              </w:rPr>
              <w:t>。</w:t>
            </w:r>
            <w:r>
              <w:rPr>
                <w:rFonts w:hint="default" w:ascii="Times New Roman" w:hAnsi="Times New Roman" w:cs="Times New Roman"/>
                <w:sz w:val="24"/>
                <w:szCs w:val="24"/>
              </w:rPr>
              <w:t>目前，</w:t>
            </w:r>
            <w:r>
              <w:rPr>
                <w:rFonts w:hint="default" w:ascii="Times New Roman" w:hAnsi="Times New Roman" w:cs="Times New Roman"/>
                <w:sz w:val="24"/>
                <w:szCs w:val="24"/>
                <w:lang w:val="en-US" w:eastAsia="zh-CN"/>
              </w:rPr>
              <w:t>宝丰县产业集聚区污水处理厂</w:t>
            </w:r>
            <w:r>
              <w:rPr>
                <w:rFonts w:hint="default" w:ascii="Times New Roman" w:hAnsi="Times New Roman" w:cs="Times New Roman"/>
                <w:sz w:val="24"/>
                <w:szCs w:val="24"/>
              </w:rPr>
              <w:t>工程已经建成并投入试运行。本项目</w:t>
            </w:r>
            <w:r>
              <w:rPr>
                <w:rFonts w:hint="default" w:ascii="Times New Roman" w:hAnsi="Times New Roman" w:cs="Times New Roman"/>
                <w:sz w:val="24"/>
                <w:szCs w:val="24"/>
                <w:lang w:val="en-US" w:eastAsia="zh-CN"/>
              </w:rPr>
              <w:t>所在区域，</w:t>
            </w:r>
            <w:r>
              <w:rPr>
                <w:rFonts w:hint="default" w:ascii="Times New Roman" w:hAnsi="Times New Roman" w:cs="Times New Roman"/>
                <w:sz w:val="24"/>
                <w:szCs w:val="24"/>
              </w:rPr>
              <w:t>污水管网已铺设，项目投产后可进入该污水处理厂处理。因此从管网衔接上分析，项目废水进入</w:t>
            </w:r>
            <w:r>
              <w:rPr>
                <w:rFonts w:hint="default" w:ascii="Times New Roman" w:hAnsi="Times New Roman" w:cs="Times New Roman"/>
                <w:sz w:val="24"/>
                <w:szCs w:val="24"/>
                <w:lang w:val="en-US" w:eastAsia="zh-CN"/>
              </w:rPr>
              <w:t>宝丰县产业集聚区污水处理厂</w:t>
            </w:r>
            <w:r>
              <w:rPr>
                <w:rFonts w:hint="default" w:ascii="Times New Roman" w:hAnsi="Times New Roman" w:cs="Times New Roman"/>
                <w:sz w:val="24"/>
                <w:szCs w:val="24"/>
              </w:rPr>
              <w:t>处理可行。</w:t>
            </w:r>
          </w:p>
          <w:p>
            <w:pPr>
              <w:pStyle w:val="36"/>
              <w:numPr>
                <w:ilvl w:val="0"/>
                <w:numId w:val="0"/>
              </w:numPr>
              <w:tabs>
                <w:tab w:val="left" w:pos="954"/>
              </w:tabs>
              <w:spacing w:line="360" w:lineRule="auto"/>
              <w:ind w:leftChars="200"/>
              <w:rPr>
                <w:rFonts w:hint="default" w:ascii="Times New Roman" w:hAnsi="Times New Roman" w:eastAsia="宋体" w:cs="Times New Roman"/>
                <w:b/>
                <w:bCs/>
                <w:sz w:val="24"/>
              </w:rPr>
            </w:pPr>
            <w:r>
              <w:rPr>
                <w:rFonts w:hint="default" w:ascii="Times New Roman" w:hAnsi="Times New Roman" w:eastAsia="宋体" w:cs="Times New Roman"/>
                <w:b/>
                <w:bCs/>
                <w:sz w:val="24"/>
              </w:rPr>
              <w:t>②项目废水水量与处理规模的衔接性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本项目废水排放量</w:t>
            </w:r>
            <w:r>
              <w:rPr>
                <w:rFonts w:hint="default" w:ascii="Times New Roman" w:hAnsi="Times New Roman" w:cs="Times New Roman"/>
                <w:sz w:val="24"/>
                <w:szCs w:val="24"/>
                <w:lang w:val="en-US" w:eastAsia="zh-CN"/>
              </w:rPr>
              <w:t>864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/a，约为</w:t>
            </w:r>
            <w:r>
              <w:rPr>
                <w:rFonts w:hint="default" w:ascii="Times New Roman" w:hAnsi="Times New Roman" w:cs="Times New Roman"/>
                <w:sz w:val="24"/>
                <w:szCs w:val="24"/>
                <w:lang w:val="en-US" w:eastAsia="zh-CN"/>
              </w:rPr>
              <w:t>2.88</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/d，占</w:t>
            </w:r>
            <w:r>
              <w:rPr>
                <w:rFonts w:hint="default" w:ascii="Times New Roman" w:hAnsi="Times New Roman" w:cs="Times New Roman"/>
                <w:sz w:val="24"/>
                <w:szCs w:val="24"/>
                <w:lang w:val="en-US" w:eastAsia="zh-CN"/>
              </w:rPr>
              <w:t>宝丰县产业集聚区污水处理厂</w:t>
            </w:r>
            <w:r>
              <w:rPr>
                <w:rFonts w:hint="default" w:ascii="Times New Roman" w:hAnsi="Times New Roman" w:cs="Times New Roman"/>
                <w:sz w:val="24"/>
                <w:szCs w:val="24"/>
              </w:rPr>
              <w:t>工程设计处理量（</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万m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/d）的</w:t>
            </w:r>
            <w:r>
              <w:rPr>
                <w:rFonts w:hint="default" w:ascii="Times New Roman" w:hAnsi="Times New Roman" w:cs="Times New Roman"/>
                <w:sz w:val="24"/>
                <w:szCs w:val="24"/>
                <w:lang w:val="en-US" w:eastAsia="zh-CN"/>
              </w:rPr>
              <w:t>0.0144%，</w:t>
            </w:r>
            <w:r>
              <w:rPr>
                <w:rFonts w:hint="default" w:ascii="Times New Roman" w:hAnsi="Times New Roman" w:cs="Times New Roman"/>
                <w:sz w:val="24"/>
                <w:szCs w:val="24"/>
              </w:rPr>
              <w:t>因此从处理规模上讲，本项目外排废水进入</w:t>
            </w:r>
            <w:r>
              <w:rPr>
                <w:rFonts w:hint="default" w:ascii="Times New Roman" w:hAnsi="Times New Roman" w:cs="Times New Roman"/>
                <w:sz w:val="24"/>
                <w:szCs w:val="24"/>
                <w:lang w:val="en-US" w:eastAsia="zh-CN"/>
              </w:rPr>
              <w:t>宝丰县产业集聚区污水处理厂</w:t>
            </w:r>
            <w:r>
              <w:rPr>
                <w:rFonts w:hint="default" w:ascii="Times New Roman" w:hAnsi="Times New Roman" w:cs="Times New Roman"/>
                <w:sz w:val="24"/>
                <w:szCs w:val="24"/>
              </w:rPr>
              <w:t>处理可行。</w:t>
            </w:r>
          </w:p>
          <w:p>
            <w:pPr>
              <w:numPr>
                <w:ilvl w:val="0"/>
                <w:numId w:val="15"/>
              </w:numPr>
              <w:adjustRightInd w:val="0"/>
              <w:spacing w:line="360" w:lineRule="auto"/>
              <w:ind w:left="0" w:firstLine="482" w:firstLineChars="200"/>
              <w:rPr>
                <w:rFonts w:hint="default" w:ascii="Times New Roman" w:hAnsi="Times New Roman" w:cs="Times New Roman"/>
                <w:b/>
                <w:bCs/>
                <w:sz w:val="24"/>
              </w:rPr>
            </w:pPr>
            <w:r>
              <w:rPr>
                <w:rFonts w:hint="default" w:ascii="Times New Roman" w:hAnsi="Times New Roman" w:cs="Times New Roman"/>
                <w:b/>
                <w:bCs/>
                <w:sz w:val="24"/>
              </w:rPr>
              <w:t>废水监测要求</w:t>
            </w:r>
          </w:p>
          <w:p>
            <w:pPr>
              <w:pStyle w:val="36"/>
              <w:spacing w:line="365"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根据《排污单位自行监测技术指南 总则》（</w:t>
            </w:r>
            <w:r>
              <w:rPr>
                <w:rFonts w:hint="default" w:ascii="Times New Roman" w:hAnsi="Times New Roman" w:eastAsia="Times New Roman" w:cs="Times New Roman"/>
                <w:sz w:val="24"/>
              </w:rPr>
              <w:t>HJ819-2017</w:t>
            </w:r>
            <w:r>
              <w:rPr>
                <w:rFonts w:hint="default" w:ascii="Times New Roman" w:hAnsi="Times New Roman" w:cs="Times New Roman"/>
                <w:sz w:val="24"/>
              </w:rPr>
              <w:t>）和《排污许可</w:t>
            </w:r>
            <w:r>
              <w:rPr>
                <w:rFonts w:hint="default" w:ascii="Times New Roman" w:hAnsi="Times New Roman" w:cs="Times New Roman"/>
                <w:spacing w:val="-3"/>
                <w:sz w:val="24"/>
              </w:rPr>
              <w:t>证申请与核发技术规范</w:t>
            </w:r>
            <w:r>
              <w:rPr>
                <w:rFonts w:hint="default" w:ascii="Times New Roman" w:hAnsi="Times New Roman" w:cs="Times New Roman"/>
                <w:spacing w:val="-3"/>
                <w:sz w:val="24"/>
                <w:lang w:val="en-US" w:eastAsia="zh-CN"/>
              </w:rPr>
              <w:t xml:space="preserve"> </w:t>
            </w:r>
            <w:r>
              <w:rPr>
                <w:rFonts w:hint="default" w:ascii="Times New Roman" w:hAnsi="Times New Roman" w:cs="Times New Roman"/>
                <w:spacing w:val="-3"/>
                <w:sz w:val="24"/>
              </w:rPr>
              <w:t>废弃资源加工工业》</w:t>
            </w:r>
            <w:r>
              <w:rPr>
                <w:rFonts w:hint="default" w:ascii="Times New Roman" w:hAnsi="Times New Roman" w:cs="Times New Roman"/>
                <w:sz w:val="24"/>
              </w:rPr>
              <w:t>（</w:t>
            </w:r>
            <w:r>
              <w:rPr>
                <w:rFonts w:hint="default" w:ascii="Times New Roman" w:hAnsi="Times New Roman" w:eastAsia="Times New Roman" w:cs="Times New Roman"/>
                <w:sz w:val="24"/>
              </w:rPr>
              <w:t>HJ1034-2019</w:t>
            </w:r>
            <w:r>
              <w:rPr>
                <w:rFonts w:hint="default" w:ascii="Times New Roman" w:hAnsi="Times New Roman" w:cs="Times New Roman"/>
                <w:sz w:val="24"/>
              </w:rPr>
              <w:t>）</w:t>
            </w:r>
            <w:r>
              <w:rPr>
                <w:rFonts w:hint="default" w:ascii="Times New Roman" w:hAnsi="Times New Roman" w:cs="Times New Roman"/>
                <w:spacing w:val="-2"/>
                <w:sz w:val="24"/>
              </w:rPr>
              <w:t>确定本项目的具体</w:t>
            </w:r>
            <w:r>
              <w:rPr>
                <w:rFonts w:hint="default" w:ascii="Times New Roman" w:hAnsi="Times New Roman" w:cs="Times New Roman"/>
                <w:spacing w:val="-4"/>
                <w:sz w:val="24"/>
              </w:rPr>
              <w:t>监测计划，运营期废水监测要求见表</w:t>
            </w:r>
            <w:r>
              <w:rPr>
                <w:rFonts w:hint="default" w:ascii="Times New Roman" w:hAnsi="Times New Roman" w:eastAsia="Times New Roman" w:cs="Times New Roman"/>
                <w:sz w:val="24"/>
              </w:rPr>
              <w:t>4-</w:t>
            </w:r>
            <w:r>
              <w:rPr>
                <w:rFonts w:hint="default" w:ascii="Times New Roman" w:hAnsi="Times New Roman" w:cs="Times New Roman"/>
                <w:sz w:val="24"/>
                <w:lang w:val="en-US"/>
              </w:rPr>
              <w:t>1</w:t>
            </w:r>
            <w:r>
              <w:rPr>
                <w:rFonts w:hint="eastAsia" w:ascii="Times New Roman" w:hAnsi="Times New Roman" w:cs="Times New Roman"/>
                <w:sz w:val="24"/>
                <w:lang w:val="en-US" w:eastAsia="zh-CN"/>
              </w:rPr>
              <w:t>4</w:t>
            </w:r>
            <w:r>
              <w:rPr>
                <w:rFonts w:hint="default" w:ascii="Times New Roman" w:hAnsi="Times New Roman" w:cs="Times New Roman"/>
                <w:sz w:val="24"/>
              </w:rPr>
              <w:t>。</w:t>
            </w:r>
          </w:p>
          <w:p>
            <w:pPr>
              <w:pStyle w:val="3"/>
              <w:widowControl w:val="0"/>
              <w:spacing w:line="240" w:lineRule="auto"/>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表4-1</w:t>
            </w:r>
            <w:r>
              <w:rPr>
                <w:rFonts w:hint="eastAsia" w:cs="Times New Roman"/>
                <w:b/>
                <w:bCs/>
                <w:szCs w:val="24"/>
                <w:lang w:val="en-US" w:eastAsia="zh-CN"/>
              </w:rPr>
              <w:t>4</w:t>
            </w:r>
            <w:r>
              <w:rPr>
                <w:rFonts w:hint="default" w:ascii="Times New Roman" w:hAnsi="Times New Roman" w:cs="Times New Roman"/>
                <w:b/>
                <w:bCs/>
                <w:szCs w:val="24"/>
              </w:rPr>
              <w:t>项目运营期废水监测要求</w:t>
            </w:r>
          </w:p>
          <w:tbl>
            <w:tblPr>
              <w:tblStyle w:val="24"/>
              <w:tblW w:w="4998"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15" w:type="dxa"/>
                <w:left w:w="15" w:type="dxa"/>
                <w:bottom w:w="15" w:type="dxa"/>
                <w:right w:w="15" w:type="dxa"/>
              </w:tblCellMar>
            </w:tblPr>
            <w:tblGrid>
              <w:gridCol w:w="1320"/>
              <w:gridCol w:w="2293"/>
              <w:gridCol w:w="2050"/>
              <w:gridCol w:w="1389"/>
              <w:gridCol w:w="2357"/>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301" w:hRule="atLeast"/>
                <w:jc w:val="center"/>
              </w:trPr>
              <w:tc>
                <w:tcPr>
                  <w:tcW w:w="702"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监测类别</w:t>
                  </w:r>
                </w:p>
              </w:tc>
              <w:tc>
                <w:tcPr>
                  <w:tcW w:w="1218"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监测因子</w:t>
                  </w:r>
                </w:p>
              </w:tc>
              <w:tc>
                <w:tcPr>
                  <w:tcW w:w="1089"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监测点位</w:t>
                  </w:r>
                </w:p>
              </w:tc>
              <w:tc>
                <w:tcPr>
                  <w:tcW w:w="738"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监测频次</w:t>
                  </w:r>
                </w:p>
              </w:tc>
              <w:tc>
                <w:tcPr>
                  <w:tcW w:w="1252" w:type="pct"/>
                  <w:tcBorders>
                    <w:tl2br w:val="nil"/>
                    <w:tr2bl w:val="nil"/>
                  </w:tcBorders>
                  <w:noWrap w:val="0"/>
                  <w:vAlign w:val="center"/>
                </w:tcPr>
                <w:p>
                  <w:pPr>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依据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15" w:type="dxa"/>
                  <w:left w:w="15" w:type="dxa"/>
                  <w:bottom w:w="15" w:type="dxa"/>
                  <w:right w:w="15" w:type="dxa"/>
                </w:tblCellMar>
              </w:tblPrEx>
              <w:trPr>
                <w:trHeight w:val="575" w:hRule="atLeast"/>
                <w:jc w:val="center"/>
              </w:trPr>
              <w:tc>
                <w:tcPr>
                  <w:tcW w:w="702" w:type="pct"/>
                  <w:tcBorders>
                    <w:tl2br w:val="nil"/>
                    <w:tr2bl w:val="nil"/>
                  </w:tcBorders>
                  <w:noWrap w:val="0"/>
                  <w:vAlign w:val="center"/>
                </w:tcPr>
                <w:p>
                  <w:pPr>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生活污水</w:t>
                  </w:r>
                </w:p>
              </w:tc>
              <w:tc>
                <w:tcPr>
                  <w:tcW w:w="1218" w:type="pct"/>
                  <w:tcBorders>
                    <w:tl2br w:val="nil"/>
                    <w:tr2bl w:val="nil"/>
                  </w:tcBorders>
                  <w:noWrap w:val="0"/>
                  <w:vAlign w:val="center"/>
                </w:tcPr>
                <w:p>
                  <w:pPr>
                    <w:spacing w:line="360" w:lineRule="exact"/>
                    <w:jc w:val="center"/>
                    <w:rPr>
                      <w:rFonts w:hint="default" w:ascii="Times New Roman" w:hAnsi="Times New Roman" w:eastAsia="宋体" w:cs="Times New Roman"/>
                      <w:lang w:val="en-US" w:eastAsia="zh-CN"/>
                    </w:rPr>
                  </w:pPr>
                  <w:r>
                    <w:rPr>
                      <w:rFonts w:hint="default" w:ascii="Times New Roman" w:hAnsi="Times New Roman" w:cs="Times New Roman"/>
                    </w:rPr>
                    <w:t>pH、COD、BOD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w:t>
                  </w:r>
                  <w:r>
                    <w:rPr>
                      <w:rFonts w:hint="default" w:ascii="Times New Roman" w:hAnsi="Times New Roman" w:cs="Times New Roman"/>
                      <w:lang w:eastAsia="zh-CN"/>
                    </w:rPr>
                    <w:t>、</w:t>
                  </w:r>
                  <w:r>
                    <w:rPr>
                      <w:rFonts w:hint="default" w:ascii="Times New Roman" w:hAnsi="Times New Roman" w:cs="Times New Roman"/>
                      <w:lang w:val="en-US" w:eastAsia="zh-CN"/>
                    </w:rPr>
                    <w:t>石油类、总磷</w:t>
                  </w:r>
                </w:p>
              </w:tc>
              <w:tc>
                <w:tcPr>
                  <w:tcW w:w="1089" w:type="pct"/>
                  <w:tcBorders>
                    <w:tl2br w:val="nil"/>
                    <w:tr2bl w:val="nil"/>
                  </w:tcBorders>
                  <w:noWrap w:val="0"/>
                  <w:vAlign w:val="center"/>
                </w:tcPr>
                <w:p>
                  <w:pPr>
                    <w:spacing w:line="360" w:lineRule="exact"/>
                    <w:jc w:val="center"/>
                    <w:rPr>
                      <w:rFonts w:hint="default" w:ascii="Times New Roman" w:hAnsi="Times New Roman" w:eastAsia="宋体" w:cs="Times New Roman"/>
                      <w:lang w:eastAsia="zh-CN"/>
                    </w:rPr>
                  </w:pPr>
                  <w:r>
                    <w:rPr>
                      <w:rFonts w:hint="default" w:ascii="Times New Roman" w:hAnsi="Times New Roman" w:cs="Times New Roman"/>
                    </w:rPr>
                    <w:t>废水总排</w:t>
                  </w:r>
                  <w:r>
                    <w:rPr>
                      <w:rFonts w:hint="default" w:ascii="Times New Roman" w:hAnsi="Times New Roman" w:cs="Times New Roman"/>
                      <w:lang w:val="en-US" w:eastAsia="zh-CN"/>
                    </w:rPr>
                    <w:t>口（化粪池出口）</w:t>
                  </w:r>
                </w:p>
              </w:tc>
              <w:tc>
                <w:tcPr>
                  <w:tcW w:w="738"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1次/年</w:t>
                  </w:r>
                </w:p>
              </w:tc>
              <w:tc>
                <w:tcPr>
                  <w:tcW w:w="1252" w:type="pct"/>
                  <w:tcBorders>
                    <w:tl2br w:val="nil"/>
                    <w:tr2bl w:val="nil"/>
                  </w:tcBorders>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《排污许可证申请与核发技术规范 废弃资源加工工业》（HJ1034-2019）</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single"/>
                <w:lang w:val="en-US" w:eastAsia="zh-CN"/>
              </w:rPr>
            </w:pPr>
            <w:r>
              <w:rPr>
                <w:rFonts w:hint="default" w:ascii="Times New Roman" w:hAnsi="Times New Roman" w:eastAsia="宋体" w:cs="Times New Roman"/>
                <w:b/>
                <w:sz w:val="24"/>
                <w:u w:val="single"/>
                <w:lang w:val="en-US" w:eastAsia="zh-CN"/>
              </w:rPr>
              <w:t>3、噪声</w:t>
            </w:r>
            <w:r>
              <w:rPr>
                <w:rFonts w:hint="default" w:ascii="Times New Roman" w:hAnsi="Times New Roman" w:cs="Times New Roman"/>
                <w:b/>
                <w:sz w:val="24"/>
                <w:u w:val="single"/>
                <w:lang w:val="en-US" w:eastAsia="zh-CN"/>
              </w:rPr>
              <w:t>环境影响和保护措施</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厂区设备噪声对周围环境影响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（1）环境影响分析</w:t>
            </w:r>
          </w:p>
          <w:p>
            <w:pPr>
              <w:snapToGri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本项目噪声源主要为破碎机、熔融挤出机、切粒机、风机等设备，其源强约为70-85dB（A），拟采取相应的降噪措施。项目噪声污染源源强及治理措施见</w:t>
            </w:r>
            <w:r>
              <w:rPr>
                <w:rFonts w:hint="default" w:ascii="Times New Roman" w:hAnsi="Times New Roman" w:cs="Times New Roman"/>
                <w:b w:val="0"/>
                <w:bCs w:val="0"/>
                <w:color w:val="auto"/>
                <w:sz w:val="24"/>
                <w:szCs w:val="24"/>
                <w:u w:val="none"/>
                <w:lang w:val="en-US" w:eastAsia="zh-CN"/>
              </w:rPr>
              <w:t>下</w:t>
            </w:r>
            <w:r>
              <w:rPr>
                <w:rFonts w:hint="default" w:ascii="Times New Roman" w:hAnsi="Times New Roman" w:cs="Times New Roman"/>
                <w:b w:val="0"/>
                <w:bCs w:val="0"/>
                <w:color w:val="auto"/>
                <w:sz w:val="24"/>
                <w:szCs w:val="24"/>
                <w:u w:val="none"/>
              </w:rPr>
              <w:t>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4"/>
                <w:szCs w:val="20"/>
                <w:u w:val="none"/>
                <w:lang w:val="en-US" w:eastAsia="zh-CN" w:bidi="ar-SA"/>
              </w:rPr>
            </w:pPr>
            <w:r>
              <w:rPr>
                <w:rFonts w:hint="default" w:ascii="Times New Roman" w:hAnsi="Times New Roman" w:eastAsia="宋体" w:cs="Times New Roman"/>
                <w:b/>
                <w:bCs/>
                <w:kern w:val="0"/>
                <w:sz w:val="24"/>
                <w:szCs w:val="20"/>
                <w:u w:val="none"/>
                <w:lang w:val="en-US" w:eastAsia="zh-CN" w:bidi="ar-SA"/>
              </w:rPr>
              <w:t>表</w:t>
            </w:r>
            <w:r>
              <w:rPr>
                <w:rFonts w:hint="default" w:ascii="Times New Roman" w:hAnsi="Times New Roman" w:cs="Times New Roman"/>
                <w:b/>
                <w:bCs/>
                <w:kern w:val="0"/>
                <w:sz w:val="24"/>
                <w:szCs w:val="20"/>
                <w:u w:val="none"/>
                <w:lang w:val="en-US" w:eastAsia="zh-CN" w:bidi="ar-SA"/>
              </w:rPr>
              <w:t>4-1</w:t>
            </w:r>
            <w:r>
              <w:rPr>
                <w:rFonts w:hint="eastAsia" w:cs="Times New Roman"/>
                <w:b/>
                <w:bCs/>
                <w:kern w:val="0"/>
                <w:sz w:val="24"/>
                <w:szCs w:val="20"/>
                <w:u w:val="none"/>
                <w:lang w:val="en-US" w:eastAsia="zh-CN" w:bidi="ar-SA"/>
              </w:rPr>
              <w:t>5</w:t>
            </w:r>
            <w:r>
              <w:rPr>
                <w:rFonts w:hint="default" w:ascii="Times New Roman" w:hAnsi="Times New Roman" w:eastAsia="宋体" w:cs="Times New Roman"/>
                <w:b/>
                <w:bCs/>
                <w:kern w:val="0"/>
                <w:sz w:val="24"/>
                <w:szCs w:val="20"/>
                <w:u w:val="none"/>
                <w:lang w:val="en-US" w:eastAsia="zh-CN" w:bidi="ar-SA"/>
              </w:rPr>
              <w:t>本项目噪声污染源源强及治理措施一览表</w:t>
            </w:r>
          </w:p>
          <w:tbl>
            <w:tblPr>
              <w:tblStyle w:val="24"/>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463"/>
              <w:gridCol w:w="1463"/>
              <w:gridCol w:w="2700"/>
              <w:gridCol w:w="173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49" w:hRule="atLeast"/>
                <w:jc w:val="center"/>
              </w:trPr>
              <w:tc>
                <w:tcPr>
                  <w:tcW w:w="1085"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设备名称</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数量</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噪声声源</w:t>
                  </w:r>
                </w:p>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［dB(A)］</w:t>
                  </w:r>
                </w:p>
              </w:tc>
              <w:tc>
                <w:tcPr>
                  <w:tcW w:w="1436"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治理措施</w:t>
                  </w:r>
                </w:p>
              </w:tc>
              <w:tc>
                <w:tcPr>
                  <w:tcW w:w="920"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治理后源强</w:t>
                  </w:r>
                </w:p>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［dB(A)］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85"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破碎机</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4台</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80</w:t>
                  </w:r>
                </w:p>
              </w:tc>
              <w:tc>
                <w:tcPr>
                  <w:tcW w:w="1436"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整体封闭、厂房隔声</w:t>
                  </w:r>
                </w:p>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减震、使用橡胶软管接口</w:t>
                  </w:r>
                </w:p>
              </w:tc>
              <w:tc>
                <w:tcPr>
                  <w:tcW w:w="920"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085"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熔融挤出设备</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4台</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75</w:t>
                  </w:r>
                </w:p>
              </w:tc>
              <w:tc>
                <w:tcPr>
                  <w:tcW w:w="1436" w:type="pct"/>
                  <w:vMerge w:val="continue"/>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p>
              </w:tc>
              <w:tc>
                <w:tcPr>
                  <w:tcW w:w="920"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7" w:hRule="atLeast"/>
                <w:jc w:val="center"/>
              </w:trPr>
              <w:tc>
                <w:tcPr>
                  <w:tcW w:w="1085"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切粒机</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4台</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80</w:t>
                  </w:r>
                </w:p>
              </w:tc>
              <w:tc>
                <w:tcPr>
                  <w:tcW w:w="1436" w:type="pct"/>
                  <w:vMerge w:val="continue"/>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p>
              </w:tc>
              <w:tc>
                <w:tcPr>
                  <w:tcW w:w="920"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42" w:hRule="atLeast"/>
                <w:jc w:val="center"/>
              </w:trPr>
              <w:tc>
                <w:tcPr>
                  <w:tcW w:w="1085"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风机</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2台</w:t>
                  </w:r>
                </w:p>
              </w:tc>
              <w:tc>
                <w:tcPr>
                  <w:tcW w:w="778"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85</w:t>
                  </w:r>
                </w:p>
              </w:tc>
              <w:tc>
                <w:tcPr>
                  <w:tcW w:w="1436" w:type="pct"/>
                  <w:vMerge w:val="continue"/>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cs="Times New Roman"/>
                      <w:b w:val="0"/>
                      <w:bCs w:val="0"/>
                      <w:color w:val="auto"/>
                      <w:sz w:val="21"/>
                      <w:szCs w:val="21"/>
                      <w:u w:val="none"/>
                    </w:rPr>
                  </w:pPr>
                </w:p>
              </w:tc>
              <w:tc>
                <w:tcPr>
                  <w:tcW w:w="920" w:type="pc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70</w:t>
                  </w:r>
                </w:p>
              </w:tc>
            </w:tr>
          </w:tbl>
          <w:p>
            <w:pPr>
              <w:snapToGrid w:val="0"/>
              <w:spacing w:line="360" w:lineRule="auto"/>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由上表可知，高噪声设备源强在7</w:t>
            </w:r>
            <w:r>
              <w:rPr>
                <w:rFonts w:hint="default" w:ascii="Times New Roman" w:hAnsi="Times New Roman" w:cs="Times New Roman"/>
                <w:b w:val="0"/>
                <w:bCs w:val="0"/>
                <w:color w:val="auto"/>
                <w:sz w:val="24"/>
                <w:szCs w:val="24"/>
                <w:u w:val="none"/>
                <w:lang w:val="en-US" w:eastAsia="zh-CN"/>
              </w:rPr>
              <w:t>0</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lang w:val="en-US" w:eastAsia="zh-CN"/>
              </w:rPr>
              <w:t>8</w:t>
            </w:r>
            <w:r>
              <w:rPr>
                <w:rFonts w:hint="default" w:ascii="Times New Roman" w:hAnsi="Times New Roman" w:cs="Times New Roman"/>
                <w:b w:val="0"/>
                <w:bCs w:val="0"/>
                <w:color w:val="auto"/>
                <w:sz w:val="24"/>
                <w:szCs w:val="24"/>
                <w:u w:val="none"/>
              </w:rPr>
              <w:t>5dB(A</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之间，在分别采取了厂房隔声等措施后，高噪声设备噪声值均降至70dB(A</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rPr>
              <w:t>以下。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（2）预测模式</w:t>
            </w:r>
          </w:p>
          <w:p>
            <w:pPr>
              <w:keepNext w:val="0"/>
              <w:keepLines w:val="0"/>
              <w:pageBreakBefore w:val="0"/>
              <w:widowControl w:val="0"/>
              <w:kinsoku/>
              <w:wordWrap w:val="0"/>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根据《环境影响评价技术导则</w:t>
            </w:r>
            <w:r>
              <w:rPr>
                <w:rFonts w:hint="default" w:ascii="Times New Roman" w:hAnsi="Times New Roman" w:cs="Times New Roman"/>
                <w:b w:val="0"/>
                <w:bCs w:val="0"/>
                <w:color w:val="auto"/>
                <w:spacing w:val="0"/>
                <w:sz w:val="24"/>
                <w:szCs w:val="24"/>
                <w:u w:val="none"/>
                <w:lang w:eastAsia="zh-CN"/>
              </w:rPr>
              <w:t>－</w:t>
            </w:r>
            <w:r>
              <w:rPr>
                <w:rFonts w:hint="default" w:ascii="Times New Roman" w:hAnsi="Times New Roman" w:cs="Times New Roman"/>
                <w:b w:val="0"/>
                <w:bCs w:val="0"/>
                <w:color w:val="auto"/>
                <w:spacing w:val="0"/>
                <w:sz w:val="24"/>
                <w:szCs w:val="24"/>
                <w:u w:val="none"/>
              </w:rPr>
              <w:t>声环境》（HJ24-2021）对室内声源的预测方法，声源位于室内，室内声源可采用等效室外声源声功率级法进行计算。</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本次噪声预测选用点源衰减模式和多声源合成模式。</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pacing w:val="0"/>
                <w:sz w:val="24"/>
                <w:szCs w:val="24"/>
                <w:u w:val="none"/>
                <w:lang w:val="en-US" w:eastAsia="zh-CN"/>
              </w:rPr>
            </w:pPr>
            <w:r>
              <w:rPr>
                <w:rFonts w:hint="default" w:ascii="Times New Roman" w:hAnsi="Times New Roman" w:eastAsia="微软雅黑" w:cs="Times New Roman"/>
                <w:b w:val="0"/>
                <w:bCs w:val="0"/>
                <w:color w:val="auto"/>
                <w:spacing w:val="0"/>
                <w:sz w:val="24"/>
                <w:szCs w:val="24"/>
                <w:u w:val="none"/>
              </w:rPr>
              <w:t>①</w:t>
            </w:r>
            <w:r>
              <w:rPr>
                <w:rFonts w:hint="default" w:ascii="Times New Roman" w:hAnsi="Times New Roman" w:cs="Times New Roman"/>
                <w:b w:val="0"/>
                <w:bCs w:val="0"/>
                <w:color w:val="auto"/>
                <w:spacing w:val="0"/>
                <w:sz w:val="24"/>
                <w:szCs w:val="24"/>
                <w:u w:val="none"/>
              </w:rPr>
              <w:t>噪声衰减模式：</w:t>
            </w:r>
            <w:r>
              <w:rPr>
                <w:rFonts w:hint="default" w:ascii="Times New Roman" w:hAnsi="Times New Roman" w:cs="Times New Roman"/>
                <w:b w:val="0"/>
                <w:bCs w:val="0"/>
                <w:color w:val="auto"/>
                <w:spacing w:val="0"/>
                <w:sz w:val="24"/>
                <w:szCs w:val="24"/>
                <w:u w:val="none"/>
                <w:lang w:val="en-US" w:eastAsia="zh-CN"/>
              </w:rPr>
              <w:t>本次评价采用距离衰减模式预测噪声影响值，采用公式如下：</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center"/>
              <w:textAlignment w:val="auto"/>
              <w:rPr>
                <w:rFonts w:hint="default" w:ascii="Times New Roman" w:hAnsi="Times New Roman" w:eastAsia="宋体" w:cs="Times New Roman"/>
                <w:b w:val="0"/>
                <w:bCs w:val="0"/>
                <w:color w:val="auto"/>
                <w:spacing w:val="0"/>
                <w:position w:val="-28"/>
                <w:sz w:val="24"/>
                <w:szCs w:val="24"/>
                <w:u w:val="none"/>
              </w:rPr>
            </w:pPr>
            <w:r>
              <w:rPr>
                <w:rFonts w:hint="default" w:ascii="Times New Roman" w:hAnsi="Times New Roman" w:eastAsia="宋体" w:cs="Times New Roman"/>
                <w:b w:val="0"/>
                <w:bCs w:val="0"/>
                <w:color w:val="auto"/>
                <w:spacing w:val="0"/>
                <w:position w:val="-28"/>
                <w:sz w:val="24"/>
                <w:szCs w:val="24"/>
                <w:u w:val="none"/>
              </w:rPr>
              <w:t>L2=L1-20lg（r2/r1）</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式中：L</w:t>
            </w:r>
            <w:r>
              <w:rPr>
                <w:rFonts w:hint="default" w:ascii="Times New Roman" w:hAnsi="Times New Roman" w:cs="Times New Roman"/>
                <w:b w:val="0"/>
                <w:bCs w:val="0"/>
                <w:color w:val="auto"/>
                <w:spacing w:val="0"/>
                <w:sz w:val="24"/>
                <w:szCs w:val="24"/>
                <w:u w:val="none"/>
                <w:vertAlign w:val="subscript"/>
                <w:lang w:eastAsia="zh-CN"/>
              </w:rPr>
              <w:t>2</w:t>
            </w:r>
            <w:r>
              <w:rPr>
                <w:rFonts w:hint="default" w:ascii="Times New Roman" w:hAnsi="Times New Roman" w:cs="Times New Roman"/>
                <w:b w:val="0"/>
                <w:bCs w:val="0"/>
                <w:color w:val="auto"/>
                <w:spacing w:val="0"/>
                <w:sz w:val="24"/>
                <w:szCs w:val="24"/>
                <w:u w:val="none"/>
              </w:rPr>
              <w:t>——距噪声源距离为r</w:t>
            </w:r>
            <w:r>
              <w:rPr>
                <w:rFonts w:hint="default" w:ascii="Times New Roman" w:hAnsi="Times New Roman" w:cs="Times New Roman"/>
                <w:b w:val="0"/>
                <w:bCs w:val="0"/>
                <w:color w:val="auto"/>
                <w:spacing w:val="0"/>
                <w:sz w:val="24"/>
                <w:szCs w:val="24"/>
                <w:u w:val="none"/>
                <w:vertAlign w:val="subscript"/>
                <w:lang w:val="en-US" w:eastAsia="zh-CN"/>
              </w:rPr>
              <w:t>2</w:t>
            </w:r>
            <w:r>
              <w:rPr>
                <w:rFonts w:hint="default" w:ascii="Times New Roman" w:hAnsi="Times New Roman" w:cs="Times New Roman"/>
                <w:b w:val="0"/>
                <w:bCs w:val="0"/>
                <w:color w:val="auto"/>
                <w:spacing w:val="0"/>
                <w:sz w:val="24"/>
                <w:szCs w:val="24"/>
                <w:u w:val="none"/>
              </w:rPr>
              <w:t>处声级值，[dB(A)]；</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L</w:t>
            </w:r>
            <w:r>
              <w:rPr>
                <w:rFonts w:hint="default" w:ascii="Times New Roman" w:hAnsi="Times New Roman" w:cs="Times New Roman"/>
                <w:b w:val="0"/>
                <w:bCs w:val="0"/>
                <w:color w:val="auto"/>
                <w:spacing w:val="0"/>
                <w:sz w:val="24"/>
                <w:szCs w:val="24"/>
                <w:u w:val="none"/>
                <w:vertAlign w:val="subscript"/>
                <w:lang w:eastAsia="zh-CN"/>
              </w:rPr>
              <w:t>1</w:t>
            </w:r>
            <w:r>
              <w:rPr>
                <w:rFonts w:hint="default" w:ascii="Times New Roman" w:hAnsi="Times New Roman" w:cs="Times New Roman"/>
                <w:b w:val="0"/>
                <w:bCs w:val="0"/>
                <w:color w:val="auto"/>
                <w:spacing w:val="0"/>
                <w:sz w:val="24"/>
                <w:szCs w:val="24"/>
                <w:u w:val="none"/>
              </w:rPr>
              <w:t>——距噪声源距离为r</w:t>
            </w:r>
            <w:r>
              <w:rPr>
                <w:rFonts w:hint="default" w:ascii="Times New Roman" w:hAnsi="Times New Roman" w:cs="Times New Roman"/>
                <w:b w:val="0"/>
                <w:bCs w:val="0"/>
                <w:color w:val="auto"/>
                <w:spacing w:val="0"/>
                <w:sz w:val="24"/>
                <w:szCs w:val="24"/>
                <w:u w:val="none"/>
                <w:vertAlign w:val="subscript"/>
                <w:lang w:eastAsia="zh-CN"/>
              </w:rPr>
              <w:t>1</w:t>
            </w:r>
            <w:r>
              <w:rPr>
                <w:rFonts w:hint="default" w:ascii="Times New Roman" w:hAnsi="Times New Roman" w:cs="Times New Roman"/>
                <w:b w:val="0"/>
                <w:bCs w:val="0"/>
                <w:color w:val="auto"/>
                <w:spacing w:val="0"/>
                <w:sz w:val="24"/>
                <w:szCs w:val="24"/>
                <w:u w:val="none"/>
              </w:rPr>
              <w:t>处声级值，[dB(A)]；</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lang w:eastAsia="zh-CN"/>
              </w:rPr>
              <w:t>r</w:t>
            </w:r>
            <w:r>
              <w:rPr>
                <w:rFonts w:hint="default" w:ascii="Times New Roman" w:hAnsi="Times New Roman" w:cs="Times New Roman"/>
                <w:b w:val="0"/>
                <w:bCs w:val="0"/>
                <w:color w:val="auto"/>
                <w:spacing w:val="0"/>
                <w:sz w:val="24"/>
                <w:szCs w:val="24"/>
                <w:u w:val="none"/>
                <w:vertAlign w:val="subscript"/>
                <w:lang w:val="en-US" w:eastAsia="zh-CN"/>
              </w:rPr>
              <w:t>2</w:t>
            </w:r>
            <w:r>
              <w:rPr>
                <w:rFonts w:hint="default" w:ascii="Times New Roman" w:hAnsi="Times New Roman" w:cs="Times New Roman"/>
                <w:b w:val="0"/>
                <w:bCs w:val="0"/>
                <w:color w:val="auto"/>
                <w:spacing w:val="0"/>
                <w:sz w:val="24"/>
                <w:szCs w:val="24"/>
                <w:u w:val="none"/>
              </w:rPr>
              <w:t>——关心点距噪声源距离，m；</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r</w:t>
            </w:r>
            <w:r>
              <w:rPr>
                <w:rFonts w:hint="default" w:ascii="Times New Roman" w:hAnsi="Times New Roman" w:cs="Times New Roman"/>
                <w:b w:val="0"/>
                <w:bCs w:val="0"/>
                <w:color w:val="auto"/>
                <w:spacing w:val="0"/>
                <w:sz w:val="24"/>
                <w:szCs w:val="24"/>
                <w:u w:val="none"/>
                <w:vertAlign w:val="subscript"/>
                <w:lang w:eastAsia="zh-CN"/>
              </w:rPr>
              <w:t>1</w:t>
            </w:r>
            <w:r>
              <w:rPr>
                <w:rFonts w:hint="default" w:ascii="Times New Roman" w:hAnsi="Times New Roman" w:cs="Times New Roman"/>
                <w:b w:val="0"/>
                <w:bCs w:val="0"/>
                <w:color w:val="auto"/>
                <w:spacing w:val="0"/>
                <w:sz w:val="24"/>
                <w:szCs w:val="24"/>
                <w:u w:val="none"/>
              </w:rPr>
              <w:t>——距噪声源距离，r</w:t>
            </w:r>
            <w:r>
              <w:rPr>
                <w:rFonts w:hint="default" w:ascii="Times New Roman" w:hAnsi="Times New Roman" w:cs="Times New Roman"/>
                <w:b w:val="0"/>
                <w:bCs w:val="0"/>
                <w:color w:val="auto"/>
                <w:spacing w:val="0"/>
                <w:sz w:val="24"/>
                <w:szCs w:val="24"/>
                <w:u w:val="none"/>
                <w:vertAlign w:val="subscript"/>
                <w:lang w:eastAsia="zh-CN"/>
              </w:rPr>
              <w:t>1</w:t>
            </w:r>
            <w:r>
              <w:rPr>
                <w:rFonts w:hint="default" w:ascii="Times New Roman" w:hAnsi="Times New Roman" w:cs="Times New Roman"/>
                <w:b w:val="0"/>
                <w:bCs w:val="0"/>
                <w:color w:val="auto"/>
                <w:spacing w:val="0"/>
                <w:sz w:val="24"/>
                <w:szCs w:val="24"/>
                <w:u w:val="none"/>
              </w:rPr>
              <w:t>取1m。</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eastAsia="微软雅黑" w:cs="Times New Roman"/>
                <w:b w:val="0"/>
                <w:bCs w:val="0"/>
                <w:color w:val="auto"/>
                <w:spacing w:val="0"/>
                <w:sz w:val="24"/>
                <w:szCs w:val="24"/>
                <w:u w:val="none"/>
              </w:rPr>
              <w:t>②</w:t>
            </w:r>
            <w:r>
              <w:rPr>
                <w:rFonts w:hint="default" w:ascii="Times New Roman" w:hAnsi="Times New Roman" w:cs="Times New Roman"/>
                <w:b w:val="0"/>
                <w:bCs w:val="0"/>
                <w:color w:val="auto"/>
                <w:spacing w:val="0"/>
                <w:sz w:val="24"/>
                <w:szCs w:val="24"/>
                <w:u w:val="none"/>
              </w:rPr>
              <w:t>噪声合成模式：</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center"/>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position w:val="-28"/>
                <w:sz w:val="24"/>
                <w:szCs w:val="24"/>
                <w:u w:val="none"/>
              </w:rPr>
              <w:object>
                <v:shape id="_x0000_i1031" o:spt="75" type="#_x0000_t75" style="height:37.65pt;width:180.1pt;" o:ole="t" filled="f" o:preferrelative="t" stroked="f" coordsize="21600,21600">
                  <v:path/>
                  <v:fill on="f" focussize="0,0"/>
                  <v:stroke on="f"/>
                  <v:imagedata r:id="rId31" o:title=""/>
                  <o:lock v:ext="edit" aspectratio="t"/>
                  <w10:wrap type="none"/>
                  <w10:anchorlock/>
                </v:shape>
                <o:OLEObject Type="Embed" ProgID="Equation.3" ShapeID="_x0000_i1031" DrawAspect="Content" ObjectID="_1468075731" r:id="rId30">
                  <o:LockedField>false</o:LockedField>
                </o:OLEObject>
              </w:objec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式中，Li——声源对预测点的等效声级，dB(A)；</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L</w:t>
            </w:r>
            <w:r>
              <w:rPr>
                <w:rFonts w:hint="default" w:ascii="Times New Roman" w:hAnsi="Times New Roman" w:cs="Times New Roman"/>
                <w:b w:val="0"/>
                <w:bCs w:val="0"/>
                <w:color w:val="auto"/>
                <w:spacing w:val="0"/>
                <w:sz w:val="24"/>
                <w:szCs w:val="24"/>
                <w:u w:val="none"/>
                <w:vertAlign w:val="subscript"/>
              </w:rPr>
              <w:t>Aeq总</w:t>
            </w:r>
            <w:r>
              <w:rPr>
                <w:rFonts w:hint="default" w:ascii="Times New Roman" w:hAnsi="Times New Roman" w:cs="Times New Roman"/>
                <w:b w:val="0"/>
                <w:bCs w:val="0"/>
                <w:color w:val="auto"/>
                <w:spacing w:val="0"/>
                <w:sz w:val="24"/>
                <w:szCs w:val="24"/>
                <w:u w:val="none"/>
              </w:rPr>
              <w:t>——预测点总声效声级，dB(A)；</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b w:val="0"/>
                <w:bCs w:val="0"/>
                <w:color w:val="auto"/>
                <w:spacing w:val="0"/>
                <w:sz w:val="24"/>
                <w:szCs w:val="24"/>
                <w:u w:val="none"/>
              </w:rPr>
            </w:pPr>
            <w:r>
              <w:rPr>
                <w:rFonts w:hint="default" w:ascii="Times New Roman" w:hAnsi="Times New Roman" w:cs="Times New Roman"/>
                <w:b w:val="0"/>
                <w:bCs w:val="0"/>
                <w:color w:val="auto"/>
                <w:spacing w:val="0"/>
                <w:sz w:val="24"/>
                <w:szCs w:val="24"/>
                <w:u w:val="none"/>
              </w:rPr>
              <w:t>n——预测点受声源数量。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（3）预测结果及影响分析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pacing w:val="0"/>
                <w:sz w:val="24"/>
                <w:szCs w:val="24"/>
                <w:u w:val="none"/>
              </w:rPr>
            </w:pPr>
            <w:r>
              <w:rPr>
                <w:rFonts w:hint="default" w:ascii="Times New Roman" w:hAnsi="Times New Roman" w:eastAsia="宋体" w:cs="Times New Roman"/>
                <w:b w:val="0"/>
                <w:bCs w:val="0"/>
                <w:sz w:val="24"/>
                <w:szCs w:val="24"/>
                <w:u w:val="none"/>
              </w:rPr>
              <w:t>根据以上模式，在不计树木，绿地等对噪声的削减作用下，噪声值如下计算结果，见表</w:t>
            </w:r>
            <w:r>
              <w:rPr>
                <w:rFonts w:hint="default" w:ascii="Times New Roman" w:hAnsi="Times New Roman" w:cs="Times New Roman"/>
                <w:b w:val="0"/>
                <w:bCs w:val="0"/>
                <w:sz w:val="24"/>
                <w:szCs w:val="24"/>
                <w:u w:val="none"/>
                <w:lang w:val="en-US" w:eastAsia="zh-CN"/>
              </w:rPr>
              <w:t>4-1</w:t>
            </w:r>
            <w:r>
              <w:rPr>
                <w:rFonts w:hint="eastAsia" w:cs="Times New Roman"/>
                <w:b w:val="0"/>
                <w:bCs w:val="0"/>
                <w:sz w:val="24"/>
                <w:szCs w:val="24"/>
                <w:u w:val="none"/>
                <w:lang w:val="en-US" w:eastAsia="zh-CN"/>
              </w:rPr>
              <w:t>6</w:t>
            </w:r>
            <w:r>
              <w:rPr>
                <w:rFonts w:hint="default" w:ascii="Times New Roman" w:hAnsi="Times New Roman" w:cs="Times New Roman"/>
                <w:b w:val="0"/>
                <w:bCs w:val="0"/>
                <w:color w:val="auto"/>
                <w:spacing w:val="0"/>
                <w:sz w:val="24"/>
                <w:szCs w:val="24"/>
                <w:u w:val="none"/>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right"/>
              <w:textAlignment w:val="auto"/>
              <w:rPr>
                <w:rFonts w:hint="default" w:ascii="Times New Roman" w:hAnsi="Times New Roman" w:eastAsia="宋体" w:cs="Times New Roman"/>
                <w:b/>
                <w:bCs/>
                <w:color w:val="auto"/>
                <w:spacing w:val="0"/>
                <w:sz w:val="24"/>
                <w:szCs w:val="24"/>
                <w:u w:val="none"/>
              </w:rPr>
            </w:pPr>
            <w:r>
              <w:rPr>
                <w:rFonts w:hint="default" w:ascii="Times New Roman" w:hAnsi="Times New Roman" w:eastAsia="宋体" w:cs="Times New Roman"/>
                <w:b/>
                <w:bCs/>
                <w:color w:val="auto"/>
                <w:spacing w:val="0"/>
                <w:sz w:val="24"/>
                <w:szCs w:val="24"/>
                <w:u w:val="none"/>
              </w:rPr>
              <w:t>表</w:t>
            </w:r>
            <w:r>
              <w:rPr>
                <w:rFonts w:hint="default" w:ascii="Times New Roman" w:hAnsi="Times New Roman" w:cs="Times New Roman"/>
                <w:b/>
                <w:bCs/>
                <w:color w:val="auto"/>
                <w:spacing w:val="0"/>
                <w:sz w:val="24"/>
                <w:szCs w:val="24"/>
                <w:u w:val="none"/>
                <w:lang w:val="en-US" w:eastAsia="zh-CN"/>
              </w:rPr>
              <w:t>4-1</w:t>
            </w:r>
            <w:r>
              <w:rPr>
                <w:rFonts w:hint="eastAsia" w:cs="Times New Roman"/>
                <w:b/>
                <w:bCs/>
                <w:color w:val="auto"/>
                <w:spacing w:val="0"/>
                <w:sz w:val="24"/>
                <w:szCs w:val="24"/>
                <w:u w:val="none"/>
                <w:lang w:val="en-US" w:eastAsia="zh-CN"/>
              </w:rPr>
              <w:t>6</w:t>
            </w:r>
            <w:r>
              <w:rPr>
                <w:rFonts w:hint="default" w:ascii="Times New Roman" w:hAnsi="Times New Roman" w:eastAsia="宋体" w:cs="Times New Roman"/>
                <w:b/>
                <w:bCs/>
                <w:color w:val="auto"/>
                <w:spacing w:val="0"/>
                <w:sz w:val="24"/>
                <w:szCs w:val="24"/>
                <w:u w:val="none"/>
                <w:lang w:eastAsia="zh-CN"/>
              </w:rPr>
              <w:t>噪声</w:t>
            </w:r>
            <w:r>
              <w:rPr>
                <w:rFonts w:hint="default" w:ascii="Times New Roman" w:hAnsi="Times New Roman" w:eastAsia="宋体" w:cs="Times New Roman"/>
                <w:b/>
                <w:bCs/>
                <w:color w:val="auto"/>
                <w:spacing w:val="0"/>
                <w:sz w:val="24"/>
                <w:szCs w:val="24"/>
                <w:u w:val="none"/>
              </w:rPr>
              <w:t>预测</w:t>
            </w:r>
            <w:r>
              <w:rPr>
                <w:rFonts w:hint="default" w:ascii="Times New Roman" w:hAnsi="Times New Roman" w:eastAsia="宋体" w:cs="Times New Roman"/>
                <w:b/>
                <w:bCs/>
                <w:color w:val="auto"/>
                <w:spacing w:val="0"/>
                <w:sz w:val="24"/>
                <w:szCs w:val="24"/>
                <w:u w:val="none"/>
                <w:lang w:eastAsia="zh-CN"/>
              </w:rPr>
              <w:t>分析</w:t>
            </w:r>
            <w:r>
              <w:rPr>
                <w:rFonts w:hint="default" w:ascii="Times New Roman" w:hAnsi="Times New Roman" w:eastAsia="宋体" w:cs="Times New Roman"/>
                <w:b/>
                <w:bCs/>
                <w:color w:val="auto"/>
                <w:spacing w:val="0"/>
                <w:sz w:val="24"/>
                <w:szCs w:val="24"/>
                <w:u w:val="none"/>
              </w:rPr>
              <w:t>结果</w:t>
            </w:r>
            <w:r>
              <w:rPr>
                <w:rFonts w:hint="default" w:ascii="Times New Roman" w:hAnsi="Times New Roman" w:eastAsia="宋体" w:cs="Times New Roman"/>
                <w:b/>
                <w:bCs/>
                <w:color w:val="auto"/>
                <w:spacing w:val="0"/>
                <w:sz w:val="24"/>
                <w:szCs w:val="24"/>
                <w:u w:val="none"/>
                <w:lang w:eastAsia="zh-CN"/>
              </w:rPr>
              <w:t>一览</w:t>
            </w:r>
            <w:r>
              <w:rPr>
                <w:rFonts w:hint="default" w:ascii="Times New Roman" w:hAnsi="Times New Roman" w:eastAsia="宋体" w:cs="Times New Roman"/>
                <w:b/>
                <w:bCs/>
                <w:color w:val="auto"/>
                <w:spacing w:val="0"/>
                <w:sz w:val="24"/>
                <w:szCs w:val="24"/>
                <w:u w:val="none"/>
              </w:rPr>
              <w:t>表</w:t>
            </w:r>
            <w:r>
              <w:rPr>
                <w:rFonts w:hint="default" w:ascii="Times New Roman" w:hAnsi="Times New Roman" w:cs="Times New Roman"/>
                <w:b/>
                <w:bCs/>
                <w:color w:val="auto"/>
                <w:spacing w:val="0"/>
                <w:sz w:val="24"/>
                <w:szCs w:val="24"/>
                <w:u w:val="none"/>
                <w:lang w:val="en-US" w:eastAsia="zh-CN"/>
              </w:rPr>
              <w:t xml:space="preserve">                  </w:t>
            </w:r>
            <w:r>
              <w:rPr>
                <w:rFonts w:hint="default" w:ascii="Times New Roman" w:hAnsi="Times New Roman" w:eastAsia="宋体" w:cs="Times New Roman"/>
                <w:b/>
                <w:bCs/>
                <w:color w:val="auto"/>
                <w:spacing w:val="0"/>
                <w:sz w:val="24"/>
                <w:szCs w:val="24"/>
                <w:u w:val="none"/>
                <w:lang w:eastAsia="zh-CN"/>
              </w:rPr>
              <w:t>单位：</w:t>
            </w:r>
            <w:r>
              <w:rPr>
                <w:rFonts w:hint="default" w:ascii="Times New Roman" w:hAnsi="Times New Roman" w:cs="Times New Roman"/>
                <w:b/>
                <w:bCs/>
                <w:color w:val="auto"/>
                <w:spacing w:val="0"/>
                <w:sz w:val="21"/>
                <w:szCs w:val="21"/>
                <w:u w:val="none"/>
              </w:rPr>
              <w:t>dB(A)</w:t>
            </w:r>
          </w:p>
          <w:tbl>
            <w:tblPr>
              <w:tblStyle w:val="24"/>
              <w:tblW w:w="499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519"/>
              <w:gridCol w:w="1439"/>
              <w:gridCol w:w="866"/>
              <w:gridCol w:w="1554"/>
              <w:gridCol w:w="832"/>
              <w:gridCol w:w="688"/>
              <w:gridCol w:w="688"/>
              <w:gridCol w:w="688"/>
              <w:gridCol w:w="1110"/>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PrEx>
              <w:trPr>
                <w:trHeight w:val="301" w:hRule="atLeast"/>
                <w:jc w:val="center"/>
              </w:trPr>
              <w:tc>
                <w:tcPr>
                  <w:tcW w:w="8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预测点</w:t>
                  </w:r>
                </w:p>
              </w:tc>
              <w:tc>
                <w:tcPr>
                  <w:tcW w:w="7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噪声源</w:t>
                  </w:r>
                </w:p>
              </w:tc>
              <w:tc>
                <w:tcPr>
                  <w:tcW w:w="46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处理后源强</w:t>
                  </w:r>
                </w:p>
              </w:tc>
              <w:tc>
                <w:tcPr>
                  <w:tcW w:w="8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高噪声源与厂界/敏感点距离（m）</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贡献值</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环境背景值</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叠加值</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标准</w:t>
                  </w:r>
                </w:p>
              </w:tc>
              <w:tc>
                <w:tcPr>
                  <w:tcW w:w="5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达标情况</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8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东厂界</w:t>
                  </w:r>
                </w:p>
              </w:tc>
              <w:tc>
                <w:tcPr>
                  <w:tcW w:w="76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破碎机4台、熔融挤出设备4台、切粒机4台、风机2台</w:t>
                  </w:r>
                </w:p>
              </w:tc>
              <w:tc>
                <w:tcPr>
                  <w:tcW w:w="46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76.93</w:t>
                  </w:r>
                </w:p>
              </w:tc>
              <w:tc>
                <w:tcPr>
                  <w:tcW w:w="8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50</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42.95</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65/55</w:t>
                  </w:r>
                </w:p>
              </w:tc>
              <w:tc>
                <w:tcPr>
                  <w:tcW w:w="5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395" w:hRule="atLeast"/>
                <w:jc w:val="center"/>
              </w:trPr>
              <w:tc>
                <w:tcPr>
                  <w:tcW w:w="8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南厂界</w:t>
                  </w:r>
                </w:p>
              </w:tc>
              <w:tc>
                <w:tcPr>
                  <w:tcW w:w="7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4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8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30</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47.39</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5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301" w:hRule="atLeast"/>
                <w:jc w:val="center"/>
              </w:trPr>
              <w:tc>
                <w:tcPr>
                  <w:tcW w:w="8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北厂界</w:t>
                  </w:r>
                </w:p>
              </w:tc>
              <w:tc>
                <w:tcPr>
                  <w:tcW w:w="7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4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8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35</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46.05</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5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达标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trHeight w:val="301" w:hRule="atLeast"/>
                <w:jc w:val="center"/>
              </w:trPr>
              <w:tc>
                <w:tcPr>
                  <w:tcW w:w="80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西厂界</w:t>
                  </w:r>
                </w:p>
              </w:tc>
              <w:tc>
                <w:tcPr>
                  <w:tcW w:w="7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4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p>
              </w:tc>
              <w:tc>
                <w:tcPr>
                  <w:tcW w:w="82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30</w:t>
                  </w:r>
                </w:p>
              </w:tc>
              <w:tc>
                <w:tcPr>
                  <w:tcW w:w="4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47.39</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w:t>
                  </w:r>
                </w:p>
              </w:tc>
              <w:tc>
                <w:tcPr>
                  <w:tcW w:w="36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u w:val="none"/>
                      <w:lang w:val="en-US" w:eastAsia="zh-CN"/>
                    </w:rPr>
                  </w:pPr>
                </w:p>
              </w:tc>
              <w:tc>
                <w:tcPr>
                  <w:tcW w:w="59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lang w:val="en-US" w:eastAsia="zh-CN"/>
                    </w:rPr>
                    <w:t>达标</w:t>
                  </w:r>
                </w:p>
              </w:tc>
            </w:tr>
          </w:tbl>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bCs/>
                <w:sz w:val="24"/>
                <w:szCs w:val="24"/>
                <w:u w:val="single"/>
                <w:lang w:val="en-US" w:eastAsia="zh-CN"/>
              </w:rPr>
            </w:pPr>
            <w:r>
              <w:rPr>
                <w:rFonts w:hint="default" w:ascii="Times New Roman" w:hAnsi="Times New Roman" w:eastAsia="宋体" w:cs="Times New Roman"/>
                <w:b w:val="0"/>
                <w:bCs w:val="0"/>
                <w:sz w:val="24"/>
                <w:szCs w:val="24"/>
                <w:u w:val="none"/>
                <w:lang w:val="en-US" w:eastAsia="zh-CN"/>
              </w:rPr>
              <w:t>根据预测结果，项目运营中各设备在采取基础减振、隔声屏障、厂房隔声及距离衰减等降噪处理后，项目厂界噪声均可满足《工业企业厂界环境噪声排放标准》（GB12348-2008）相关标准限值。</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（4）防治措施</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本环评建议建设单位需要采取以下的隔声、降噪措施</w:t>
            </w:r>
          </w:p>
          <w:p>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①总平面布置：从总平面布置的角度出发，</w:t>
            </w:r>
            <w:r>
              <w:rPr>
                <w:rFonts w:hint="default" w:ascii="Times New Roman" w:hAnsi="Times New Roman" w:cs="Times New Roman"/>
                <w:b w:val="0"/>
                <w:bCs w:val="0"/>
                <w:sz w:val="24"/>
                <w:szCs w:val="24"/>
                <w:u w:val="none"/>
                <w:lang w:val="en-US" w:eastAsia="zh-CN"/>
              </w:rPr>
              <w:t>项目高噪声设备</w:t>
            </w:r>
            <w:r>
              <w:rPr>
                <w:rFonts w:hint="default" w:ascii="Times New Roman" w:hAnsi="Times New Roman" w:eastAsia="宋体" w:cs="Times New Roman"/>
                <w:b w:val="0"/>
                <w:bCs w:val="0"/>
                <w:sz w:val="24"/>
                <w:szCs w:val="24"/>
                <w:u w:val="none"/>
                <w:lang w:val="en-US" w:eastAsia="zh-CN"/>
              </w:rPr>
              <w:t>设置于全封闭的生产车间内，并在周围种植绿化带，以阻隔噪声的传播和干扰。同时在工厂总体布置上利用建筑物、构筑物来阻隔声波的传播。</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②加强治理：项目应选用低噪声设备，并设置减震基础。</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③加强管理：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④加强厂区绿化：在本项目厂内各噪声源与厂界设置隔离带，在隔离带种植花草树木，进行厂区绿化，并建挡墙，以进一步减轻设备噪声对环境的影响。</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在实行以上措施后，可以大大减轻生产噪声对周围环境的影响，预计项目生产噪声对周围环境影响不大。</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根据《排污单位自行监测技术指南总则》（HJ819-2017）中相关规定，并结合企业实际情况，本次评价提出如下噪声监测计划，详见下表：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表</w:t>
            </w:r>
            <w:r>
              <w:rPr>
                <w:rFonts w:hint="default" w:ascii="Times New Roman" w:hAnsi="Times New Roman" w:cs="Times New Roman"/>
                <w:b/>
                <w:bCs/>
                <w:color w:val="auto"/>
                <w:spacing w:val="0"/>
                <w:sz w:val="24"/>
                <w:szCs w:val="24"/>
                <w:lang w:val="en-US" w:eastAsia="zh-CN"/>
              </w:rPr>
              <w:t>4-1</w:t>
            </w:r>
            <w:r>
              <w:rPr>
                <w:rFonts w:hint="eastAsia" w:cs="Times New Roman"/>
                <w:b/>
                <w:bCs/>
                <w:color w:val="auto"/>
                <w:spacing w:val="0"/>
                <w:sz w:val="24"/>
                <w:szCs w:val="24"/>
                <w:lang w:val="en-US" w:eastAsia="zh-CN"/>
              </w:rPr>
              <w:t>7</w:t>
            </w:r>
            <w:r>
              <w:rPr>
                <w:rFonts w:hint="default" w:ascii="Times New Roman" w:hAnsi="Times New Roman" w:eastAsia="宋体" w:cs="Times New Roman"/>
                <w:b/>
                <w:bCs/>
                <w:color w:val="auto"/>
                <w:spacing w:val="0"/>
                <w:sz w:val="24"/>
                <w:szCs w:val="24"/>
                <w:lang w:val="en-US" w:eastAsia="zh-CN"/>
              </w:rPr>
              <w:t>噪声监测内容及监测频次</w:t>
            </w:r>
          </w:p>
          <w:tbl>
            <w:tblPr>
              <w:tblStyle w:val="24"/>
              <w:tblW w:w="499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023"/>
              <w:gridCol w:w="1076"/>
              <w:gridCol w:w="1862"/>
              <w:gridCol w:w="2246"/>
              <w:gridCol w:w="3192"/>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PrEx>
              <w:trPr>
                <w:trHeight w:val="301" w:hRule="atLeast"/>
                <w:jc w:val="center"/>
              </w:trPr>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检测内容</w:t>
                  </w:r>
                </w:p>
              </w:tc>
              <w:tc>
                <w:tcPr>
                  <w:tcW w:w="5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监测点位</w:t>
                  </w:r>
                </w:p>
              </w:tc>
              <w:tc>
                <w:tcPr>
                  <w:tcW w:w="9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检测项目</w:t>
                  </w:r>
                </w:p>
              </w:tc>
              <w:tc>
                <w:tcPr>
                  <w:tcW w:w="119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监测频次</w:t>
                  </w:r>
                </w:p>
              </w:tc>
              <w:tc>
                <w:tcPr>
                  <w:tcW w:w="16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301" w:hRule="atLeast"/>
                <w:jc w:val="center"/>
              </w:trPr>
              <w:tc>
                <w:tcPr>
                  <w:tcW w:w="54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噪声</w:t>
                  </w:r>
                </w:p>
              </w:tc>
              <w:tc>
                <w:tcPr>
                  <w:tcW w:w="5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厂界外1m</w:t>
                  </w:r>
                </w:p>
              </w:tc>
              <w:tc>
                <w:tcPr>
                  <w:tcW w:w="9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昼间、夜间Leq（A）</w:t>
                  </w:r>
                </w:p>
              </w:tc>
              <w:tc>
                <w:tcPr>
                  <w:tcW w:w="119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每半年1次，昼夜各一次</w:t>
                  </w:r>
                </w:p>
              </w:tc>
              <w:tc>
                <w:tcPr>
                  <w:tcW w:w="16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委托有监测资质的单位实施监测</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lang w:val="en-US" w:eastAsia="zh-CN"/>
              </w:rPr>
            </w:pPr>
            <w:r>
              <w:rPr>
                <w:rFonts w:hint="default" w:ascii="Times New Roman" w:hAnsi="Times New Roman" w:cs="Times New Roman"/>
                <w:b/>
                <w:sz w:val="24"/>
                <w:lang w:val="en-US" w:eastAsia="zh-CN"/>
              </w:rPr>
              <w:t>4</w:t>
            </w:r>
            <w:r>
              <w:rPr>
                <w:rFonts w:hint="default" w:ascii="Times New Roman" w:hAnsi="Times New Roman" w:eastAsia="宋体" w:cs="Times New Roman"/>
                <w:b/>
                <w:sz w:val="24"/>
                <w:lang w:val="en-US" w:eastAsia="zh-CN"/>
              </w:rPr>
              <w:t>、固</w:t>
            </w:r>
            <w:r>
              <w:rPr>
                <w:rFonts w:hint="default" w:ascii="Times New Roman" w:hAnsi="Times New Roman" w:cs="Times New Roman"/>
                <w:b/>
                <w:sz w:val="24"/>
                <w:lang w:val="en-US" w:eastAsia="zh-CN"/>
              </w:rPr>
              <w:t>体</w:t>
            </w:r>
            <w:r>
              <w:rPr>
                <w:rFonts w:hint="default" w:ascii="Times New Roman" w:hAnsi="Times New Roman" w:eastAsia="宋体" w:cs="Times New Roman"/>
                <w:b/>
                <w:sz w:val="24"/>
                <w:lang w:val="en-US" w:eastAsia="zh-CN"/>
              </w:rPr>
              <w:t>废</w:t>
            </w:r>
            <w:r>
              <w:rPr>
                <w:rFonts w:hint="default" w:ascii="Times New Roman" w:hAnsi="Times New Roman" w:cs="Times New Roman"/>
                <w:b/>
                <w:sz w:val="24"/>
                <w:lang w:val="en-US" w:eastAsia="zh-CN"/>
              </w:rPr>
              <w:t>物环境影响和保护措施</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产生环节及名称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项目运行过程产生的一般固废主要为人工分拣出的杂物、除尘器收集尘、熔融挤出工序产生的废滤网、清洗废水产生的沉淀物以及职工生活垃圾；危险废物主要为废机油、废活性炭。</w:t>
            </w:r>
          </w:p>
          <w:p>
            <w:pPr>
              <w:autoSpaceDE w:val="0"/>
              <w:autoSpaceDN w:val="0"/>
              <w:adjustRightInd w:val="0"/>
              <w:spacing w:line="360" w:lineRule="auto"/>
              <w:ind w:firstLine="480" w:firstLineChars="200"/>
              <w:rPr>
                <w:rFonts w:hint="default" w:ascii="Times New Roman" w:hAnsi="Times New Roman" w:eastAsia="宋体" w:cs="Times New Roman"/>
                <w:b w:val="0"/>
                <w:bCs w:val="0"/>
                <w:sz w:val="24"/>
                <w:szCs w:val="24"/>
                <w:u w:val="single"/>
                <w:lang w:val="en-US" w:eastAsia="zh-CN"/>
              </w:rPr>
            </w:pPr>
            <w:r>
              <w:rPr>
                <w:rFonts w:hint="default" w:ascii="Times New Roman" w:hAnsi="Times New Roman" w:cs="Times New Roman"/>
                <w:b w:val="0"/>
                <w:bCs w:val="0"/>
                <w:sz w:val="24"/>
                <w:szCs w:val="24"/>
                <w:u w:val="single"/>
                <w:lang w:val="en-US" w:eastAsia="zh-CN"/>
              </w:rPr>
              <w:t>本项目废气处理RCO装置催化燃烧室采用蜂窝陶瓷状为载体的贵金属催化剂（钼、铂、钯等贵金属），填充量为0.06t，根据设备厂商提供数据，催化剂使用周期为2年更换一次，则废催化剂的产生量为0.06t/2年。根据《国家危险废物名录（2021）》，尚未对VOCs处理过程产生的含有钼、铂、钯等贵金属的废催化剂进行相关规定，故无法判定废催化剂是否属于危险固废；另外，企业目前尚未产生废催化剂，故无法做固体废物浸出实验来判定废催化剂是否属于危险固废。建议企业更换催化剂时，不得随意遗弃处理，按照《危险废物鉴别技术规范》（HJ298-2019）、《危险废物鉴别标准》（GB5085.1～6）对其有毒有害成分进行含量鉴定，若确定为危险固废，需按照《危险废物贮存污染控制标准》（GB18597-2001）及2013年修改单的要求进行贮存、转移、处置等，并交由资质单位处置。同时从环保角度出发，企业在运营期间产生废催化剂之时至未进行固体废物浸出实验这段时间，废催化剂按危废进行管理和贮存。</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cs="Times New Roman"/>
                <w:b/>
                <w:bCs/>
                <w:color w:val="auto"/>
                <w:sz w:val="24"/>
                <w:u w:val="single"/>
                <w:lang w:val="en-US" w:eastAsia="zh-CN"/>
              </w:rPr>
            </w:pPr>
            <w:r>
              <w:rPr>
                <w:rFonts w:hint="default" w:ascii="Times New Roman" w:hAnsi="Times New Roman" w:cs="Times New Roman"/>
                <w:b/>
                <w:bCs/>
                <w:color w:val="auto"/>
                <w:sz w:val="24"/>
                <w:u w:val="single"/>
                <w:lang w:val="en-US" w:eastAsia="zh-CN"/>
              </w:rPr>
              <w:t>固废产生量及去向</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一般固体废物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spacing w:val="-10"/>
                <w:sz w:val="24"/>
                <w:szCs w:val="24"/>
                <w:u w:val="none"/>
                <w:lang w:val="en-US" w:eastAsia="zh-CN"/>
              </w:rPr>
            </w:pPr>
            <w:r>
              <w:rPr>
                <w:rFonts w:hint="default" w:ascii="Times New Roman" w:hAnsi="Times New Roman" w:cs="Times New Roman"/>
                <w:b/>
                <w:bCs/>
                <w:color w:val="auto"/>
                <w:sz w:val="24"/>
                <w:u w:val="none"/>
                <w:lang w:val="en-US" w:eastAsia="zh-CN"/>
              </w:rPr>
              <w:t>（1）职工生活垃圾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项目营运后职工定员30人，职工生活垃圾产生量按每人每天0.5kg计，则生活垃圾产生量15kg/d、4.5t/a。项目厂区内配设分类垃圾收集桶，生活垃圾经收集后交由环卫部门统一处理。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（2）人工分拣杂物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根据建设方提供经验数据，本项目分拣废物产生量约为</w:t>
            </w:r>
            <w:r>
              <w:rPr>
                <w:rFonts w:hint="eastAsia" w:cs="Times New Roman"/>
                <w:b w:val="0"/>
                <w:bCs w:val="0"/>
                <w:sz w:val="24"/>
                <w:szCs w:val="24"/>
                <w:u w:val="none"/>
                <w:lang w:val="en-US" w:eastAsia="zh-CN"/>
              </w:rPr>
              <w:t>14</w:t>
            </w:r>
            <w:r>
              <w:rPr>
                <w:rFonts w:hint="default" w:ascii="Times New Roman" w:hAnsi="Times New Roman" w:eastAsia="宋体" w:cs="Times New Roman"/>
                <w:b w:val="0"/>
                <w:bCs w:val="0"/>
                <w:sz w:val="24"/>
                <w:szCs w:val="24"/>
                <w:u w:val="none"/>
                <w:lang w:val="en-US" w:eastAsia="zh-CN"/>
              </w:rPr>
              <w:t>t/a，分拣废物经收集后交由环卫部门统一处理。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（3）</w:t>
            </w:r>
            <w:r>
              <w:rPr>
                <w:rFonts w:hint="default" w:ascii="Times New Roman" w:hAnsi="Times New Roman" w:eastAsia="宋体" w:cs="Times New Roman"/>
                <w:b/>
                <w:bCs/>
                <w:color w:val="auto"/>
                <w:sz w:val="24"/>
                <w:u w:val="none"/>
                <w:lang w:val="en-US" w:eastAsia="zh-CN"/>
              </w:rPr>
              <w:t>除尘器收集尘</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pacing w:val="0"/>
                <w:kern w:val="2"/>
                <w:sz w:val="24"/>
                <w:szCs w:val="24"/>
                <w:u w:val="none"/>
                <w:lang w:val="en-US" w:eastAsia="zh-CN" w:bidi="ar-SA"/>
              </w:rPr>
              <w:t>根据上述废气源强计算可知，本项目生产过程中产尘工序经袋式除尘处理后排放的粉尘量排放为0.061t/a；收集进入袋式除尘系统的粉尘量为1.216t/a。因此本项目在废气处理过程中袋式除尘系统拦截的粉尘量为1.155t/a。本项目除尘器收集尘定期交由当地环卫部门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（4）</w:t>
            </w:r>
            <w:r>
              <w:rPr>
                <w:rFonts w:hint="default" w:ascii="Times New Roman" w:hAnsi="Times New Roman" w:eastAsia="宋体" w:cs="Times New Roman"/>
                <w:b/>
                <w:bCs/>
                <w:color w:val="auto"/>
                <w:sz w:val="24"/>
                <w:u w:val="none"/>
                <w:lang w:val="en-US" w:eastAsia="zh-CN"/>
              </w:rPr>
              <w:t>清洗废水产生的沉淀物</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rPr>
              <w:t>本项目清洗过程中会产生一定量的</w:t>
            </w:r>
            <w:r>
              <w:rPr>
                <w:rFonts w:hint="default" w:ascii="Times New Roman" w:hAnsi="Times New Roman" w:cs="Times New Roman"/>
                <w:b w:val="0"/>
                <w:bCs w:val="0"/>
                <w:color w:val="auto"/>
                <w:sz w:val="24"/>
                <w:szCs w:val="24"/>
                <w:u w:val="none"/>
                <w:lang w:val="en-US" w:eastAsia="zh-CN"/>
              </w:rPr>
              <w:t>沉淀物</w:t>
            </w:r>
            <w:r>
              <w:rPr>
                <w:rFonts w:hint="default" w:ascii="Times New Roman" w:hAnsi="Times New Roman" w:cs="Times New Roman"/>
                <w:b w:val="0"/>
                <w:bCs w:val="0"/>
                <w:color w:val="auto"/>
                <w:sz w:val="24"/>
                <w:szCs w:val="24"/>
                <w:u w:val="none"/>
              </w:rPr>
              <w:t>，清洗主要为了去除废旧塑料表面的粉尘、浮土等杂质，废渣主要以土细微小杂质颗粒为主</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lang w:val="en-US" w:eastAsia="zh-CN"/>
              </w:rPr>
              <w:t>本项目产生的沉淀物</w:t>
            </w:r>
            <w:r>
              <w:rPr>
                <w:rFonts w:hint="default" w:ascii="Times New Roman" w:hAnsi="Times New Roman" w:cs="Times New Roman"/>
                <w:b w:val="0"/>
                <w:bCs w:val="0"/>
                <w:color w:val="auto"/>
                <w:sz w:val="24"/>
                <w:szCs w:val="24"/>
                <w:u w:val="none"/>
              </w:rPr>
              <w:t>集中收集经压滤机脱水后</w:t>
            </w:r>
            <w:r>
              <w:rPr>
                <w:rFonts w:hint="default" w:ascii="Times New Roman" w:hAnsi="Times New Roman" w:cs="Times New Roman"/>
                <w:b w:val="0"/>
                <w:bCs w:val="0"/>
                <w:color w:val="auto"/>
                <w:sz w:val="24"/>
                <w:szCs w:val="24"/>
                <w:u w:val="none"/>
                <w:lang w:val="en-US" w:eastAsia="zh-CN"/>
              </w:rPr>
              <w:t>暂存于一般固废暂存间定期交由当地环卫部门拉取。</w:t>
            </w:r>
            <w:r>
              <w:rPr>
                <w:rFonts w:hint="default" w:ascii="Times New Roman" w:hAnsi="Times New Roman" w:eastAsia="宋体" w:cs="Times New Roman"/>
                <w:b w:val="0"/>
                <w:bCs w:val="0"/>
                <w:sz w:val="24"/>
                <w:szCs w:val="24"/>
                <w:u w:val="none"/>
                <w:lang w:val="en-US" w:eastAsia="zh-CN"/>
              </w:rPr>
              <w:t>根据建设方提供经验数据，</w:t>
            </w:r>
            <w:r>
              <w:rPr>
                <w:rFonts w:hint="default" w:ascii="Times New Roman" w:hAnsi="Times New Roman" w:cs="Times New Roman"/>
                <w:b w:val="0"/>
                <w:bCs w:val="0"/>
                <w:color w:val="auto"/>
                <w:sz w:val="24"/>
                <w:szCs w:val="24"/>
                <w:u w:val="none"/>
              </w:rPr>
              <w:t>本项目</w:t>
            </w:r>
            <w:r>
              <w:rPr>
                <w:rFonts w:hint="default" w:ascii="Times New Roman" w:hAnsi="Times New Roman" w:cs="Times New Roman"/>
                <w:b w:val="0"/>
                <w:bCs w:val="0"/>
                <w:color w:val="auto"/>
                <w:sz w:val="24"/>
                <w:szCs w:val="24"/>
                <w:u w:val="none"/>
                <w:lang w:val="en-US" w:eastAsia="zh-CN"/>
              </w:rPr>
              <w:t>沉淀物（干份）</w:t>
            </w:r>
            <w:r>
              <w:rPr>
                <w:rFonts w:hint="default" w:ascii="Times New Roman" w:hAnsi="Times New Roman" w:cs="Times New Roman"/>
                <w:b w:val="0"/>
                <w:bCs w:val="0"/>
                <w:color w:val="auto"/>
                <w:sz w:val="24"/>
                <w:szCs w:val="24"/>
                <w:u w:val="none"/>
              </w:rPr>
              <w:t>产生量</w:t>
            </w:r>
            <w:r>
              <w:rPr>
                <w:rFonts w:hint="default" w:ascii="Times New Roman" w:hAnsi="Times New Roman" w:cs="Times New Roman"/>
                <w:b w:val="0"/>
                <w:bCs w:val="0"/>
                <w:color w:val="auto"/>
                <w:sz w:val="24"/>
                <w:szCs w:val="24"/>
                <w:u w:val="none"/>
                <w:lang w:val="en-US" w:eastAsia="zh-CN"/>
              </w:rPr>
              <w:t>约</w:t>
            </w:r>
            <w:r>
              <w:rPr>
                <w:rFonts w:hint="default" w:ascii="Times New Roman" w:hAnsi="Times New Roman" w:cs="Times New Roman"/>
                <w:b w:val="0"/>
                <w:bCs w:val="0"/>
                <w:color w:val="auto"/>
                <w:sz w:val="24"/>
                <w:szCs w:val="24"/>
                <w:u w:val="none"/>
              </w:rPr>
              <w:t>为</w:t>
            </w:r>
            <w:r>
              <w:rPr>
                <w:rFonts w:hint="default" w:ascii="Times New Roman" w:hAnsi="Times New Roman" w:cs="Times New Roman"/>
                <w:b w:val="0"/>
                <w:bCs w:val="0"/>
                <w:color w:val="auto"/>
                <w:sz w:val="24"/>
                <w:szCs w:val="24"/>
                <w:u w:val="none"/>
                <w:lang w:val="en-US" w:eastAsia="zh-CN"/>
              </w:rPr>
              <w:t>12.65</w:t>
            </w:r>
            <w:r>
              <w:rPr>
                <w:rFonts w:hint="default" w:ascii="Times New Roman" w:hAnsi="Times New Roman" w:cs="Times New Roman"/>
                <w:b w:val="0"/>
                <w:bCs w:val="0"/>
                <w:color w:val="auto"/>
                <w:sz w:val="24"/>
                <w:szCs w:val="24"/>
                <w:u w:val="none"/>
              </w:rPr>
              <w:t>t/a。</w:t>
            </w:r>
            <w:r>
              <w:rPr>
                <w:rFonts w:hint="default" w:ascii="Times New Roman" w:hAnsi="Times New Roman" w:cs="Times New Roman"/>
                <w:b w:val="0"/>
                <w:bCs w:val="0"/>
                <w:color w:val="auto"/>
                <w:sz w:val="24"/>
                <w:szCs w:val="24"/>
                <w:u w:val="none"/>
                <w:lang w:val="en-US" w:eastAsia="zh-CN"/>
              </w:rPr>
              <w:t>板框压滤污泥含水率约为75%，因此压滤后的污泥带走水分约为37.95t/a；并且压滤水全部回用于清洗工序。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（5）</w:t>
            </w:r>
            <w:r>
              <w:rPr>
                <w:rFonts w:hint="default" w:ascii="Times New Roman" w:hAnsi="Times New Roman" w:eastAsia="宋体" w:cs="Times New Roman"/>
                <w:b/>
                <w:bCs/>
                <w:color w:val="auto"/>
                <w:sz w:val="24"/>
                <w:u w:val="none"/>
                <w:lang w:val="en-US" w:eastAsia="zh-CN"/>
              </w:rPr>
              <w:t>废滤网</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sz w:val="24"/>
                <w:szCs w:val="24"/>
                <w:u w:val="single"/>
                <w:lang w:val="en-US" w:eastAsia="zh-CN"/>
              </w:rPr>
            </w:pPr>
            <w:r>
              <w:rPr>
                <w:rFonts w:hint="default" w:ascii="Times New Roman" w:hAnsi="Times New Roman" w:eastAsia="宋体" w:cs="Times New Roman"/>
                <w:b w:val="0"/>
                <w:bCs w:val="0"/>
                <w:color w:val="auto"/>
                <w:sz w:val="24"/>
                <w:szCs w:val="24"/>
                <w:u w:val="none"/>
                <w:lang w:val="en-US" w:eastAsia="zh-CN"/>
              </w:rPr>
              <w:t>废旧塑料在造粒工序会用到滤网，由于机头温度较高，在熔融状态下的塑料通过滤网时会附着在滤网上，导致滤网孔堵塞，滤网需要定期更换，每半小时需要更换一次，则每天更换量约48张，滤网重量约为50g，则年使用滤网0.72t。</w:t>
            </w:r>
            <w:r>
              <w:rPr>
                <w:rFonts w:hint="eastAsia" w:cs="Times New Roman"/>
                <w:b w:val="0"/>
                <w:bCs w:val="0"/>
                <w:color w:val="auto"/>
                <w:sz w:val="24"/>
                <w:szCs w:val="24"/>
                <w:u w:val="none"/>
                <w:lang w:val="en-US" w:eastAsia="zh-CN"/>
              </w:rPr>
              <w:t>根据物料平衡，废滤网附着的塑料量约为4.5t/a。因此附着废塑料的废滤网年产生量为5.22t/a。</w:t>
            </w:r>
            <w:r>
              <w:rPr>
                <w:rFonts w:hint="default" w:ascii="Times New Roman" w:hAnsi="Times New Roman" w:cs="Times New Roman"/>
                <w:b w:val="0"/>
                <w:bCs w:val="0"/>
                <w:color w:val="auto"/>
                <w:sz w:val="24"/>
                <w:szCs w:val="24"/>
                <w:u w:val="single"/>
                <w:lang w:val="en-US" w:eastAsia="zh-CN"/>
              </w:rPr>
              <w:t>根据业主提供资料可知，本项目产生的废滤网主要材质为铁（滤网外表附着少部门熔化后硬化的塑料），属于一般固废。</w:t>
            </w:r>
            <w:r>
              <w:rPr>
                <w:rFonts w:hint="default" w:ascii="Times New Roman" w:hAnsi="Times New Roman" w:eastAsia="宋体" w:cs="Times New Roman"/>
                <w:b w:val="0"/>
                <w:bCs w:val="0"/>
                <w:color w:val="auto"/>
                <w:sz w:val="24"/>
                <w:szCs w:val="24"/>
                <w:u w:val="single"/>
                <w:lang w:val="en-US" w:eastAsia="zh-CN"/>
              </w:rPr>
              <w:t>废滤网暂存后交由当地环卫部门清运。</w:t>
            </w:r>
          </w:p>
          <w:p>
            <w:pPr>
              <w:autoSpaceDE w:val="0"/>
              <w:autoSpaceDN w:val="0"/>
              <w:adjustRightInd w:val="0"/>
              <w:spacing w:line="360" w:lineRule="auto"/>
              <w:ind w:firstLine="482" w:firstLineChars="200"/>
              <w:rPr>
                <w:rFonts w:hint="default" w:ascii="Times New Roman" w:hAnsi="Times New Roman" w:cs="Times New Roman"/>
                <w:b/>
                <w:bCs/>
                <w:sz w:val="24"/>
                <w:szCs w:val="24"/>
                <w:u w:val="none"/>
                <w:lang w:val="en-US" w:eastAsia="zh-CN"/>
              </w:rPr>
            </w:pPr>
            <w:r>
              <w:rPr>
                <w:rFonts w:hint="eastAsia" w:ascii="Times New Roman" w:hAnsi="Times New Roman" w:cs="Times New Roman"/>
                <w:b/>
                <w:bCs/>
                <w:sz w:val="24"/>
                <w:szCs w:val="24"/>
                <w:u w:val="none"/>
                <w:lang w:val="en-US" w:eastAsia="zh-CN"/>
              </w:rPr>
              <w:t>（6）废过滤棉</w:t>
            </w:r>
          </w:p>
          <w:p>
            <w:pPr>
              <w:autoSpaceDE w:val="0"/>
              <w:autoSpaceDN w:val="0"/>
              <w:adjustRightInd w:val="0"/>
              <w:spacing w:line="360" w:lineRule="auto"/>
              <w:ind w:firstLine="480" w:firstLineChars="2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废过滤棉：在</w:t>
            </w:r>
            <w:r>
              <w:rPr>
                <w:rFonts w:hint="eastAsia" w:ascii="Times New Roman" w:hAnsi="Times New Roman" w:cs="Times New Roman"/>
                <w:b w:val="0"/>
                <w:bCs w:val="0"/>
                <w:sz w:val="24"/>
                <w:szCs w:val="24"/>
                <w:u w:val="none"/>
                <w:lang w:val="en-US" w:eastAsia="zh-CN"/>
              </w:rPr>
              <w:t>活性炭浓缩+</w:t>
            </w:r>
            <w:r>
              <w:rPr>
                <w:rFonts w:hint="default" w:ascii="Times New Roman" w:hAnsi="Times New Roman" w:cs="Times New Roman"/>
                <w:b w:val="0"/>
                <w:bCs w:val="0"/>
                <w:sz w:val="24"/>
                <w:szCs w:val="24"/>
                <w:u w:val="none"/>
                <w:lang w:val="en-US" w:eastAsia="zh-CN"/>
              </w:rPr>
              <w:t>RCO装置前端设有干法过滤装置，用过滤棉去除废气中的</w:t>
            </w:r>
            <w:r>
              <w:rPr>
                <w:rFonts w:hint="eastAsia" w:ascii="Times New Roman" w:hAnsi="Times New Roman" w:cs="Times New Roman"/>
                <w:b w:val="0"/>
                <w:bCs w:val="0"/>
                <w:sz w:val="24"/>
                <w:szCs w:val="24"/>
                <w:u w:val="none"/>
                <w:lang w:val="en-US" w:eastAsia="zh-CN"/>
              </w:rPr>
              <w:t>颗粒物</w:t>
            </w:r>
            <w:r>
              <w:rPr>
                <w:rFonts w:hint="default" w:ascii="Times New Roman" w:hAnsi="Times New Roman" w:cs="Times New Roman"/>
                <w:b w:val="0"/>
                <w:bCs w:val="0"/>
                <w:sz w:val="24"/>
                <w:szCs w:val="24"/>
                <w:u w:val="none"/>
                <w:lang w:val="en-US" w:eastAsia="zh-CN"/>
              </w:rPr>
              <w:t>，</w:t>
            </w:r>
            <w:r>
              <w:rPr>
                <w:rFonts w:hint="eastAsia" w:cs="Times New Roman"/>
                <w:b w:val="0"/>
                <w:bCs w:val="0"/>
                <w:sz w:val="24"/>
                <w:szCs w:val="24"/>
                <w:u w:val="none"/>
                <w:lang w:val="en-US" w:eastAsia="zh-CN"/>
              </w:rPr>
              <w:t>过滤棉三个月更换1次，</w:t>
            </w:r>
            <w:r>
              <w:rPr>
                <w:rFonts w:hint="default" w:ascii="Times New Roman" w:hAnsi="Times New Roman" w:cs="Times New Roman"/>
                <w:b w:val="0"/>
                <w:bCs w:val="0"/>
                <w:sz w:val="24"/>
                <w:u w:val="none"/>
              </w:rPr>
              <w:t>属于</w:t>
            </w:r>
            <w:r>
              <w:rPr>
                <w:rFonts w:hint="eastAsia" w:ascii="Times New Roman" w:hAnsi="Times New Roman" w:cs="Times New Roman"/>
                <w:b w:val="0"/>
                <w:bCs w:val="0"/>
                <w:sz w:val="24"/>
                <w:u w:val="none"/>
                <w:lang w:val="en-US" w:eastAsia="zh-CN"/>
              </w:rPr>
              <w:t>一般</w:t>
            </w:r>
            <w:r>
              <w:rPr>
                <w:rFonts w:hint="eastAsia" w:cs="Times New Roman"/>
                <w:b w:val="0"/>
                <w:bCs w:val="0"/>
                <w:sz w:val="24"/>
                <w:u w:val="none"/>
                <w:lang w:eastAsia="zh-CN"/>
              </w:rPr>
              <w:t>固废</w:t>
            </w:r>
            <w:r>
              <w:rPr>
                <w:rFonts w:hint="eastAsia" w:ascii="Times New Roman" w:hAnsi="Times New Roman" w:eastAsia="宋体" w:cs="Times New Roman"/>
                <w:b w:val="0"/>
                <w:bCs w:val="0"/>
                <w:sz w:val="24"/>
                <w:szCs w:val="24"/>
                <w:u w:val="none"/>
                <w:lang w:val="en-US" w:eastAsia="zh-CN"/>
              </w:rPr>
              <w:t>。根据建设单位提供资料，每次更换产生12块的废过滤棉，每块过滤棉重0.25kg，同时经过</w:t>
            </w:r>
            <w:r>
              <w:rPr>
                <w:rFonts w:hint="eastAsia" w:ascii="Times New Roman" w:hAnsi="Times New Roman" w:cs="Times New Roman"/>
                <w:b w:val="0"/>
                <w:bCs w:val="0"/>
                <w:sz w:val="24"/>
                <w:szCs w:val="24"/>
                <w:u w:val="none"/>
                <w:lang w:val="en-US" w:eastAsia="zh-CN"/>
              </w:rPr>
              <w:t>计算本项目过滤棉拦截的颗粒物量为1.2825t/a；因此本项目废过滤棉产生量为1.2945t/a</w:t>
            </w:r>
            <w:r>
              <w:rPr>
                <w:rFonts w:hint="eastAsia" w:cs="Times New Roman"/>
                <w:b w:val="0"/>
                <w:bCs w:val="0"/>
                <w:sz w:val="24"/>
                <w:szCs w:val="24"/>
                <w:u w:val="none"/>
                <w:lang w:val="en-US" w:eastAsia="zh-CN"/>
              </w:rPr>
              <w:t>。</w:t>
            </w:r>
          </w:p>
          <w:p>
            <w:pPr>
              <w:autoSpaceDE w:val="0"/>
              <w:autoSpaceDN w:val="0"/>
              <w:adjustRightInd w:val="0"/>
              <w:spacing w:line="360" w:lineRule="auto"/>
              <w:ind w:firstLine="480" w:firstLineChars="2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u w:val="none"/>
              </w:rPr>
              <w:t>在厂区</w:t>
            </w:r>
            <w:r>
              <w:rPr>
                <w:rFonts w:hint="eastAsia" w:ascii="Times New Roman" w:hAnsi="Times New Roman" w:cs="Times New Roman"/>
                <w:b w:val="0"/>
                <w:bCs w:val="0"/>
                <w:sz w:val="24"/>
                <w:u w:val="none"/>
                <w:lang w:val="en-US" w:eastAsia="zh-CN"/>
              </w:rPr>
              <w:t>一般固废</w:t>
            </w:r>
            <w:r>
              <w:rPr>
                <w:rFonts w:hint="default" w:ascii="Times New Roman" w:hAnsi="Times New Roman" w:cs="Times New Roman"/>
                <w:b w:val="0"/>
                <w:bCs w:val="0"/>
                <w:sz w:val="24"/>
                <w:u w:val="none"/>
                <w:lang w:eastAsia="zh-CN"/>
              </w:rPr>
              <w:t>暂存间</w:t>
            </w:r>
            <w:r>
              <w:rPr>
                <w:rFonts w:hint="default" w:ascii="Times New Roman" w:hAnsi="Times New Roman" w:cs="Times New Roman"/>
                <w:b w:val="0"/>
                <w:bCs w:val="0"/>
                <w:sz w:val="24"/>
                <w:u w:val="none"/>
              </w:rPr>
              <w:t>暂存后</w:t>
            </w:r>
            <w:r>
              <w:rPr>
                <w:rFonts w:hint="default" w:ascii="Times New Roman" w:hAnsi="Times New Roman" w:eastAsia="宋体" w:cs="Times New Roman"/>
                <w:b w:val="0"/>
                <w:bCs w:val="0"/>
                <w:color w:val="auto"/>
                <w:sz w:val="24"/>
                <w:szCs w:val="24"/>
                <w:u w:val="none"/>
                <w:lang w:val="en-US" w:eastAsia="zh-CN"/>
              </w:rPr>
              <w:t>交由当地环卫部门清运</w:t>
            </w:r>
            <w:r>
              <w:rPr>
                <w:rFonts w:hint="default" w:ascii="Times New Roman" w:hAnsi="Times New Roman" w:cs="Times New Roman"/>
                <w:b w:val="0"/>
                <w:bCs w:val="0"/>
                <w:sz w:val="24"/>
                <w:u w:val="none"/>
              </w:rPr>
              <w:t>。</w:t>
            </w:r>
          </w:p>
          <w:p>
            <w:pPr>
              <w:adjustRightInd w:val="0"/>
              <w:snapToGrid w:val="0"/>
              <w:spacing w:line="360" w:lineRule="auto"/>
              <w:ind w:firstLine="480" w:firstLineChars="200"/>
              <w:jc w:val="both"/>
              <w:textAlignment w:val="baseline"/>
              <w:rPr>
                <w:rFonts w:hint="default" w:ascii="Times New Roman" w:hAnsi="Times New Roman" w:eastAsia="宋体" w:cs="Times New Roman"/>
                <w:b/>
                <w:bCs/>
                <w:kern w:val="2"/>
                <w:sz w:val="24"/>
                <w:szCs w:val="24"/>
                <w:u w:val="none"/>
                <w:lang w:val="en-US" w:eastAsia="zh-CN" w:bidi="ar-SA"/>
              </w:rPr>
            </w:pPr>
            <w:r>
              <w:rPr>
                <w:rFonts w:hint="default" w:ascii="Times New Roman" w:hAnsi="Times New Roman" w:eastAsia="宋体" w:cs="Times New Roman"/>
                <w:color w:val="auto"/>
                <w:sz w:val="24"/>
                <w:szCs w:val="24"/>
              </w:rPr>
              <w:t>本项目运营期</w:t>
            </w:r>
            <w:r>
              <w:rPr>
                <w:rFonts w:hint="default" w:ascii="Times New Roman" w:hAnsi="Times New Roman" w:cs="Times New Roman"/>
                <w:color w:val="auto"/>
                <w:sz w:val="24"/>
                <w:szCs w:val="24"/>
                <w:lang w:val="en-US" w:eastAsia="zh-CN"/>
              </w:rPr>
              <w:t>一般</w:t>
            </w:r>
            <w:r>
              <w:rPr>
                <w:rFonts w:hint="default" w:ascii="Times New Roman" w:hAnsi="Times New Roman" w:eastAsia="宋体" w:cs="Times New Roman"/>
                <w:color w:val="auto"/>
                <w:sz w:val="24"/>
                <w:szCs w:val="24"/>
              </w:rPr>
              <w:t>固废产排情况见表</w:t>
            </w:r>
            <w:r>
              <w:rPr>
                <w:rFonts w:hint="default"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w:t>
            </w:r>
          </w:p>
          <w:p>
            <w:pPr>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2"/>
                <w:sz w:val="24"/>
                <w:szCs w:val="22"/>
                <w:lang w:val="en-US" w:eastAsia="zh-CN" w:bidi="ar-SA"/>
              </w:rPr>
              <w:t>表</w:t>
            </w:r>
            <w:r>
              <w:rPr>
                <w:rFonts w:hint="default" w:ascii="Times New Roman" w:hAnsi="Times New Roman" w:cs="Times New Roman"/>
                <w:b/>
                <w:bCs/>
                <w:color w:val="auto"/>
                <w:kern w:val="2"/>
                <w:sz w:val="24"/>
                <w:szCs w:val="22"/>
                <w:lang w:val="en-US" w:eastAsia="zh-CN" w:bidi="ar-SA"/>
              </w:rPr>
              <w:t>4-1</w:t>
            </w:r>
            <w:r>
              <w:rPr>
                <w:rFonts w:hint="eastAsia" w:cs="Times New Roman"/>
                <w:b/>
                <w:bCs/>
                <w:color w:val="auto"/>
                <w:kern w:val="2"/>
                <w:sz w:val="24"/>
                <w:szCs w:val="22"/>
                <w:lang w:val="en-US" w:eastAsia="zh-CN" w:bidi="ar-SA"/>
              </w:rPr>
              <w:t>8</w:t>
            </w:r>
            <w:r>
              <w:rPr>
                <w:rFonts w:hint="default" w:ascii="Times New Roman" w:hAnsi="Times New Roman" w:eastAsia="宋体" w:cs="Times New Roman"/>
                <w:b/>
                <w:bCs/>
                <w:color w:val="auto"/>
                <w:kern w:val="2"/>
                <w:sz w:val="24"/>
                <w:szCs w:val="22"/>
                <w:lang w:val="en-US" w:eastAsia="zh-CN" w:bidi="ar-SA"/>
              </w:rPr>
              <w:t xml:space="preserve">  </w:t>
            </w:r>
            <w:r>
              <w:rPr>
                <w:rFonts w:hint="default" w:ascii="Times New Roman" w:hAnsi="Times New Roman" w:cs="Times New Roman"/>
                <w:b/>
                <w:bCs/>
                <w:color w:val="auto"/>
                <w:kern w:val="2"/>
                <w:sz w:val="24"/>
                <w:szCs w:val="22"/>
                <w:lang w:val="en-US" w:eastAsia="zh-CN" w:bidi="ar-SA"/>
              </w:rPr>
              <w:t xml:space="preserve"> </w:t>
            </w:r>
            <w:r>
              <w:rPr>
                <w:rFonts w:hint="default" w:ascii="Times New Roman" w:hAnsi="Times New Roman" w:eastAsia="宋体" w:cs="Times New Roman"/>
                <w:b/>
                <w:bCs/>
                <w:color w:val="auto"/>
                <w:kern w:val="2"/>
                <w:sz w:val="24"/>
                <w:szCs w:val="22"/>
                <w:lang w:val="en-US" w:eastAsia="zh-CN" w:bidi="ar-SA"/>
              </w:rPr>
              <w:t xml:space="preserve"> 项目运营期</w:t>
            </w:r>
            <w:r>
              <w:rPr>
                <w:rFonts w:hint="default" w:ascii="Times New Roman" w:hAnsi="Times New Roman" w:cs="Times New Roman"/>
                <w:b/>
                <w:bCs/>
                <w:color w:val="auto"/>
                <w:kern w:val="2"/>
                <w:sz w:val="24"/>
                <w:szCs w:val="22"/>
                <w:lang w:val="en-US" w:eastAsia="zh-CN" w:bidi="ar-SA"/>
              </w:rPr>
              <w:t>一般</w:t>
            </w:r>
            <w:r>
              <w:rPr>
                <w:rFonts w:hint="default" w:ascii="Times New Roman" w:hAnsi="Times New Roman" w:eastAsia="宋体" w:cs="Times New Roman"/>
                <w:b/>
                <w:bCs/>
                <w:color w:val="auto"/>
                <w:kern w:val="2"/>
                <w:sz w:val="24"/>
                <w:szCs w:val="22"/>
                <w:lang w:val="en-US" w:eastAsia="zh-CN" w:bidi="ar-SA"/>
              </w:rPr>
              <w:t>固废产排情况一览表</w:t>
            </w:r>
          </w:p>
          <w:tbl>
            <w:tblPr>
              <w:tblStyle w:val="24"/>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665"/>
              <w:gridCol w:w="1860"/>
              <w:gridCol w:w="1318"/>
              <w:gridCol w:w="26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66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产生工序</w:t>
                  </w:r>
                </w:p>
              </w:tc>
              <w:tc>
                <w:tcPr>
                  <w:tcW w:w="1860"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318"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产生量</w:t>
                  </w:r>
                </w:p>
              </w:tc>
              <w:tc>
                <w:tcPr>
                  <w:tcW w:w="2692"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处置去向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665"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分拣工序</w:t>
                  </w:r>
                </w:p>
              </w:tc>
              <w:tc>
                <w:tcPr>
                  <w:tcW w:w="1860"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人工分拣杂物</w:t>
                  </w:r>
                </w:p>
              </w:tc>
              <w:tc>
                <w:tcPr>
                  <w:tcW w:w="1318" w:type="dxa"/>
                  <w:tcBorders>
                    <w:tl2br w:val="nil"/>
                    <w:tr2bl w:val="nil"/>
                  </w:tcBorders>
                  <w:noWrap w:val="0"/>
                  <w:vAlign w:val="center"/>
                </w:tcPr>
                <w:p>
                  <w:pPr>
                    <w:spacing w:line="300" w:lineRule="atLeas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r>
                    <w:rPr>
                      <w:rFonts w:hint="default" w:ascii="Times New Roman" w:hAnsi="Times New Roman" w:cs="Times New Roman"/>
                      <w:color w:val="auto"/>
                      <w:sz w:val="21"/>
                      <w:szCs w:val="21"/>
                      <w:lang w:val="en-US" w:eastAsia="zh-CN"/>
                    </w:rPr>
                    <w:t>t/a</w:t>
                  </w:r>
                </w:p>
              </w:tc>
              <w:tc>
                <w:tcPr>
                  <w:tcW w:w="2692" w:type="dxa"/>
                  <w:vMerge w:val="restart"/>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rPr>
                  </w:pPr>
                  <w:r>
                    <w:rPr>
                      <w:rFonts w:hint="default" w:ascii="Times New Roman" w:hAnsi="Times New Roman" w:eastAsia="宋体" w:cs="Times New Roman"/>
                      <w:snapToGrid w:val="0"/>
                      <w:color w:val="auto"/>
                      <w:kern w:val="0"/>
                      <w:sz w:val="21"/>
                      <w:szCs w:val="21"/>
                      <w:lang w:val="en-US" w:eastAsia="zh-CN"/>
                    </w:rPr>
                    <w:t>暂存于一般固废暂存间，定期</w:t>
                  </w:r>
                  <w:r>
                    <w:rPr>
                      <w:rFonts w:hint="default" w:ascii="Times New Roman" w:hAnsi="Times New Roman" w:cs="Times New Roman"/>
                      <w:snapToGrid w:val="0"/>
                      <w:color w:val="auto"/>
                      <w:kern w:val="0"/>
                      <w:sz w:val="21"/>
                      <w:szCs w:val="21"/>
                      <w:lang w:val="en-US" w:eastAsia="zh-CN"/>
                    </w:rPr>
                    <w:t>由当地环卫部门拉取</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40" w:hRule="atLeast"/>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p>
              </w:tc>
              <w:tc>
                <w:tcPr>
                  <w:tcW w:w="2665"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袋式除尘</w:t>
                  </w:r>
                </w:p>
              </w:tc>
              <w:tc>
                <w:tcPr>
                  <w:tcW w:w="1860" w:type="dxa"/>
                  <w:tcBorders>
                    <w:tl2br w:val="nil"/>
                    <w:tr2bl w:val="nil"/>
                  </w:tcBorders>
                  <w:noWrap w:val="0"/>
                  <w:vAlign w:val="center"/>
                </w:tcPr>
                <w:p>
                  <w:pPr>
                    <w:tabs>
                      <w:tab w:val="left" w:pos="567"/>
                    </w:tabs>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袋式除尘收集尘</w:t>
                  </w:r>
                </w:p>
              </w:tc>
              <w:tc>
                <w:tcPr>
                  <w:tcW w:w="1318" w:type="dxa"/>
                  <w:tcBorders>
                    <w:tl2br w:val="nil"/>
                    <w:tr2bl w:val="nil"/>
                  </w:tcBorders>
                  <w:noWrap w:val="0"/>
                  <w:vAlign w:val="center"/>
                </w:tcPr>
                <w:p>
                  <w:pPr>
                    <w:spacing w:line="300" w:lineRule="atLeas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1.155t/a</w:t>
                  </w:r>
                </w:p>
              </w:tc>
              <w:tc>
                <w:tcPr>
                  <w:tcW w:w="2692" w:type="dxa"/>
                  <w:vMerge w:val="continue"/>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266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清洗工序</w:t>
                  </w:r>
                </w:p>
              </w:tc>
              <w:tc>
                <w:tcPr>
                  <w:tcW w:w="186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清洗废水沉淀物</w:t>
                  </w:r>
                </w:p>
              </w:tc>
              <w:tc>
                <w:tcPr>
                  <w:tcW w:w="1318"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12.65</w:t>
                  </w:r>
                  <w:r>
                    <w:rPr>
                      <w:rFonts w:hint="eastAsia" w:cs="Times New Roman"/>
                      <w:color w:val="auto"/>
                      <w:lang w:val="en-US" w:eastAsia="zh-CN"/>
                    </w:rPr>
                    <w:t>t/a</w:t>
                  </w:r>
                </w:p>
              </w:tc>
              <w:tc>
                <w:tcPr>
                  <w:tcW w:w="2692" w:type="dxa"/>
                  <w:vMerge w:val="continue"/>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2665" w:type="dxa"/>
                  <w:tcBorders>
                    <w:tl2br w:val="nil"/>
                    <w:tr2bl w:val="nil"/>
                  </w:tcBorders>
                  <w:noWrap w:val="0"/>
                  <w:vAlign w:val="center"/>
                </w:tcPr>
                <w:p>
                  <w:pPr>
                    <w:topLinePunct/>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熔融挤出</w:t>
                  </w:r>
                </w:p>
              </w:tc>
              <w:tc>
                <w:tcPr>
                  <w:tcW w:w="1860" w:type="dxa"/>
                  <w:tcBorders>
                    <w:tl2br w:val="nil"/>
                    <w:tr2bl w:val="nil"/>
                  </w:tcBorders>
                  <w:noWrap w:val="0"/>
                  <w:vAlign w:val="center"/>
                </w:tcPr>
                <w:p>
                  <w:pPr>
                    <w:topLinePunct/>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废滤网</w:t>
                  </w:r>
                </w:p>
              </w:tc>
              <w:tc>
                <w:tcPr>
                  <w:tcW w:w="1318" w:type="dxa"/>
                  <w:tcBorders>
                    <w:tl2br w:val="nil"/>
                    <w:tr2bl w:val="nil"/>
                  </w:tcBorders>
                  <w:noWrap w:val="0"/>
                  <w:vAlign w:val="center"/>
                </w:tcPr>
                <w:p>
                  <w:pPr>
                    <w:topLinePunct/>
                    <w:adjustRightInd w:val="0"/>
                    <w:snapToGrid w:val="0"/>
                    <w:jc w:val="center"/>
                    <w:rPr>
                      <w:rFonts w:hint="default" w:ascii="Times New Roman" w:hAnsi="Times New Roman" w:cs="Times New Roman"/>
                      <w:color w:val="auto"/>
                      <w:lang w:val="en-US" w:eastAsia="zh-CN"/>
                    </w:rPr>
                  </w:pPr>
                  <w:r>
                    <w:rPr>
                      <w:rFonts w:hint="eastAsia" w:cs="Times New Roman"/>
                      <w:color w:val="auto"/>
                      <w:lang w:val="en-US" w:eastAsia="zh-CN"/>
                    </w:rPr>
                    <w:t>5.22</w:t>
                  </w:r>
                  <w:r>
                    <w:rPr>
                      <w:rFonts w:hint="default" w:ascii="Times New Roman" w:hAnsi="Times New Roman" w:cs="Times New Roman"/>
                      <w:color w:val="auto"/>
                      <w:lang w:val="en-US" w:eastAsia="zh-CN"/>
                    </w:rPr>
                    <w:t>t/a</w:t>
                  </w:r>
                </w:p>
              </w:tc>
              <w:tc>
                <w:tcPr>
                  <w:tcW w:w="2692" w:type="dxa"/>
                  <w:vMerge w:val="continue"/>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266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干式过滤</w:t>
                  </w:r>
                </w:p>
              </w:tc>
              <w:tc>
                <w:tcPr>
                  <w:tcW w:w="1860"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废过滤棉</w:t>
                  </w:r>
                </w:p>
              </w:tc>
              <w:tc>
                <w:tcPr>
                  <w:tcW w:w="1318"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1.2945t/a</w:t>
                  </w:r>
                </w:p>
              </w:tc>
              <w:tc>
                <w:tcPr>
                  <w:tcW w:w="2692" w:type="dxa"/>
                  <w:vMerge w:val="continue"/>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78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6</w:t>
                  </w:r>
                </w:p>
              </w:tc>
              <w:tc>
                <w:tcPr>
                  <w:tcW w:w="2665"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员工办公</w:t>
                  </w:r>
                </w:p>
              </w:tc>
              <w:tc>
                <w:tcPr>
                  <w:tcW w:w="1860"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1318" w:type="dxa"/>
                  <w:tcBorders>
                    <w:tl2br w:val="nil"/>
                    <w:tr2bl w:val="nil"/>
                  </w:tcBorders>
                  <w:noWrap w:val="0"/>
                  <w:vAlign w:val="center"/>
                </w:tcPr>
                <w:p>
                  <w:pPr>
                    <w:adjustRightInd w:val="0"/>
                    <w:snapToGrid w:val="0"/>
                    <w:spacing w:line="340" w:lineRule="exact"/>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4.5</w:t>
                  </w:r>
                  <w:r>
                    <w:rPr>
                      <w:rFonts w:hint="default" w:ascii="Times New Roman" w:hAnsi="Times New Roman" w:eastAsia="宋体" w:cs="Times New Roman"/>
                      <w:color w:val="auto"/>
                    </w:rPr>
                    <w:t>t/a</w:t>
                  </w:r>
                </w:p>
              </w:tc>
              <w:tc>
                <w:tcPr>
                  <w:tcW w:w="2692" w:type="dxa"/>
                  <w:tcBorders>
                    <w:tl2br w:val="nil"/>
                    <w:tr2bl w:val="nil"/>
                  </w:tcBorders>
                  <w:noWrap w:val="0"/>
                  <w:vAlign w:val="center"/>
                </w:tcPr>
                <w:p>
                  <w:pPr>
                    <w:adjustRightInd w:val="0"/>
                    <w:snapToGrid w:val="0"/>
                    <w:spacing w:line="3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收集后</w:t>
                  </w:r>
                  <w:r>
                    <w:rPr>
                      <w:rFonts w:hint="default" w:ascii="Times New Roman" w:hAnsi="Times New Roman" w:eastAsia="宋体" w:cs="Times New Roman"/>
                      <w:color w:val="auto"/>
                      <w:lang w:eastAsia="zh-CN"/>
                    </w:rPr>
                    <w:t>交环卫部门处理</w:t>
                  </w:r>
                </w:p>
              </w:tc>
            </w:tr>
          </w:tbl>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危险废物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（1）</w:t>
            </w:r>
            <w:r>
              <w:rPr>
                <w:rFonts w:hint="default" w:ascii="Times New Roman" w:hAnsi="Times New Roman" w:eastAsia="宋体" w:cs="Times New Roman"/>
                <w:b/>
                <w:bCs/>
                <w:color w:val="auto"/>
                <w:sz w:val="24"/>
                <w:u w:val="none"/>
                <w:lang w:val="en-US" w:eastAsia="zh-CN"/>
              </w:rPr>
              <w:t>废活性炭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活性炭：本项目废气处理RCO装置，采用“活性炭吸附浓缩+催化燃烧”处理工艺，根据设备参数一次活性炭装填量为1.2t，有机废气在风机作用下进入活性炭吸附浓缩催化燃烧装置的吸附箱，此时活性炭吸附床开始对废气中的有机物质进行吸附，在一定时间里吸附床达到饱和，饱和之后的活性炭便失去了活性。当活性炭吸附饱和后，启动脱附风机对吸附饱和的活性炭进行脱附。经过脱附后的活性炭此时又保持了活性，可以进行第二轮的吸附，依次循环，根据设备厂商提供数据，活性炭循环使用周期为1年更换一次，则活性炭用量为1.2t/a，按活性炭吸附系数为0.3计，则废活性炭产生量约为1.56t/a，属于危险固废，在厂区危废暂存间暂存后</w:t>
            </w:r>
            <w:r>
              <w:rPr>
                <w:rFonts w:hint="default" w:ascii="Times New Roman" w:hAnsi="Times New Roman" w:cs="Times New Roman"/>
                <w:color w:val="auto"/>
                <w:sz w:val="24"/>
                <w:szCs w:val="24"/>
                <w:lang w:eastAsia="zh-CN"/>
              </w:rPr>
              <w:t>交由</w:t>
            </w:r>
            <w:r>
              <w:rPr>
                <w:rFonts w:hint="default" w:ascii="Times New Roman" w:hAnsi="Times New Roman" w:cs="Times New Roman"/>
                <w:color w:val="auto"/>
                <w:sz w:val="24"/>
                <w:szCs w:val="24"/>
              </w:rPr>
              <w:t>资质单位处置。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cs="Times New Roman"/>
                <w:b/>
                <w:bCs/>
                <w:color w:val="auto"/>
                <w:sz w:val="24"/>
                <w:u w:val="none"/>
                <w:lang w:val="en-US" w:eastAsia="zh-CN"/>
              </w:rPr>
              <w:t>（2）</w:t>
            </w:r>
            <w:r>
              <w:rPr>
                <w:rFonts w:hint="default" w:ascii="Times New Roman" w:hAnsi="Times New Roman" w:eastAsia="宋体" w:cs="Times New Roman"/>
                <w:b/>
                <w:bCs/>
                <w:color w:val="auto"/>
                <w:sz w:val="24"/>
                <w:u w:val="none"/>
                <w:lang w:val="en-US" w:eastAsia="zh-CN"/>
              </w:rPr>
              <w:t>废机油</w:t>
            </w:r>
          </w:p>
          <w:p>
            <w:pPr>
              <w:spacing w:line="360" w:lineRule="auto"/>
              <w:ind w:firstLine="480"/>
              <w:jc w:val="both"/>
              <w:textAlignment w:val="baseline"/>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本项目生产</w:t>
            </w:r>
            <w:r>
              <w:rPr>
                <w:rFonts w:hint="default" w:ascii="Times New Roman" w:hAnsi="Times New Roman" w:cs="Times New Roman"/>
                <w:b w:val="0"/>
                <w:bCs w:val="0"/>
                <w:color w:val="auto"/>
                <w:sz w:val="24"/>
                <w:u w:val="none"/>
                <w:lang w:val="en-US" w:eastAsia="zh-CN"/>
              </w:rPr>
              <w:t>过程中会用到机油</w:t>
            </w:r>
            <w:r>
              <w:rPr>
                <w:rFonts w:hint="default" w:ascii="Times New Roman" w:hAnsi="Times New Roman" w:eastAsia="宋体" w:cs="Times New Roman"/>
                <w:b w:val="0"/>
                <w:bCs w:val="0"/>
                <w:color w:val="auto"/>
                <w:sz w:val="24"/>
                <w:u w:val="none"/>
                <w:lang w:val="en-US" w:eastAsia="zh-CN"/>
              </w:rPr>
              <w:t>，年用量约为0.6t/a，运营期设备维修、保养过程中会产生少量废机油，产生量一般为用量的</w:t>
            </w:r>
            <w:r>
              <w:rPr>
                <w:rFonts w:hint="default" w:ascii="Times New Roman" w:hAnsi="Times New Roman" w:cs="Times New Roman"/>
                <w:b w:val="0"/>
                <w:bCs w:val="0"/>
                <w:color w:val="auto"/>
                <w:sz w:val="24"/>
                <w:u w:val="none"/>
                <w:lang w:val="en-US" w:eastAsia="zh-CN"/>
              </w:rPr>
              <w:t>5%—10%</w:t>
            </w:r>
            <w:r>
              <w:rPr>
                <w:rFonts w:hint="default" w:ascii="Times New Roman" w:hAnsi="Times New Roman" w:eastAsia="宋体" w:cs="Times New Roman"/>
                <w:b w:val="0"/>
                <w:bCs w:val="0"/>
                <w:color w:val="auto"/>
                <w:sz w:val="24"/>
                <w:u w:val="none"/>
                <w:lang w:val="en-US" w:eastAsia="zh-CN"/>
              </w:rPr>
              <w:t>，本环评以最大量10%计，则废机油产生量约为0.06t/a，根据《国家危险废物名录》（2021年），废机油属于危险废物，危险废物类别为HW08，废物代码为900-214-08。本项目危险废物的暂存要求严格按照环境保护部公告2017年第43号《建设项目危险废物环境影响评价指南》中的相关要求，做到“四防”（防风、防雨、防晒、防渗漏），严格做到防渗和渗漏收集措施，设置不同废物的</w:t>
            </w:r>
            <w:r>
              <w:rPr>
                <w:rFonts w:hint="default" w:ascii="Times New Roman" w:hAnsi="Times New Roman" w:cs="Times New Roman"/>
                <w:b w:val="0"/>
                <w:bCs w:val="0"/>
                <w:color w:val="auto"/>
                <w:sz w:val="24"/>
                <w:u w:val="none"/>
                <w:lang w:val="en-US" w:eastAsia="zh-CN"/>
              </w:rPr>
              <w:t>警示标识</w:t>
            </w:r>
            <w:r>
              <w:rPr>
                <w:rFonts w:hint="default" w:ascii="Times New Roman" w:hAnsi="Times New Roman" w:eastAsia="宋体" w:cs="Times New Roman"/>
                <w:b w:val="0"/>
                <w:bCs w:val="0"/>
                <w:color w:val="auto"/>
                <w:sz w:val="24"/>
                <w:u w:val="none"/>
                <w:lang w:val="en-US" w:eastAsia="zh-CN"/>
              </w:rPr>
              <w:t>。项目危险废物贮存设施情况见下表：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single"/>
                <w:lang w:val="en-US" w:eastAsia="zh-CN"/>
              </w:rPr>
            </w:pPr>
            <w:r>
              <w:rPr>
                <w:rFonts w:hint="default" w:ascii="Times New Roman" w:hAnsi="Times New Roman" w:eastAsia="宋体" w:cs="Times New Roman"/>
                <w:b/>
                <w:bCs/>
                <w:color w:val="auto"/>
                <w:spacing w:val="0"/>
                <w:sz w:val="24"/>
                <w:szCs w:val="24"/>
                <w:u w:val="single"/>
                <w:lang w:val="en-US" w:eastAsia="zh-CN"/>
              </w:rPr>
              <w:t>表4-</w:t>
            </w:r>
            <w:r>
              <w:rPr>
                <w:rFonts w:hint="default" w:ascii="Times New Roman" w:hAnsi="Times New Roman" w:cs="Times New Roman"/>
                <w:b/>
                <w:bCs/>
                <w:color w:val="auto"/>
                <w:spacing w:val="0"/>
                <w:sz w:val="24"/>
                <w:szCs w:val="24"/>
                <w:u w:val="single"/>
                <w:lang w:val="en-US" w:eastAsia="zh-CN"/>
              </w:rPr>
              <w:t>1</w:t>
            </w:r>
            <w:r>
              <w:rPr>
                <w:rFonts w:hint="eastAsia" w:cs="Times New Roman"/>
                <w:b/>
                <w:bCs/>
                <w:color w:val="auto"/>
                <w:spacing w:val="0"/>
                <w:sz w:val="24"/>
                <w:szCs w:val="24"/>
                <w:u w:val="single"/>
                <w:lang w:val="en-US" w:eastAsia="zh-CN"/>
              </w:rPr>
              <w:t>9</w:t>
            </w:r>
            <w:r>
              <w:rPr>
                <w:rFonts w:hint="default" w:ascii="Times New Roman" w:hAnsi="Times New Roman" w:eastAsia="宋体" w:cs="Times New Roman"/>
                <w:b/>
                <w:bCs/>
                <w:color w:val="auto"/>
                <w:spacing w:val="0"/>
                <w:sz w:val="24"/>
                <w:szCs w:val="24"/>
                <w:u w:val="single"/>
                <w:lang w:val="en-US" w:eastAsia="zh-CN"/>
              </w:rPr>
              <w:t>建设项目危险废物</w:t>
            </w:r>
            <w:r>
              <w:rPr>
                <w:rFonts w:hint="default" w:ascii="Times New Roman" w:hAnsi="Times New Roman" w:cs="Times New Roman"/>
                <w:b/>
                <w:bCs/>
                <w:color w:val="auto"/>
                <w:spacing w:val="0"/>
                <w:sz w:val="24"/>
                <w:szCs w:val="24"/>
                <w:u w:val="single"/>
                <w:lang w:val="en-US" w:eastAsia="zh-CN"/>
              </w:rPr>
              <w:t>汇总</w:t>
            </w:r>
            <w:r>
              <w:rPr>
                <w:rFonts w:hint="default" w:ascii="Times New Roman" w:hAnsi="Times New Roman" w:eastAsia="宋体" w:cs="Times New Roman"/>
                <w:b/>
                <w:bCs/>
                <w:color w:val="auto"/>
                <w:spacing w:val="0"/>
                <w:sz w:val="24"/>
                <w:szCs w:val="24"/>
                <w:u w:val="single"/>
                <w:lang w:val="en-US" w:eastAsia="zh-CN"/>
              </w:rPr>
              <w:t>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8"/>
              <w:gridCol w:w="958"/>
              <w:gridCol w:w="689"/>
              <w:gridCol w:w="985"/>
              <w:gridCol w:w="900"/>
              <w:gridCol w:w="1020"/>
              <w:gridCol w:w="735"/>
              <w:gridCol w:w="786"/>
              <w:gridCol w:w="639"/>
              <w:gridCol w:w="600"/>
              <w:gridCol w:w="450"/>
              <w:gridCol w:w="11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21" w:hRule="atLeast"/>
                <w:jc w:val="center"/>
              </w:trPr>
              <w:tc>
                <w:tcPr>
                  <w:tcW w:w="49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序号</w:t>
                  </w:r>
                </w:p>
              </w:tc>
              <w:tc>
                <w:tcPr>
                  <w:tcW w:w="95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危险废物名称</w:t>
                  </w:r>
                </w:p>
              </w:tc>
              <w:tc>
                <w:tcPr>
                  <w:tcW w:w="68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危险废物类别</w:t>
                  </w:r>
                </w:p>
              </w:tc>
              <w:tc>
                <w:tcPr>
                  <w:tcW w:w="98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危险废物代码</w:t>
                  </w:r>
                </w:p>
              </w:tc>
              <w:tc>
                <w:tcPr>
                  <w:tcW w:w="9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产生量（吨/年）</w:t>
                  </w:r>
                </w:p>
              </w:tc>
              <w:tc>
                <w:tcPr>
                  <w:tcW w:w="102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产生工序及装置</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形态</w:t>
                  </w:r>
                </w:p>
              </w:tc>
              <w:tc>
                <w:tcPr>
                  <w:tcW w:w="7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主要成分</w:t>
                  </w:r>
                </w:p>
              </w:tc>
              <w:tc>
                <w:tcPr>
                  <w:tcW w:w="63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有害成分</w:t>
                  </w:r>
                </w:p>
              </w:tc>
              <w:tc>
                <w:tcPr>
                  <w:tcW w:w="6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产废周期</w:t>
                  </w:r>
                </w:p>
              </w:tc>
              <w:tc>
                <w:tcPr>
                  <w:tcW w:w="45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w:t>
                  </w:r>
                </w:p>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特性</w:t>
                  </w:r>
                </w:p>
              </w:tc>
              <w:tc>
                <w:tcPr>
                  <w:tcW w:w="113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1</w:t>
                  </w:r>
                </w:p>
              </w:tc>
              <w:tc>
                <w:tcPr>
                  <w:tcW w:w="95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废机油</w:t>
                  </w:r>
                </w:p>
              </w:tc>
              <w:tc>
                <w:tcPr>
                  <w:tcW w:w="6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single"/>
                      <w:lang w:val="en-US" w:eastAsia="zh-CN" w:bidi="ar-SA"/>
                    </w:rPr>
                  </w:pPr>
                  <w:r>
                    <w:rPr>
                      <w:rFonts w:hint="default" w:ascii="Times New Roman" w:hAnsi="Times New Roman" w:cs="Times New Roman"/>
                      <w:b w:val="0"/>
                      <w:bCs w:val="0"/>
                      <w:u w:val="single"/>
                    </w:rPr>
                    <w:t>HW08</w:t>
                  </w:r>
                </w:p>
              </w:tc>
              <w:tc>
                <w:tcPr>
                  <w:tcW w:w="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single"/>
                      <w:lang w:val="en-US" w:eastAsia="zh-CN" w:bidi="ar-SA"/>
                    </w:rPr>
                  </w:pPr>
                  <w:r>
                    <w:rPr>
                      <w:rFonts w:hint="default" w:ascii="Times New Roman" w:hAnsi="Times New Roman" w:cs="Times New Roman"/>
                      <w:b w:val="0"/>
                      <w:bCs w:val="0"/>
                      <w:u w:val="single"/>
                    </w:rPr>
                    <w:t>900-214-08</w:t>
                  </w:r>
                </w:p>
              </w:tc>
              <w:tc>
                <w:tcPr>
                  <w:tcW w:w="9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0.06</w:t>
                  </w:r>
                </w:p>
              </w:tc>
              <w:tc>
                <w:tcPr>
                  <w:tcW w:w="102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设备保养</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液态</w:t>
                  </w:r>
                </w:p>
              </w:tc>
              <w:tc>
                <w:tcPr>
                  <w:tcW w:w="7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矿物油</w:t>
                  </w:r>
                </w:p>
              </w:tc>
              <w:tc>
                <w:tcPr>
                  <w:tcW w:w="63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矿物油</w:t>
                  </w:r>
                </w:p>
              </w:tc>
              <w:tc>
                <w:tcPr>
                  <w:tcW w:w="6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1次/a</w:t>
                  </w:r>
                </w:p>
              </w:tc>
              <w:tc>
                <w:tcPr>
                  <w:tcW w:w="45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u w:val="single"/>
                    </w:rPr>
                    <w:t>T，I</w:t>
                  </w:r>
                </w:p>
              </w:tc>
              <w:tc>
                <w:tcPr>
                  <w:tcW w:w="1138" w:type="dxa"/>
                  <w:vMerge w:val="restar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危废间暂存后，由有资质单位处理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2</w:t>
                  </w:r>
                </w:p>
              </w:tc>
              <w:tc>
                <w:tcPr>
                  <w:tcW w:w="95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废活性炭</w:t>
                  </w:r>
                </w:p>
              </w:tc>
              <w:tc>
                <w:tcPr>
                  <w:tcW w:w="6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single"/>
                      <w:lang w:val="en-US" w:eastAsia="zh-CN" w:bidi="ar-SA"/>
                    </w:rPr>
                  </w:pPr>
                  <w:r>
                    <w:rPr>
                      <w:rFonts w:hint="default" w:ascii="Times New Roman" w:hAnsi="Times New Roman" w:eastAsia="宋体" w:cs="Times New Roman"/>
                      <w:b w:val="0"/>
                      <w:bCs w:val="0"/>
                      <w:color w:val="auto"/>
                      <w:sz w:val="21"/>
                      <w:szCs w:val="21"/>
                      <w:u w:val="single"/>
                      <w:lang w:val="en-US" w:eastAsia="zh-CN"/>
                    </w:rPr>
                    <w:t>HW49</w:t>
                  </w:r>
                </w:p>
              </w:tc>
              <w:tc>
                <w:tcPr>
                  <w:tcW w:w="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single"/>
                      <w:lang w:val="en-US" w:eastAsia="zh-CN" w:bidi="ar-SA"/>
                    </w:rPr>
                  </w:pPr>
                  <w:r>
                    <w:rPr>
                      <w:rFonts w:hint="default" w:ascii="Times New Roman" w:hAnsi="Times New Roman" w:eastAsia="宋体" w:cs="Times New Roman"/>
                      <w:b w:val="0"/>
                      <w:bCs w:val="0"/>
                      <w:color w:val="auto"/>
                      <w:sz w:val="21"/>
                      <w:szCs w:val="21"/>
                      <w:u w:val="single"/>
                      <w:lang w:val="en-US" w:eastAsia="zh-CN"/>
                    </w:rPr>
                    <w:t>900-039-49</w:t>
                  </w:r>
                </w:p>
              </w:tc>
              <w:tc>
                <w:tcPr>
                  <w:tcW w:w="9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1.56</w:t>
                  </w:r>
                </w:p>
              </w:tc>
              <w:tc>
                <w:tcPr>
                  <w:tcW w:w="102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有机废气环保处理设施</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固体</w:t>
                  </w:r>
                </w:p>
              </w:tc>
              <w:tc>
                <w:tcPr>
                  <w:tcW w:w="7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活性炭</w:t>
                  </w:r>
                </w:p>
              </w:tc>
              <w:tc>
                <w:tcPr>
                  <w:tcW w:w="63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非甲烷总烃</w:t>
                  </w:r>
                </w:p>
              </w:tc>
              <w:tc>
                <w:tcPr>
                  <w:tcW w:w="6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1次/a</w:t>
                  </w:r>
                </w:p>
              </w:tc>
              <w:tc>
                <w:tcPr>
                  <w:tcW w:w="45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u w:val="single"/>
                      <w:lang w:val="en-US" w:eastAsia="zh-CN"/>
                    </w:rPr>
                    <w:t>T</w:t>
                  </w:r>
                </w:p>
              </w:tc>
              <w:tc>
                <w:tcPr>
                  <w:tcW w:w="1138"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49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3</w:t>
                  </w:r>
                </w:p>
              </w:tc>
              <w:tc>
                <w:tcPr>
                  <w:tcW w:w="958"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废催化剂（需做固体废物浸出实验）</w:t>
                  </w:r>
                </w:p>
              </w:tc>
              <w:tc>
                <w:tcPr>
                  <w:tcW w:w="6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w:t>
                  </w:r>
                </w:p>
              </w:tc>
              <w:tc>
                <w:tcPr>
                  <w:tcW w:w="9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w:t>
                  </w:r>
                </w:p>
              </w:tc>
              <w:tc>
                <w:tcPr>
                  <w:tcW w:w="9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0.03</w:t>
                  </w:r>
                </w:p>
              </w:tc>
              <w:tc>
                <w:tcPr>
                  <w:tcW w:w="102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有机废气环保处理设施</w:t>
                  </w:r>
                </w:p>
              </w:tc>
              <w:tc>
                <w:tcPr>
                  <w:tcW w:w="735"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固体</w:t>
                  </w:r>
                </w:p>
              </w:tc>
              <w:tc>
                <w:tcPr>
                  <w:tcW w:w="786"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钼、铂、钯等贵金属</w:t>
                  </w:r>
                </w:p>
              </w:tc>
              <w:tc>
                <w:tcPr>
                  <w:tcW w:w="639"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钼、铂、钯等贵金属</w:t>
                  </w:r>
                </w:p>
              </w:tc>
              <w:tc>
                <w:tcPr>
                  <w:tcW w:w="60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1次/</w:t>
                  </w:r>
                  <w:r>
                    <w:rPr>
                      <w:rFonts w:hint="default" w:ascii="Times New Roman" w:hAnsi="Times New Roman" w:cs="Times New Roman"/>
                      <w:u w:val="single"/>
                      <w:lang w:val="en-US" w:eastAsia="zh-CN"/>
                    </w:rPr>
                    <w:t>2</w:t>
                  </w:r>
                  <w:r>
                    <w:rPr>
                      <w:rFonts w:hint="default" w:ascii="Times New Roman" w:hAnsi="Times New Roman" w:cs="Times New Roman"/>
                      <w:u w:val="single"/>
                    </w:rPr>
                    <w:t>a</w:t>
                  </w:r>
                </w:p>
              </w:tc>
              <w:tc>
                <w:tcPr>
                  <w:tcW w:w="450" w:type="dxa"/>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b w:val="0"/>
                      <w:bCs w:val="0"/>
                      <w:u w:val="single"/>
                      <w:lang w:val="en-US" w:eastAsia="zh-CN"/>
                    </w:rPr>
                  </w:pPr>
                </w:p>
              </w:tc>
              <w:tc>
                <w:tcPr>
                  <w:tcW w:w="1138" w:type="dxa"/>
                  <w:vMerge w:val="continue"/>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rPr>
                  </w:pPr>
                </w:p>
              </w:tc>
            </w:tr>
          </w:tbl>
          <w:p>
            <w:pPr>
              <w:keepNext w:val="0"/>
              <w:keepLines w:val="0"/>
              <w:pageBreakBefore w:val="0"/>
              <w:widowControl w:val="0"/>
              <w:kinsoku/>
              <w:wordWrap w:val="0"/>
              <w:overflowPunct w:val="0"/>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single"/>
                <w:lang w:val="en-US" w:eastAsia="zh-CN"/>
              </w:rPr>
            </w:pPr>
            <w:r>
              <w:rPr>
                <w:rFonts w:hint="default" w:ascii="Times New Roman" w:hAnsi="Times New Roman" w:eastAsia="宋体" w:cs="Times New Roman"/>
                <w:b/>
                <w:bCs/>
                <w:color w:val="auto"/>
                <w:spacing w:val="0"/>
                <w:sz w:val="24"/>
                <w:szCs w:val="24"/>
                <w:u w:val="single"/>
                <w:lang w:val="en-US" w:eastAsia="zh-CN"/>
              </w:rPr>
              <w:t>表4-</w:t>
            </w:r>
            <w:r>
              <w:rPr>
                <w:rFonts w:hint="eastAsia" w:cs="Times New Roman"/>
                <w:b/>
                <w:bCs/>
                <w:color w:val="auto"/>
                <w:spacing w:val="0"/>
                <w:sz w:val="24"/>
                <w:szCs w:val="24"/>
                <w:u w:val="single"/>
                <w:lang w:val="en-US" w:eastAsia="zh-CN"/>
              </w:rPr>
              <w:t>20</w:t>
            </w:r>
            <w:r>
              <w:rPr>
                <w:rFonts w:hint="default" w:ascii="Times New Roman" w:hAnsi="Times New Roman" w:eastAsia="宋体" w:cs="Times New Roman"/>
                <w:b/>
                <w:bCs/>
                <w:color w:val="auto"/>
                <w:spacing w:val="0"/>
                <w:sz w:val="24"/>
                <w:szCs w:val="24"/>
                <w:u w:val="single"/>
                <w:lang w:val="en-US" w:eastAsia="zh-CN"/>
              </w:rPr>
              <w:t>项目危险废物贮存场所（设施）基本情况表</w:t>
            </w:r>
          </w:p>
          <w:tbl>
            <w:tblPr>
              <w:tblStyle w:val="2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209"/>
              <w:gridCol w:w="1096"/>
              <w:gridCol w:w="776"/>
              <w:gridCol w:w="1196"/>
              <w:gridCol w:w="716"/>
              <w:gridCol w:w="1051"/>
              <w:gridCol w:w="1051"/>
              <w:gridCol w:w="831"/>
              <w:gridCol w:w="9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序号</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贮存场所（设施）名称</w:t>
                  </w:r>
                </w:p>
              </w:tc>
              <w:tc>
                <w:tcPr>
                  <w:tcW w:w="58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危险废物名称</w:t>
                  </w:r>
                </w:p>
              </w:tc>
              <w:tc>
                <w:tcPr>
                  <w:tcW w:w="413"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危险废物类别</w:t>
                  </w:r>
                </w:p>
              </w:tc>
              <w:tc>
                <w:tcPr>
                  <w:tcW w:w="636"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危险废物代码</w:t>
                  </w:r>
                </w:p>
              </w:tc>
              <w:tc>
                <w:tcPr>
                  <w:tcW w:w="38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位置</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占地面积</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贮存方式</w:t>
                  </w:r>
                </w:p>
              </w:tc>
              <w:tc>
                <w:tcPr>
                  <w:tcW w:w="44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贮存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能力</w:t>
                  </w:r>
                </w:p>
              </w:tc>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贮存</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1</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single"/>
                      <w:lang w:val="en-US" w:eastAsia="zh-CN" w:bidi="ar-SA"/>
                    </w:rPr>
                  </w:pPr>
                  <w:r>
                    <w:rPr>
                      <w:rFonts w:hint="default" w:ascii="Times New Roman" w:hAnsi="Times New Roman" w:cs="Times New Roman"/>
                      <w:u w:val="single"/>
                      <w:lang w:val="en-US" w:eastAsia="zh-CN"/>
                    </w:rPr>
                    <w:t>废机油</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single"/>
                      <w:lang w:val="en-US" w:eastAsia="zh-CN" w:bidi="ar-SA"/>
                    </w:rPr>
                  </w:pPr>
                  <w:r>
                    <w:rPr>
                      <w:rFonts w:hint="default" w:ascii="Times New Roman" w:hAnsi="Times New Roman" w:cs="Times New Roman"/>
                      <w:b w:val="0"/>
                      <w:bCs w:val="0"/>
                      <w:u w:val="single"/>
                    </w:rPr>
                    <w:t>HW08</w:t>
                  </w:r>
                </w:p>
              </w:tc>
              <w:tc>
                <w:tcPr>
                  <w:tcW w:w="6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4"/>
                      <w:u w:val="single"/>
                      <w:lang w:val="en-US" w:eastAsia="zh-CN" w:bidi="ar-SA"/>
                    </w:rPr>
                  </w:pPr>
                  <w:r>
                    <w:rPr>
                      <w:rFonts w:hint="default" w:ascii="Times New Roman" w:hAnsi="Times New Roman" w:cs="Times New Roman"/>
                      <w:b w:val="0"/>
                      <w:bCs w:val="0"/>
                      <w:u w:val="single"/>
                    </w:rPr>
                    <w:t>900-214-08</w:t>
                  </w:r>
                </w:p>
              </w:tc>
              <w:tc>
                <w:tcPr>
                  <w:tcW w:w="38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厂房内</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20m</w:t>
                  </w:r>
                  <w:r>
                    <w:rPr>
                      <w:rFonts w:hint="default" w:ascii="Times New Roman" w:hAnsi="Times New Roman" w:cs="Times New Roman"/>
                      <w:u w:val="singl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u w:val="single"/>
                      <w:lang w:val="en-US" w:eastAsia="zh-CN"/>
                    </w:rPr>
                    <w:t>专用收集桶</w:t>
                  </w:r>
                </w:p>
              </w:tc>
              <w:tc>
                <w:tcPr>
                  <w:tcW w:w="44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3.0t</w:t>
                  </w:r>
                </w:p>
              </w:tc>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u w:val="single"/>
                      <w:lang w:val="en-US" w:eastAsia="zh-CN"/>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rPr>
                    <w:t>2</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single"/>
                      <w:lang w:val="en-US" w:eastAsia="zh-CN" w:bidi="ar-SA"/>
                    </w:rPr>
                  </w:pPr>
                  <w:r>
                    <w:rPr>
                      <w:rFonts w:hint="default" w:ascii="Times New Roman" w:hAnsi="Times New Roman" w:cs="Times New Roman"/>
                      <w:u w:val="single"/>
                      <w:lang w:val="en-US" w:eastAsia="zh-CN"/>
                    </w:rPr>
                    <w:t>废活性炭</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single"/>
                      <w:lang w:val="en-US" w:eastAsia="zh-CN" w:bidi="ar-SA"/>
                    </w:rPr>
                  </w:pPr>
                  <w:r>
                    <w:rPr>
                      <w:rFonts w:hint="default" w:ascii="Times New Roman" w:hAnsi="Times New Roman" w:eastAsia="宋体" w:cs="Times New Roman"/>
                      <w:b w:val="0"/>
                      <w:bCs w:val="0"/>
                      <w:color w:val="auto"/>
                      <w:sz w:val="21"/>
                      <w:szCs w:val="21"/>
                      <w:u w:val="single"/>
                      <w:lang w:val="en-US" w:eastAsia="zh-CN"/>
                    </w:rPr>
                    <w:t>HW49</w:t>
                  </w:r>
                </w:p>
              </w:tc>
              <w:tc>
                <w:tcPr>
                  <w:tcW w:w="6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single"/>
                      <w:lang w:val="en-US" w:eastAsia="zh-CN" w:bidi="ar-SA"/>
                    </w:rPr>
                  </w:pPr>
                  <w:r>
                    <w:rPr>
                      <w:rFonts w:hint="default" w:ascii="Times New Roman" w:hAnsi="Times New Roman" w:eastAsia="宋体" w:cs="Times New Roman"/>
                      <w:b w:val="0"/>
                      <w:bCs w:val="0"/>
                      <w:color w:val="auto"/>
                      <w:sz w:val="21"/>
                      <w:szCs w:val="21"/>
                      <w:u w:val="single"/>
                      <w:lang w:val="en-US" w:eastAsia="zh-CN"/>
                    </w:rPr>
                    <w:t>900-039-49</w:t>
                  </w:r>
                </w:p>
              </w:tc>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20m</w:t>
                  </w:r>
                  <w:r>
                    <w:rPr>
                      <w:rFonts w:hint="default" w:ascii="Times New Roman" w:hAnsi="Times New Roman" w:cs="Times New Roman"/>
                      <w:u w:val="singl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sz w:val="21"/>
                      <w:szCs w:val="21"/>
                      <w:u w:val="single"/>
                      <w:lang w:val="en-US" w:eastAsia="zh-CN"/>
                    </w:rPr>
                    <w:t>专用收集袋</w:t>
                  </w:r>
                </w:p>
              </w:tc>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p>
              </w:tc>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r>
                    <w:rPr>
                      <w:rFonts w:hint="default" w:ascii="Times New Roman" w:hAnsi="Times New Roman" w:cs="Times New Roman"/>
                      <w:b w:val="0"/>
                      <w:bCs w:val="0"/>
                      <w:u w:val="single"/>
                      <w:lang w:val="en-US" w:eastAsia="zh-CN"/>
                    </w:rPr>
                    <w:t>≤1年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25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cs="Times New Roman"/>
                      <w:u w:val="single"/>
                      <w:lang w:val="en-US" w:eastAsia="zh-CN"/>
                    </w:rPr>
                    <w:t>3</w:t>
                  </w:r>
                </w:p>
              </w:tc>
              <w:tc>
                <w:tcPr>
                  <w:tcW w:w="64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危废暂存间</w:t>
                  </w:r>
                </w:p>
              </w:tc>
              <w:tc>
                <w:tcPr>
                  <w:tcW w:w="583" w:type="pct"/>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废催化剂（需做固体废物浸出实验）</w:t>
                  </w:r>
                </w:p>
              </w:tc>
              <w:tc>
                <w:tcPr>
                  <w:tcW w:w="41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w:t>
                  </w:r>
                </w:p>
              </w:tc>
              <w:tc>
                <w:tcPr>
                  <w:tcW w:w="6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w:t>
                  </w:r>
                </w:p>
              </w:tc>
              <w:tc>
                <w:tcPr>
                  <w:tcW w:w="38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20m</w:t>
                  </w:r>
                  <w:r>
                    <w:rPr>
                      <w:rFonts w:hint="default" w:ascii="Times New Roman" w:hAnsi="Times New Roman" w:cs="Times New Roman"/>
                      <w:u w:val="single"/>
                      <w:vertAlign w:val="superscript"/>
                      <w:lang w:val="en-US" w:eastAsia="zh-CN"/>
                    </w:rPr>
                    <w:t>2</w:t>
                  </w:r>
                </w:p>
              </w:tc>
              <w:tc>
                <w:tcPr>
                  <w:tcW w:w="55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sz w:val="21"/>
                      <w:szCs w:val="21"/>
                      <w:u w:val="single"/>
                      <w:lang w:val="en-US" w:eastAsia="zh-CN"/>
                    </w:rPr>
                  </w:pPr>
                  <w:r>
                    <w:rPr>
                      <w:rFonts w:hint="default" w:ascii="Times New Roman" w:hAnsi="Times New Roman" w:cs="Times New Roman"/>
                      <w:b w:val="0"/>
                      <w:bCs w:val="0"/>
                      <w:u w:val="single"/>
                      <w:lang w:val="en-US" w:eastAsia="zh-CN"/>
                    </w:rPr>
                    <w:t>专用收集桶</w:t>
                  </w:r>
                </w:p>
              </w:tc>
              <w:tc>
                <w:tcPr>
                  <w:tcW w:w="44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u w:val="single"/>
                    </w:rPr>
                  </w:pPr>
                </w:p>
              </w:tc>
              <w:tc>
                <w:tcPr>
                  <w:tcW w:w="52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u w:val="single"/>
                      <w:lang w:val="en-US" w:eastAsia="zh-CN"/>
                    </w:rPr>
                  </w:pPr>
                  <w:r>
                    <w:rPr>
                      <w:rFonts w:hint="default" w:ascii="Times New Roman" w:hAnsi="Times New Roman" w:cs="Times New Roman"/>
                      <w:b w:val="0"/>
                      <w:bCs w:val="0"/>
                      <w:u w:val="single"/>
                      <w:lang w:val="en-US" w:eastAsia="zh-CN"/>
                    </w:rPr>
                    <w:t>≤1年</w:t>
                  </w:r>
                </w:p>
              </w:tc>
            </w:tr>
          </w:tbl>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环境管理要求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sz w:val="24"/>
                <w:szCs w:val="24"/>
                <w:u w:val="single"/>
              </w:rPr>
            </w:pPr>
            <w:r>
              <w:rPr>
                <w:rFonts w:hint="default" w:ascii="Times New Roman" w:hAnsi="Times New Roman" w:eastAsia="宋体" w:cs="Times New Roman"/>
                <w:b/>
                <w:bCs/>
                <w:color w:val="000000"/>
                <w:kern w:val="0"/>
                <w:sz w:val="24"/>
                <w:szCs w:val="24"/>
                <w:u w:val="single"/>
                <w:lang w:val="en-US" w:eastAsia="zh-CN" w:bidi="ar"/>
              </w:rPr>
              <w:t>（1）一般固废暂存要求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建设单位按照《一般工业固体废物贮存和填埋污染控制标准》（GB18599-2020）的相关要求建立固体废物临时的堆放场地，不得随处堆放，禁止危险废物及生活</w:t>
            </w:r>
            <w:r>
              <w:rPr>
                <w:rFonts w:hint="default" w:ascii="Times New Roman" w:hAnsi="Times New Roman" w:cs="Times New Roman"/>
                <w:b w:val="0"/>
                <w:bCs w:val="0"/>
                <w:color w:val="auto"/>
                <w:sz w:val="24"/>
                <w:szCs w:val="24"/>
                <w:u w:val="none"/>
                <w:lang w:val="en-US" w:eastAsia="zh-CN"/>
              </w:rPr>
              <w:t>垃圾</w:t>
            </w:r>
            <w:r>
              <w:rPr>
                <w:rFonts w:hint="default" w:ascii="Times New Roman" w:hAnsi="Times New Roman" w:eastAsia="宋体" w:cs="Times New Roman"/>
                <w:b w:val="0"/>
                <w:bCs w:val="0"/>
                <w:color w:val="auto"/>
                <w:sz w:val="24"/>
                <w:szCs w:val="24"/>
                <w:u w:val="none"/>
                <w:lang w:val="en-US" w:eastAsia="zh-CN"/>
              </w:rPr>
              <w:t>混入，固废临时贮存场应满足如下要求：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①地面应采取硬化措施并满足承载力要求，必要时采取相应措施防止地基下沉。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②要求设置必要的防风、防雨、防晒措施，堆放场周边应设置导流渠。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③按《环境保护图形标识—固体废物贮存（处置）场》（GB15562.2）要求设置环境保护图形标志。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微软雅黑" w:cs="Times New Roman"/>
                <w:b w:val="0"/>
                <w:bCs w:val="0"/>
                <w:color w:val="auto"/>
                <w:sz w:val="24"/>
                <w:szCs w:val="24"/>
                <w:u w:val="none"/>
                <w:lang w:val="en-US" w:eastAsia="zh-CN"/>
              </w:rPr>
              <w:t>④</w:t>
            </w:r>
            <w:r>
              <w:rPr>
                <w:rFonts w:hint="default" w:ascii="Times New Roman" w:hAnsi="Times New Roman" w:eastAsia="宋体" w:cs="Times New Roman"/>
                <w:b w:val="0"/>
                <w:bCs w:val="0"/>
                <w:color w:val="auto"/>
                <w:sz w:val="24"/>
                <w:szCs w:val="24"/>
                <w:u w:val="none"/>
                <w:lang w:val="en-US" w:eastAsia="zh-CN"/>
              </w:rPr>
              <w:t>本项目厂区内配设分类垃圾收集桶，产生的生活垃圾经分类收集后交由环卫部门统一进行处理。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微软雅黑" w:cs="Times New Roman"/>
                <w:b w:val="0"/>
                <w:bCs w:val="0"/>
                <w:color w:val="auto"/>
                <w:sz w:val="24"/>
                <w:szCs w:val="24"/>
                <w:u w:val="none"/>
                <w:lang w:val="en-US" w:eastAsia="zh-CN"/>
              </w:rPr>
              <w:t>⑤</w:t>
            </w:r>
            <w:r>
              <w:rPr>
                <w:rFonts w:hint="default" w:ascii="Times New Roman" w:hAnsi="Times New Roman" w:eastAsia="宋体" w:cs="Times New Roman"/>
                <w:b w:val="0"/>
                <w:bCs w:val="0"/>
                <w:color w:val="auto"/>
                <w:sz w:val="24"/>
                <w:szCs w:val="24"/>
                <w:u w:val="none"/>
                <w:lang w:val="en-US" w:eastAsia="zh-CN"/>
              </w:rPr>
              <w:t>禁止将危险</w:t>
            </w:r>
            <w:r>
              <w:rPr>
                <w:rFonts w:hint="default" w:ascii="Times New Roman" w:hAnsi="Times New Roman" w:cs="Times New Roman"/>
                <w:b w:val="0"/>
                <w:bCs w:val="0"/>
                <w:color w:val="auto"/>
                <w:sz w:val="24"/>
                <w:szCs w:val="24"/>
                <w:u w:val="none"/>
                <w:lang w:val="en-US" w:eastAsia="zh-CN"/>
              </w:rPr>
              <w:t>废物</w:t>
            </w:r>
            <w:r>
              <w:rPr>
                <w:rFonts w:hint="default" w:ascii="Times New Roman" w:hAnsi="Times New Roman" w:eastAsia="宋体" w:cs="Times New Roman"/>
                <w:b w:val="0"/>
                <w:bCs w:val="0"/>
                <w:color w:val="auto"/>
                <w:sz w:val="24"/>
                <w:szCs w:val="24"/>
                <w:u w:val="none"/>
                <w:lang w:val="en-US" w:eastAsia="zh-CN"/>
              </w:rPr>
              <w:t>混入一般工业固体废物贮存</w:t>
            </w:r>
            <w:r>
              <w:rPr>
                <w:rFonts w:hint="default" w:ascii="Times New Roman" w:hAnsi="Times New Roman" w:cs="Times New Roman"/>
                <w:b w:val="0"/>
                <w:bCs w:val="0"/>
                <w:color w:val="auto"/>
                <w:sz w:val="24"/>
                <w:szCs w:val="24"/>
                <w:u w:val="none"/>
                <w:lang w:val="en-US" w:eastAsia="zh-CN"/>
              </w:rPr>
              <w:t>区</w:t>
            </w:r>
            <w:r>
              <w:rPr>
                <w:rFonts w:hint="default" w:ascii="Times New Roman" w:hAnsi="Times New Roman" w:eastAsia="宋体" w:cs="Times New Roman"/>
                <w:b w:val="0"/>
                <w:bCs w:val="0"/>
                <w:color w:val="auto"/>
                <w:sz w:val="24"/>
                <w:szCs w:val="24"/>
                <w:u w:val="none"/>
                <w:lang w:val="en-US" w:eastAsia="zh-CN"/>
              </w:rPr>
              <w:t>。</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评价建议在车间内西南侧建1座30m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的一般固废暂存间，人工分拣杂物、袋式除尘器收集尘、废滤网和清洗废水产生的沉淀物收集后暂存于一般固废暂存间，定期外售废品收购站或相关企业，评价要求一般固废暂存间须防渗，采用防渗混凝土构筑。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u w:val="single"/>
                <w:lang w:val="en-US" w:eastAsia="zh-CN" w:bidi="ar"/>
              </w:rPr>
            </w:pPr>
            <w:r>
              <w:rPr>
                <w:rFonts w:hint="default" w:ascii="Times New Roman" w:hAnsi="Times New Roman" w:eastAsia="宋体" w:cs="Times New Roman"/>
                <w:b/>
                <w:bCs/>
                <w:color w:val="000000"/>
                <w:kern w:val="0"/>
                <w:sz w:val="24"/>
                <w:szCs w:val="24"/>
                <w:u w:val="single"/>
                <w:lang w:val="en-US" w:eastAsia="zh-CN" w:bidi="ar"/>
              </w:rPr>
              <w:t>（2）危险废物</w:t>
            </w:r>
          </w:p>
          <w:p>
            <w:pPr>
              <w:pStyle w:val="3"/>
              <w:spacing w:after="0" w:line="360" w:lineRule="auto"/>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val="en-US" w:eastAsia="zh-CN"/>
              </w:rPr>
              <w:t>生产过程中产生危险废物主要为废机油和废活性炭</w:t>
            </w:r>
            <w:r>
              <w:rPr>
                <w:rFonts w:hint="default" w:ascii="Times New Roman" w:hAnsi="Times New Roman" w:cs="Times New Roman"/>
                <w:color w:val="000000"/>
                <w:sz w:val="24"/>
                <w:szCs w:val="24"/>
                <w:u w:val="none"/>
              </w:rPr>
              <w:t>，统一收集后暂存于危险废物暂存间，定期交给有资质的单位处理。</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000000"/>
                <w:kern w:val="0"/>
                <w:sz w:val="24"/>
                <w:szCs w:val="24"/>
                <w:u w:val="none"/>
              </w:rPr>
              <w:t>环评要求在</w:t>
            </w:r>
            <w:r>
              <w:rPr>
                <w:rFonts w:hint="default" w:ascii="Times New Roman" w:hAnsi="Times New Roman" w:cs="Times New Roman"/>
                <w:color w:val="000000"/>
                <w:kern w:val="0"/>
                <w:sz w:val="24"/>
                <w:szCs w:val="24"/>
                <w:u w:val="none"/>
                <w:lang w:val="en-US" w:eastAsia="zh-CN"/>
              </w:rPr>
              <w:t>车间</w:t>
            </w:r>
            <w:r>
              <w:rPr>
                <w:rFonts w:hint="default" w:ascii="Times New Roman" w:hAnsi="Times New Roman" w:cs="Times New Roman"/>
                <w:color w:val="000000"/>
                <w:kern w:val="0"/>
                <w:sz w:val="24"/>
                <w:szCs w:val="24"/>
                <w:u w:val="none"/>
              </w:rPr>
              <w:t>内设置一间</w:t>
            </w:r>
            <w:r>
              <w:rPr>
                <w:rFonts w:hint="default" w:ascii="Times New Roman" w:hAnsi="Times New Roman" w:cs="Times New Roman"/>
                <w:color w:val="000000"/>
                <w:kern w:val="0"/>
                <w:sz w:val="24"/>
                <w:szCs w:val="24"/>
                <w:u w:val="none"/>
                <w:lang w:val="en-US" w:eastAsia="zh-CN"/>
              </w:rPr>
              <w:t>20</w:t>
            </w:r>
            <w:r>
              <w:rPr>
                <w:rFonts w:hint="default" w:ascii="Times New Roman" w:hAnsi="Times New Roman" w:cs="Times New Roman"/>
                <w:color w:val="000000"/>
                <w:kern w:val="0"/>
                <w:sz w:val="24"/>
                <w:szCs w:val="24"/>
                <w:u w:val="none"/>
              </w:rPr>
              <w:t>m</w:t>
            </w:r>
            <w:r>
              <w:rPr>
                <w:rFonts w:hint="default" w:ascii="Times New Roman" w:hAnsi="Times New Roman" w:cs="Times New Roman"/>
                <w:color w:val="000000"/>
                <w:kern w:val="0"/>
                <w:sz w:val="24"/>
                <w:szCs w:val="24"/>
                <w:u w:val="none"/>
                <w:vertAlign w:val="superscript"/>
              </w:rPr>
              <w:t>2</w:t>
            </w:r>
            <w:r>
              <w:rPr>
                <w:rFonts w:hint="default" w:ascii="Times New Roman" w:hAnsi="Times New Roman" w:cs="Times New Roman"/>
                <w:color w:val="000000"/>
                <w:kern w:val="0"/>
                <w:sz w:val="24"/>
                <w:szCs w:val="24"/>
                <w:u w:val="none"/>
              </w:rPr>
              <w:t>的危险废物暂存间，</w:t>
            </w:r>
            <w:r>
              <w:rPr>
                <w:rFonts w:hint="default" w:ascii="Times New Roman" w:hAnsi="Times New Roman" w:eastAsia="宋体" w:cs="Times New Roman"/>
                <w:color w:val="000000"/>
                <w:sz w:val="24"/>
              </w:rPr>
              <w:t>危险废物的暂存要求严格按照环境保护部公告2017年第43号《建设项目危险废物环境影响评价指南》中的相关要求，做到“四防”（防风、防雨、防晒、防渗漏），严格做到防渗和渗漏收集措施，设置不同废物的</w:t>
            </w:r>
            <w:r>
              <w:rPr>
                <w:rFonts w:hint="default" w:ascii="Times New Roman" w:hAnsi="Times New Roman" w:cs="Times New Roman"/>
                <w:color w:val="000000"/>
                <w:sz w:val="24"/>
                <w:lang w:eastAsia="zh-CN"/>
              </w:rPr>
              <w:t>警示标识</w:t>
            </w:r>
            <w:r>
              <w:rPr>
                <w:rFonts w:hint="default" w:ascii="Times New Roman" w:hAnsi="Times New Roman" w:eastAsia="宋体" w:cs="Times New Roman"/>
                <w:color w:val="000000"/>
                <w:sz w:val="24"/>
              </w:rPr>
              <w:t>。</w:t>
            </w:r>
            <w:r>
              <w:rPr>
                <w:rFonts w:hint="default" w:ascii="Times New Roman" w:hAnsi="Times New Roman" w:eastAsia="宋体" w:cs="Times New Roman"/>
                <w:color w:val="auto"/>
                <w:sz w:val="24"/>
                <w:szCs w:val="24"/>
                <w:lang w:val="en-US" w:eastAsia="zh-CN"/>
              </w:rPr>
              <w:t>本项目产生的危险废物贮存场所应设置警示标志，危废的容器和包装物必须粘贴危废识别标志，设置独立的危险固废暂存点。危险固废暂存间位于车间</w:t>
            </w:r>
            <w:r>
              <w:rPr>
                <w:rFonts w:hint="default" w:ascii="Times New Roman" w:hAnsi="Times New Roman" w:cs="Times New Roman"/>
                <w:color w:val="auto"/>
                <w:sz w:val="24"/>
                <w:szCs w:val="24"/>
                <w:lang w:val="en-US" w:eastAsia="zh-CN"/>
              </w:rPr>
              <w:t>内</w:t>
            </w:r>
            <w:r>
              <w:rPr>
                <w:rFonts w:hint="default" w:ascii="Times New Roman" w:hAnsi="Times New Roman" w:eastAsia="宋体" w:cs="Times New Roman"/>
                <w:color w:val="auto"/>
                <w:sz w:val="24"/>
                <w:szCs w:val="24"/>
                <w:lang w:val="en-US" w:eastAsia="zh-CN"/>
              </w:rPr>
              <w:t>，面积2</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地面进行防渗、防腐处理。危险废物转移前应依法向危险废物转出和转入所在的环保部门进行申报备案，必须严格按照国家危险废物管理规定，遵守《危险废物转移联单管理办法》，交由有关资质的单位进行处置，办理转移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①危险废物运输</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危险废物收集、贮存、转运应严格按照《危险废物收集贮存运输技术规范》（HJ2025-2012）进行，危险废物从产生环节收集后转运至危废暂存间过程中应加强管理，尽可能避免沿途散落、泄露。本项目危险废物产生环节为废气处理设施，废气处理设施和危废间均位于生产区</w:t>
            </w:r>
            <w:r>
              <w:rPr>
                <w:rFonts w:hint="default" w:ascii="Times New Roman" w:hAnsi="Times New Roman" w:cs="Times New Roman"/>
                <w:color w:val="auto"/>
                <w:sz w:val="24"/>
                <w:szCs w:val="24"/>
                <w:lang w:val="en-US" w:eastAsia="zh-CN"/>
              </w:rPr>
              <w:t>南</w:t>
            </w:r>
            <w:r>
              <w:rPr>
                <w:rFonts w:hint="default" w:ascii="Times New Roman" w:hAnsi="Times New Roman" w:eastAsia="宋体" w:cs="Times New Roman"/>
                <w:color w:val="auto"/>
                <w:sz w:val="24"/>
                <w:szCs w:val="24"/>
                <w:lang w:val="en-US" w:eastAsia="zh-CN"/>
              </w:rPr>
              <w:t>侧，危废暂存间位于废气处理设施</w:t>
            </w:r>
            <w:r>
              <w:rPr>
                <w:rFonts w:hint="default" w:ascii="Times New Roman" w:hAnsi="Times New Roman" w:cs="Times New Roman"/>
                <w:color w:val="auto"/>
                <w:sz w:val="24"/>
                <w:szCs w:val="24"/>
                <w:lang w:val="en-US" w:eastAsia="zh-CN"/>
              </w:rPr>
              <w:t>北</w:t>
            </w:r>
            <w:r>
              <w:rPr>
                <w:rFonts w:hint="default" w:ascii="Times New Roman" w:hAnsi="Times New Roman" w:eastAsia="宋体" w:cs="Times New Roman"/>
                <w:color w:val="auto"/>
                <w:sz w:val="24"/>
                <w:szCs w:val="24"/>
                <w:lang w:val="en-US" w:eastAsia="zh-CN"/>
              </w:rPr>
              <w:t>侧，运距较短，加强管理后能够有效避免转运过程中的环境影响。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②危险废物暂存</w:t>
            </w:r>
          </w:p>
          <w:p>
            <w:pPr>
              <w:pStyle w:val="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厂内暂时储存按照危险废物管理和处置要求进行。根据国家《危险废物贮存污染控制标准》（GB18597-2001）以及2013修改单中有关规定，严格执行以下措施：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4"/>
                <w:szCs w:val="24"/>
                <w:lang w:val="en-US" w:eastAsia="zh-CN"/>
              </w:rPr>
            </w:pPr>
            <w:r>
              <w:rPr>
                <w:rFonts w:hint="default" w:ascii="Times New Roman" w:hAnsi="Times New Roman" w:eastAsia="微软雅黑" w:cs="Times New Roman"/>
                <w:b/>
                <w:bCs/>
                <w:sz w:val="24"/>
                <w:szCs w:val="24"/>
                <w:lang w:val="en-US" w:eastAsia="zh-CN"/>
              </w:rPr>
              <w:t>Ⅰ</w:t>
            </w:r>
            <w:r>
              <w:rPr>
                <w:rFonts w:hint="default" w:ascii="Times New Roman" w:hAnsi="Times New Roman" w:cs="Times New Roman"/>
                <w:b/>
                <w:bCs/>
                <w:sz w:val="24"/>
                <w:szCs w:val="24"/>
                <w:lang w:val="en-US" w:eastAsia="zh-CN"/>
              </w:rPr>
              <w:t>一般措施</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a.对所有的危险废物应建造专用的危险废物贮存设施；</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b.在常温常压下不水解、不挥发的固体危险废物可在贮存设施内分别堆放，其余的危险废物必须装入容器内；</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c.禁止将不相容（相互反应）的危险废物在同一容器内混装；</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d.无法装入常用容器的危险废物可用防渗胶袋等盛装；</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e.装载液体、半固体危险废物的容器内须留足够空间，容器顶部与液体表面之间保留 100mm以上的空间；</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f.盛装危险废物的容器上必须粘贴符合标准的标签；</w:t>
            </w:r>
          </w:p>
          <w:p>
            <w:pPr>
              <w:pStyle w:val="3"/>
              <w:rPr>
                <w:rFonts w:hint="default" w:ascii="Times New Roman" w:hAnsi="Times New Roman" w:cs="Times New Roman"/>
                <w:lang w:val="en-US" w:eastAsia="zh-CN"/>
              </w:rPr>
            </w:pPr>
            <w:r>
              <w:rPr>
                <w:rFonts w:hint="default" w:ascii="Times New Roman" w:hAnsi="Times New Roman" w:cs="Times New Roman"/>
                <w:lang w:val="en-US" w:eastAsia="zh-CN"/>
              </w:rPr>
              <w:t>g.设置一个危险废物暂存间，做好“三防”措施，具体为防雨、防渗和防晒。</w:t>
            </w:r>
          </w:p>
          <w:p>
            <w:pPr>
              <w:pStyle w:val="3"/>
              <w:rPr>
                <w:rFonts w:hint="default" w:ascii="Times New Roman" w:hAnsi="Times New Roman" w:eastAsia="宋体" w:cs="Times New Roman"/>
                <w:b/>
                <w:bCs/>
                <w:lang w:val="en-US" w:eastAsia="zh-CN"/>
              </w:rPr>
            </w:pPr>
            <w:r>
              <w:rPr>
                <w:rFonts w:hint="default" w:ascii="Times New Roman" w:hAnsi="Times New Roman" w:eastAsia="微软雅黑" w:cs="Times New Roman"/>
                <w:b/>
                <w:bCs/>
                <w:lang w:val="en-US" w:eastAsia="zh-CN"/>
              </w:rPr>
              <w:t>Ⅱ</w:t>
            </w:r>
            <w:r>
              <w:rPr>
                <w:rFonts w:hint="default" w:ascii="Times New Roman" w:hAnsi="Times New Roman" w:eastAsia="宋体" w:cs="Times New Roman"/>
                <w:b/>
                <w:bCs/>
                <w:lang w:val="en-US" w:eastAsia="zh-CN"/>
              </w:rPr>
              <w:t>危险废物储存容器</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a.应当使用符合标准的容器盛装危险废物；</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b.装载危险废物的容器及材质要满足相应的强度要求；</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c.装载危险废物的容器必须完好无损；</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d.盛装危险废物的容器材质和衬里要与危险废物相容（不相互反应）；</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e.液体危险废物可注入开孔直径不超过70mm并有放气孔的桶中。</w:t>
            </w:r>
          </w:p>
          <w:p>
            <w:pPr>
              <w:pStyle w:val="3"/>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Ⅲ危险废物贮存设施的运行与管理</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a.从事危险废物贮存的单位，必须得到有资质单位出具的该危险废物品物理和化学性质的分析报告，认定可以贮存后，方可接收；</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b.危险废物贮存前应进行检验，确保同预定接收的危险废物一致，并登记注册；</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c.不得接收未粘贴符合规定的标签或标签没按规定填写的危险废物；</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d.盛装在容器内的同类危险废物可以堆叠存放；</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e.每个堆间应留有搬运通道；</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f.不得将不相容的废物混合或合并存放；</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g.必须定期对所贮存的危险废物包装容器及贮存设施进行检查，发现破损，应及时采取措施清理更换。</w:t>
            </w:r>
          </w:p>
          <w:p>
            <w:pPr>
              <w:pStyle w:val="3"/>
              <w:rPr>
                <w:rFonts w:hint="default" w:ascii="Times New Roman" w:hAnsi="Times New Roman" w:eastAsia="宋体" w:cs="Times New Roman"/>
                <w:b/>
                <w:bCs/>
                <w:lang w:val="en-US" w:eastAsia="zh-CN"/>
              </w:rPr>
            </w:pPr>
            <w:r>
              <w:rPr>
                <w:rFonts w:hint="default" w:ascii="Times New Roman" w:hAnsi="Times New Roman" w:eastAsia="微软雅黑" w:cs="Times New Roman"/>
                <w:b/>
                <w:bCs/>
                <w:lang w:val="en-US" w:eastAsia="zh-CN"/>
              </w:rPr>
              <w:t>Ⅳ</w:t>
            </w:r>
            <w:r>
              <w:rPr>
                <w:rFonts w:hint="default" w:ascii="Times New Roman" w:hAnsi="Times New Roman" w:eastAsia="宋体" w:cs="Times New Roman"/>
                <w:b/>
                <w:bCs/>
                <w:lang w:val="en-US" w:eastAsia="zh-CN"/>
              </w:rPr>
              <w:t>危险废物贮存设施的安全防护与监测</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a.安全防护：危险废物贮存设施都必须按GB15562.2的规定设置警示标志。危险废物贮存设施周围应设置围墙</w:t>
            </w:r>
            <w:r>
              <w:rPr>
                <w:rFonts w:hint="default" w:ascii="Times New Roman" w:hAnsi="Times New Roman" w:cs="Times New Roman"/>
                <w:lang w:val="en-US" w:eastAsia="zh-CN"/>
              </w:rPr>
              <w:t>或其他</w:t>
            </w:r>
            <w:r>
              <w:rPr>
                <w:rFonts w:hint="default" w:ascii="Times New Roman" w:hAnsi="Times New Roman" w:eastAsia="宋体" w:cs="Times New Roman"/>
                <w:lang w:val="en-US" w:eastAsia="zh-CN"/>
              </w:rPr>
              <w:t>防护栅栏。危险废物贮存设施应配备通讯设备、照明设施、安全防护服装及工具，并设有应急防护设施。危险废物贮存设施内清理出来的泄漏物，一律按危险废物处理；</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b.按国家污染源管理要求对危险废物贮存设施进行监测。环评要求，本项目产生的所有危险固体废物都应交由有资质的单位清运处置。</w:t>
            </w:r>
          </w:p>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综合上述分析，本项目对各类固废采取了安全、合理、卫生的处理和处置方法，可有效防止二次污染，本项目固体废物对环境的基本无影响。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t>5、地下水和土壤环境影响和保护措施</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污染途径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结合项目特点，本项目在运行期间可能造成地下水及污染的因素主要表现在：危废暂存间机油泄漏及防渗层破损，污染物通过垂直入渗进入土壤环境，</w:t>
            </w:r>
            <w:r>
              <w:rPr>
                <w:rFonts w:hint="default" w:ascii="Times New Roman" w:hAnsi="Times New Roman" w:cs="Times New Roman"/>
                <w:sz w:val="24"/>
                <w:szCs w:val="24"/>
                <w:lang w:eastAsia="zh-CN"/>
              </w:rPr>
              <w:t>再</w:t>
            </w:r>
            <w:r>
              <w:rPr>
                <w:rFonts w:hint="default" w:ascii="Times New Roman" w:hAnsi="Times New Roman" w:cs="Times New Roman"/>
                <w:sz w:val="24"/>
                <w:szCs w:val="24"/>
              </w:rPr>
              <w:t>经由土壤环境迁移至地下水环境，从而引起土壤及地下水污染。</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污染防治原则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根据土壤和地下水污水防治对策，坚持</w:t>
            </w:r>
            <w:r>
              <w:rPr>
                <w:rFonts w:hint="default" w:ascii="Times New Roman" w:hAnsi="Times New Roman" w:cs="Times New Roman"/>
                <w:sz w:val="24"/>
                <w:szCs w:val="24"/>
                <w:lang w:eastAsia="zh-CN"/>
              </w:rPr>
              <w:t>“</w:t>
            </w:r>
            <w:r>
              <w:rPr>
                <w:rFonts w:hint="default" w:ascii="Times New Roman" w:hAnsi="Times New Roman" w:cs="Times New Roman"/>
                <w:sz w:val="24"/>
                <w:szCs w:val="24"/>
              </w:rPr>
              <w:t>源头控制、分区防治</w:t>
            </w:r>
            <w:r>
              <w:rPr>
                <w:rFonts w:hint="default" w:ascii="Times New Roman" w:hAnsi="Times New Roman" w:cs="Times New Roman"/>
                <w:sz w:val="24"/>
                <w:szCs w:val="24"/>
                <w:lang w:eastAsia="zh-CN"/>
              </w:rPr>
              <w:t>”</w:t>
            </w:r>
            <w:r>
              <w:rPr>
                <w:rFonts w:hint="default" w:ascii="Times New Roman" w:hAnsi="Times New Roman" w:cs="Times New Roman"/>
                <w:sz w:val="24"/>
                <w:szCs w:val="24"/>
              </w:rPr>
              <w:t>的原则。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源头控制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a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b对工艺、设备采取控制措施，防止污染物的跑、冒、滴、漏，将污染物泄漏的环境风险事故降到最低限度。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分区防治措施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根据各生产单元可能泄漏至地面区域的污染物性质和生产单元的构筑方式，将厂区划分为重点防渗区、一般防渗区及简单防渗区，并采取对应的措施和污染物渗漏收集措施，详见下表：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pacing w:val="0"/>
                <w:sz w:val="24"/>
                <w:szCs w:val="24"/>
                <w:u w:val="none"/>
                <w:lang w:val="en-US" w:eastAsia="zh-CN"/>
              </w:rPr>
            </w:pPr>
            <w:r>
              <w:rPr>
                <w:rFonts w:hint="default" w:ascii="Times New Roman" w:hAnsi="Times New Roman" w:eastAsia="宋体" w:cs="Times New Roman"/>
                <w:b/>
                <w:bCs/>
                <w:color w:val="auto"/>
                <w:spacing w:val="0"/>
                <w:sz w:val="24"/>
                <w:szCs w:val="24"/>
                <w:u w:val="none"/>
                <w:lang w:val="en-US" w:eastAsia="zh-CN"/>
              </w:rPr>
              <w:t>表4-</w:t>
            </w:r>
            <w:r>
              <w:rPr>
                <w:rFonts w:hint="default" w:ascii="Times New Roman" w:hAnsi="Times New Roman" w:cs="Times New Roman"/>
                <w:b/>
                <w:bCs/>
                <w:color w:val="auto"/>
                <w:spacing w:val="0"/>
                <w:sz w:val="24"/>
                <w:szCs w:val="24"/>
                <w:u w:val="none"/>
                <w:lang w:val="en-US" w:eastAsia="zh-CN"/>
              </w:rPr>
              <w:t>2</w:t>
            </w:r>
            <w:r>
              <w:rPr>
                <w:rFonts w:hint="eastAsia" w:cs="Times New Roman"/>
                <w:b/>
                <w:bCs/>
                <w:color w:val="auto"/>
                <w:spacing w:val="0"/>
                <w:sz w:val="24"/>
                <w:szCs w:val="24"/>
                <w:u w:val="none"/>
                <w:lang w:val="en-US" w:eastAsia="zh-CN"/>
              </w:rPr>
              <w:t>1</w:t>
            </w:r>
            <w:r>
              <w:rPr>
                <w:rFonts w:hint="default" w:ascii="Times New Roman" w:hAnsi="Times New Roman" w:eastAsia="宋体" w:cs="Times New Roman"/>
                <w:b/>
                <w:bCs/>
                <w:color w:val="auto"/>
                <w:spacing w:val="0"/>
                <w:sz w:val="24"/>
                <w:szCs w:val="24"/>
                <w:u w:val="none"/>
                <w:lang w:val="en-US" w:eastAsia="zh-CN"/>
              </w:rPr>
              <w:t>项目地下水</w:t>
            </w:r>
            <w:r>
              <w:rPr>
                <w:rFonts w:hint="default" w:ascii="Times New Roman" w:hAnsi="Times New Roman" w:cs="Times New Roman"/>
                <w:b/>
                <w:bCs/>
                <w:color w:val="auto"/>
                <w:spacing w:val="0"/>
                <w:sz w:val="24"/>
                <w:szCs w:val="24"/>
                <w:u w:val="none"/>
                <w:lang w:val="en-US" w:eastAsia="zh-CN"/>
              </w:rPr>
              <w:t>、土壤</w:t>
            </w:r>
            <w:r>
              <w:rPr>
                <w:rFonts w:hint="default" w:ascii="Times New Roman" w:hAnsi="Times New Roman" w:eastAsia="宋体" w:cs="Times New Roman"/>
                <w:b/>
                <w:bCs/>
                <w:color w:val="auto"/>
                <w:spacing w:val="0"/>
                <w:sz w:val="24"/>
                <w:szCs w:val="24"/>
                <w:u w:val="none"/>
                <w:lang w:val="en-US" w:eastAsia="zh-CN"/>
              </w:rPr>
              <w:t>污染防治区划分表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436"/>
              <w:gridCol w:w="2656"/>
              <w:gridCol w:w="4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序号</w:t>
                  </w:r>
                </w:p>
              </w:tc>
              <w:tc>
                <w:tcPr>
                  <w:tcW w:w="76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防渗分区</w:t>
                  </w:r>
                </w:p>
              </w:tc>
              <w:tc>
                <w:tcPr>
                  <w:tcW w:w="14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具体范围</w:t>
                  </w:r>
                </w:p>
              </w:tc>
              <w:tc>
                <w:tcPr>
                  <w:tcW w:w="238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w:t>
                  </w:r>
                </w:p>
              </w:tc>
              <w:tc>
                <w:tcPr>
                  <w:tcW w:w="76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重点防渗区</w:t>
                  </w:r>
                </w:p>
              </w:tc>
              <w:tc>
                <w:tcPr>
                  <w:tcW w:w="14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危废暂存间</w:t>
                  </w:r>
                </w:p>
              </w:tc>
              <w:tc>
                <w:tcPr>
                  <w:tcW w:w="238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危废暂存间使用2.0mm土工膜，防渗系数达到等效黏土防渗层Mb≥6.0m，K≤1×10</w:t>
                  </w:r>
                  <w:r>
                    <w:rPr>
                      <w:rFonts w:hint="eastAsia" w:cs="Times New Roman"/>
                      <w:b w:val="0"/>
                      <w:bCs w:val="0"/>
                      <w:color w:val="auto"/>
                      <w:sz w:val="21"/>
                      <w:szCs w:val="21"/>
                      <w:highlight w:val="none"/>
                      <w:u w:val="none"/>
                      <w:vertAlign w:val="superscript"/>
                      <w:lang w:val="en-US" w:eastAsia="zh-CN"/>
                    </w:rPr>
                    <w:t>-10</w:t>
                  </w:r>
                  <w:r>
                    <w:rPr>
                      <w:rFonts w:hint="default" w:ascii="Times New Roman" w:hAnsi="Times New Roman" w:cs="Times New Roman"/>
                      <w:b w:val="0"/>
                      <w:bCs w:val="0"/>
                      <w:color w:val="auto"/>
                      <w:sz w:val="21"/>
                      <w:szCs w:val="21"/>
                      <w:highlight w:val="none"/>
                      <w:u w:val="none"/>
                      <w:vertAlign w:val="baseline"/>
                    </w:rPr>
                    <w:t>cm/s；同时废机油收集容器设置防漏托盘，托盘容积应不小于收集容器容积的三分之一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2</w:t>
                  </w:r>
                </w:p>
              </w:tc>
              <w:tc>
                <w:tcPr>
                  <w:tcW w:w="76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一般防渗区</w:t>
                  </w:r>
                </w:p>
              </w:tc>
              <w:tc>
                <w:tcPr>
                  <w:tcW w:w="14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生产车间、车辆冲洗废水的沉淀池以及清洗废水</w:t>
                  </w:r>
                  <w:r>
                    <w:rPr>
                      <w:rFonts w:hint="eastAsia" w:cs="Times New Roman"/>
                      <w:b w:val="0"/>
                      <w:bCs w:val="0"/>
                      <w:color w:val="auto"/>
                      <w:sz w:val="21"/>
                      <w:szCs w:val="21"/>
                      <w:highlight w:val="none"/>
                      <w:u w:val="none"/>
                      <w:vertAlign w:val="baseline"/>
                      <w:lang w:val="en-US" w:eastAsia="zh-CN"/>
                    </w:rPr>
                    <w:t>一体化处理设施</w:t>
                  </w:r>
                </w:p>
              </w:tc>
              <w:tc>
                <w:tcPr>
                  <w:tcW w:w="238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使用抗渗混凝土；等效黏土防渗层</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Mb≥1.5m，K≤1×10</w:t>
                  </w:r>
                  <w:r>
                    <w:rPr>
                      <w:rFonts w:hint="eastAsia" w:cs="Times New Roman"/>
                      <w:b w:val="0"/>
                      <w:bCs w:val="0"/>
                      <w:color w:val="auto"/>
                      <w:sz w:val="21"/>
                      <w:szCs w:val="21"/>
                      <w:highlight w:val="none"/>
                      <w:u w:val="none"/>
                      <w:vertAlign w:val="superscript"/>
                      <w:lang w:val="en-US" w:eastAsia="zh-CN"/>
                    </w:rPr>
                    <w:t>-7</w:t>
                  </w:r>
                  <w:r>
                    <w:rPr>
                      <w:rFonts w:hint="default" w:ascii="Times New Roman" w:hAnsi="Times New Roman" w:cs="Times New Roman"/>
                      <w:b w:val="0"/>
                      <w:bCs w:val="0"/>
                      <w:color w:val="auto"/>
                      <w:sz w:val="21"/>
                      <w:szCs w:val="21"/>
                      <w:highlight w:val="none"/>
                      <w:u w:val="none"/>
                      <w:vertAlign w:val="baseli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3</w:t>
                  </w:r>
                </w:p>
              </w:tc>
              <w:tc>
                <w:tcPr>
                  <w:tcW w:w="763"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简单防渗区</w:t>
                  </w:r>
                </w:p>
              </w:tc>
              <w:tc>
                <w:tcPr>
                  <w:tcW w:w="1411"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除重点防渗区及一般防渗区以外的区域</w:t>
                  </w:r>
                </w:p>
              </w:tc>
              <w:tc>
                <w:tcPr>
                  <w:tcW w:w="2389" w:type="pct"/>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rPr>
                    <w:t>一般地面硬化</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项目在按照本评价提出的做好防渗措施、定期检查、</w:t>
            </w:r>
            <w:r>
              <w:rPr>
                <w:rFonts w:hint="default" w:ascii="Times New Roman" w:hAnsi="Times New Roman" w:cs="Times New Roman"/>
                <w:sz w:val="24"/>
                <w:szCs w:val="24"/>
              </w:rPr>
              <w:t>强化厂区绿化</w:t>
            </w:r>
            <w:r>
              <w:rPr>
                <w:rFonts w:hint="default" w:ascii="Times New Roman" w:hAnsi="Times New Roman" w:cs="Times New Roman"/>
                <w:sz w:val="24"/>
                <w:szCs w:val="24"/>
                <w:lang w:val="en-US" w:eastAsia="zh-CN"/>
              </w:rPr>
              <w:t>等要求的前提下</w:t>
            </w:r>
            <w:r>
              <w:rPr>
                <w:rFonts w:hint="default" w:ascii="Times New Roman" w:hAnsi="Times New Roman" w:cs="Times New Roman"/>
                <w:sz w:val="24"/>
                <w:szCs w:val="24"/>
              </w:rPr>
              <w:t>，项目建设对土壤</w:t>
            </w:r>
            <w:r>
              <w:rPr>
                <w:rFonts w:hint="default" w:ascii="Times New Roman" w:hAnsi="Times New Roman" w:cs="Times New Roman"/>
                <w:sz w:val="24"/>
                <w:szCs w:val="24"/>
                <w:lang w:eastAsia="zh-CN"/>
              </w:rPr>
              <w:t>、地下水</w:t>
            </w:r>
            <w:r>
              <w:rPr>
                <w:rFonts w:hint="default" w:ascii="Times New Roman" w:hAnsi="Times New Roman" w:cs="Times New Roman"/>
                <w:sz w:val="24"/>
                <w:szCs w:val="24"/>
              </w:rPr>
              <w:t>的影响可降至最低，不</w:t>
            </w:r>
            <w:r>
              <w:rPr>
                <w:rFonts w:hint="default" w:ascii="Times New Roman" w:hAnsi="Times New Roman" w:cs="Times New Roman"/>
                <w:sz w:val="24"/>
                <w:szCs w:val="24"/>
                <w:lang w:eastAsia="zh-CN"/>
              </w:rPr>
              <w:t>会</w:t>
            </w:r>
            <w:r>
              <w:rPr>
                <w:rFonts w:hint="default" w:ascii="Times New Roman" w:hAnsi="Times New Roman" w:cs="Times New Roman"/>
                <w:sz w:val="24"/>
                <w:szCs w:val="24"/>
              </w:rPr>
              <w:t>改变区域土壤</w:t>
            </w:r>
            <w:r>
              <w:rPr>
                <w:rFonts w:hint="default" w:ascii="Times New Roman" w:hAnsi="Times New Roman" w:cs="Times New Roman"/>
                <w:sz w:val="24"/>
                <w:szCs w:val="24"/>
                <w:lang w:eastAsia="zh-CN"/>
              </w:rPr>
              <w:t>和地下水</w:t>
            </w:r>
            <w:r>
              <w:rPr>
                <w:rFonts w:hint="default" w:ascii="Times New Roman" w:hAnsi="Times New Roman" w:cs="Times New Roman"/>
                <w:sz w:val="24"/>
                <w:szCs w:val="24"/>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single"/>
                <w:lang w:val="en-US" w:eastAsia="zh-CN"/>
              </w:rPr>
            </w:pPr>
            <w:r>
              <w:rPr>
                <w:rFonts w:hint="default" w:ascii="Times New Roman" w:hAnsi="Times New Roman" w:cs="Times New Roman"/>
                <w:b/>
                <w:sz w:val="24"/>
                <w:u w:val="single"/>
                <w:lang w:val="en-US" w:eastAsia="zh-CN"/>
              </w:rPr>
              <w:t>6</w:t>
            </w:r>
            <w:r>
              <w:rPr>
                <w:rFonts w:hint="default" w:ascii="Times New Roman" w:hAnsi="Times New Roman" w:eastAsia="宋体" w:cs="Times New Roman"/>
                <w:b/>
                <w:sz w:val="24"/>
                <w:u w:val="single"/>
                <w:lang w:val="en-US" w:eastAsia="zh-CN"/>
              </w:rPr>
              <w:t>、环境风险分析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故发生引起厂界外人群的伤害、环境质量的恶化，并提出相应的防护措施。风险识别范围包括生产设施风险识别和生产过程所涉及的物质风险识别。生产设施风险识别范围为：主要生产装置、贮运系统、公用工程系统、工程环保设施及辅助生产设施等；物质风险识别是指主要原辅材料、燃料、产品、副产品运输以及生产过程中排放的污染物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（1）风险源调查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color w:val="000000"/>
                <w:kern w:val="0"/>
                <w:sz w:val="24"/>
                <w:szCs w:val="24"/>
                <w:lang w:val="en-US" w:eastAsia="zh-CN" w:bidi="ar"/>
              </w:rPr>
              <w:t>按照《建设项目环境风险评价技术导则》（HJ169-2018）规定，在进行风险评价时，首先要调查建设项目危险物质数量和分布情况、生产工艺特点，本项目不涉及有毒有害及危险生产工艺。项目原料为PS、PE和PP废塑料，塑料为可燃物质，原料和产品均为固体，本项目生产中使用的原料不属于环境风险物质，但塑料为可燃物质，存在火灾风险，导致火灾次生环境事件。</w:t>
            </w:r>
            <w:r>
              <w:rPr>
                <w:rFonts w:hint="default" w:ascii="Times New Roman" w:hAnsi="Times New Roman" w:eastAsia="宋体" w:cs="Times New Roman"/>
                <w:b w:val="0"/>
                <w:bCs w:val="0"/>
                <w:color w:val="auto"/>
                <w:sz w:val="24"/>
                <w:szCs w:val="24"/>
                <w:u w:val="none"/>
                <w:lang w:val="en-US" w:eastAsia="zh-CN"/>
              </w:rPr>
              <w:t>本项目涉及危险物质主要为</w:t>
            </w:r>
            <w:r>
              <w:rPr>
                <w:rFonts w:hint="default" w:ascii="Times New Roman" w:hAnsi="Times New Roman" w:cs="Times New Roman"/>
                <w:b w:val="0"/>
                <w:bCs w:val="0"/>
                <w:color w:val="auto"/>
                <w:sz w:val="24"/>
                <w:szCs w:val="24"/>
                <w:u w:val="none"/>
                <w:lang w:val="en-US" w:eastAsia="zh-CN"/>
              </w:rPr>
              <w:t>废机油和废活性炭</w:t>
            </w:r>
            <w:r>
              <w:rPr>
                <w:rFonts w:hint="default" w:ascii="Times New Roman" w:hAnsi="Times New Roman" w:eastAsia="宋体" w:cs="Times New Roman"/>
                <w:b w:val="0"/>
                <w:bCs w:val="0"/>
                <w:color w:val="auto"/>
                <w:sz w:val="24"/>
                <w:szCs w:val="24"/>
                <w:u w:val="none"/>
                <w:lang w:val="en-US" w:eastAsia="zh-CN"/>
              </w:rPr>
              <w:t>，项目危险物质的分布情况及用途情况见表4-</w:t>
            </w:r>
            <w:r>
              <w:rPr>
                <w:rFonts w:hint="default" w:ascii="Times New Roman" w:hAnsi="Times New Roman" w:cs="Times New Roman"/>
                <w:b w:val="0"/>
                <w:bCs w:val="0"/>
                <w:color w:val="auto"/>
                <w:sz w:val="24"/>
                <w:szCs w:val="24"/>
                <w:u w:val="none"/>
                <w:lang w:val="en-US" w:eastAsia="zh-CN"/>
              </w:rPr>
              <w:t>2</w:t>
            </w:r>
            <w:r>
              <w:rPr>
                <w:rFonts w:hint="eastAsia"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lang w:val="en-US" w:eastAsia="zh-CN"/>
              </w:rPr>
              <w:t>，其理化性质见表4-</w:t>
            </w:r>
            <w:r>
              <w:rPr>
                <w:rFonts w:hint="default" w:ascii="Times New Roman" w:hAnsi="Times New Roman" w:cs="Times New Roman"/>
                <w:b w:val="0"/>
                <w:bCs w:val="0"/>
                <w:color w:val="auto"/>
                <w:sz w:val="24"/>
                <w:szCs w:val="24"/>
                <w:u w:val="none"/>
                <w:lang w:val="en-US" w:eastAsia="zh-CN"/>
              </w:rPr>
              <w:t>2</w:t>
            </w:r>
            <w:r>
              <w:rPr>
                <w:rFonts w:hint="eastAsia" w:cs="Times New Roman"/>
                <w:b w:val="0"/>
                <w:bCs w:val="0"/>
                <w:color w:val="auto"/>
                <w:sz w:val="24"/>
                <w:szCs w:val="24"/>
                <w:u w:val="none"/>
                <w:lang w:val="en-US" w:eastAsia="zh-CN"/>
              </w:rPr>
              <w:t>3</w:t>
            </w:r>
            <w:r>
              <w:rPr>
                <w:rFonts w:hint="default" w:ascii="Times New Roman" w:hAnsi="Times New Roman" w:eastAsia="宋体" w:cs="Times New Roman"/>
                <w:b w:val="0"/>
                <w:bCs w:val="0"/>
                <w:color w:val="auto"/>
                <w:sz w:val="24"/>
                <w:szCs w:val="24"/>
                <w:u w:val="none"/>
                <w:lang w:val="en-US" w:eastAsia="zh-CN"/>
              </w:rPr>
              <w:t>。</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w:t>
            </w:r>
            <w:r>
              <w:rPr>
                <w:rFonts w:hint="default" w:ascii="Times New Roman" w:hAnsi="Times New Roman" w:cs="Times New Roman"/>
                <w:b/>
                <w:bCs/>
                <w:color w:val="auto"/>
                <w:u w:val="none"/>
              </w:rPr>
              <w:t>-</w:t>
            </w:r>
            <w:r>
              <w:rPr>
                <w:rFonts w:hint="default" w:ascii="Times New Roman" w:hAnsi="Times New Roman" w:cs="Times New Roman"/>
                <w:b/>
                <w:bCs/>
                <w:color w:val="auto"/>
                <w:u w:val="none"/>
                <w:lang w:val="en-US" w:eastAsia="zh-CN"/>
              </w:rPr>
              <w:t>2</w:t>
            </w:r>
            <w:r>
              <w:rPr>
                <w:rFonts w:hint="eastAsia" w:ascii="Times New Roman" w:cs="Times New Roman"/>
                <w:b/>
                <w:bCs/>
                <w:color w:val="auto"/>
                <w:u w:val="none"/>
                <w:lang w:val="en-US" w:eastAsia="zh-CN"/>
              </w:rPr>
              <w:t>2</w:t>
            </w:r>
            <w:r>
              <w:rPr>
                <w:rFonts w:hint="default" w:ascii="Times New Roman" w:hAnsi="Times New Roman" w:cs="Times New Roman"/>
                <w:b/>
                <w:bCs/>
                <w:color w:val="auto"/>
                <w:u w:val="none"/>
              </w:rPr>
              <w:t>项目危险物质数量、产生及分布情况一览表</w:t>
            </w:r>
          </w:p>
          <w:tbl>
            <w:tblPr>
              <w:tblStyle w:val="24"/>
              <w:tblW w:w="499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28" w:type="dxa"/>
                <w:bottom w:w="0" w:type="dxa"/>
                <w:right w:w="28" w:type="dxa"/>
              </w:tblCellMar>
            </w:tblPr>
            <w:tblGrid>
              <w:gridCol w:w="599"/>
              <w:gridCol w:w="1204"/>
              <w:gridCol w:w="1585"/>
              <w:gridCol w:w="1452"/>
              <w:gridCol w:w="1858"/>
              <w:gridCol w:w="1369"/>
              <w:gridCol w:w="1334"/>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序号</w:t>
                  </w:r>
                </w:p>
              </w:tc>
              <w:tc>
                <w:tcPr>
                  <w:tcW w:w="1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名称</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CAS号</w:t>
                  </w:r>
                </w:p>
              </w:tc>
              <w:tc>
                <w:tcPr>
                  <w:tcW w:w="1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分布位置</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最大贮存量（t）</w:t>
                  </w:r>
                </w:p>
              </w:tc>
              <w:tc>
                <w:tcPr>
                  <w:tcW w:w="13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临界量（t）</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临界量来源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1</w:t>
                  </w:r>
                </w:p>
              </w:tc>
              <w:tc>
                <w:tcPr>
                  <w:tcW w:w="1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pacing w:val="4"/>
                      <w:kern w:val="0"/>
                      <w:sz w:val="21"/>
                      <w:szCs w:val="21"/>
                      <w:u w:val="none"/>
                      <w:lang w:val="en-US" w:eastAsia="zh-CN"/>
                    </w:rPr>
                  </w:pPr>
                  <w:r>
                    <w:rPr>
                      <w:rFonts w:hint="default" w:ascii="Times New Roman" w:hAnsi="Times New Roman" w:cs="Times New Roman"/>
                      <w:b w:val="0"/>
                      <w:bCs w:val="0"/>
                      <w:color w:val="auto"/>
                      <w:spacing w:val="4"/>
                      <w:kern w:val="0"/>
                      <w:sz w:val="21"/>
                      <w:szCs w:val="21"/>
                      <w:u w:val="none"/>
                      <w:lang w:val="en-US" w:eastAsia="zh-CN"/>
                    </w:rPr>
                    <w:t>废机油</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u w:val="none"/>
                    </w:rPr>
                    <w:t>900-214-08</w:t>
                  </w:r>
                </w:p>
              </w:tc>
              <w:tc>
                <w:tcPr>
                  <w:tcW w:w="14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u w:val="none"/>
                      <w:lang w:val="en-US" w:eastAsia="zh-CN"/>
                    </w:rPr>
                    <w:t>危废暂存间</w:t>
                  </w:r>
                </w:p>
              </w:tc>
              <w:tc>
                <w:tcPr>
                  <w:tcW w:w="1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0.06</w:t>
                  </w:r>
                </w:p>
              </w:tc>
              <w:tc>
                <w:tcPr>
                  <w:tcW w:w="13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2500</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rPr>
                    <w:t>附录</w:t>
                  </w:r>
                  <w:r>
                    <w:rPr>
                      <w:rFonts w:hint="default" w:ascii="Times New Roman" w:hAnsi="Times New Roman" w:cs="Times New Roman"/>
                      <w:b w:val="0"/>
                      <w:bCs w:val="0"/>
                      <w:color w:val="auto"/>
                      <w:kern w:val="0"/>
                      <w:sz w:val="21"/>
                      <w:szCs w:val="21"/>
                      <w:u w:val="none"/>
                      <w:lang w:val="en-US" w:eastAsia="zh-CN"/>
                    </w:rPr>
                    <w:t>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28" w:type="dxa"/>
                  <w:bottom w:w="0" w:type="dxa"/>
                  <w:right w:w="28" w:type="dxa"/>
                </w:tblCellMar>
              </w:tblPrEx>
              <w:trPr>
                <w:trHeight w:val="23" w:hRule="atLeast"/>
                <w:jc w:val="center"/>
              </w:trPr>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2</w:t>
                  </w:r>
                </w:p>
              </w:tc>
              <w:tc>
                <w:tcPr>
                  <w:tcW w:w="12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pacing w:val="4"/>
                      <w:kern w:val="0"/>
                      <w:sz w:val="21"/>
                      <w:szCs w:val="21"/>
                      <w:u w:val="none"/>
                      <w:lang w:val="en-US" w:eastAsia="zh-CN"/>
                    </w:rPr>
                  </w:pPr>
                  <w:r>
                    <w:rPr>
                      <w:rFonts w:hint="default" w:ascii="Times New Roman" w:hAnsi="Times New Roman" w:cs="Times New Roman"/>
                      <w:b w:val="0"/>
                      <w:bCs w:val="0"/>
                      <w:color w:val="auto"/>
                      <w:spacing w:val="4"/>
                      <w:kern w:val="0"/>
                      <w:sz w:val="21"/>
                      <w:szCs w:val="21"/>
                      <w:u w:val="none"/>
                      <w:lang w:val="en-US" w:eastAsia="zh-CN"/>
                    </w:rPr>
                    <w:t>废活性炭</w:t>
                  </w:r>
                </w:p>
              </w:tc>
              <w:tc>
                <w:tcPr>
                  <w:tcW w:w="1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val="en-US" w:eastAsia="zh-CN"/>
                    </w:rPr>
                    <w:t>900-039-49</w:t>
                  </w:r>
                </w:p>
              </w:tc>
              <w:tc>
                <w:tcPr>
                  <w:tcW w:w="14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kern w:val="2"/>
                      <w:sz w:val="21"/>
                      <w:szCs w:val="21"/>
                      <w:u w:val="none"/>
                      <w:lang w:val="en-US" w:eastAsia="zh-CN" w:bidi="ar-SA"/>
                    </w:rPr>
                  </w:pPr>
                </w:p>
              </w:tc>
              <w:tc>
                <w:tcPr>
                  <w:tcW w:w="1858" w:type="dxa"/>
                  <w:tcBorders>
                    <w:tl2br w:val="nil"/>
                    <w:tr2bl w:val="nil"/>
                  </w:tcBorders>
                  <w:noWrap w:val="0"/>
                  <w:vAlign w:val="center"/>
                </w:tcPr>
                <w:p>
                  <w:pPr>
                    <w:keepNext w:val="0"/>
                    <w:keepLines w:val="0"/>
                    <w:pageBreakBefore w:val="0"/>
                    <w:widowControl w:val="0"/>
                    <w:kinsoku/>
                    <w:wordWrap w:val="0"/>
                    <w:overflowPunct w:val="0"/>
                    <w:topLinePunct w:val="0"/>
                    <w:autoSpaceDE/>
                    <w:autoSpaceDN/>
                    <w:bidi w:val="0"/>
                    <w:adjustRightInd w:val="0"/>
                    <w:snapToGrid w:val="0"/>
                    <w:jc w:val="center"/>
                    <w:textAlignment w:val="auto"/>
                    <w:rPr>
                      <w:rFonts w:hint="default" w:ascii="Times New Roman" w:hAnsi="Times New Roman" w:eastAsia="宋体" w:cs="Times New Roman"/>
                      <w:kern w:val="2"/>
                      <w:sz w:val="21"/>
                      <w:szCs w:val="24"/>
                      <w:u w:val="none"/>
                      <w:lang w:val="en-US" w:eastAsia="zh-CN" w:bidi="ar-SA"/>
                    </w:rPr>
                  </w:pPr>
                  <w:r>
                    <w:rPr>
                      <w:rFonts w:hint="default" w:ascii="Times New Roman" w:hAnsi="Times New Roman" w:cs="Times New Roman"/>
                      <w:u w:val="none"/>
                      <w:lang w:val="en-US" w:eastAsia="zh-CN"/>
                    </w:rPr>
                    <w:t>1.56</w:t>
                  </w:r>
                </w:p>
              </w:tc>
              <w:tc>
                <w:tcPr>
                  <w:tcW w:w="13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100</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附录</w:t>
                  </w:r>
                  <w:r>
                    <w:rPr>
                      <w:rFonts w:hint="default" w:ascii="Times New Roman" w:hAnsi="Times New Roman" w:cs="Times New Roman"/>
                      <w:b w:val="0"/>
                      <w:bCs w:val="0"/>
                      <w:color w:val="auto"/>
                      <w:kern w:val="0"/>
                      <w:sz w:val="21"/>
                      <w:szCs w:val="21"/>
                      <w:u w:val="none"/>
                      <w:lang w:val="en-US" w:eastAsia="zh-CN"/>
                    </w:rPr>
                    <w:t>A</w:t>
                  </w:r>
                </w:p>
              </w:tc>
            </w:tr>
          </w:tbl>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none"/>
                <w:lang w:val="en-US" w:eastAsia="zh-CN"/>
              </w:rPr>
              <w:t>表4-</w:t>
            </w:r>
            <w:r>
              <w:rPr>
                <w:rFonts w:hint="default" w:ascii="Times New Roman" w:hAnsi="Times New Roman" w:cs="Times New Roman"/>
                <w:b/>
                <w:bCs/>
                <w:color w:val="auto"/>
                <w:u w:val="none"/>
                <w:lang w:val="en-US" w:eastAsia="zh-CN"/>
              </w:rPr>
              <w:t>2</w:t>
            </w:r>
            <w:r>
              <w:rPr>
                <w:rFonts w:hint="eastAsia" w:ascii="Times New Roman" w:cs="Times New Roman"/>
                <w:b/>
                <w:bCs/>
                <w:color w:val="auto"/>
                <w:u w:val="none"/>
                <w:lang w:val="en-US" w:eastAsia="zh-CN"/>
              </w:rPr>
              <w:t>3</w:t>
            </w:r>
            <w:r>
              <w:rPr>
                <w:rFonts w:hint="default" w:ascii="Times New Roman" w:hAnsi="Times New Roman" w:eastAsia="宋体" w:cs="Times New Roman"/>
                <w:b/>
                <w:bCs/>
                <w:color w:val="auto"/>
                <w:u w:val="none"/>
              </w:rPr>
              <w:t>机油的理化性质及危险特性表</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326"/>
              <w:gridCol w:w="378"/>
              <w:gridCol w:w="638"/>
              <w:gridCol w:w="1151"/>
              <w:gridCol w:w="811"/>
              <w:gridCol w:w="323"/>
              <w:gridCol w:w="675"/>
              <w:gridCol w:w="271"/>
              <w:gridCol w:w="780"/>
              <w:gridCol w:w="856"/>
              <w:gridCol w:w="331"/>
              <w:gridCol w:w="13"/>
              <w:gridCol w:w="13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标</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识</w:t>
                  </w:r>
                </w:p>
              </w:tc>
              <w:tc>
                <w:tcPr>
                  <w:tcW w:w="705"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中文名</w:t>
                  </w:r>
                </w:p>
              </w:tc>
              <w:tc>
                <w:tcPr>
                  <w:tcW w:w="540"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机油</w:t>
                  </w:r>
                </w:p>
              </w:tc>
              <w:tc>
                <w:tcPr>
                  <w:tcW w:w="612"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英文名</w:t>
                  </w:r>
                </w:p>
              </w:tc>
              <w:tc>
                <w:tcPr>
                  <w:tcW w:w="1106" w:type="pct"/>
                  <w:gridSpan w:val="4"/>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lubricatingoil ；Lubeoil</w:t>
                  </w:r>
                </w:p>
              </w:tc>
              <w:tc>
                <w:tcPr>
                  <w:tcW w:w="1046" w:type="pct"/>
                  <w:gridSpan w:val="3"/>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危险货物编号</w:t>
                  </w:r>
                </w:p>
              </w:tc>
              <w:tc>
                <w:tcPr>
                  <w:tcW w:w="730" w:type="pct"/>
                  <w:gridSpan w:val="2"/>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center"/>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分子式</w:t>
                  </w:r>
                </w:p>
              </w:tc>
              <w:tc>
                <w:tcPr>
                  <w:tcW w:w="540" w:type="pct"/>
                  <w:gridSpan w:val="2"/>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612" w:type="pct"/>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分子量</w:t>
                  </w:r>
                </w:p>
              </w:tc>
              <w:tc>
                <w:tcPr>
                  <w:tcW w:w="603"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230～500</w:t>
                  </w:r>
                </w:p>
              </w:tc>
              <w:tc>
                <w:tcPr>
                  <w:tcW w:w="502"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UN编号</w:t>
                  </w:r>
                </w:p>
              </w:tc>
              <w:tc>
                <w:tcPr>
                  <w:tcW w:w="415" w:type="pct"/>
                  <w:tcBorders>
                    <w:tl2br w:val="nil"/>
                    <w:tr2bl w:val="nil"/>
                  </w:tcBorders>
                  <w:noWrap w:val="0"/>
                  <w:vAlign w:val="center"/>
                </w:tcPr>
                <w:p>
                  <w:pPr>
                    <w:jc w:val="center"/>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630"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CAS编号</w:t>
                  </w:r>
                </w:p>
              </w:tc>
              <w:tc>
                <w:tcPr>
                  <w:tcW w:w="730" w:type="pct"/>
                  <w:gridSpan w:val="2"/>
                  <w:tcBorders>
                    <w:tl2br w:val="nil"/>
                    <w:tr2bl w:val="nil"/>
                  </w:tcBorders>
                  <w:noWrap w:val="0"/>
                  <w:vAlign w:val="center"/>
                </w:tcPr>
                <w:p>
                  <w:pPr>
                    <w:jc w:val="center"/>
                    <w:rPr>
                      <w:rFonts w:hint="default" w:ascii="Times New Roman" w:hAnsi="Times New Roman" w:cs="Times New Roman"/>
                      <w:b w:val="0"/>
                      <w:bCs w:val="0"/>
                      <w:u w:val="none"/>
                    </w:rPr>
                  </w:pPr>
                  <w:r>
                    <w:rPr>
                      <w:rFonts w:hint="default" w:ascii="Times New Roman" w:hAnsi="Times New Roman" w:cs="Times New Roman"/>
                      <w:b w:val="0"/>
                      <w:bCs w:val="0"/>
                      <w:u w:val="none"/>
                    </w:rPr>
                    <w:t>900-214-08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危险类别</w:t>
                  </w:r>
                </w:p>
              </w:tc>
              <w:tc>
                <w:tcPr>
                  <w:tcW w:w="4035" w:type="pct"/>
                  <w:gridSpan w:val="12"/>
                  <w:tcBorders>
                    <w:tl2br w:val="nil"/>
                    <w:tr2bl w:val="nil"/>
                  </w:tcBorders>
                  <w:noWrap w:val="0"/>
                  <w:vAlign w:val="top"/>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理</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化</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性</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质</w:t>
                  </w: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性状</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油状液体</w:t>
                  </w:r>
                  <w:r>
                    <w:rPr>
                      <w:rFonts w:hint="default" w:ascii="Times New Roman" w:hAnsi="Times New Roman" w:cs="Times New Roman"/>
                      <w:b w:val="0"/>
                      <w:bCs w:val="0"/>
                      <w:u w:val="none"/>
                      <w:lang w:eastAsia="zh-CN"/>
                    </w:rPr>
                    <w:t>，</w:t>
                  </w:r>
                  <w:r>
                    <w:rPr>
                      <w:rFonts w:hint="default" w:ascii="Times New Roman" w:hAnsi="Times New Roman" w:cs="Times New Roman"/>
                      <w:b w:val="0"/>
                      <w:bCs w:val="0"/>
                      <w:u w:val="none"/>
                    </w:rPr>
                    <w:t>淡黄色至褐色</w:t>
                  </w:r>
                  <w:r>
                    <w:rPr>
                      <w:rFonts w:hint="default" w:ascii="Times New Roman" w:hAnsi="Times New Roman" w:cs="Times New Roman"/>
                      <w:b w:val="0"/>
                      <w:bCs w:val="0"/>
                      <w:u w:val="none"/>
                      <w:lang w:eastAsia="zh-CN"/>
                    </w:rPr>
                    <w:t>，</w:t>
                  </w:r>
                  <w:r>
                    <w:rPr>
                      <w:rFonts w:hint="default" w:ascii="Times New Roman" w:hAnsi="Times New Roman" w:cs="Times New Roman"/>
                      <w:b w:val="0"/>
                      <w:bCs w:val="0"/>
                      <w:u w:val="none"/>
                    </w:rPr>
                    <w:t>无气味或略带异味。</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熔点（℃）</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临界压力（Mpa）</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沸点（℃）</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相对密度（水＝1）</w:t>
                  </w:r>
                </w:p>
              </w:tc>
              <w:tc>
                <w:tcPr>
                  <w:tcW w:w="907" w:type="pct"/>
                  <w:gridSpan w:val="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55"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饱和蒸汽压（kpa）</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相对密度（空气＝1）</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临界温度（℃）</w:t>
                  </w:r>
                </w:p>
              </w:tc>
              <w:tc>
                <w:tcPr>
                  <w:tcW w:w="1554" w:type="pct"/>
                  <w:gridSpan w:val="4"/>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燃烧热（KJ·mol-1）</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溶解性</w:t>
                  </w:r>
                </w:p>
              </w:tc>
              <w:tc>
                <w:tcPr>
                  <w:tcW w:w="3834" w:type="pct"/>
                  <w:gridSpan w:val="11"/>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不溶于水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烧</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爆</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炸</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危</w:t>
                  </w:r>
                </w:p>
                <w:p>
                  <w:pPr>
                    <w:rPr>
                      <w:rFonts w:hint="default" w:ascii="Times New Roman" w:hAnsi="Times New Roman" w:cs="Times New Roman"/>
                      <w:b w:val="0"/>
                      <w:bCs w:val="0"/>
                      <w:u w:val="none"/>
                    </w:rPr>
                  </w:pPr>
                  <w:r>
                    <w:rPr>
                      <w:rFonts w:hint="default" w:ascii="Times New Roman" w:hAnsi="Times New Roman" w:cs="Times New Roman"/>
                      <w:b w:val="0"/>
                      <w:bCs w:val="0"/>
                      <w:u w:val="none"/>
                    </w:rPr>
                    <w:t>险</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性</w:t>
                  </w: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燃烧性</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可燃</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闪点（℃）</w:t>
                  </w:r>
                </w:p>
              </w:tc>
              <w:tc>
                <w:tcPr>
                  <w:tcW w:w="907" w:type="pct"/>
                  <w:gridSpan w:val="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70" w:hRule="atLeast"/>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爆炸极限（％）</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最小点火能（MJ）</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906" w:type="pct"/>
                  <w:gridSpan w:val="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引燃温度（℃）</w:t>
                  </w:r>
                </w:p>
              </w:tc>
              <w:tc>
                <w:tcPr>
                  <w:tcW w:w="1554"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248</w:t>
                  </w:r>
                </w:p>
              </w:tc>
              <w:tc>
                <w:tcPr>
                  <w:tcW w:w="137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最大爆炸压力（Mpa）</w:t>
                  </w:r>
                </w:p>
              </w:tc>
              <w:tc>
                <w:tcPr>
                  <w:tcW w:w="907" w:type="pct"/>
                  <w:gridSpan w:val="3"/>
                  <w:tcBorders>
                    <w:tl2br w:val="nil"/>
                    <w:tr2bl w:val="nil"/>
                  </w:tcBorders>
                  <w:noWrap w:val="0"/>
                  <w:vAlign w:val="center"/>
                </w:tcPr>
                <w:p>
                  <w:pP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危险特性</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灭火方法</w:t>
                  </w:r>
                </w:p>
              </w:tc>
              <w:tc>
                <w:tcPr>
                  <w:tcW w:w="4035" w:type="pct"/>
                  <w:gridSpan w:val="1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禁忌物</w:t>
                  </w:r>
                </w:p>
              </w:tc>
              <w:tc>
                <w:tcPr>
                  <w:tcW w:w="2258" w:type="pct"/>
                  <w:gridSpan w:val="7"/>
                  <w:tcBorders>
                    <w:tl2br w:val="nil"/>
                    <w:tr2bl w:val="nil"/>
                  </w:tcBorders>
                  <w:noWrap w:val="0"/>
                  <w:vAlign w:val="center"/>
                </w:tcPr>
                <w:p>
                  <w:pPr>
                    <w:rPr>
                      <w:rFonts w:hint="default" w:ascii="Times New Roman" w:hAnsi="Times New Roman" w:cs="Times New Roman"/>
                      <w:b w:val="0"/>
                      <w:bCs w:val="0"/>
                      <w:u w:val="none"/>
                    </w:rPr>
                  </w:pPr>
                </w:p>
              </w:tc>
              <w:tc>
                <w:tcPr>
                  <w:tcW w:w="105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稳定性</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稳定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燃烧产物</w:t>
                  </w:r>
                </w:p>
              </w:tc>
              <w:tc>
                <w:tcPr>
                  <w:tcW w:w="2258" w:type="pct"/>
                  <w:gridSpan w:val="7"/>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一氧化碳、二氧化碳</w:t>
                  </w:r>
                </w:p>
              </w:tc>
              <w:tc>
                <w:tcPr>
                  <w:tcW w:w="1052"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聚合危害</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不聚合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毒性及健康危害</w:t>
                  </w:r>
                </w:p>
              </w:tc>
              <w:tc>
                <w:tcPr>
                  <w:tcW w:w="705"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急性毒性</w:t>
                  </w:r>
                </w:p>
              </w:tc>
              <w:tc>
                <w:tcPr>
                  <w:tcW w:w="1583" w:type="pct"/>
                  <w:gridSpan w:val="4"/>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LD50（mg/kg，大鼠经口）</w:t>
                  </w:r>
                </w:p>
              </w:tc>
              <w:tc>
                <w:tcPr>
                  <w:tcW w:w="530" w:type="pct"/>
                  <w:gridSpan w:val="2"/>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c>
                <w:tcPr>
                  <w:tcW w:w="1197" w:type="pct"/>
                  <w:gridSpan w:val="5"/>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LC50（mg/kg）</w:t>
                  </w:r>
                </w:p>
              </w:tc>
              <w:tc>
                <w:tcPr>
                  <w:tcW w:w="724"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无资料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vMerge w:val="restar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健康危害</w:t>
                  </w:r>
                </w:p>
              </w:tc>
              <w:tc>
                <w:tcPr>
                  <w:tcW w:w="2114" w:type="pct"/>
                  <w:gridSpan w:val="6"/>
                  <w:tcBorders>
                    <w:tl2br w:val="nil"/>
                    <w:tr2bl w:val="nil"/>
                  </w:tcBorders>
                  <w:noWrap w:val="0"/>
                  <w:vAlign w:val="top"/>
                </w:tcPr>
                <w:p>
                  <w:pPr>
                    <w:rPr>
                      <w:rFonts w:hint="default" w:ascii="Times New Roman" w:hAnsi="Times New Roman" w:cs="Times New Roman"/>
                      <w:b w:val="0"/>
                      <w:bCs w:val="0"/>
                      <w:u w:val="none"/>
                    </w:rPr>
                  </w:pPr>
                  <w:r>
                    <w:rPr>
                      <w:rFonts w:hint="default" w:ascii="Times New Roman" w:hAnsi="Times New Roman" w:cs="Times New Roman"/>
                      <w:b w:val="0"/>
                      <w:bCs w:val="0"/>
                      <w:u w:val="none"/>
                    </w:rPr>
                    <w:t>车间卫生标准</w:t>
                  </w:r>
                </w:p>
              </w:tc>
              <w:tc>
                <w:tcPr>
                  <w:tcW w:w="1921" w:type="pct"/>
                  <w:gridSpan w:val="6"/>
                  <w:tcBorders>
                    <w:tl2br w:val="nil"/>
                    <w:tr2bl w:val="nil"/>
                  </w:tcBorders>
                  <w:noWrap w:val="0"/>
                  <w:vAlign w:val="top"/>
                </w:tcPr>
                <w:p>
                  <w:pPr>
                    <w:rPr>
                      <w:rFonts w:hint="default" w:ascii="Times New Roman" w:hAnsi="Times New Roman" w:cs="Times New Roman"/>
                      <w:b w:val="0"/>
                      <w:bCs w:val="0"/>
                      <w:u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vMerge w:val="continue"/>
                  <w:tcBorders>
                    <w:tl2br w:val="nil"/>
                    <w:tr2bl w:val="nil"/>
                  </w:tcBorders>
                  <w:noWrap w:val="0"/>
                  <w:vAlign w:val="top"/>
                </w:tcPr>
                <w:p>
                  <w:pPr>
                    <w:rPr>
                      <w:rFonts w:hint="default" w:ascii="Times New Roman" w:hAnsi="Times New Roman" w:cs="Times New Roman"/>
                      <w:b w:val="0"/>
                      <w:bCs w:val="0"/>
                      <w:u w:val="none"/>
                    </w:rPr>
                  </w:pPr>
                </w:p>
              </w:tc>
              <w:tc>
                <w:tcPr>
                  <w:tcW w:w="705" w:type="pct"/>
                  <w:vMerge w:val="continue"/>
                  <w:tcBorders>
                    <w:tl2br w:val="nil"/>
                    <w:tr2bl w:val="nil"/>
                  </w:tcBorders>
                  <w:noWrap w:val="0"/>
                  <w:vAlign w:val="center"/>
                </w:tcPr>
                <w:p>
                  <w:pPr>
                    <w:rPr>
                      <w:rFonts w:hint="default" w:ascii="Times New Roman" w:hAnsi="Times New Roman" w:cs="Times New Roman"/>
                      <w:b w:val="0"/>
                      <w:bCs w:val="0"/>
                      <w:u w:val="none"/>
                    </w:rPr>
                  </w:pPr>
                </w:p>
              </w:tc>
              <w:tc>
                <w:tcPr>
                  <w:tcW w:w="4035" w:type="pct"/>
                  <w:gridSpan w:val="12"/>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侵入途径：</w:t>
                  </w:r>
                  <w:r>
                    <w:rPr>
                      <w:rFonts w:hint="default" w:ascii="Times New Roman" w:hAnsi="Times New Roman" w:cs="Times New Roman"/>
                      <w:b w:val="0"/>
                      <w:bCs w:val="0"/>
                      <w:u w:val="none"/>
                      <w:lang w:eastAsia="zh-CN"/>
                    </w:rPr>
                    <w:t>吸入</w:t>
                  </w:r>
                  <w:r>
                    <w:rPr>
                      <w:rFonts w:hint="default" w:ascii="Times New Roman" w:hAnsi="Times New Roman" w:cs="Times New Roman"/>
                      <w:b w:val="0"/>
                      <w:bCs w:val="0"/>
                      <w:u w:val="none"/>
                    </w:rPr>
                    <w:t>、食入；</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急</w:t>
                  </w:r>
                </w:p>
                <w:p>
                  <w:pPr>
                    <w:rPr>
                      <w:rFonts w:hint="default" w:ascii="Times New Roman" w:hAnsi="Times New Roman" w:cs="Times New Roman"/>
                      <w:b w:val="0"/>
                      <w:bCs w:val="0"/>
                      <w:u w:val="none"/>
                    </w:rPr>
                  </w:pPr>
                </w:p>
                <w:p>
                  <w:pPr>
                    <w:rPr>
                      <w:rFonts w:hint="default" w:ascii="Times New Roman" w:hAnsi="Times New Roman" w:cs="Times New Roman"/>
                      <w:b w:val="0"/>
                      <w:bCs w:val="0"/>
                      <w:u w:val="none"/>
                    </w:rPr>
                  </w:pPr>
                  <w:r>
                    <w:rPr>
                      <w:rFonts w:hint="default" w:ascii="Times New Roman" w:hAnsi="Times New Roman" w:cs="Times New Roman"/>
                      <w:b w:val="0"/>
                      <w:bCs w:val="0"/>
                      <w:u w:val="none"/>
                    </w:rPr>
                    <w:t>救</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皮肤接触：立即脱去被污染的衣着，用大量清水冲洗；</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眼睛接触：立即提起眼睑，用大量流动清水或生理盐水冲洗，就医；</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吸入：迅速脱离现场至空气新鲜处，保持呼吸道通畅，如呼吸困难，给输氧；如呼吸停止，立即进行人工呼吸，就医；</w:t>
                  </w:r>
                </w:p>
                <w:p>
                  <w:pPr>
                    <w:rPr>
                      <w:rFonts w:hint="default" w:ascii="Times New Roman" w:hAnsi="Times New Roman" w:cs="Times New Roman"/>
                      <w:b w:val="0"/>
                      <w:bCs w:val="0"/>
                      <w:u w:val="none"/>
                    </w:rPr>
                  </w:pPr>
                  <w:r>
                    <w:rPr>
                      <w:rFonts w:hint="default" w:ascii="Times New Roman" w:hAnsi="Times New Roman" w:cs="Times New Roman"/>
                      <w:b w:val="0"/>
                      <w:bCs w:val="0"/>
                      <w:u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防</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护</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工程控制：密闭操作，注意通风；</w:t>
                  </w:r>
                </w:p>
                <w:p>
                  <w:pPr>
                    <w:rPr>
                      <w:rFonts w:hint="default" w:ascii="Times New Roman" w:hAnsi="Times New Roman" w:eastAsia="宋体" w:cs="Times New Roman"/>
                      <w:b w:val="0"/>
                      <w:bCs w:val="0"/>
                      <w:u w:val="none"/>
                      <w:lang w:eastAsia="zh-CN"/>
                    </w:rPr>
                  </w:pPr>
                  <w:r>
                    <w:rPr>
                      <w:rFonts w:hint="default" w:ascii="Times New Roman" w:hAnsi="Times New Roman" w:cs="Times New Roman"/>
                      <w:b w:val="0"/>
                      <w:bCs w:val="0"/>
                      <w:u w:val="none"/>
                    </w:rPr>
                    <w:t>呼吸系统防护：空气中浓度超标时，建议佩戴自吸过滤式防毒面具（半面罩）。紧急事态抢救或撤离时，应该佩戴空气呼吸器。</w:t>
                  </w:r>
                </w:p>
                <w:p>
                  <w:pPr>
                    <w:rPr>
                      <w:rFonts w:hint="default" w:ascii="Times New Roman" w:hAnsi="Times New Roman" w:cs="Times New Roman"/>
                      <w:b w:val="0"/>
                      <w:bCs w:val="0"/>
                      <w:u w:val="none"/>
                    </w:rPr>
                  </w:pPr>
                  <w:r>
                    <w:rPr>
                      <w:rFonts w:hint="default" w:ascii="Times New Roman" w:hAnsi="Times New Roman" w:cs="Times New Roman"/>
                      <w:b w:val="0"/>
                      <w:bCs w:val="0"/>
                      <w:u w:val="none"/>
                    </w:rPr>
                    <w:t>眼睛防护：戴化学安全防护眼镜。</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身体防护：穿防毒物渗透工作服；</w:t>
                  </w:r>
                </w:p>
                <w:p>
                  <w:pPr>
                    <w:rPr>
                      <w:rFonts w:hint="default" w:ascii="Times New Roman" w:hAnsi="Times New Roman" w:cs="Times New Roman"/>
                      <w:b w:val="0"/>
                      <w:bCs w:val="0"/>
                      <w:u w:val="none"/>
                    </w:rPr>
                  </w:pPr>
                  <w:r>
                    <w:rPr>
                      <w:rFonts w:hint="default" w:ascii="Times New Roman" w:hAnsi="Times New Roman" w:cs="Times New Roman"/>
                      <w:b w:val="0"/>
                      <w:bCs w:val="0"/>
                      <w:u w:val="none"/>
                    </w:rPr>
                    <w:t>手防护：戴橡胶耐油手套；</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其他：工作现场严禁吸烟。避免长期反复接触。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泄漏处理</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迅速撤离泄漏污染区人员至安全区，并进行隔离，严格限制出入。切断火源。建议应急处理人员戴自给正压式呼吸器，穿防毒服。尽可能切断泄漏源。防止流入下水道、排洪沟等限制性空间。</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小量泄漏：用砂土</w:t>
                  </w:r>
                  <w:r>
                    <w:rPr>
                      <w:rFonts w:hint="default" w:ascii="Times New Roman" w:hAnsi="Times New Roman" w:cs="Times New Roman"/>
                      <w:b w:val="0"/>
                      <w:bCs w:val="0"/>
                      <w:u w:val="none"/>
                      <w:lang w:eastAsia="zh-CN"/>
                    </w:rPr>
                    <w:t>或其他</w:t>
                  </w:r>
                  <w:r>
                    <w:rPr>
                      <w:rFonts w:hint="default" w:ascii="Times New Roman" w:hAnsi="Times New Roman" w:cs="Times New Roman"/>
                      <w:b w:val="0"/>
                      <w:bCs w:val="0"/>
                      <w:u w:val="none"/>
                    </w:rPr>
                    <w:t>不燃材料吸附或吸收。</w:t>
                  </w:r>
                </w:p>
                <w:p>
                  <w:pPr>
                    <w:rPr>
                      <w:rFonts w:hint="default" w:ascii="Times New Roman" w:hAnsi="Times New Roman" w:cs="Times New Roman"/>
                      <w:b w:val="0"/>
                      <w:bCs w:val="0"/>
                      <w:u w:val="none"/>
                    </w:rPr>
                  </w:pPr>
                  <w:r>
                    <w:rPr>
                      <w:rFonts w:hint="default" w:ascii="Times New Roman" w:hAnsi="Times New Roman" w:cs="Times New Roman"/>
                      <w:b w:val="0"/>
                      <w:bCs w:val="0"/>
                      <w:u w:val="none"/>
                    </w:rPr>
                    <w:t>大量泄漏：构筑围堤或挖坑收容。用泵转移至槽车或专用收集器内，回收或运至废物处理场所处置。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jc w:val="center"/>
              </w:trPr>
              <w:tc>
                <w:tcPr>
                  <w:tcW w:w="259" w:type="pct"/>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储运</w:t>
                  </w:r>
                </w:p>
              </w:tc>
              <w:tc>
                <w:tcPr>
                  <w:tcW w:w="4740" w:type="pct"/>
                  <w:gridSpan w:val="13"/>
                  <w:tcBorders>
                    <w:tl2br w:val="nil"/>
                    <w:tr2bl w:val="nil"/>
                  </w:tcBorders>
                  <w:noWrap w:val="0"/>
                  <w:vAlign w:val="center"/>
                </w:tcPr>
                <w:p>
                  <w:pPr>
                    <w:rPr>
                      <w:rFonts w:hint="default" w:ascii="Times New Roman" w:hAnsi="Times New Roman" w:cs="Times New Roman"/>
                      <w:b w:val="0"/>
                      <w:bCs w:val="0"/>
                      <w:u w:val="none"/>
                    </w:rPr>
                  </w:pPr>
                  <w:r>
                    <w:rPr>
                      <w:rFonts w:hint="default" w:ascii="Times New Roman" w:hAnsi="Times New Roman" w:cs="Times New Roman"/>
                      <w:b w:val="0"/>
                      <w:bCs w:val="0"/>
                      <w:u w:val="none"/>
                    </w:rPr>
                    <w:t>储存于阴凉、通风的库房。远离火种、热源。应与氧化剂分开存放，切忌混储。配备相应品种和数量的消防器材。储区应备有泄漏应急处理设备和合适的收容材料。</w:t>
                  </w:r>
                </w:p>
                <w:p>
                  <w:pPr>
                    <w:rPr>
                      <w:rFonts w:hint="default" w:ascii="Times New Roman" w:hAnsi="Times New Roman" w:cs="Times New Roman"/>
                      <w:b w:val="0"/>
                      <w:bCs w:val="0"/>
                      <w:u w:val="none"/>
                    </w:rPr>
                  </w:pPr>
                  <w:r>
                    <w:rPr>
                      <w:rFonts w:hint="default" w:ascii="Times New Roman" w:hAnsi="Times New Roman" w:cs="Times New Roman"/>
                      <w:b w:val="0"/>
                      <w:bCs w:val="0"/>
                      <w:u w:val="none"/>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（2）环境风险潜势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根据《建设项目环境风险评价技术导则》（HJ/T169-2018），建设项目环境风险潜势划分为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2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3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III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4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IV</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4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IV</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vertAlign w:val="superscript"/>
              </w:rPr>
              <w:t>+</w:t>
            </w:r>
            <w:r>
              <w:rPr>
                <w:rFonts w:hint="default" w:ascii="Times New Roman" w:hAnsi="Times New Roman" w:cs="Times New Roman"/>
                <w:b w:val="0"/>
                <w:bCs w:val="0"/>
                <w:color w:val="auto"/>
                <w:sz w:val="24"/>
                <w:szCs w:val="24"/>
                <w:u w:val="none"/>
              </w:rPr>
              <w:t>级。根据建设项目涉及的物质和工艺系统的危险性及其所在地的环境敏感程度，结合事故情形下环境影响途径，对建设项目潜在环境危害程度进行</w:t>
            </w:r>
            <w:r>
              <w:rPr>
                <w:rFonts w:hint="default" w:ascii="Times New Roman" w:hAnsi="Times New Roman" w:cs="Times New Roman"/>
                <w:b w:val="0"/>
                <w:bCs w:val="0"/>
                <w:color w:val="auto"/>
                <w:sz w:val="24"/>
                <w:szCs w:val="24"/>
                <w:u w:val="none"/>
                <w:lang w:eastAsia="zh-CN"/>
              </w:rPr>
              <w:t>概括</w:t>
            </w:r>
            <w:r>
              <w:rPr>
                <w:rFonts w:hint="default" w:ascii="Times New Roman" w:hAnsi="Times New Roman" w:cs="Times New Roman"/>
                <w:b w:val="0"/>
                <w:bCs w:val="0"/>
                <w:color w:val="auto"/>
                <w:sz w:val="24"/>
                <w:szCs w:val="24"/>
                <w:u w:val="none"/>
              </w:rPr>
              <w:t>化分析，按照表</w:t>
            </w:r>
            <w:r>
              <w:rPr>
                <w:rFonts w:hint="default" w:ascii="Times New Roman" w:hAnsi="Times New Roman" w:cs="Times New Roman"/>
                <w:b w:val="0"/>
                <w:bCs w:val="0"/>
                <w:color w:val="auto"/>
                <w:sz w:val="24"/>
                <w:szCs w:val="24"/>
                <w:u w:val="none"/>
                <w:lang w:val="en-US" w:eastAsia="zh-CN"/>
              </w:rPr>
              <w:t>4-2</w:t>
            </w:r>
            <w:r>
              <w:rPr>
                <w:rFonts w:hint="eastAsia" w:cs="Times New Roman"/>
                <w:b w:val="0"/>
                <w:bCs w:val="0"/>
                <w:color w:val="auto"/>
                <w:sz w:val="24"/>
                <w:szCs w:val="24"/>
                <w:u w:val="none"/>
                <w:lang w:val="en-US" w:eastAsia="zh-CN"/>
              </w:rPr>
              <w:t>4</w:t>
            </w:r>
            <w:r>
              <w:rPr>
                <w:rFonts w:hint="default" w:ascii="Times New Roman" w:hAnsi="Times New Roman" w:cs="Times New Roman"/>
                <w:b w:val="0"/>
                <w:bCs w:val="0"/>
                <w:color w:val="auto"/>
                <w:sz w:val="24"/>
                <w:szCs w:val="24"/>
                <w:u w:val="none"/>
              </w:rPr>
              <w:t>确定环境风险潜势。</w:t>
            </w:r>
          </w:p>
          <w:p>
            <w:pPr>
              <w:pStyle w:val="44"/>
              <w:keepNext w:val="0"/>
              <w:keepLines w:val="0"/>
              <w:pageBreakBefore w:val="0"/>
              <w:widowControl w:val="0"/>
              <w:kinsoku/>
              <w:wordWrap/>
              <w:overflowPunct/>
              <w:topLinePunct w:val="0"/>
              <w:autoSpaceDE w:val="0"/>
              <w:autoSpaceDN w:val="0"/>
              <w:bidi w:val="0"/>
              <w:adjustRightInd w:val="0"/>
              <w:snapToGrid/>
              <w:spacing w:before="0" w:after="0"/>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4-2</w:t>
            </w:r>
            <w:r>
              <w:rPr>
                <w:rFonts w:hint="eastAsia" w:ascii="Times New Roman" w:cs="Times New Roman"/>
                <w:b/>
                <w:bCs/>
                <w:color w:val="auto"/>
                <w:u w:val="none"/>
                <w:lang w:val="en-US" w:eastAsia="zh-CN"/>
              </w:rPr>
              <w:t>4</w:t>
            </w:r>
            <w:r>
              <w:rPr>
                <w:rFonts w:hint="default" w:ascii="Times New Roman" w:hAnsi="Times New Roman" w:cs="Times New Roman"/>
                <w:b/>
                <w:bCs/>
                <w:color w:val="auto"/>
                <w:u w:val="none"/>
              </w:rPr>
              <w:t>建设项目环境风险潜势划分</w:t>
            </w:r>
          </w:p>
          <w:tbl>
            <w:tblPr>
              <w:tblStyle w:val="24"/>
              <w:tblW w:w="499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2223"/>
              <w:gridCol w:w="1794"/>
              <w:gridCol w:w="1794"/>
              <w:gridCol w:w="1794"/>
              <w:gridCol w:w="179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118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环境敏感程度（E）</w:t>
                  </w:r>
                </w:p>
              </w:tc>
              <w:tc>
                <w:tcPr>
                  <w:tcW w:w="3816"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危险物质及工艺系统危险性（P）</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11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极高危害（P1）</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高度危害（P2）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中毒危害（P3）</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轻度危害（P4）</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环境高度敏感（E1）</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r>
                    <w:rPr>
                      <w:rFonts w:hint="default" w:ascii="Times New Roman" w:hAnsi="Times New Roman" w:cs="Times New Roman"/>
                      <w:b w:val="0"/>
                      <w:bCs w:val="0"/>
                      <w:color w:val="auto"/>
                      <w:kern w:val="0"/>
                      <w:sz w:val="21"/>
                      <w:szCs w:val="21"/>
                      <w:u w:val="none"/>
                      <w:vertAlign w:val="superscript"/>
                    </w:rPr>
                    <w:t>+</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环境中度敏感（E2）</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2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11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环境低度敏感（E3）</w:t>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3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2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II</w:t>
                  </w:r>
                  <w:r>
                    <w:rPr>
                      <w:rFonts w:hint="default" w:ascii="Times New Roman" w:hAnsi="Times New Roman" w:cs="Times New Roman"/>
                      <w:b w:val="0"/>
                      <w:bCs w:val="0"/>
                      <w:color w:val="auto"/>
                      <w:kern w:val="0"/>
                      <w:sz w:val="21"/>
                      <w:szCs w:val="21"/>
                      <w:u w:val="none"/>
                    </w:rPr>
                    <w:fldChar w:fldCharType="end"/>
                  </w:r>
                </w:p>
              </w:tc>
              <w:tc>
                <w:tcPr>
                  <w:tcW w:w="9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1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w:t>
                  </w:r>
                  <w:r>
                    <w:rPr>
                      <w:rFonts w:hint="default" w:ascii="Times New Roman" w:hAnsi="Times New Roman" w:cs="Times New Roman"/>
                      <w:b w:val="0"/>
                      <w:bCs w:val="0"/>
                      <w:color w:val="auto"/>
                      <w:kern w:val="0"/>
                      <w:sz w:val="21"/>
                      <w:szCs w:val="21"/>
                      <w:u w:val="none"/>
                    </w:rPr>
                    <w:fldChar w:fldCharType="end"/>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PrEx>
              <w:trPr>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kern w:val="0"/>
                      <w:sz w:val="21"/>
                      <w:szCs w:val="21"/>
                      <w:u w:val="none"/>
                    </w:rPr>
                  </w:pPr>
                  <w:r>
                    <w:rPr>
                      <w:rFonts w:hint="default" w:ascii="Times New Roman" w:hAnsi="Times New Roman" w:cs="Times New Roman"/>
                      <w:b w:val="0"/>
                      <w:bCs w:val="0"/>
                      <w:color w:val="auto"/>
                      <w:kern w:val="0"/>
                      <w:sz w:val="21"/>
                      <w:szCs w:val="21"/>
                      <w:u w:val="none"/>
                    </w:rPr>
                    <w:t>注：</w:t>
                  </w:r>
                  <w:r>
                    <w:rPr>
                      <w:rFonts w:hint="default" w:ascii="Times New Roman" w:hAnsi="Times New Roman" w:cs="Times New Roman"/>
                      <w:b w:val="0"/>
                      <w:bCs w:val="0"/>
                      <w:color w:val="auto"/>
                      <w:kern w:val="0"/>
                      <w:sz w:val="21"/>
                      <w:szCs w:val="21"/>
                      <w:u w:val="none"/>
                    </w:rPr>
                    <w:fldChar w:fldCharType="begin"/>
                  </w:r>
                  <w:r>
                    <w:rPr>
                      <w:rFonts w:hint="default" w:ascii="Times New Roman" w:hAnsi="Times New Roman" w:cs="Times New Roman"/>
                      <w:b w:val="0"/>
                      <w:bCs w:val="0"/>
                      <w:color w:val="auto"/>
                      <w:kern w:val="0"/>
                      <w:sz w:val="21"/>
                      <w:szCs w:val="21"/>
                      <w:u w:val="none"/>
                    </w:rPr>
                    <w:instrText xml:space="preserve"> = 4 \* ROMAN </w:instrText>
                  </w:r>
                  <w:r>
                    <w:rPr>
                      <w:rFonts w:hint="default" w:ascii="Times New Roman" w:hAnsi="Times New Roman" w:cs="Times New Roman"/>
                      <w:b w:val="0"/>
                      <w:bCs w:val="0"/>
                      <w:color w:val="auto"/>
                      <w:kern w:val="0"/>
                      <w:sz w:val="21"/>
                      <w:szCs w:val="21"/>
                      <w:u w:val="none"/>
                    </w:rPr>
                    <w:fldChar w:fldCharType="separate"/>
                  </w:r>
                  <w:r>
                    <w:rPr>
                      <w:rFonts w:hint="default" w:ascii="Times New Roman" w:hAnsi="Times New Roman" w:cs="Times New Roman"/>
                      <w:b w:val="0"/>
                      <w:bCs w:val="0"/>
                      <w:color w:val="auto"/>
                      <w:kern w:val="0"/>
                      <w:sz w:val="21"/>
                      <w:szCs w:val="21"/>
                      <w:u w:val="none"/>
                    </w:rPr>
                    <w:t>IV</w:t>
                  </w:r>
                  <w:r>
                    <w:rPr>
                      <w:rFonts w:hint="default" w:ascii="Times New Roman" w:hAnsi="Times New Roman" w:cs="Times New Roman"/>
                      <w:b w:val="0"/>
                      <w:bCs w:val="0"/>
                      <w:color w:val="auto"/>
                      <w:kern w:val="0"/>
                      <w:sz w:val="21"/>
                      <w:szCs w:val="21"/>
                      <w:u w:val="none"/>
                    </w:rPr>
                    <w:fldChar w:fldCharType="end"/>
                  </w:r>
                  <w:r>
                    <w:rPr>
                      <w:rFonts w:hint="default" w:ascii="Times New Roman" w:hAnsi="Times New Roman" w:cs="Times New Roman"/>
                      <w:b w:val="0"/>
                      <w:bCs w:val="0"/>
                      <w:color w:val="auto"/>
                      <w:kern w:val="0"/>
                      <w:sz w:val="21"/>
                      <w:szCs w:val="21"/>
                      <w:u w:val="none"/>
                      <w:vertAlign w:val="superscript"/>
                    </w:rPr>
                    <w:t>+</w:t>
                  </w:r>
                  <w:r>
                    <w:rPr>
                      <w:rFonts w:hint="default" w:ascii="Times New Roman" w:hAnsi="Times New Roman" w:cs="Times New Roman"/>
                      <w:b w:val="0"/>
                      <w:bCs w:val="0"/>
                      <w:color w:val="auto"/>
                      <w:kern w:val="0"/>
                      <w:sz w:val="21"/>
                      <w:szCs w:val="21"/>
                      <w:u w:val="none"/>
                    </w:rPr>
                    <w:t>为极高环境风险。</w:t>
                  </w:r>
                </w:p>
              </w:tc>
            </w:tr>
          </w:tbl>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由上表可知建设项目环境风险潜势的判定由危险物质及工艺系统危险性（P）及环境敏感程度（E）共同判定。</w:t>
            </w:r>
          </w:p>
          <w:p>
            <w:pPr>
              <w:pStyle w:val="44"/>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jc w:val="both"/>
              <w:textAlignment w:val="auto"/>
              <w:rPr>
                <w:rFonts w:hint="default" w:ascii="Times New Roman" w:hAnsi="Times New Roman" w:cs="Times New Roman"/>
                <w:b/>
                <w:bCs/>
                <w:i w:val="0"/>
                <w:iCs w:val="0"/>
                <w:color w:val="auto"/>
                <w:sz w:val="24"/>
                <w:szCs w:val="24"/>
                <w:u w:val="none"/>
              </w:rPr>
            </w:pPr>
            <w:r>
              <w:rPr>
                <w:rFonts w:hint="default" w:ascii="Times New Roman" w:hAnsi="Times New Roman" w:cs="Times New Roman"/>
                <w:b/>
                <w:bCs/>
                <w:i w:val="0"/>
                <w:iCs w:val="0"/>
                <w:color w:val="auto"/>
                <w:sz w:val="24"/>
                <w:szCs w:val="24"/>
                <w:u w:val="none"/>
                <w:lang w:eastAsia="zh-CN"/>
              </w:rPr>
              <w:t>（</w:t>
            </w:r>
            <w:r>
              <w:rPr>
                <w:rFonts w:hint="default" w:ascii="Times New Roman" w:hAnsi="Times New Roman" w:cs="Times New Roman"/>
                <w:b/>
                <w:bCs/>
                <w:i w:val="0"/>
                <w:iCs w:val="0"/>
                <w:color w:val="auto"/>
                <w:sz w:val="24"/>
                <w:szCs w:val="24"/>
                <w:u w:val="none"/>
                <w:lang w:val="en-US" w:eastAsia="zh-CN"/>
              </w:rPr>
              <w:t>3</w:t>
            </w:r>
            <w:r>
              <w:rPr>
                <w:rFonts w:hint="default" w:ascii="Times New Roman" w:hAnsi="Times New Roman" w:cs="Times New Roman"/>
                <w:b/>
                <w:bCs/>
                <w:i w:val="0"/>
                <w:iCs w:val="0"/>
                <w:color w:val="auto"/>
                <w:sz w:val="24"/>
                <w:szCs w:val="24"/>
                <w:u w:val="none"/>
                <w:lang w:eastAsia="zh-CN"/>
              </w:rPr>
              <w:t>）</w:t>
            </w:r>
            <w:r>
              <w:rPr>
                <w:rFonts w:hint="default" w:ascii="Times New Roman" w:hAnsi="Times New Roman" w:cs="Times New Roman"/>
                <w:b/>
                <w:bCs/>
                <w:i w:val="0"/>
                <w:iCs w:val="0"/>
                <w:color w:val="auto"/>
                <w:sz w:val="24"/>
                <w:szCs w:val="24"/>
                <w:u w:val="none"/>
              </w:rPr>
              <w:t>危险物质及工艺系统危险性（P）的分级确定</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危险物质及工艺系统危险性（P）等级的判定由建设项目生产、使用、储存过程中涉及的有毒有害、易燃易爆物质数量与临界量的比值（Q）和所属行业及生产工艺特点（M）共同确定，分别以P</w:t>
            </w:r>
            <w:r>
              <w:rPr>
                <w:rFonts w:hint="default" w:ascii="Times New Roman" w:hAnsi="Times New Roman" w:cs="Times New Roman"/>
                <w:b w:val="0"/>
                <w:bCs w:val="0"/>
                <w:color w:val="auto"/>
                <w:sz w:val="24"/>
                <w:szCs w:val="24"/>
                <w:u w:val="none"/>
                <w:vertAlign w:val="subscript"/>
              </w:rPr>
              <w:t>1</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2</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3</w:t>
            </w:r>
            <w:r>
              <w:rPr>
                <w:rFonts w:hint="default" w:ascii="Times New Roman" w:hAnsi="Times New Roman" w:cs="Times New Roman"/>
                <w:b w:val="0"/>
                <w:bCs w:val="0"/>
                <w:color w:val="auto"/>
                <w:sz w:val="24"/>
                <w:szCs w:val="24"/>
                <w:u w:val="none"/>
              </w:rPr>
              <w:t>、P</w:t>
            </w:r>
            <w:r>
              <w:rPr>
                <w:rFonts w:hint="default" w:ascii="Times New Roman" w:hAnsi="Times New Roman" w:cs="Times New Roman"/>
                <w:b w:val="0"/>
                <w:bCs w:val="0"/>
                <w:color w:val="auto"/>
                <w:sz w:val="24"/>
                <w:szCs w:val="24"/>
                <w:u w:val="none"/>
                <w:vertAlign w:val="subscript"/>
              </w:rPr>
              <w:t>4</w:t>
            </w:r>
            <w:r>
              <w:rPr>
                <w:rFonts w:hint="default" w:ascii="Times New Roman" w:hAnsi="Times New Roman" w:cs="Times New Roman"/>
                <w:b w:val="0"/>
                <w:bCs w:val="0"/>
                <w:color w:val="auto"/>
                <w:sz w:val="24"/>
                <w:szCs w:val="24"/>
                <w:u w:val="none"/>
              </w:rPr>
              <w:t>表示。</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建设项目Q值的确定见表</w:t>
            </w:r>
            <w:r>
              <w:rPr>
                <w:rFonts w:hint="default" w:ascii="Times New Roman" w:hAnsi="Times New Roman" w:cs="Times New Roman"/>
                <w:b w:val="0"/>
                <w:bCs w:val="0"/>
                <w:color w:val="auto"/>
                <w:sz w:val="24"/>
                <w:szCs w:val="24"/>
                <w:u w:val="none"/>
                <w:lang w:val="en-US" w:eastAsia="zh-CN"/>
              </w:rPr>
              <w:t>4-18</w:t>
            </w:r>
            <w:r>
              <w:rPr>
                <w:rFonts w:hint="default" w:ascii="Times New Roman" w:hAnsi="Times New Roman" w:cs="Times New Roman"/>
                <w:b w:val="0"/>
                <w:bCs w:val="0"/>
                <w:color w:val="auto"/>
                <w:sz w:val="24"/>
                <w:szCs w:val="24"/>
                <w:u w:val="none"/>
              </w:rPr>
              <w: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建设项目存在多种危险物质时，按下式计算物质总量与其临界量比值（Q）：</w:t>
            </w:r>
          </w:p>
          <w:p>
            <w:pPr>
              <w:keepNext w:val="0"/>
              <w:keepLines w:val="0"/>
              <w:pageBreakBefore w:val="0"/>
              <w:widowControl w:val="0"/>
              <w:kinsoku/>
              <w:wordWrap/>
              <w:overflowPunct/>
              <w:topLinePunct w:val="0"/>
              <w:autoSpaceDE/>
              <w:autoSpaceDN/>
              <w:bidi w:val="0"/>
              <w:adjustRightInd/>
              <w:snapToGrid/>
              <w:spacing w:before="158" w:beforeLines="50" w:after="158" w:afterLines="50" w:line="360" w:lineRule="auto"/>
              <w:ind w:firstLine="0" w:firstLineChars="0"/>
              <w:jc w:val="center"/>
              <w:textAlignment w:val="auto"/>
              <w:rPr>
                <w:rFonts w:hint="default" w:ascii="Times New Roman" w:hAnsi="Times New Roman" w:cs="Times New Roman"/>
                <w:b w:val="0"/>
                <w:bCs w:val="0"/>
                <w:snapToGrid w:val="0"/>
                <w:color w:val="auto"/>
                <w:sz w:val="24"/>
                <w:szCs w:val="24"/>
                <w:u w:val="none"/>
              </w:rPr>
            </w:pP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1</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1</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2</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2</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snapToGrid w:val="0"/>
                <w:color w:val="auto"/>
                <w:sz w:val="24"/>
                <w:szCs w:val="24"/>
                <w:u w:val="none"/>
              </w:rPr>
              <w:fldChar w:fldCharType="begin"/>
            </w:r>
            <w:r>
              <w:rPr>
                <w:rFonts w:hint="default" w:ascii="Times New Roman" w:hAnsi="Times New Roman" w:cs="Times New Roman"/>
                <w:b w:val="0"/>
                <w:bCs w:val="0"/>
                <w:snapToGrid w:val="0"/>
                <w:color w:val="auto"/>
                <w:sz w:val="24"/>
                <w:szCs w:val="24"/>
                <w:u w:val="none"/>
              </w:rPr>
              <w:instrText xml:space="preserve"> eq \f(</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n</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i/>
                <w:snapToGrid w:val="0"/>
                <w:color w:val="auto"/>
                <w:sz w:val="24"/>
                <w:szCs w:val="24"/>
                <w:u w:val="none"/>
              </w:rPr>
              <w:instrText xml:space="preserve">Q</w:instrText>
            </w:r>
            <w:r>
              <w:rPr>
                <w:rFonts w:hint="default" w:ascii="Times New Roman" w:hAnsi="Times New Roman" w:cs="Times New Roman"/>
                <w:b w:val="0"/>
                <w:bCs w:val="0"/>
                <w:snapToGrid w:val="0"/>
                <w:color w:val="auto"/>
                <w:sz w:val="24"/>
                <w:szCs w:val="24"/>
                <w:u w:val="none"/>
                <w:vertAlign w:val="subscript"/>
              </w:rPr>
              <w:instrText xml:space="preserve">n</w:instrText>
            </w:r>
            <w:r>
              <w:rPr>
                <w:rFonts w:hint="default" w:ascii="Times New Roman" w:hAnsi="Times New Roman" w:cs="Times New Roman"/>
                <w:b w:val="0"/>
                <w:bCs w:val="0"/>
                <w:snapToGrid w:val="0"/>
                <w:color w:val="auto"/>
                <w:sz w:val="24"/>
                <w:szCs w:val="24"/>
                <w:u w:val="none"/>
              </w:rPr>
              <w:instrText xml:space="preserve">)</w:instrText>
            </w:r>
            <w:r>
              <w:rPr>
                <w:rFonts w:hint="default" w:ascii="Times New Roman" w:hAnsi="Times New Roman" w:cs="Times New Roman"/>
                <w:b w:val="0"/>
                <w:bCs w:val="0"/>
                <w:snapToGrid w:val="0"/>
                <w:color w:val="auto"/>
                <w:sz w:val="24"/>
                <w:szCs w:val="24"/>
                <w:u w:val="none"/>
              </w:rPr>
              <w:fldChar w:fldCharType="end"/>
            </w:r>
            <w:r>
              <w:rPr>
                <w:rFonts w:hint="default" w:ascii="Times New Roman" w:hAnsi="Times New Roman" w:cs="Times New Roman"/>
                <w:b w:val="0"/>
                <w:bCs w:val="0"/>
                <w:snapToGrid w:val="0"/>
                <w:color w:val="auto"/>
                <w:sz w:val="24"/>
                <w:szCs w:val="24"/>
                <w:u w:val="none"/>
              </w:rPr>
              <w:t>=Q</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snapToGrid w:val="0"/>
                <w:color w:val="auto"/>
                <w:sz w:val="24"/>
                <w:szCs w:val="24"/>
                <w:u w:val="none"/>
              </w:rPr>
            </w:pPr>
            <w:r>
              <w:rPr>
                <w:rFonts w:hint="default" w:ascii="Times New Roman" w:hAnsi="Times New Roman" w:cs="Times New Roman"/>
                <w:b w:val="0"/>
                <w:bCs w:val="0"/>
                <w:snapToGrid w:val="0"/>
                <w:color w:val="auto"/>
                <w:sz w:val="24"/>
                <w:szCs w:val="24"/>
                <w:u w:val="none"/>
              </w:rPr>
              <w:t>式中：</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1</w:t>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2</w:t>
            </w:r>
            <w:r>
              <w:rPr>
                <w:rFonts w:hint="default" w:ascii="Times New Roman" w:hAnsi="Times New Roman" w:cs="Times New Roman"/>
                <w:b w:val="0"/>
                <w:bCs w:val="0"/>
                <w:snapToGrid w:val="0"/>
                <w:color w:val="auto"/>
                <w:sz w:val="24"/>
                <w:szCs w:val="24"/>
                <w:u w:val="none"/>
              </w:rPr>
              <w:t>……</w:t>
            </w:r>
            <w:r>
              <w:rPr>
                <w:rFonts w:hint="default" w:ascii="Times New Roman" w:hAnsi="Times New Roman" w:cs="Times New Roman"/>
                <w:b w:val="0"/>
                <w:bCs w:val="0"/>
                <w:i/>
                <w:snapToGrid w:val="0"/>
                <w:color w:val="auto"/>
                <w:sz w:val="24"/>
                <w:szCs w:val="24"/>
                <w:u w:val="none"/>
              </w:rPr>
              <w:t>q</w:t>
            </w:r>
            <w:r>
              <w:rPr>
                <w:rFonts w:hint="default" w:ascii="Times New Roman" w:hAnsi="Times New Roman" w:cs="Times New Roman"/>
                <w:b w:val="0"/>
                <w:bCs w:val="0"/>
                <w:snapToGrid w:val="0"/>
                <w:color w:val="auto"/>
                <w:sz w:val="24"/>
                <w:szCs w:val="24"/>
                <w:u w:val="none"/>
                <w:vertAlign w:val="subscript"/>
              </w:rPr>
              <w:t>n</w:t>
            </w:r>
            <w:r>
              <w:rPr>
                <w:rFonts w:hint="default" w:ascii="Times New Roman" w:hAnsi="Times New Roman" w:cs="Times New Roman"/>
                <w:b w:val="0"/>
                <w:bCs w:val="0"/>
                <w:snapToGrid w:val="0"/>
                <w:color w:val="auto"/>
                <w:sz w:val="24"/>
                <w:szCs w:val="24"/>
                <w:u w:val="none"/>
              </w:rPr>
              <w:t>——每种危险物质的最大存在总量，t。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1</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2</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i/>
                <w:color w:val="auto"/>
                <w:sz w:val="24"/>
                <w:szCs w:val="24"/>
                <w:u w:val="none"/>
              </w:rPr>
              <w:t>Q</w:t>
            </w:r>
            <w:r>
              <w:rPr>
                <w:rFonts w:hint="default" w:ascii="Times New Roman" w:hAnsi="Times New Roman" w:cs="Times New Roman"/>
                <w:b w:val="0"/>
                <w:bCs w:val="0"/>
                <w:color w:val="auto"/>
                <w:sz w:val="24"/>
                <w:szCs w:val="24"/>
                <w:u w:val="none"/>
                <w:vertAlign w:val="subscript"/>
              </w:rPr>
              <w:t>n</w:t>
            </w:r>
            <w:r>
              <w:rPr>
                <w:rFonts w:hint="default" w:ascii="Times New Roman" w:hAnsi="Times New Roman" w:cs="Times New Roman"/>
                <w:b w:val="0"/>
                <w:bCs w:val="0"/>
                <w:color w:val="auto"/>
                <w:sz w:val="24"/>
                <w:szCs w:val="24"/>
                <w:u w:val="none"/>
              </w:rPr>
              <w:t>——每种危险物质的临界量，t。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当Q＜1时，该项目环境风险潜势为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w:t>
            </w:r>
          </w:p>
          <w:p>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当Q≥1时，将Q值划分为：(1)1≤Q＜10；(2)10≤Q＜100；(3)Q≥100</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r>
              <w:rPr>
                <w:rFonts w:hint="default" w:ascii="Times New Roman" w:hAnsi="Times New Roman" w:cs="Times New Roman"/>
                <w:b/>
                <w:bCs/>
                <w:color w:val="auto"/>
                <w:u w:val="none"/>
                <w:lang w:val="en-US" w:eastAsia="zh-CN"/>
              </w:rPr>
              <w:t>4-2</w:t>
            </w:r>
            <w:r>
              <w:rPr>
                <w:rFonts w:hint="eastAsia" w:ascii="Times New Roman" w:cs="Times New Roman"/>
                <w:b/>
                <w:bCs/>
                <w:color w:val="auto"/>
                <w:u w:val="none"/>
                <w:lang w:val="en-US" w:eastAsia="zh-CN"/>
              </w:rPr>
              <w:t>5</w:t>
            </w:r>
            <w:r>
              <w:rPr>
                <w:rFonts w:hint="default" w:ascii="Times New Roman" w:hAnsi="Times New Roman" w:cs="Times New Roman"/>
                <w:b/>
                <w:bCs/>
                <w:color w:val="auto"/>
                <w:u w:val="none"/>
              </w:rPr>
              <w:t>建设项目Q值确定表</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254"/>
              <w:gridCol w:w="1373"/>
              <w:gridCol w:w="1399"/>
              <w:gridCol w:w="1455"/>
              <w:gridCol w:w="217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序号</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名称</w:t>
                  </w:r>
                </w:p>
              </w:tc>
              <w:tc>
                <w:tcPr>
                  <w:tcW w:w="73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CAS号</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最大存在总量q</w:t>
                  </w:r>
                  <w:r>
                    <w:rPr>
                      <w:rFonts w:hint="default" w:ascii="Times New Roman" w:hAnsi="Times New Roman" w:cs="Times New Roman"/>
                      <w:b w:val="0"/>
                      <w:bCs w:val="0"/>
                      <w:color w:val="auto"/>
                      <w:sz w:val="21"/>
                      <w:szCs w:val="21"/>
                      <w:u w:val="none"/>
                      <w:vertAlign w:val="subscript"/>
                    </w:rPr>
                    <w:t>n</w:t>
                  </w:r>
                  <w:r>
                    <w:rPr>
                      <w:rFonts w:hint="default" w:ascii="Times New Roman" w:hAnsi="Times New Roman" w:cs="Times New Roman"/>
                      <w:b w:val="0"/>
                      <w:bCs w:val="0"/>
                      <w:color w:val="auto"/>
                      <w:sz w:val="21"/>
                      <w:szCs w:val="21"/>
                      <w:u w:val="none"/>
                    </w:rPr>
                    <w:t>/t</w:t>
                  </w:r>
                </w:p>
              </w:tc>
              <w:tc>
                <w:tcPr>
                  <w:tcW w:w="77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临界量Qn/t</w:t>
                  </w:r>
                </w:p>
              </w:tc>
              <w:tc>
                <w:tcPr>
                  <w:tcW w:w="11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该种危险物质Q值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pacing w:val="4"/>
                      <w:sz w:val="21"/>
                      <w:szCs w:val="21"/>
                      <w:u w:val="none"/>
                      <w:lang w:val="en-US" w:eastAsia="zh-CN"/>
                    </w:rPr>
                  </w:pPr>
                  <w:r>
                    <w:rPr>
                      <w:rFonts w:hint="default" w:ascii="Times New Roman" w:hAnsi="Times New Roman" w:cs="Times New Roman"/>
                      <w:b w:val="0"/>
                      <w:bCs w:val="0"/>
                      <w:color w:val="auto"/>
                      <w:spacing w:val="4"/>
                      <w:sz w:val="21"/>
                      <w:szCs w:val="21"/>
                      <w:u w:val="none"/>
                      <w:lang w:val="en-US" w:eastAsia="zh-CN"/>
                    </w:rPr>
                    <w:t>废机油</w:t>
                  </w:r>
                </w:p>
              </w:tc>
              <w:tc>
                <w:tcPr>
                  <w:tcW w:w="7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u w:val="none"/>
                    </w:rPr>
                    <w:t>900-214-08</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0.06</w:t>
                  </w:r>
                </w:p>
              </w:tc>
              <w:tc>
                <w:tcPr>
                  <w:tcW w:w="77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2500</w:t>
                  </w:r>
                </w:p>
              </w:tc>
              <w:tc>
                <w:tcPr>
                  <w:tcW w:w="11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0.000024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2</w:t>
                  </w:r>
                </w:p>
              </w:tc>
              <w:tc>
                <w:tcPr>
                  <w:tcW w:w="119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pacing w:val="4"/>
                      <w:sz w:val="21"/>
                      <w:szCs w:val="21"/>
                      <w:u w:val="none"/>
                      <w:lang w:val="en-US" w:eastAsia="zh-CN"/>
                    </w:rPr>
                  </w:pPr>
                  <w:r>
                    <w:rPr>
                      <w:rFonts w:hint="default" w:ascii="Times New Roman" w:hAnsi="Times New Roman" w:cs="Times New Roman"/>
                      <w:b w:val="0"/>
                      <w:bCs w:val="0"/>
                      <w:color w:val="auto"/>
                      <w:spacing w:val="4"/>
                      <w:sz w:val="21"/>
                      <w:szCs w:val="21"/>
                      <w:u w:val="none"/>
                      <w:lang w:val="en-US" w:eastAsia="zh-CN"/>
                    </w:rPr>
                    <w:t>废活性炭</w:t>
                  </w:r>
                </w:p>
              </w:tc>
              <w:tc>
                <w:tcPr>
                  <w:tcW w:w="7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u w:val="none"/>
                    </w:rPr>
                  </w:pPr>
                  <w:r>
                    <w:rPr>
                      <w:rFonts w:hint="default" w:ascii="Times New Roman" w:hAnsi="Times New Roman" w:eastAsia="宋体" w:cs="Times New Roman"/>
                      <w:b w:val="0"/>
                      <w:bCs w:val="0"/>
                      <w:color w:val="auto"/>
                      <w:sz w:val="21"/>
                      <w:szCs w:val="21"/>
                      <w:u w:val="none"/>
                      <w:lang w:val="en-US" w:eastAsia="zh-CN"/>
                    </w:rPr>
                    <w:t>900-039-49</w:t>
                  </w:r>
                </w:p>
              </w:tc>
              <w:tc>
                <w:tcPr>
                  <w:tcW w:w="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1.56</w:t>
                  </w:r>
                </w:p>
              </w:tc>
              <w:tc>
                <w:tcPr>
                  <w:tcW w:w="77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100</w:t>
                  </w:r>
                </w:p>
              </w:tc>
              <w:tc>
                <w:tcPr>
                  <w:tcW w:w="11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0.0156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844"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项目Q值∑</w:t>
                  </w:r>
                </w:p>
              </w:tc>
              <w:tc>
                <w:tcPr>
                  <w:tcW w:w="1155" w:type="pct"/>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0.015624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经计算，Q＜1时，该项目环境风险潜势为</w:t>
            </w:r>
            <w:r>
              <w:rPr>
                <w:rFonts w:hint="default" w:ascii="Times New Roman" w:hAnsi="Times New Roman" w:cs="Times New Roman"/>
                <w:b w:val="0"/>
                <w:bCs w:val="0"/>
                <w:color w:val="auto"/>
                <w:sz w:val="24"/>
                <w:szCs w:val="24"/>
                <w:u w:val="none"/>
              </w:rPr>
              <w:fldChar w:fldCharType="begin"/>
            </w:r>
            <w:r>
              <w:rPr>
                <w:rFonts w:hint="default" w:ascii="Times New Roman" w:hAnsi="Times New Roman" w:cs="Times New Roman"/>
                <w:b w:val="0"/>
                <w:bCs w:val="0"/>
                <w:color w:val="auto"/>
                <w:sz w:val="24"/>
                <w:szCs w:val="24"/>
                <w:u w:val="none"/>
              </w:rPr>
              <w:instrText xml:space="preserve"> = 1 \* ROMAN </w:instrText>
            </w:r>
            <w:r>
              <w:rPr>
                <w:rFonts w:hint="default" w:ascii="Times New Roman" w:hAnsi="Times New Roman" w:cs="Times New Roman"/>
                <w:b w:val="0"/>
                <w:bCs w:val="0"/>
                <w:color w:val="auto"/>
                <w:sz w:val="24"/>
                <w:szCs w:val="24"/>
                <w:u w:val="none"/>
              </w:rPr>
              <w:fldChar w:fldCharType="separate"/>
            </w:r>
            <w:r>
              <w:rPr>
                <w:rFonts w:hint="default" w:ascii="Times New Roman" w:hAnsi="Times New Roman" w:cs="Times New Roman"/>
                <w:b w:val="0"/>
                <w:bCs w:val="0"/>
                <w:color w:val="auto"/>
                <w:sz w:val="24"/>
                <w:szCs w:val="24"/>
                <w:u w:val="none"/>
              </w:rPr>
              <w:t>I</w:t>
            </w:r>
            <w:r>
              <w:rPr>
                <w:rFonts w:hint="default" w:ascii="Times New Roman" w:hAnsi="Times New Roman" w:cs="Times New Roman"/>
                <w:b w:val="0"/>
                <w:bCs w:val="0"/>
                <w:color w:val="auto"/>
                <w:sz w:val="24"/>
                <w:szCs w:val="24"/>
                <w:u w:val="none"/>
              </w:rPr>
              <w:fldChar w:fldCharType="end"/>
            </w:r>
            <w:r>
              <w:rPr>
                <w:rFonts w:hint="default" w:ascii="Times New Roman" w:hAnsi="Times New Roman" w:cs="Times New Roman"/>
                <w:b w:val="0"/>
                <w:bCs w:val="0"/>
                <w:color w:val="auto"/>
                <w:sz w:val="24"/>
                <w:szCs w:val="24"/>
                <w:u w:val="none"/>
              </w:rPr>
              <w:t>，简单分析即可。</w:t>
            </w:r>
          </w:p>
          <w:p>
            <w:pPr>
              <w:pStyle w:val="44"/>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jc w:val="both"/>
              <w:textAlignment w:val="auto"/>
              <w:rPr>
                <w:rFonts w:hint="default" w:ascii="Times New Roman" w:hAnsi="Times New Roman" w:eastAsia="宋体" w:cs="Times New Roman"/>
                <w:b/>
                <w:bCs/>
                <w:i w:val="0"/>
                <w:iCs w:val="0"/>
                <w:color w:val="auto"/>
                <w:sz w:val="24"/>
                <w:szCs w:val="24"/>
                <w:u w:val="none"/>
                <w:lang w:eastAsia="zh-CN"/>
              </w:rPr>
            </w:pPr>
            <w:r>
              <w:rPr>
                <w:rFonts w:hint="default" w:ascii="Times New Roman" w:hAnsi="Times New Roman" w:eastAsia="宋体" w:cs="Times New Roman"/>
                <w:b/>
                <w:bCs/>
                <w:i w:val="0"/>
                <w:iCs w:val="0"/>
                <w:color w:val="auto"/>
                <w:sz w:val="24"/>
                <w:szCs w:val="24"/>
                <w:u w:val="none"/>
                <w:lang w:val="en-US" w:eastAsia="zh-CN"/>
              </w:rPr>
              <w:t>（4）生产系统危险性识别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根据工艺流程和平面布置功能区划，本项目危险单元为危废暂存间，原料堆放区和成品堆放区以及生产设施和环保设施。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营运期主要风险源于贮存的废机油泄漏等因素，主要包括：①储存容器破损导致泄漏；②自然因素，如地震、雷击等；③生产人员的安全卫生知识缺乏，违章操作或操作不规范导致的泄漏；④厂区安全生产制度不健全，设备检修维修制度不落实或不执行。尽管项目储存危险物质量小，但机油均为易燃性物质，潜在事故为原料发生泄漏遇明火等条件可能引起火灾等事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rPr>
              <w:t>）环境风险类型及危险分析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通过对危险物质、生产系统危险性识别可知，营运期危险物质风险事故情况下向环境转移的可能途径主要有：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①危险物质贮存过程中容器破损或操作不当发生泄漏，若地面不进行防渗、防腐处理，泄漏物料可能下渗污染土壤及地下水。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②项目使用原料PS、PE和PP废塑料，</w:t>
            </w:r>
            <w:r>
              <w:rPr>
                <w:rFonts w:hint="eastAsia" w:cs="Times New Roman"/>
                <w:b w:val="0"/>
                <w:bCs w:val="0"/>
                <w:sz w:val="24"/>
                <w:lang w:val="en-US" w:eastAsia="zh-CN"/>
              </w:rPr>
              <w:t>原料</w:t>
            </w:r>
            <w:r>
              <w:rPr>
                <w:rFonts w:hint="default" w:ascii="Times New Roman" w:hAnsi="Times New Roman" w:eastAsia="宋体" w:cs="Times New Roman"/>
                <w:b w:val="0"/>
                <w:bCs w:val="0"/>
                <w:sz w:val="24"/>
              </w:rPr>
              <w:t>储存</w:t>
            </w:r>
            <w:r>
              <w:rPr>
                <w:rFonts w:hint="eastAsia" w:cs="Times New Roman"/>
                <w:b w:val="0"/>
                <w:bCs w:val="0"/>
                <w:sz w:val="24"/>
                <w:lang w:val="en-US" w:eastAsia="zh-CN"/>
              </w:rPr>
              <w:t>区域</w:t>
            </w:r>
            <w:r>
              <w:rPr>
                <w:rFonts w:hint="default" w:ascii="Times New Roman" w:hAnsi="Times New Roman" w:eastAsia="宋体" w:cs="Times New Roman"/>
                <w:b w:val="0"/>
                <w:bCs w:val="0"/>
                <w:sz w:val="24"/>
              </w:rPr>
              <w:t>遇火花或明火易发生火灾；废机油有泄漏时未及时消除或溢流出的易燃料液遇明火导致火灾事故。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当火灾发生时，伴随将产生大量的CO、二噁英等有毒有害污染物，对周边环境产生一定影响，以及在灭火过程中将产生大量的消防废水，若未及时拦截进入雨水管网，会对受纳水体以及周边土壤环境造成一定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（6）环境风险防范措施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val="0"/>
                <w:sz w:val="24"/>
                <w:u w:val="none"/>
                <w:lang w:val="en-US" w:eastAsia="zh-CN"/>
              </w:rPr>
            </w:pPr>
            <w:r>
              <w:rPr>
                <w:rFonts w:hint="default" w:ascii="Times New Roman" w:hAnsi="Times New Roman" w:eastAsia="微软雅黑" w:cs="Times New Roman"/>
                <w:b/>
                <w:bCs w:val="0"/>
                <w:sz w:val="24"/>
                <w:u w:val="none"/>
                <w:lang w:val="en-US" w:eastAsia="zh-CN"/>
              </w:rPr>
              <w:t>Ⅰ</w:t>
            </w:r>
            <w:r>
              <w:rPr>
                <w:rFonts w:hint="default" w:ascii="Times New Roman" w:hAnsi="Times New Roman" w:cs="Times New Roman"/>
                <w:b/>
                <w:bCs w:val="0"/>
                <w:sz w:val="24"/>
                <w:u w:val="none"/>
                <w:lang w:val="en-US" w:eastAsia="zh-CN"/>
              </w:rPr>
              <w:t>火灾风险防范措施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①危废暂存间严格按照消防规范进行设计和建设，消防通道和建筑物耐火等级应满足消防要求；生产区域、原料堆放区、成品区及危废暂存间均设置严禁烟火标志，严禁携带火柴、打火机等。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②按照《建筑灭火器配置设计规范》（GBJ140-90）的规定，应配置相应数量的灭火器（干粉灭火器等）、消防沙等消防物质，并在火灾危险场所设置报警装置。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③加强公司职工的教育培训，实行上岗证制度，增强职工风险意识，提高事故自救能力，制定和强化各种安全管理、安全生产的规程，减少人为风险事故的发生。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④加强管理，防止因管理不善而导致火灾：每天对车间设备，进行检查，防止因为设备故障而引起火灾；禁止车间内抽烟。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u w:val="none"/>
                <w:lang w:val="en-US" w:eastAsia="zh-CN"/>
              </w:rPr>
            </w:pPr>
            <w:r>
              <w:rPr>
                <w:rFonts w:hint="default" w:ascii="Times New Roman" w:hAnsi="Times New Roman" w:cs="Times New Roman"/>
                <w:b w:val="0"/>
                <w:bCs/>
                <w:sz w:val="24"/>
                <w:u w:val="none"/>
                <w:lang w:val="en-US" w:eastAsia="zh-CN"/>
              </w:rPr>
              <w:t>⑤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sz w:val="24"/>
                <w:u w:val="none"/>
                <w:lang w:val="en-US" w:eastAsia="zh-CN"/>
              </w:rPr>
            </w:pPr>
            <w:r>
              <w:rPr>
                <w:rFonts w:hint="default" w:ascii="Times New Roman" w:hAnsi="Times New Roman" w:eastAsia="宋体" w:cs="Times New Roman"/>
                <w:b/>
                <w:bCs w:val="0"/>
                <w:sz w:val="24"/>
                <w:u w:val="none"/>
                <w:lang w:val="en-US" w:eastAsia="zh-CN"/>
              </w:rPr>
              <w:t>Ⅱ储存风险防范措施</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防范措施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a.危废暂存间的分区按有关消防部门的规范要求进行设计和建设，应做防腐防渗处理，布置重点防渗区，防止危险废物渗漏对地下水造成污染；加强日常管理，建立进出台账；严格管理，操作正确，加强日常检查，正常情况下，可以避免发生溢出和泄漏事故，但不能排除非正常情况下泄漏事故的发生，如地震</w:t>
            </w:r>
            <w:r>
              <w:rPr>
                <w:rFonts w:hint="eastAsia" w:ascii="Times New Roman" w:hAnsi="Times New Roman" w:eastAsia="宋体" w:cs="Times New Roman"/>
                <w:color w:val="000000"/>
                <w:kern w:val="0"/>
                <w:sz w:val="24"/>
                <w:szCs w:val="24"/>
                <w:lang w:val="en-US" w:eastAsia="zh-CN" w:bidi="ar"/>
              </w:rPr>
              <w:t>和其他一些</w:t>
            </w:r>
            <w:r>
              <w:rPr>
                <w:rFonts w:hint="default" w:ascii="Times New Roman" w:hAnsi="Times New Roman" w:eastAsia="宋体" w:cs="Times New Roman"/>
                <w:color w:val="000000"/>
                <w:kern w:val="0"/>
                <w:sz w:val="24"/>
                <w:szCs w:val="24"/>
                <w:lang w:val="en-US" w:eastAsia="zh-CN" w:bidi="ar"/>
              </w:rPr>
              <w:t>潜在突然因素的发生。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b.制定发生事故时迅速撤离泄漏污染区人员至安全区的方案，一旦发生事故，则要根据具体情况采取应急措施，切断泄漏源、火源，控制事故扩大，立即报警，采取遏制泄漏物进入环境的紧急措施。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c.危废暂存间应该做好抗静电工作，防止静电引起存储区火灾和爆炸；做好预防雷击造成火灾事件的发生，安装规范的防雷与接地措施。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d.危废暂存间应做好防渗、漏措施，除地面基础防渗外，废机油储存容器下还应设置防漏托盘，防止物料泄漏。</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应急措施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0"/>
                <w:sz w:val="24"/>
                <w:szCs w:val="24"/>
                <w:lang w:val="en-US" w:eastAsia="zh-CN" w:bidi="ar"/>
              </w:rPr>
              <w:t>一旦发生泄漏事故，首要的应急问题是减少泄漏，及时修补渗漏处；危险废物如果发生严重泄漏事故，主要方法是使泄漏点局限在某一区域，然后再回收处理等</w:t>
            </w:r>
            <w:r>
              <w:rPr>
                <w:rFonts w:hint="eastAsia"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eastAsia" w:ascii="Times New Roman" w:hAnsi="Times New Roman" w:eastAsia="宋体" w:cs="Times New Roman"/>
                <w:b/>
                <w:bCs/>
                <w:sz w:val="24"/>
                <w:lang w:eastAsia="zh-CN"/>
              </w:rPr>
              <w:t>（</w:t>
            </w:r>
            <w:r>
              <w:rPr>
                <w:rFonts w:hint="eastAsia" w:ascii="Times New Roman" w:hAnsi="Times New Roman" w:eastAsia="宋体" w:cs="Times New Roman"/>
                <w:b/>
                <w:bCs/>
                <w:sz w:val="24"/>
                <w:lang w:val="en-US" w:eastAsia="zh-CN"/>
              </w:rPr>
              <w:t>7</w:t>
            </w:r>
            <w:r>
              <w:rPr>
                <w:rFonts w:hint="eastAsia" w:ascii="Times New Roman" w:hAnsi="Times New Roman" w:eastAsia="宋体" w:cs="Times New Roman"/>
                <w:b/>
                <w:bCs/>
                <w:sz w:val="24"/>
                <w:lang w:eastAsia="zh-CN"/>
              </w:rPr>
              <w:t>）</w:t>
            </w:r>
            <w:r>
              <w:rPr>
                <w:rFonts w:hint="default" w:ascii="Times New Roman" w:hAnsi="Times New Roman" w:eastAsia="宋体" w:cs="Times New Roman"/>
                <w:b/>
                <w:bCs/>
                <w:sz w:val="24"/>
              </w:rPr>
              <w:t>人员紧急撤离、疏散组织计划</w:t>
            </w:r>
          </w:p>
          <w:p>
            <w:pPr>
              <w:adjustRightInd w:val="0"/>
              <w:snapToGrid w:val="0"/>
              <w:spacing w:line="360" w:lineRule="auto"/>
              <w:ind w:firstLine="480" w:firstLineChars="200"/>
              <w:rPr>
                <w:sz w:val="24"/>
                <w:szCs w:val="21"/>
              </w:rPr>
            </w:pPr>
            <w:r>
              <w:rPr>
                <w:rFonts w:hint="eastAsia"/>
                <w:sz w:val="24"/>
                <w:szCs w:val="21"/>
              </w:rPr>
              <w:t>厂内</w:t>
            </w:r>
            <w:r>
              <w:rPr>
                <w:sz w:val="24"/>
                <w:szCs w:val="21"/>
              </w:rPr>
              <w:t>需要编制周围企业和人员分布图，指定具体联络人，并记录联络人的电话，当发生比较大的事故时，要在第一时间通知可能受影响的企业及人员，组织大家撤离。撤离过程中要请求环保、公安、民政等部门协助，妥善安排撤离人员的生活。撤离后要对影响区进行联系监测，当环境恢复到功能区划的要求，并经过环保、卫生等部门的同意，事故得到有效控制的前提下，可以安排撤离人员返回。</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w:t>
            </w:r>
            <w:r>
              <w:rPr>
                <w:rFonts w:hint="eastAsia" w:ascii="Times New Roman" w:hAnsi="Times New Roman" w:eastAsia="宋体" w:cs="Times New Roman"/>
                <w:b/>
                <w:bCs/>
                <w:sz w:val="24"/>
                <w:lang w:val="en-US" w:eastAsia="zh-CN"/>
              </w:rPr>
              <w:t>8</w:t>
            </w:r>
            <w:r>
              <w:rPr>
                <w:rFonts w:hint="default" w:ascii="Times New Roman" w:hAnsi="Times New Roman" w:eastAsia="宋体" w:cs="Times New Roman"/>
                <w:b/>
                <w:bCs/>
                <w:sz w:val="24"/>
              </w:rPr>
              <w:t>）制定应急预案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sz w:val="24"/>
              </w:rPr>
              <w:t>发生重大意外事故后，要及时向上级主管部门汇报，由政府及其有关部门、工会和企业按照行政法规进行调查和处理。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可行的系统恢复和善后处理，可以拯救生命、保护财产、保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环境风险应急预案包括的主要内容见下表。</w:t>
            </w:r>
          </w:p>
          <w:p>
            <w:pPr>
              <w:keepNext w:val="0"/>
              <w:keepLines w:val="0"/>
              <w:pageBreakBefore w:val="0"/>
              <w:widowControl w:val="0"/>
              <w:kinsoku/>
              <w:wordWrap w:val="0"/>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4"/>
              </w:rPr>
            </w:pPr>
            <w:r>
              <w:rPr>
                <w:rFonts w:hint="default" w:ascii="Times New Roman" w:hAnsi="Times New Roman" w:eastAsia="宋体" w:cs="Times New Roman"/>
                <w:b/>
                <w:bCs w:val="0"/>
                <w:sz w:val="24"/>
              </w:rPr>
              <w:t>表</w:t>
            </w:r>
            <w:r>
              <w:rPr>
                <w:rFonts w:hint="eastAsia" w:ascii="Times New Roman" w:hAnsi="Times New Roman" w:cs="Times New Roman"/>
                <w:b/>
                <w:bCs w:val="0"/>
                <w:sz w:val="24"/>
                <w:lang w:val="en-US" w:eastAsia="zh-CN"/>
              </w:rPr>
              <w:t>4-2</w:t>
            </w:r>
            <w:r>
              <w:rPr>
                <w:rFonts w:hint="eastAsia" w:cs="Times New Roman"/>
                <w:b/>
                <w:bCs w:val="0"/>
                <w:sz w:val="24"/>
                <w:lang w:val="en-US" w:eastAsia="zh-CN"/>
              </w:rPr>
              <w:t>6</w:t>
            </w:r>
            <w:r>
              <w:rPr>
                <w:rFonts w:hint="default" w:ascii="Times New Roman" w:hAnsi="Times New Roman" w:eastAsia="宋体" w:cs="Times New Roman"/>
                <w:b/>
                <w:bCs w:val="0"/>
                <w:sz w:val="24"/>
              </w:rPr>
              <w:t xml:space="preserve"> 风险事故应急预案内容</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271"/>
              <w:gridCol w:w="635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序号</w:t>
                  </w:r>
                </w:p>
              </w:tc>
              <w:tc>
                <w:tcPr>
                  <w:tcW w:w="1206" w:type="pct"/>
                  <w:tcBorders>
                    <w:tl2br w:val="nil"/>
                    <w:tr2bl w:val="nil"/>
                  </w:tcBorders>
                  <w:noWrap w:val="0"/>
                  <w:vAlign w:val="center"/>
                </w:tcPr>
                <w:p>
                  <w:pPr>
                    <w:jc w:val="center"/>
                  </w:pPr>
                  <w:r>
                    <w:t>项目</w:t>
                  </w:r>
                </w:p>
              </w:tc>
              <w:tc>
                <w:tcPr>
                  <w:tcW w:w="3374" w:type="pct"/>
                  <w:tcBorders>
                    <w:tl2br w:val="nil"/>
                    <w:tr2bl w:val="nil"/>
                  </w:tcBorders>
                  <w:noWrap w:val="0"/>
                  <w:vAlign w:val="center"/>
                </w:tcPr>
                <w:p>
                  <w:pPr>
                    <w:jc w:val="center"/>
                  </w:pPr>
                  <w:r>
                    <w:t>内容及要求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w:t>
                  </w:r>
                </w:p>
              </w:tc>
              <w:tc>
                <w:tcPr>
                  <w:tcW w:w="1206" w:type="pct"/>
                  <w:tcBorders>
                    <w:tl2br w:val="nil"/>
                    <w:tr2bl w:val="nil"/>
                  </w:tcBorders>
                  <w:noWrap w:val="0"/>
                  <w:vAlign w:val="center"/>
                </w:tcPr>
                <w:p>
                  <w:pPr>
                    <w:jc w:val="center"/>
                  </w:pPr>
                  <w:r>
                    <w:t>总则</w:t>
                  </w:r>
                </w:p>
              </w:tc>
              <w:tc>
                <w:tcPr>
                  <w:tcW w:w="3374" w:type="pct"/>
                  <w:tcBorders>
                    <w:tl2br w:val="nil"/>
                    <w:tr2bl w:val="nil"/>
                  </w:tcBorders>
                  <w:noWrap w:val="0"/>
                  <w:vAlign w:val="center"/>
                </w:tcPr>
                <w:p>
                  <w:pPr>
                    <w:jc w:val="center"/>
                  </w:pPr>
                  <w:r>
                    <w:t>明确项目运行期间可能产生的突发事故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2</w:t>
                  </w:r>
                </w:p>
              </w:tc>
              <w:tc>
                <w:tcPr>
                  <w:tcW w:w="1206" w:type="pct"/>
                  <w:tcBorders>
                    <w:tl2br w:val="nil"/>
                    <w:tr2bl w:val="nil"/>
                  </w:tcBorders>
                  <w:noWrap w:val="0"/>
                  <w:vAlign w:val="center"/>
                </w:tcPr>
                <w:p>
                  <w:pPr>
                    <w:jc w:val="center"/>
                  </w:pPr>
                  <w:r>
                    <w:t>危险源概况</w:t>
                  </w:r>
                </w:p>
              </w:tc>
              <w:tc>
                <w:tcPr>
                  <w:tcW w:w="3374" w:type="pct"/>
                  <w:tcBorders>
                    <w:tl2br w:val="nil"/>
                    <w:tr2bl w:val="nil"/>
                  </w:tcBorders>
                  <w:noWrap w:val="0"/>
                  <w:vAlign w:val="center"/>
                </w:tcPr>
                <w:p>
                  <w:pPr>
                    <w:jc w:val="center"/>
                  </w:pPr>
                  <w:r>
                    <w:t>详述危险源类型、数量及其分布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3</w:t>
                  </w:r>
                </w:p>
              </w:tc>
              <w:tc>
                <w:tcPr>
                  <w:tcW w:w="1206" w:type="pct"/>
                  <w:tcBorders>
                    <w:tl2br w:val="nil"/>
                    <w:tr2bl w:val="nil"/>
                  </w:tcBorders>
                  <w:noWrap w:val="0"/>
                  <w:vAlign w:val="center"/>
                </w:tcPr>
                <w:p>
                  <w:pPr>
                    <w:jc w:val="center"/>
                  </w:pPr>
                  <w:r>
                    <w:t>应急组织</w:t>
                  </w:r>
                </w:p>
              </w:tc>
              <w:tc>
                <w:tcPr>
                  <w:tcW w:w="3374" w:type="pct"/>
                  <w:tcBorders>
                    <w:tl2br w:val="nil"/>
                    <w:tr2bl w:val="nil"/>
                  </w:tcBorders>
                  <w:noWrap w:val="0"/>
                  <w:vAlign w:val="center"/>
                </w:tcPr>
                <w:p>
                  <w:pPr>
                    <w:jc w:val="center"/>
                  </w:pPr>
                  <w:r>
                    <w:rPr>
                      <w:rFonts w:hint="eastAsia"/>
                      <w:lang w:eastAsia="zh-CN"/>
                    </w:rPr>
                    <w:t>建设单位</w:t>
                  </w:r>
                  <w:r>
                    <w:t>：指挥部-负责现场全面指挥；</w:t>
                  </w:r>
                </w:p>
                <w:p>
                  <w:pPr>
                    <w:jc w:val="center"/>
                  </w:pPr>
                  <w:r>
                    <w:t>专业救援队伍-负责事故控制、救援、善后处理；</w:t>
                  </w:r>
                </w:p>
                <w:p>
                  <w:pPr>
                    <w:jc w:val="center"/>
                  </w:pPr>
                  <w:r>
                    <w:t>地区：地区指挥部-负责采油区各个危险源附近地区全面挥、救援、管制、疏散；</w:t>
                  </w:r>
                </w:p>
                <w:p>
                  <w:pPr>
                    <w:jc w:val="center"/>
                  </w:pPr>
                  <w:r>
                    <w:t>专业救援队伍-负责对</w:t>
                  </w:r>
                  <w:r>
                    <w:rPr>
                      <w:rFonts w:hint="eastAsia"/>
                      <w:lang w:eastAsia="zh-CN"/>
                    </w:rPr>
                    <w:t>区域内</w:t>
                  </w:r>
                  <w:r>
                    <w:t>专业救援队伍的支援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4</w:t>
                  </w:r>
                </w:p>
              </w:tc>
              <w:tc>
                <w:tcPr>
                  <w:tcW w:w="1206" w:type="pct"/>
                  <w:tcBorders>
                    <w:tl2br w:val="nil"/>
                    <w:tr2bl w:val="nil"/>
                  </w:tcBorders>
                  <w:noWrap w:val="0"/>
                  <w:vAlign w:val="center"/>
                </w:tcPr>
                <w:p>
                  <w:pPr>
                    <w:jc w:val="center"/>
                  </w:pPr>
                  <w:r>
                    <w:t>应急状态分类及响应程序</w:t>
                  </w:r>
                </w:p>
              </w:tc>
              <w:tc>
                <w:tcPr>
                  <w:tcW w:w="3374" w:type="pct"/>
                  <w:tcBorders>
                    <w:tl2br w:val="nil"/>
                    <w:tr2bl w:val="nil"/>
                  </w:tcBorders>
                  <w:noWrap w:val="0"/>
                  <w:vAlign w:val="center"/>
                </w:tcPr>
                <w:p>
                  <w:pPr>
                    <w:jc w:val="center"/>
                  </w:pPr>
                  <w:r>
                    <w:t>规定事故的级别及相应的应急分类响应程序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1421" w:hRule="atLeast"/>
                <w:jc w:val="center"/>
              </w:trPr>
              <w:tc>
                <w:tcPr>
                  <w:tcW w:w="418" w:type="pct"/>
                  <w:tcBorders>
                    <w:tl2br w:val="nil"/>
                    <w:tr2bl w:val="nil"/>
                  </w:tcBorders>
                  <w:noWrap w:val="0"/>
                  <w:vAlign w:val="center"/>
                </w:tcPr>
                <w:p>
                  <w:pPr>
                    <w:jc w:val="center"/>
                  </w:pPr>
                  <w:r>
                    <w:t>5</w:t>
                  </w:r>
                </w:p>
              </w:tc>
              <w:tc>
                <w:tcPr>
                  <w:tcW w:w="1206" w:type="pct"/>
                  <w:tcBorders>
                    <w:tl2br w:val="nil"/>
                    <w:tr2bl w:val="nil"/>
                  </w:tcBorders>
                  <w:noWrap w:val="0"/>
                  <w:vAlign w:val="center"/>
                </w:tcPr>
                <w:p>
                  <w:pPr>
                    <w:jc w:val="center"/>
                  </w:pPr>
                  <w:r>
                    <w:t>应急设施，设备与材料</w:t>
                  </w:r>
                </w:p>
              </w:tc>
              <w:tc>
                <w:tcPr>
                  <w:tcW w:w="3374" w:type="pct"/>
                  <w:tcBorders>
                    <w:tl2br w:val="nil"/>
                    <w:tr2bl w:val="nil"/>
                  </w:tcBorders>
                  <w:noWrap w:val="0"/>
                  <w:vAlign w:val="center"/>
                </w:tcPr>
                <w:p>
                  <w:pPr>
                    <w:jc w:val="center"/>
                  </w:pPr>
                  <w:r>
                    <w:t>生产装置：防火灾、爆炸事故应急设施、设备与材料，主要为消防器材。防有毒有害物质外溢、扩散。</w:t>
                  </w:r>
                </w:p>
                <w:p>
                  <w:pPr>
                    <w:jc w:val="center"/>
                  </w:pPr>
                  <w:r>
                    <w:t>储存区：防火灾爆炸事故应急设施、设备与材料，主要为消防器材。防有毒有害物质外溢、扩散。按照要求设置相</w:t>
                  </w:r>
                </w:p>
                <w:p>
                  <w:pPr>
                    <w:jc w:val="center"/>
                  </w:pPr>
                  <w:r>
                    <w:t>应的</w:t>
                  </w:r>
                  <w:r>
                    <w:rPr>
                      <w:rFonts w:hint="eastAsia"/>
                      <w:lang w:eastAsia="zh-CN"/>
                    </w:rPr>
                    <w:t>防护</w:t>
                  </w:r>
                  <w:r>
                    <w:t>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6</w:t>
                  </w:r>
                </w:p>
              </w:tc>
              <w:tc>
                <w:tcPr>
                  <w:tcW w:w="1206" w:type="pct"/>
                  <w:tcBorders>
                    <w:tl2br w:val="nil"/>
                    <w:tr2bl w:val="nil"/>
                  </w:tcBorders>
                  <w:noWrap w:val="0"/>
                  <w:vAlign w:val="center"/>
                </w:tcPr>
                <w:p>
                  <w:pPr>
                    <w:jc w:val="center"/>
                  </w:pPr>
                  <w:r>
                    <w:t>应急通讯、通知和交通</w:t>
                  </w:r>
                </w:p>
              </w:tc>
              <w:tc>
                <w:tcPr>
                  <w:tcW w:w="3374" w:type="pct"/>
                  <w:tcBorders>
                    <w:tl2br w:val="nil"/>
                    <w:tr2bl w:val="nil"/>
                  </w:tcBorders>
                  <w:noWrap w:val="0"/>
                  <w:vAlign w:val="center"/>
                </w:tcPr>
                <w:p>
                  <w:pPr>
                    <w:jc w:val="center"/>
                  </w:pPr>
                  <w:r>
                    <w:t>规定应急状态下的通讯方式、通知方式和交通保障、管制</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7</w:t>
                  </w:r>
                </w:p>
              </w:tc>
              <w:tc>
                <w:tcPr>
                  <w:tcW w:w="1206" w:type="pct"/>
                  <w:tcBorders>
                    <w:tl2br w:val="nil"/>
                    <w:tr2bl w:val="nil"/>
                  </w:tcBorders>
                  <w:noWrap w:val="0"/>
                  <w:vAlign w:val="center"/>
                </w:tcPr>
                <w:p>
                  <w:pPr>
                    <w:jc w:val="center"/>
                  </w:pPr>
                  <w:r>
                    <w:t>应急防护措施、消除泄漏措施方法和器材</w:t>
                  </w:r>
                </w:p>
              </w:tc>
              <w:tc>
                <w:tcPr>
                  <w:tcW w:w="3374" w:type="pct"/>
                  <w:tcBorders>
                    <w:tl2br w:val="nil"/>
                    <w:tr2bl w:val="nil"/>
                  </w:tcBorders>
                  <w:noWrap w:val="0"/>
                  <w:vAlign w:val="center"/>
                </w:tcPr>
                <w:p>
                  <w:pPr>
                    <w:jc w:val="center"/>
                  </w:pPr>
                  <w:r>
                    <w:t>事故现场：控制事故、防止扩大、</w:t>
                  </w:r>
                  <w:r>
                    <w:rPr>
                      <w:rFonts w:hint="eastAsia"/>
                      <w:lang w:eastAsia="zh-CN"/>
                    </w:rPr>
                    <w:t>蔓延</w:t>
                  </w:r>
                  <w:r>
                    <w:t>及</w:t>
                  </w:r>
                  <w:r>
                    <w:rPr>
                      <w:rFonts w:hint="eastAsia"/>
                      <w:lang w:eastAsia="zh-CN"/>
                    </w:rPr>
                    <w:t>连锁反应</w:t>
                  </w:r>
                  <w:r>
                    <w:t>。消除现场泄漏物，降低危害，相应的设施器材配备。</w:t>
                  </w:r>
                </w:p>
                <w:p>
                  <w:pPr>
                    <w:jc w:val="center"/>
                    <w:rPr>
                      <w:rFonts w:hint="eastAsia"/>
                    </w:rPr>
                  </w:pPr>
                  <w:r>
                    <w:t>邻近区域：控制火区域，控制和清除污染措施及相应设备配备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8</w:t>
                  </w:r>
                </w:p>
              </w:tc>
              <w:tc>
                <w:tcPr>
                  <w:tcW w:w="1206" w:type="pct"/>
                  <w:tcBorders>
                    <w:tl2br w:val="nil"/>
                    <w:tr2bl w:val="nil"/>
                  </w:tcBorders>
                  <w:noWrap w:val="0"/>
                  <w:vAlign w:val="center"/>
                </w:tcPr>
                <w:p>
                  <w:pPr>
                    <w:jc w:val="center"/>
                  </w:pPr>
                  <w:r>
                    <w:t>应急状态终止与恢复措施</w:t>
                  </w:r>
                </w:p>
              </w:tc>
              <w:tc>
                <w:tcPr>
                  <w:tcW w:w="3374" w:type="pct"/>
                  <w:tcBorders>
                    <w:tl2br w:val="nil"/>
                    <w:tr2bl w:val="nil"/>
                  </w:tcBorders>
                  <w:noWrap w:val="0"/>
                  <w:vAlign w:val="center"/>
                </w:tcPr>
                <w:p>
                  <w:pPr>
                    <w:jc w:val="center"/>
                  </w:pPr>
                  <w:r>
                    <w:t>规定应急状态终止程序。事故现场善后处理，恢复措施。</w:t>
                  </w:r>
                </w:p>
                <w:p>
                  <w:pPr>
                    <w:jc w:val="center"/>
                  </w:pPr>
                  <w:r>
                    <w:t>邻近区域解除事故警戒及善后恢复措施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9</w:t>
                  </w:r>
                </w:p>
              </w:tc>
              <w:tc>
                <w:tcPr>
                  <w:tcW w:w="1206" w:type="pct"/>
                  <w:tcBorders>
                    <w:tl2br w:val="nil"/>
                    <w:tr2bl w:val="nil"/>
                  </w:tcBorders>
                  <w:noWrap w:val="0"/>
                  <w:vAlign w:val="center"/>
                </w:tcPr>
                <w:p>
                  <w:pPr>
                    <w:jc w:val="center"/>
                  </w:pPr>
                  <w:r>
                    <w:t>人员培训、演练</w:t>
                  </w:r>
                </w:p>
              </w:tc>
              <w:tc>
                <w:tcPr>
                  <w:tcW w:w="3374" w:type="pct"/>
                  <w:tcBorders>
                    <w:tl2br w:val="nil"/>
                    <w:tr2bl w:val="nil"/>
                  </w:tcBorders>
                  <w:noWrap w:val="0"/>
                  <w:vAlign w:val="center"/>
                </w:tcPr>
                <w:p>
                  <w:pPr>
                    <w:jc w:val="center"/>
                  </w:pPr>
                  <w:r>
                    <w:t>应急计划制定后，平时安排人员培训与演练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10</w:t>
                  </w:r>
                </w:p>
              </w:tc>
              <w:tc>
                <w:tcPr>
                  <w:tcW w:w="1206" w:type="pct"/>
                  <w:tcBorders>
                    <w:tl2br w:val="nil"/>
                    <w:tr2bl w:val="nil"/>
                  </w:tcBorders>
                  <w:noWrap w:val="0"/>
                  <w:vAlign w:val="center"/>
                </w:tcPr>
                <w:p>
                  <w:pPr>
                    <w:jc w:val="center"/>
                  </w:pPr>
                  <w:r>
                    <w:t>记录和报告</w:t>
                  </w:r>
                </w:p>
              </w:tc>
              <w:tc>
                <w:tcPr>
                  <w:tcW w:w="3374" w:type="pct"/>
                  <w:tcBorders>
                    <w:tl2br w:val="nil"/>
                    <w:tr2bl w:val="nil"/>
                  </w:tcBorders>
                  <w:noWrap w:val="0"/>
                  <w:vAlign w:val="center"/>
                </w:tcPr>
                <w:p>
                  <w:pPr>
                    <w:jc w:val="center"/>
                  </w:pPr>
                  <w:r>
                    <w:t>设置应急事故专门记录，建档案和专门报告制度，设专门部门和负责管理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8" w:type="pct"/>
                  <w:tcBorders>
                    <w:tl2br w:val="nil"/>
                    <w:tr2bl w:val="nil"/>
                  </w:tcBorders>
                  <w:noWrap w:val="0"/>
                  <w:vAlign w:val="center"/>
                </w:tcPr>
                <w:p>
                  <w:pPr>
                    <w:jc w:val="center"/>
                  </w:pPr>
                  <w:r>
                    <w:t>11</w:t>
                  </w:r>
                </w:p>
              </w:tc>
              <w:tc>
                <w:tcPr>
                  <w:tcW w:w="1206" w:type="pct"/>
                  <w:tcBorders>
                    <w:tl2br w:val="nil"/>
                    <w:tr2bl w:val="nil"/>
                  </w:tcBorders>
                  <w:noWrap w:val="0"/>
                  <w:vAlign w:val="center"/>
                </w:tcPr>
                <w:p>
                  <w:pPr>
                    <w:jc w:val="center"/>
                  </w:pPr>
                  <w:r>
                    <w:t>附件</w:t>
                  </w:r>
                </w:p>
              </w:tc>
              <w:tc>
                <w:tcPr>
                  <w:tcW w:w="3374" w:type="pct"/>
                  <w:tcBorders>
                    <w:tl2br w:val="nil"/>
                    <w:tr2bl w:val="nil"/>
                  </w:tcBorders>
                  <w:noWrap w:val="0"/>
                  <w:vAlign w:val="center"/>
                </w:tcPr>
                <w:p>
                  <w:pPr>
                    <w:jc w:val="center"/>
                  </w:pPr>
                  <w:r>
                    <w:t>与应急事故有关的多种附件材料的准备和形成</w:t>
                  </w:r>
                </w:p>
              </w:tc>
            </w:tr>
          </w:tbl>
          <w:p>
            <w:pPr>
              <w:pStyle w:val="3"/>
              <w:rPr>
                <w:rFonts w:hint="default" w:ascii="Times New Roman" w:hAnsi="Times New Roman" w:cs="Times New Roman"/>
                <w:lang w:val="en-US" w:eastAsia="zh-CN"/>
              </w:rPr>
            </w:pPr>
            <w:r>
              <w:rPr>
                <w:rFonts w:hint="default" w:ascii="Times New Roman" w:hAnsi="Times New Roman" w:cs="Times New Roman"/>
                <w:lang w:val="en-US" w:eastAsia="zh-CN"/>
              </w:rPr>
              <w:t>综上所述，本项目不含有毒有害及危险生产工艺，风险物质较少，主要环境风险为火灾风险及泄漏风险，营运期落实本报告提出的各项措施、建立和落实各项风险预警防范措施和事故应急计划，杜绝重大安全事故和重大环境污染事故的发生，可使项目建成后风险水平处于可接受程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sz w:val="24"/>
                <w:u w:val="single"/>
                <w:lang w:val="en-US" w:eastAsia="zh-CN"/>
              </w:rPr>
            </w:pPr>
            <w:r>
              <w:rPr>
                <w:rFonts w:hint="default" w:ascii="Times New Roman" w:hAnsi="Times New Roman" w:cs="Times New Roman"/>
                <w:b/>
                <w:sz w:val="24"/>
                <w:u w:val="single"/>
                <w:lang w:val="en-US" w:eastAsia="zh-CN"/>
              </w:rPr>
              <w:t>7</w:t>
            </w:r>
            <w:r>
              <w:rPr>
                <w:rFonts w:hint="default" w:ascii="Times New Roman" w:hAnsi="Times New Roman" w:eastAsia="宋体" w:cs="Times New Roman"/>
                <w:b/>
                <w:sz w:val="24"/>
                <w:u w:val="single"/>
                <w:lang w:val="en-US" w:eastAsia="zh-CN"/>
              </w:rPr>
              <w:t>、环保投资及竣工验收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本项目总投资</w:t>
            </w:r>
            <w:r>
              <w:rPr>
                <w:rFonts w:hint="default" w:ascii="Times New Roman" w:hAnsi="Times New Roman" w:cs="Times New Roman"/>
                <w:color w:val="auto"/>
                <w:sz w:val="24"/>
                <w:szCs w:val="24"/>
                <w:lang w:val="en-US" w:eastAsia="zh-CN"/>
              </w:rPr>
              <w:t>2000</w:t>
            </w:r>
            <w:r>
              <w:rPr>
                <w:rFonts w:hint="default" w:ascii="Times New Roman" w:hAnsi="Times New Roman" w:eastAsia="宋体" w:cs="Times New Roman"/>
                <w:color w:val="auto"/>
                <w:sz w:val="24"/>
                <w:szCs w:val="24"/>
                <w:lang w:val="en-US" w:eastAsia="zh-CN"/>
              </w:rPr>
              <w:t>万元，其中环保投资</w:t>
            </w:r>
            <w:r>
              <w:rPr>
                <w:rFonts w:hint="default" w:ascii="Times New Roman" w:hAnsi="Times New Roman" w:cs="Times New Roman"/>
                <w:color w:val="auto"/>
                <w:sz w:val="24"/>
                <w:szCs w:val="24"/>
                <w:lang w:val="en-US" w:eastAsia="zh-CN"/>
              </w:rPr>
              <w:t>82</w:t>
            </w:r>
            <w:r>
              <w:rPr>
                <w:rFonts w:hint="default" w:ascii="Times New Roman" w:hAnsi="Times New Roman" w:eastAsia="宋体" w:cs="Times New Roman"/>
                <w:color w:val="auto"/>
                <w:sz w:val="24"/>
                <w:szCs w:val="24"/>
                <w:lang w:val="en-US" w:eastAsia="zh-CN"/>
              </w:rPr>
              <w:t>万元，约占总投资的</w:t>
            </w:r>
            <w:r>
              <w:rPr>
                <w:rFonts w:hint="default" w:ascii="Times New Roman" w:hAnsi="Times New Roman" w:cs="Times New Roman"/>
                <w:color w:val="auto"/>
                <w:sz w:val="24"/>
                <w:szCs w:val="24"/>
                <w:lang w:val="en-US" w:eastAsia="zh-CN"/>
              </w:rPr>
              <w:t>4.1</w:t>
            </w:r>
            <w:r>
              <w:rPr>
                <w:rFonts w:hint="default" w:ascii="Times New Roman" w:hAnsi="Times New Roman" w:eastAsia="宋体" w:cs="Times New Roman"/>
                <w:color w:val="auto"/>
                <w:sz w:val="24"/>
                <w:szCs w:val="24"/>
                <w:lang w:val="en-US" w:eastAsia="zh-CN"/>
              </w:rPr>
              <w:t>%，环保投资</w:t>
            </w:r>
            <w:r>
              <w:rPr>
                <w:rFonts w:hint="default" w:ascii="Times New Roman" w:hAnsi="Times New Roman" w:cs="Times New Roman"/>
                <w:color w:val="auto"/>
                <w:sz w:val="24"/>
                <w:szCs w:val="24"/>
                <w:lang w:val="en-US" w:eastAsia="zh-CN"/>
              </w:rPr>
              <w:t>一览表</w:t>
            </w:r>
            <w:r>
              <w:rPr>
                <w:rFonts w:hint="default" w:ascii="Times New Roman" w:hAnsi="Times New Roman" w:eastAsia="宋体" w:cs="Times New Roman"/>
                <w:color w:val="auto"/>
                <w:sz w:val="24"/>
                <w:szCs w:val="24"/>
                <w:lang w:val="en-US" w:eastAsia="zh-CN"/>
              </w:rPr>
              <w:t>见下表：</w:t>
            </w: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right"/>
              <w:textAlignment w:val="auto"/>
              <w:rPr>
                <w:rFonts w:hint="default" w:ascii="Times New Roman" w:hAnsi="Times New Roman" w:eastAsia="宋体" w:cs="Times New Roman"/>
                <w:b/>
                <w:bCs/>
                <w:color w:val="auto"/>
                <w:lang w:val="en-US" w:eastAsia="zh-CN"/>
              </w:rPr>
            </w:pPr>
          </w:p>
          <w:p>
            <w:pPr>
              <w:pStyle w:val="44"/>
              <w:keepNext w:val="0"/>
              <w:keepLines w:val="0"/>
              <w:pageBreakBefore w:val="0"/>
              <w:widowControl w:val="0"/>
              <w:kinsoku/>
              <w:wordWrap/>
              <w:overflowPunct/>
              <w:topLinePunct w:val="0"/>
              <w:autoSpaceDE w:val="0"/>
              <w:autoSpaceDN w:val="0"/>
              <w:bidi w:val="0"/>
              <w:adjustRightInd w:val="0"/>
              <w:snapToGrid/>
              <w:spacing w:before="0" w:after="0" w:line="240" w:lineRule="auto"/>
              <w:jc w:val="righ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w:t>
            </w:r>
            <w:r>
              <w:rPr>
                <w:rFonts w:hint="default" w:ascii="Times New Roman" w:hAnsi="Times New Roman" w:cs="Times New Roman"/>
                <w:b/>
                <w:bCs/>
                <w:color w:val="auto"/>
                <w:lang w:val="en-US" w:eastAsia="zh-CN"/>
              </w:rPr>
              <w:t>4-2</w:t>
            </w:r>
            <w:r>
              <w:rPr>
                <w:rFonts w:hint="eastAsia" w:ascii="Times New Roman" w:cs="Times New Roman"/>
                <w:b/>
                <w:bCs/>
                <w:color w:val="auto"/>
                <w:lang w:val="en-US" w:eastAsia="zh-CN"/>
              </w:rPr>
              <w:t>7</w:t>
            </w:r>
            <w:r>
              <w:rPr>
                <w:rFonts w:hint="default" w:ascii="Times New Roman" w:hAnsi="Times New Roman" w:eastAsia="宋体" w:cs="Times New Roman"/>
                <w:b/>
                <w:bCs/>
                <w:color w:val="auto"/>
                <w:lang w:val="en-US" w:eastAsia="zh-CN"/>
              </w:rPr>
              <w:t>运营期环保投资及竣工验收一览表</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单位：万元</w:t>
            </w:r>
          </w:p>
          <w:tbl>
            <w:tblPr>
              <w:tblStyle w:val="24"/>
              <w:tblW w:w="4951"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23"/>
              <w:gridCol w:w="429"/>
              <w:gridCol w:w="1841"/>
              <w:gridCol w:w="1014"/>
              <w:gridCol w:w="4043"/>
              <w:gridCol w:w="113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68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项目</w:t>
                  </w: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污染源</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污染因子</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污染处理措施</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估算投资额（万元）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营运期</w:t>
                  </w:r>
                </w:p>
              </w:tc>
              <w:tc>
                <w:tcPr>
                  <w:tcW w:w="22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废气处理</w:t>
                  </w:r>
                </w:p>
              </w:tc>
              <w:tc>
                <w:tcPr>
                  <w:tcW w:w="2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有组织废气</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熔融挤出废气</w:t>
                  </w:r>
                  <w:r>
                    <w:rPr>
                      <w:rFonts w:hint="default" w:ascii="Times New Roman" w:hAnsi="Times New Roman" w:cs="Times New Roman"/>
                    </w:rPr>
                    <w:t>（</w:t>
                  </w:r>
                  <w:r>
                    <w:rPr>
                      <w:rFonts w:hint="default" w:ascii="Times New Roman" w:hAnsi="Times New Roman" w:cs="Times New Roman"/>
                      <w:lang w:val="en-US" w:eastAsia="zh-CN"/>
                    </w:rPr>
                    <w:t>2条废编织袋再利用</w:t>
                  </w:r>
                  <w:r>
                    <w:rPr>
                      <w:rFonts w:hint="default" w:ascii="Times New Roman" w:hAnsi="Times New Roman" w:cs="Times New Roman"/>
                    </w:rPr>
                    <w:t>生产线）</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非甲烷总烃</w:t>
                  </w:r>
                  <w:r>
                    <w:rPr>
                      <w:rFonts w:hint="eastAsia" w:cs="Times New Roman"/>
                      <w:lang w:val="en-US" w:eastAsia="zh-CN"/>
                    </w:rPr>
                    <w:t>、颗粒物</w:t>
                  </w:r>
                </w:p>
              </w:tc>
              <w:tc>
                <w:tcPr>
                  <w:tcW w:w="2171" w:type="pct"/>
                  <w:tcBorders>
                    <w:tl2br w:val="nil"/>
                    <w:tr2bl w:val="nil"/>
                  </w:tcBorders>
                  <w:noWrap w:val="0"/>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本项目针对熔融挤出设备的排气口、连接处和挤出机的出口处安装</w:t>
                  </w:r>
                  <w:r>
                    <w:rPr>
                      <w:rFonts w:hint="eastAsia" w:cs="Times New Roman"/>
                      <w:kern w:val="2"/>
                      <w:sz w:val="21"/>
                      <w:szCs w:val="24"/>
                      <w:lang w:val="en-US" w:eastAsia="zh-CN" w:bidi="ar-SA"/>
                    </w:rPr>
                    <w:t>全</w:t>
                  </w:r>
                  <w:r>
                    <w:rPr>
                      <w:rFonts w:hint="default" w:ascii="Times New Roman" w:hAnsi="Times New Roman" w:eastAsia="宋体" w:cs="Times New Roman"/>
                      <w:kern w:val="2"/>
                      <w:sz w:val="21"/>
                      <w:szCs w:val="24"/>
                      <w:lang w:val="en-US" w:eastAsia="zh-CN" w:bidi="ar-SA"/>
                    </w:rPr>
                    <w:t>密闭集气</w:t>
                  </w:r>
                  <w:r>
                    <w:rPr>
                      <w:rFonts w:hint="eastAsia" w:cs="Times New Roman"/>
                      <w:kern w:val="2"/>
                      <w:sz w:val="21"/>
                      <w:szCs w:val="24"/>
                      <w:lang w:val="en-US" w:eastAsia="zh-CN" w:bidi="ar-SA"/>
                    </w:rPr>
                    <w:t>系统</w:t>
                  </w:r>
                  <w:r>
                    <w:rPr>
                      <w:rFonts w:hint="default" w:ascii="Times New Roman" w:hAnsi="Times New Roman" w:eastAsia="宋体" w:cs="Times New Roman"/>
                      <w:kern w:val="2"/>
                      <w:sz w:val="21"/>
                      <w:szCs w:val="24"/>
                      <w:lang w:val="en-US" w:eastAsia="zh-CN" w:bidi="ar-SA"/>
                    </w:rPr>
                    <w:t>做到负压收集，将有机废气通过管道排入废气处理系统（</w:t>
                  </w:r>
                  <w:r>
                    <w:rPr>
                      <w:rFonts w:hint="eastAsia" w:cs="Times New Roman"/>
                      <w:kern w:val="2"/>
                      <w:sz w:val="21"/>
                      <w:szCs w:val="24"/>
                      <w:lang w:val="en-US" w:eastAsia="zh-CN" w:bidi="ar-SA"/>
                    </w:rPr>
                    <w:t>干式过滤（过滤棉）+</w:t>
                  </w:r>
                  <w:r>
                    <w:rPr>
                      <w:rFonts w:hint="default" w:ascii="Times New Roman" w:hAnsi="Times New Roman" w:eastAsia="宋体" w:cs="Times New Roman"/>
                      <w:kern w:val="2"/>
                      <w:sz w:val="21"/>
                      <w:szCs w:val="24"/>
                      <w:lang w:val="en-US" w:eastAsia="zh-CN" w:bidi="ar-SA"/>
                    </w:rPr>
                    <w:t>活性炭吸附</w:t>
                  </w:r>
                  <w:r>
                    <w:rPr>
                      <w:rFonts w:hint="default" w:ascii="Times New Roman" w:hAnsi="Times New Roman" w:cs="Times New Roman"/>
                      <w:kern w:val="2"/>
                      <w:sz w:val="21"/>
                      <w:szCs w:val="24"/>
                      <w:lang w:val="en-US" w:eastAsia="zh-CN" w:bidi="ar-SA"/>
                    </w:rPr>
                    <w:t>浓缩+催化燃烧（RCO）</w:t>
                  </w:r>
                  <w:r>
                    <w:rPr>
                      <w:rFonts w:hint="default" w:ascii="Times New Roman" w:hAnsi="Times New Roman" w:eastAsia="宋体" w:cs="Times New Roman"/>
                      <w:kern w:val="2"/>
                      <w:sz w:val="21"/>
                      <w:szCs w:val="24"/>
                      <w:lang w:val="en-US" w:eastAsia="zh-CN" w:bidi="ar-SA"/>
                    </w:rPr>
                    <w:t>）处理，最终经</w:t>
                  </w:r>
                  <w:r>
                    <w:rPr>
                      <w:rFonts w:hint="default" w:ascii="Times New Roman" w:hAnsi="Times New Roman" w:cs="Times New Roman"/>
                      <w:kern w:val="2"/>
                      <w:sz w:val="21"/>
                      <w:szCs w:val="24"/>
                      <w:lang w:val="en-US" w:eastAsia="zh-CN" w:bidi="ar-SA"/>
                    </w:rPr>
                    <w:t>20</w:t>
                  </w:r>
                  <w:r>
                    <w:rPr>
                      <w:rFonts w:hint="default" w:ascii="Times New Roman" w:hAnsi="Times New Roman" w:eastAsia="宋体" w:cs="Times New Roman"/>
                      <w:kern w:val="2"/>
                      <w:sz w:val="21"/>
                      <w:szCs w:val="24"/>
                      <w:lang w:val="en-US" w:eastAsia="zh-CN" w:bidi="ar-SA"/>
                    </w:rPr>
                    <w:t>m排气筒P</w:t>
                  </w:r>
                  <w:r>
                    <w:rPr>
                      <w:rFonts w:hint="default" w:ascii="Times New Roman" w:hAnsi="Times New Roman" w:cs="Times New Roman"/>
                      <w:kern w:val="2"/>
                      <w:sz w:val="21"/>
                      <w:szCs w:val="24"/>
                      <w:lang w:val="en-US" w:eastAsia="zh-CN" w:bidi="ar-SA"/>
                    </w:rPr>
                    <w:t>1</w:t>
                  </w:r>
                  <w:r>
                    <w:rPr>
                      <w:rFonts w:hint="default" w:ascii="Times New Roman" w:hAnsi="Times New Roman" w:eastAsia="宋体" w:cs="Times New Roman"/>
                      <w:kern w:val="2"/>
                      <w:sz w:val="21"/>
                      <w:szCs w:val="24"/>
                      <w:lang w:val="en-US" w:eastAsia="zh-CN" w:bidi="ar-SA"/>
                    </w:rPr>
                    <w:t>（DA00</w:t>
                  </w:r>
                  <w:r>
                    <w:rPr>
                      <w:rFonts w:hint="default" w:ascii="Times New Roman" w:hAnsi="Times New Roman" w:cs="Times New Roman"/>
                      <w:kern w:val="2"/>
                      <w:sz w:val="21"/>
                      <w:szCs w:val="24"/>
                      <w:lang w:val="en-US" w:eastAsia="zh-CN" w:bidi="ar-SA"/>
                    </w:rPr>
                    <w:t>1</w:t>
                  </w:r>
                  <w:r>
                    <w:rPr>
                      <w:rFonts w:hint="default" w:ascii="Times New Roman" w:hAnsi="Times New Roman" w:eastAsia="宋体" w:cs="Times New Roman"/>
                      <w:kern w:val="2"/>
                      <w:sz w:val="21"/>
                      <w:szCs w:val="24"/>
                      <w:lang w:val="en-US" w:eastAsia="zh-CN" w:bidi="ar-SA"/>
                    </w:rPr>
                    <w:t>）达标排放。</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20.0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sz w:val="21"/>
                      <w:lang w:val="en-US" w:eastAsia="zh-CN"/>
                    </w:rPr>
                    <w:t>破碎粉尘（2条</w:t>
                  </w:r>
                  <w:r>
                    <w:rPr>
                      <w:rFonts w:hint="default" w:ascii="Times New Roman" w:hAnsi="Times New Roman" w:cs="Times New Roman"/>
                      <w:lang w:val="en-US" w:eastAsia="zh-CN"/>
                    </w:rPr>
                    <w:t>废泡沫再利用</w:t>
                  </w:r>
                  <w:r>
                    <w:rPr>
                      <w:rFonts w:hint="default" w:ascii="Times New Roman" w:hAnsi="Times New Roman" w:cs="Times New Roman"/>
                    </w:rPr>
                    <w:t>生产线</w:t>
                  </w:r>
                  <w:r>
                    <w:rPr>
                      <w:rFonts w:hint="default" w:ascii="Times New Roman" w:hAnsi="Times New Roman" w:cs="Times New Roman"/>
                      <w:color w:val="000000"/>
                      <w:sz w:val="21"/>
                      <w:lang w:val="en-US" w:eastAsia="zh-CN"/>
                    </w:rPr>
                    <w:t>）</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sz w:val="21"/>
                      <w:lang w:val="en-US" w:eastAsia="zh-CN"/>
                    </w:rPr>
                    <w:t>颗粒物</w:t>
                  </w:r>
                </w:p>
              </w:tc>
              <w:tc>
                <w:tcPr>
                  <w:tcW w:w="2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lang w:val="en-US" w:eastAsia="zh-CN"/>
                    </w:rPr>
                    <w:t>本项目针对该工序产尘点配备集气设施进行收集，其中破碎设备进料口采取三面封闭，上方配备集气罩进行负压收集；下料口四面封闭并接入管道进行负压收集；最终将废气引入袋式除尘器处理，通过20m排气筒P2（DA002）高空达标排放。</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kern w:val="2"/>
                      <w:sz w:val="21"/>
                      <w:szCs w:val="24"/>
                      <w:lang w:val="en-US" w:eastAsia="zh-CN" w:bidi="ar-SA"/>
                    </w:rPr>
                    <w:t>6.0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r>
                    <w:rPr>
                      <w:rFonts w:hint="default" w:ascii="Times New Roman" w:hAnsi="Times New Roman" w:cs="Times New Roman"/>
                      <w:lang w:val="en-US" w:eastAsia="zh-CN"/>
                    </w:rPr>
                    <w:t>熔融挤出废气</w:t>
                  </w:r>
                  <w:r>
                    <w:rPr>
                      <w:rFonts w:hint="default" w:ascii="Times New Roman" w:hAnsi="Times New Roman" w:cs="Times New Roman"/>
                      <w:lang w:eastAsia="zh-CN"/>
                    </w:rPr>
                    <w:t>（</w:t>
                  </w:r>
                  <w:r>
                    <w:rPr>
                      <w:rFonts w:hint="default" w:ascii="Times New Roman" w:hAnsi="Times New Roman" w:cs="Times New Roman"/>
                      <w:lang w:val="en-US" w:eastAsia="zh-CN"/>
                    </w:rPr>
                    <w:t>2条废泡沫再利用</w:t>
                  </w:r>
                  <w:r>
                    <w:rPr>
                      <w:rFonts w:hint="default" w:ascii="Times New Roman" w:hAnsi="Times New Roman" w:cs="Times New Roman"/>
                    </w:rPr>
                    <w:t>生产线</w:t>
                  </w:r>
                  <w:r>
                    <w:rPr>
                      <w:rFonts w:hint="default" w:ascii="Times New Roman" w:hAnsi="Times New Roman" w:cs="Times New Roman"/>
                      <w:lang w:eastAsia="zh-CN"/>
                    </w:rPr>
                    <w:t>）</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非甲烷总烃</w:t>
                  </w:r>
                  <w:r>
                    <w:rPr>
                      <w:rFonts w:hint="eastAsia" w:cs="Times New Roman"/>
                      <w:lang w:val="en-US" w:eastAsia="zh-CN"/>
                    </w:rPr>
                    <w:t>、颗粒物、二甲苯</w:t>
                  </w:r>
                </w:p>
              </w:tc>
              <w:tc>
                <w:tcPr>
                  <w:tcW w:w="2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lang w:val="en-US" w:eastAsia="zh-CN"/>
                    </w:rPr>
                    <w:t>本项目针对熔融挤出设备的排气口、连接处和挤出机的出口处安装</w:t>
                  </w:r>
                  <w:r>
                    <w:rPr>
                      <w:rFonts w:hint="eastAsia" w:cs="Times New Roman"/>
                      <w:lang w:val="en-US" w:eastAsia="zh-CN"/>
                    </w:rPr>
                    <w:t>全</w:t>
                  </w:r>
                  <w:r>
                    <w:rPr>
                      <w:rFonts w:hint="default" w:ascii="Times New Roman" w:hAnsi="Times New Roman" w:cs="Times New Roman"/>
                      <w:lang w:val="en-US" w:eastAsia="zh-CN"/>
                    </w:rPr>
                    <w:t>密闭集气</w:t>
                  </w:r>
                  <w:r>
                    <w:rPr>
                      <w:rFonts w:hint="eastAsia" w:cs="Times New Roman"/>
                      <w:lang w:val="en-US" w:eastAsia="zh-CN"/>
                    </w:rPr>
                    <w:t>系统</w:t>
                  </w:r>
                  <w:r>
                    <w:rPr>
                      <w:rFonts w:hint="default" w:ascii="Times New Roman" w:hAnsi="Times New Roman" w:cs="Times New Roman"/>
                      <w:lang w:val="en-US" w:eastAsia="zh-CN"/>
                    </w:rPr>
                    <w:t>做到负压收集，将有机废气通过管道排入废气处理系统（</w:t>
                  </w:r>
                  <w:r>
                    <w:rPr>
                      <w:rFonts w:hint="eastAsia" w:cs="Times New Roman"/>
                      <w:kern w:val="2"/>
                      <w:sz w:val="21"/>
                      <w:szCs w:val="24"/>
                      <w:lang w:val="en-US" w:eastAsia="zh-CN" w:bidi="ar-SA"/>
                    </w:rPr>
                    <w:t>干式过滤（过滤棉）+</w:t>
                  </w:r>
                  <w:r>
                    <w:rPr>
                      <w:rFonts w:hint="default" w:ascii="Times New Roman" w:hAnsi="Times New Roman" w:eastAsia="宋体" w:cs="Times New Roman"/>
                      <w:kern w:val="2"/>
                      <w:sz w:val="21"/>
                      <w:szCs w:val="24"/>
                      <w:lang w:val="en-US" w:eastAsia="zh-CN" w:bidi="ar-SA"/>
                    </w:rPr>
                    <w:t>活性炭吸附</w:t>
                  </w:r>
                  <w:r>
                    <w:rPr>
                      <w:rFonts w:hint="default" w:ascii="Times New Roman" w:hAnsi="Times New Roman" w:cs="Times New Roman"/>
                      <w:kern w:val="2"/>
                      <w:sz w:val="21"/>
                      <w:szCs w:val="24"/>
                      <w:lang w:val="en-US" w:eastAsia="zh-CN" w:bidi="ar-SA"/>
                    </w:rPr>
                    <w:t>浓缩+催化燃烧（RCO）</w:t>
                  </w:r>
                  <w:r>
                    <w:rPr>
                      <w:rFonts w:hint="default" w:ascii="Times New Roman" w:hAnsi="Times New Roman" w:cs="Times New Roman"/>
                      <w:lang w:val="en-US" w:eastAsia="zh-CN"/>
                    </w:rPr>
                    <w:t>）处理，最终经20m排气筒P3（DA003）达标排放。</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15.0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95"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3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无组织废气</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破碎工序未收集的粉尘</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color w:val="000000"/>
                      <w:sz w:val="21"/>
                      <w:lang w:val="en-US" w:eastAsia="zh-CN"/>
                    </w:rPr>
                    <w:t>颗粒物</w:t>
                  </w:r>
                </w:p>
              </w:tc>
              <w:tc>
                <w:tcPr>
                  <w:tcW w:w="21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密闭车间</w:t>
                  </w:r>
                </w:p>
              </w:tc>
              <w:tc>
                <w:tcPr>
                  <w:tcW w:w="6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lang w:val="en-US" w:eastAsia="zh-CN"/>
                    </w:rPr>
                    <w:t>熔融挤出工序未被收集的废气</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非甲烷总烃</w:t>
                  </w:r>
                  <w:r>
                    <w:rPr>
                      <w:rFonts w:hint="eastAsia" w:cs="Times New Roman"/>
                      <w:lang w:val="en-US" w:eastAsia="zh-CN"/>
                    </w:rPr>
                    <w:t>、颗粒物、二甲苯</w:t>
                  </w:r>
                </w:p>
              </w:tc>
              <w:tc>
                <w:tcPr>
                  <w:tcW w:w="21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95"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rPr>
                    <w:t>厂区内运输道路扬尘</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颗粒物</w:t>
                  </w:r>
                </w:p>
              </w:tc>
              <w:tc>
                <w:tcPr>
                  <w:tcW w:w="21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r>
                    <w:rPr>
                      <w:rFonts w:hint="default" w:ascii="Times New Roman" w:hAnsi="Times New Roman" w:cs="Times New Roman"/>
                    </w:rPr>
                    <w:t>①及时对厂区内地面进行洒水降尘、清扫；</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r>
                    <w:rPr>
                      <w:rFonts w:hint="default" w:ascii="Times New Roman" w:hAnsi="Times New Roman" w:cs="Times New Roman"/>
                    </w:rPr>
                    <w:t>②汽车进入厂区后要减速慢行，运输车辆均全封闭遮盖，减少原料的散落；</w:t>
                  </w:r>
                </w:p>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w:t>③厂区门口设置车辆清洗设施，车辆离场时确保冲洗干净后方可上路。</w:t>
                  </w: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95"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23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lang w:val="en-US" w:eastAsia="zh-CN"/>
                    </w:rPr>
                  </w:pPr>
                  <w:r>
                    <w:rPr>
                      <w:rFonts w:hint="eastAsia" w:cs="Times New Roman"/>
                      <w:lang w:val="en-US" w:eastAsia="zh-CN"/>
                    </w:rPr>
                    <w:t>一体化污水处理设施废气</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rPr>
                    <w:t>NH</w:t>
                  </w:r>
                  <w:r>
                    <w:rPr>
                      <w:rFonts w:hint="default" w:ascii="Times New Roman" w:hAnsi="Times New Roman" w:cs="Times New Roman"/>
                      <w:vertAlign w:val="subscript"/>
                    </w:rPr>
                    <w:t>3</w:t>
                  </w:r>
                  <w:r>
                    <w:rPr>
                      <w:rFonts w:hint="eastAsia" w:cs="Times New Roman"/>
                      <w:vertAlign w:val="baseline"/>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21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r>
                    <w:rPr>
                      <w:rFonts w:hint="eastAsia" w:cs="Times New Roman"/>
                      <w:lang w:val="en-US" w:eastAsia="zh-CN"/>
                    </w:rPr>
                    <w:t>一体污水处理设施各处理单元加盖密闭，加强车间通风，车间周围绿化</w:t>
                  </w:r>
                </w:p>
              </w:tc>
              <w:tc>
                <w:tcPr>
                  <w:tcW w:w="6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废水处理</w:t>
                  </w: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车辆冲洗废水</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auto"/>
                      <w:sz w:val="21"/>
                      <w:szCs w:val="21"/>
                      <w:vertAlign w:val="baseline"/>
                    </w:rPr>
                    <w:t>COD、SS</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eastAsia="宋体" w:cs="Times New Roman"/>
                      <w:lang w:val="en-US" w:eastAsia="zh-CN"/>
                    </w:rPr>
                    <w:t>车辆冲洗废水经沉淀池处理后，循环使用不外排；冷却水定期补充，循环使用不外排</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清洗废水</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auto"/>
                      <w:sz w:val="21"/>
                      <w:szCs w:val="21"/>
                      <w:vertAlign w:val="baseline"/>
                    </w:rPr>
                    <w:t>COD、SS</w:t>
                  </w:r>
                </w:p>
              </w:tc>
              <w:tc>
                <w:tcPr>
                  <w:tcW w:w="2171" w:type="pct"/>
                  <w:tcBorders>
                    <w:tl2br w:val="nil"/>
                    <w:tr2bl w:val="nil"/>
                  </w:tcBorders>
                  <w:noWrap w:val="0"/>
                  <w:vAlign w:val="center"/>
                </w:tcPr>
                <w:p>
                  <w:pPr>
                    <w:jc w:val="center"/>
                    <w:rPr>
                      <w:rFonts w:hint="default" w:ascii="Times New Roman" w:hAnsi="Times New Roman" w:cs="Times New Roman"/>
                      <w:color w:val="000000"/>
                      <w:sz w:val="21"/>
                    </w:rPr>
                  </w:pPr>
                  <w:r>
                    <w:rPr>
                      <w:rFonts w:hint="default" w:ascii="Times New Roman" w:hAnsi="Times New Roman" w:eastAsia="宋体" w:cs="Times New Roman"/>
                      <w:lang w:val="en-US" w:eastAsia="zh-CN"/>
                    </w:rPr>
                    <w:t>清洗废水经</w:t>
                  </w:r>
                  <w:r>
                    <w:rPr>
                      <w:rFonts w:hint="eastAsia" w:cs="Times New Roman"/>
                      <w:lang w:val="en-US" w:eastAsia="zh-CN"/>
                    </w:rPr>
                    <w:t>30m</w:t>
                  </w:r>
                  <w:r>
                    <w:rPr>
                      <w:rFonts w:hint="eastAsia" w:cs="Times New Roman"/>
                      <w:vertAlign w:val="superscript"/>
                      <w:lang w:val="en-US" w:eastAsia="zh-CN"/>
                    </w:rPr>
                    <w:t>3</w:t>
                  </w:r>
                  <w:r>
                    <w:rPr>
                      <w:rFonts w:hint="eastAsia" w:cs="Times New Roman"/>
                      <w:lang w:val="en-US" w:eastAsia="zh-CN"/>
                    </w:rPr>
                    <w:t>/d一体化污水处理设施</w:t>
                  </w:r>
                  <w:r>
                    <w:rPr>
                      <w:rFonts w:hint="default" w:ascii="Times New Roman" w:hAnsi="Times New Roman" w:cs="Times New Roman"/>
                      <w:lang w:val="en-US" w:eastAsia="zh-CN"/>
                    </w:rPr>
                    <w:t>（</w:t>
                  </w:r>
                  <w:r>
                    <w:rPr>
                      <w:rFonts w:hint="eastAsia"/>
                      <w:lang w:val="en-US" w:eastAsia="zh-CN"/>
                    </w:rPr>
                    <w:t>初沉池+调节池+A/O+二沉池+消毒池</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净化处理后循环使用不外排</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15.0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rPr>
                    <w:t>生活废水</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auto"/>
                      <w:sz w:val="21"/>
                      <w:szCs w:val="21"/>
                      <w:vertAlign w:val="baseline"/>
                    </w:rPr>
                    <w:t>COD、SS</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sz w:val="21"/>
                      <w:szCs w:val="21"/>
                      <w:lang w:eastAsia="zh-CN"/>
                    </w:rPr>
                    <w:t>NH</w:t>
                  </w:r>
                  <w:r>
                    <w:rPr>
                      <w:rFonts w:hint="default" w:ascii="Times New Roman" w:hAnsi="Times New Roman" w:eastAsia="宋体" w:cs="Times New Roman"/>
                      <w:sz w:val="21"/>
                      <w:szCs w:val="21"/>
                      <w:vertAlign w:val="subscript"/>
                      <w:lang w:eastAsia="zh-CN"/>
                    </w:rPr>
                    <w:t>3</w:t>
                  </w:r>
                  <w:r>
                    <w:rPr>
                      <w:rFonts w:hint="default" w:ascii="Times New Roman" w:hAnsi="Times New Roman" w:cs="Times New Roman"/>
                      <w:sz w:val="21"/>
                      <w:szCs w:val="21"/>
                      <w:lang w:eastAsia="zh-CN"/>
                    </w:rPr>
                    <w:t>-N</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生活污水经化粪池收集后可直接进入</w:t>
                  </w:r>
                  <w:r>
                    <w:rPr>
                      <w:rFonts w:hint="default" w:ascii="Times New Roman" w:hAnsi="Times New Roman" w:cs="Times New Roman"/>
                      <w:lang w:val="en-US" w:eastAsia="zh-CN"/>
                    </w:rPr>
                    <w:t>集聚区</w:t>
                  </w:r>
                  <w:r>
                    <w:rPr>
                      <w:rFonts w:hint="default" w:ascii="Times New Roman" w:hAnsi="Times New Roman" w:eastAsia="宋体" w:cs="Times New Roman"/>
                      <w:lang w:val="en-US" w:eastAsia="zh-CN"/>
                    </w:rPr>
                    <w:t>污水管网，最终进入</w:t>
                  </w:r>
                  <w:r>
                    <w:rPr>
                      <w:rFonts w:hint="default" w:ascii="Times New Roman" w:hAnsi="Times New Roman" w:cs="Times New Roman"/>
                      <w:lang w:val="en-US" w:eastAsia="zh-CN"/>
                    </w:rPr>
                    <w:t>宝丰县产业集聚区污水处理厂</w:t>
                  </w:r>
                  <w:r>
                    <w:rPr>
                      <w:rFonts w:hint="default" w:ascii="Times New Roman" w:hAnsi="Times New Roman" w:eastAsia="宋体" w:cs="Times New Roman"/>
                      <w:lang w:val="en-US" w:eastAsia="zh-CN"/>
                    </w:rPr>
                    <w:t>进行处理</w:t>
                  </w:r>
                  <w:r>
                    <w:rPr>
                      <w:rFonts w:hint="default" w:ascii="Times New Roman" w:hAnsi="Times New Roman" w:cs="Times New Roman"/>
                      <w:lang w:val="en-US" w:eastAsia="zh-CN"/>
                    </w:rPr>
                    <w:t>，最终达标排放</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冷却水</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auto"/>
                      <w:sz w:val="21"/>
                      <w:szCs w:val="21"/>
                      <w:vertAlign w:val="baseline"/>
                    </w:rPr>
                    <w:t>COD、SS</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冷却水循环使用，定期补充新鲜水</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噪声处理</w:t>
                  </w: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生产设备运行产生的噪声和车辆运输噪声</w:t>
                  </w:r>
                </w:p>
              </w:tc>
              <w:tc>
                <w:tcPr>
                  <w:tcW w:w="54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噪声</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rPr>
                    <w:t>采用低噪声生产工艺及设备</w:t>
                  </w:r>
                  <w:r>
                    <w:rPr>
                      <w:rFonts w:hint="default" w:ascii="Times New Roman" w:hAnsi="Times New Roman" w:cs="Times New Roman"/>
                      <w:lang w:eastAsia="zh-CN"/>
                    </w:rPr>
                    <w:t>，</w:t>
                  </w:r>
                  <w:r>
                    <w:rPr>
                      <w:rFonts w:hint="default" w:ascii="Times New Roman" w:hAnsi="Times New Roman" w:cs="Times New Roman"/>
                      <w:lang w:val="en-US" w:eastAsia="zh-CN"/>
                    </w:rPr>
                    <w:t>并定期维护、保养设备和车辆</w:t>
                  </w:r>
                  <w:r>
                    <w:rPr>
                      <w:rFonts w:hint="default" w:ascii="Times New Roman" w:hAnsi="Times New Roman" w:cs="Times New Roman"/>
                    </w:rPr>
                    <w:t>；使用低噪声设备、基础减振</w:t>
                  </w:r>
                  <w:r>
                    <w:rPr>
                      <w:rFonts w:hint="default" w:ascii="Times New Roman" w:hAnsi="Times New Roman" w:cs="Times New Roman"/>
                      <w:lang w:val="en-US" w:eastAsia="zh-CN"/>
                    </w:rPr>
                    <w:t>以及</w:t>
                  </w:r>
                  <w:r>
                    <w:rPr>
                      <w:rFonts w:hint="default" w:ascii="Times New Roman" w:hAnsi="Times New Roman" w:cs="Times New Roman"/>
                    </w:rPr>
                    <w:t>厂房隔声等措施，降低噪声强度</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固废处理</w:t>
                  </w:r>
                </w:p>
              </w:tc>
              <w:tc>
                <w:tcPr>
                  <w:tcW w:w="153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危险废物</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eastAsia="zh-CN"/>
                    </w:rPr>
                  </w:pPr>
                  <w:r>
                    <w:rPr>
                      <w:rFonts w:hint="default" w:ascii="Times New Roman" w:hAnsi="Times New Roman" w:cs="Times New Roman"/>
                      <w:color w:val="auto"/>
                      <w:lang w:val="en-US" w:eastAsia="zh-CN"/>
                    </w:rPr>
                    <w:t>生产过程中产生的危险废物主要包括废活性炭、设备保养产生的废机油以及催化燃烧产生的废催化剂（需做固体废物浸出实验）。针对生产过程中产生的危险废物本项目主要将其暂存于20m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危废暂存间，定期交由具有危废资质单位处置。危废暂存间符合《危险废物贮存污染控制标准》（GB18597-2001）及2013修改单要求。</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153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lang w:val="en-US" w:eastAsia="zh-CN"/>
                    </w:rPr>
                    <w:t>一般固体废物</w:t>
                  </w:r>
                </w:p>
              </w:tc>
              <w:tc>
                <w:tcPr>
                  <w:tcW w:w="21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eastAsia="zh-CN"/>
                    </w:rPr>
                  </w:pPr>
                  <w:r>
                    <w:rPr>
                      <w:rFonts w:hint="default" w:ascii="Times New Roman" w:hAnsi="Times New Roman" w:cs="Times New Roman"/>
                    </w:rPr>
                    <w:t>生活垃圾经收集后交由环卫部门统一处理</w:t>
                  </w:r>
                  <w:r>
                    <w:rPr>
                      <w:rFonts w:hint="default" w:ascii="Times New Roman" w:hAnsi="Times New Roman" w:cs="Times New Roman"/>
                      <w:lang w:eastAsia="zh-CN"/>
                    </w:rPr>
                    <w:t>；</w:t>
                  </w:r>
                  <w:r>
                    <w:rPr>
                      <w:rFonts w:hint="eastAsia" w:cs="Times New Roman"/>
                      <w:lang w:val="en-US" w:eastAsia="zh-CN"/>
                    </w:rPr>
                    <w:t>废过滤棉收集后，</w:t>
                  </w:r>
                  <w:r>
                    <w:rPr>
                      <w:rFonts w:hint="default" w:ascii="Times New Roman" w:hAnsi="Times New Roman" w:cs="Times New Roman"/>
                      <w:lang w:val="en-US" w:eastAsia="zh-CN"/>
                    </w:rPr>
                    <w:t>定期交由当地环卫部门清运；</w:t>
                  </w:r>
                  <w:r>
                    <w:rPr>
                      <w:rFonts w:hint="default" w:ascii="Times New Roman" w:hAnsi="Times New Roman" w:cs="Times New Roman"/>
                    </w:rPr>
                    <w:t>除尘器收集的粉尘收集后</w:t>
                  </w:r>
                  <w:r>
                    <w:rPr>
                      <w:rFonts w:hint="default" w:ascii="Times New Roman" w:hAnsi="Times New Roman" w:cs="Times New Roman"/>
                      <w:lang w:val="en-US" w:eastAsia="zh-CN"/>
                    </w:rPr>
                    <w:t>，定期交由当地环卫部门清运；人工分拣出的杂物收集后，定期交由当地环卫部门清运；</w:t>
                  </w:r>
                  <w:r>
                    <w:rPr>
                      <w:rFonts w:hint="default" w:ascii="Times New Roman" w:hAnsi="Times New Roman" w:cs="Times New Roman"/>
                      <w:color w:val="000000"/>
                      <w:sz w:val="21"/>
                      <w:szCs w:val="21"/>
                      <w:lang w:val="en-US" w:eastAsia="zh-CN"/>
                    </w:rPr>
                    <w:t>熔融挤出工序产生的废</w:t>
                  </w:r>
                  <w:r>
                    <w:rPr>
                      <w:rFonts w:hint="default" w:ascii="Times New Roman" w:hAnsi="Times New Roman" w:eastAsia="宋体" w:cs="Times New Roman"/>
                      <w:color w:val="000000"/>
                      <w:sz w:val="21"/>
                      <w:szCs w:val="21"/>
                      <w:lang w:eastAsia="zh-CN"/>
                    </w:rPr>
                    <w:t>滤网</w:t>
                  </w:r>
                  <w:r>
                    <w:rPr>
                      <w:rFonts w:hint="default" w:ascii="Times New Roman" w:hAnsi="Times New Roman" w:eastAsia="宋体" w:cs="Times New Roman"/>
                      <w:color w:val="000000"/>
                      <w:sz w:val="21"/>
                      <w:szCs w:val="21"/>
                    </w:rPr>
                    <w:t>收集后</w:t>
                  </w:r>
                  <w:r>
                    <w:rPr>
                      <w:rFonts w:hint="default" w:ascii="Times New Roman" w:hAnsi="Times New Roman" w:eastAsia="宋体" w:cs="Times New Roman"/>
                      <w:color w:val="000000"/>
                      <w:sz w:val="21"/>
                      <w:szCs w:val="21"/>
                      <w:lang w:eastAsia="zh-CN"/>
                    </w:rPr>
                    <w:t>交由</w:t>
                  </w:r>
                  <w:r>
                    <w:rPr>
                      <w:rFonts w:hint="default" w:ascii="Times New Roman" w:hAnsi="Times New Roman" w:cs="Times New Roman"/>
                      <w:color w:val="000000"/>
                      <w:sz w:val="21"/>
                      <w:szCs w:val="21"/>
                      <w:lang w:val="en-US" w:eastAsia="zh-CN"/>
                    </w:rPr>
                    <w:t>当地环卫部门清运</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清洗废水处理设施沉淀物经板框压滤机处理后，定期收集交由当地环卫部门清运。</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22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p>
              </w:tc>
              <w:tc>
                <w:tcPr>
                  <w:tcW w:w="4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环境风险</w:t>
                  </w:r>
                </w:p>
              </w:tc>
              <w:tc>
                <w:tcPr>
                  <w:tcW w:w="3704"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rPr>
                  </w:pPr>
                  <w:r>
                    <w:rPr>
                      <w:rFonts w:hint="default" w:ascii="Times New Roman" w:hAnsi="Times New Roman" w:cs="Times New Roman"/>
                    </w:rPr>
                    <w:t>呼吸器、救护带、灭火器、消防沙和通风设备等消防器材</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lang w:val="en-US" w:eastAsia="zh-CN"/>
                    </w:rPr>
                  </w:pPr>
                  <w:r>
                    <w:rPr>
                      <w:rFonts w:hint="default" w:ascii="Times New Roman" w:hAnsi="Times New Roman" w:cs="Times New Roman"/>
                      <w:color w:val="000000"/>
                      <w:sz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3" w:hRule="atLeast"/>
                <w:jc w:val="center"/>
              </w:trPr>
              <w:tc>
                <w:tcPr>
                  <w:tcW w:w="4389" w:type="pct"/>
                  <w:gridSpan w:val="6"/>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合计</w:t>
                  </w:r>
                </w:p>
              </w:tc>
              <w:tc>
                <w:tcPr>
                  <w:tcW w:w="6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lang w:val="en-US" w:eastAsia="zh-CN"/>
                    </w:rPr>
                  </w:pPr>
                  <w:r>
                    <w:rPr>
                      <w:rFonts w:hint="default" w:ascii="Times New Roman" w:hAnsi="Times New Roman" w:cs="Times New Roman"/>
                      <w:color w:val="000000"/>
                      <w:sz w:val="21"/>
                      <w:lang w:val="en-US" w:eastAsia="zh-CN"/>
                    </w:rPr>
                    <w:t>82.0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pacing w:val="-10"/>
                <w:sz w:val="24"/>
                <w:szCs w:val="24"/>
                <w:lang w:val="en-US" w:eastAsia="zh-CN"/>
              </w:rPr>
            </w:pPr>
          </w:p>
        </w:tc>
      </w:tr>
    </w:tbl>
    <w:p>
      <w:pPr>
        <w:adjustRightInd w:val="0"/>
        <w:snapToGrid w:val="0"/>
        <w:spacing w:line="360" w:lineRule="auto"/>
        <w:rPr>
          <w:rFonts w:hint="eastAsia" w:ascii="宋体" w:cs="宋体"/>
          <w:b/>
          <w:kern w:val="0"/>
          <w:sz w:val="28"/>
          <w:szCs w:val="28"/>
        </w:rPr>
        <w:sectPr>
          <w:pgSz w:w="11907" w:h="16840"/>
          <w:pgMar w:top="1440" w:right="1080" w:bottom="1440" w:left="1080" w:header="851" w:footer="964" w:gutter="0"/>
          <w:pgBorders>
            <w:top w:val="none" w:sz="0" w:space="0"/>
            <w:left w:val="none" w:sz="0" w:space="0"/>
            <w:bottom w:val="none" w:sz="0" w:space="0"/>
            <w:right w:val="none" w:sz="0" w:space="0"/>
          </w:pgBorders>
          <w:pgNumType w:fmt="decimal"/>
          <w:cols w:space="720" w:num="1"/>
          <w:docGrid w:linePitch="312" w:charSpace="0"/>
        </w:sectPr>
      </w:pP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五、</w:t>
      </w:r>
      <w:bookmarkStart w:id="4" w:name="_Hlk54167917"/>
      <w:r>
        <w:rPr>
          <w:rFonts w:hint="eastAsia" w:ascii="宋体" w:hAnsi="宋体" w:eastAsia="宋体" w:cs="宋体"/>
          <w:b/>
          <w:bCs/>
          <w:snapToGrid w:val="0"/>
          <w:sz w:val="30"/>
          <w:szCs w:val="30"/>
        </w:rPr>
        <w:t>环境保护措施监督检查清单</w:t>
      </w:r>
      <w:bookmarkEnd w:id="4"/>
    </w:p>
    <w:tbl>
      <w:tblPr>
        <w:tblStyle w:val="24"/>
        <w:tblW w:w="53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18"/>
        <w:gridCol w:w="1607"/>
        <w:gridCol w:w="1603"/>
        <w:gridCol w:w="6000"/>
        <w:gridCol w:w="37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51" w:type="dxa"/>
            <w:gridSpan w:val="2"/>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360" w:lineRule="exact"/>
              <w:ind w:firstLine="840"/>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内容</w:t>
            </w:r>
          </w:p>
          <w:p>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要素</w:t>
            </w:r>
          </w:p>
        </w:tc>
        <w:tc>
          <w:tcPr>
            <w:tcW w:w="1607"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排放口</w:t>
            </w:r>
            <w:r>
              <w:rPr>
                <w:rFonts w:hint="eastAsia" w:cs="Times New Roman"/>
                <w:b/>
                <w:bCs/>
                <w:sz w:val="21"/>
                <w:szCs w:val="21"/>
                <w:u w:val="single"/>
                <w:lang w:eastAsia="zh-CN"/>
              </w:rPr>
              <w:t>（</w:t>
            </w:r>
            <w:r>
              <w:rPr>
                <w:rFonts w:hint="default" w:ascii="Times New Roman" w:hAnsi="Times New Roman" w:cs="Times New Roman"/>
                <w:b/>
                <w:bCs/>
                <w:sz w:val="21"/>
                <w:szCs w:val="21"/>
                <w:u w:val="single"/>
              </w:rPr>
              <w:t>编号、</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名称</w:t>
            </w:r>
            <w:r>
              <w:rPr>
                <w:rFonts w:hint="eastAsia" w:cs="Times New Roman"/>
                <w:b/>
                <w:bCs/>
                <w:sz w:val="21"/>
                <w:szCs w:val="21"/>
                <w:u w:val="single"/>
                <w:lang w:eastAsia="zh-CN"/>
              </w:rPr>
              <w:t>）</w:t>
            </w:r>
            <w:r>
              <w:rPr>
                <w:rFonts w:hint="default" w:ascii="Times New Roman" w:hAnsi="Times New Roman" w:cs="Times New Roman"/>
                <w:b/>
                <w:bCs/>
                <w:sz w:val="21"/>
                <w:szCs w:val="21"/>
                <w:u w:val="single"/>
              </w:rPr>
              <w:t>/污染源</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污染物项目</w:t>
            </w:r>
          </w:p>
        </w:tc>
        <w:tc>
          <w:tcPr>
            <w:tcW w:w="600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环境保护措施</w:t>
            </w:r>
          </w:p>
        </w:tc>
        <w:tc>
          <w:tcPr>
            <w:tcW w:w="376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03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r>
              <w:rPr>
                <w:rFonts w:hint="default" w:ascii="Times New Roman" w:hAnsi="Times New Roman" w:cs="Times New Roman"/>
                <w:b/>
                <w:bCs/>
                <w:sz w:val="21"/>
                <w:szCs w:val="21"/>
                <w:u w:val="single"/>
              </w:rPr>
              <w:t>大气环境</w:t>
            </w:r>
          </w:p>
        </w:tc>
        <w:tc>
          <w:tcPr>
            <w:tcW w:w="1018"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废编织袋再利用</w:t>
            </w:r>
            <w:r>
              <w:rPr>
                <w:rFonts w:hint="default" w:ascii="Times New Roman" w:hAnsi="Times New Roman" w:cs="Times New Roman"/>
                <w:sz w:val="21"/>
                <w:szCs w:val="21"/>
                <w:u w:val="single"/>
              </w:rPr>
              <w:t>生产线</w:t>
            </w:r>
            <w:r>
              <w:rPr>
                <w:rFonts w:hint="eastAsia" w:cs="Times New Roman"/>
                <w:sz w:val="21"/>
                <w:szCs w:val="21"/>
                <w:u w:val="single"/>
                <w:lang w:eastAsia="zh-CN"/>
              </w:rPr>
              <w:t>（</w:t>
            </w:r>
            <w:r>
              <w:rPr>
                <w:rFonts w:hint="eastAsia" w:cs="Times New Roman"/>
                <w:sz w:val="21"/>
                <w:szCs w:val="21"/>
                <w:u w:val="single"/>
                <w:lang w:val="en-US" w:eastAsia="zh-CN"/>
              </w:rPr>
              <w:t>2条</w:t>
            </w:r>
            <w:r>
              <w:rPr>
                <w:rFonts w:hint="eastAsia" w:cs="Times New Roman"/>
                <w:sz w:val="21"/>
                <w:szCs w:val="21"/>
                <w:u w:val="single"/>
                <w:lang w:eastAsia="zh-CN"/>
              </w:rPr>
              <w:t>）</w:t>
            </w:r>
          </w:p>
        </w:tc>
        <w:tc>
          <w:tcPr>
            <w:tcW w:w="1607"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kern w:val="0"/>
                <w:sz w:val="21"/>
                <w:szCs w:val="21"/>
                <w:highlight w:val="none"/>
                <w:u w:val="single"/>
                <w:lang w:val="en-US" w:eastAsia="zh-CN" w:bidi="ar"/>
              </w:rPr>
            </w:pPr>
            <w:r>
              <w:rPr>
                <w:rFonts w:hint="eastAsia" w:cs="Times New Roman"/>
                <w:b w:val="0"/>
                <w:bCs/>
                <w:color w:val="auto"/>
                <w:kern w:val="0"/>
                <w:sz w:val="21"/>
                <w:szCs w:val="21"/>
                <w:highlight w:val="none"/>
                <w:u w:val="single"/>
                <w:lang w:val="en-US" w:eastAsia="zh-CN" w:bidi="ar"/>
              </w:rPr>
              <w:t>熔融挤出废气（DA001）</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eastAsia" w:cs="Times New Roman"/>
                <w:sz w:val="21"/>
                <w:szCs w:val="21"/>
                <w:u w:val="single"/>
                <w:lang w:val="en-US" w:eastAsia="zh-CN"/>
              </w:rPr>
              <w:t>非甲烷总烃、颗粒物</w:t>
            </w:r>
          </w:p>
        </w:tc>
        <w:tc>
          <w:tcPr>
            <w:tcW w:w="6000" w:type="dxa"/>
            <w:noWrap w:val="0"/>
            <w:vAlign w:val="center"/>
          </w:tcPr>
          <w:p>
            <w:pPr>
              <w:pStyle w:val="3"/>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kern w:val="2"/>
                <w:sz w:val="21"/>
                <w:szCs w:val="24"/>
                <w:u w:val="single"/>
                <w:lang w:val="en-US" w:eastAsia="zh-CN" w:bidi="ar-SA"/>
              </w:rPr>
            </w:pPr>
            <w:r>
              <w:rPr>
                <w:rFonts w:hint="default" w:ascii="Times New Roman" w:hAnsi="Times New Roman" w:eastAsia="宋体" w:cs="Times New Roman"/>
                <w:kern w:val="2"/>
                <w:sz w:val="21"/>
                <w:szCs w:val="24"/>
                <w:u w:val="single"/>
                <w:lang w:val="en-US" w:eastAsia="zh-CN" w:bidi="ar-SA"/>
              </w:rPr>
              <w:t>本项目针对熔融挤出设备的排气口、连接处和挤出机的出口处安装</w:t>
            </w:r>
            <w:r>
              <w:rPr>
                <w:rFonts w:hint="eastAsia" w:cs="Times New Roman"/>
                <w:kern w:val="2"/>
                <w:sz w:val="21"/>
                <w:szCs w:val="24"/>
                <w:u w:val="single"/>
                <w:lang w:val="en-US" w:eastAsia="zh-CN" w:bidi="ar-SA"/>
              </w:rPr>
              <w:t>全</w:t>
            </w:r>
            <w:r>
              <w:rPr>
                <w:rFonts w:hint="default" w:ascii="Times New Roman" w:hAnsi="Times New Roman" w:eastAsia="宋体" w:cs="Times New Roman"/>
                <w:kern w:val="2"/>
                <w:sz w:val="21"/>
                <w:szCs w:val="24"/>
                <w:u w:val="single"/>
                <w:lang w:val="en-US" w:eastAsia="zh-CN" w:bidi="ar-SA"/>
              </w:rPr>
              <w:t>密闭集气</w:t>
            </w:r>
            <w:r>
              <w:rPr>
                <w:rFonts w:hint="eastAsia" w:cs="Times New Roman"/>
                <w:kern w:val="2"/>
                <w:sz w:val="21"/>
                <w:szCs w:val="24"/>
                <w:u w:val="single"/>
                <w:lang w:val="en-US" w:eastAsia="zh-CN" w:bidi="ar-SA"/>
              </w:rPr>
              <w:t>系统</w:t>
            </w:r>
            <w:r>
              <w:rPr>
                <w:rFonts w:hint="default" w:ascii="Times New Roman" w:hAnsi="Times New Roman" w:eastAsia="宋体" w:cs="Times New Roman"/>
                <w:kern w:val="2"/>
                <w:sz w:val="21"/>
                <w:szCs w:val="24"/>
                <w:u w:val="single"/>
                <w:lang w:val="en-US" w:eastAsia="zh-CN" w:bidi="ar-SA"/>
              </w:rPr>
              <w:t>做到负压收集，将有机废气通过管道排入废气处理系统（</w:t>
            </w:r>
            <w:r>
              <w:rPr>
                <w:rFonts w:hint="eastAsia" w:cs="Times New Roman"/>
                <w:kern w:val="2"/>
                <w:sz w:val="21"/>
                <w:szCs w:val="24"/>
                <w:u w:val="single"/>
                <w:lang w:val="en-US" w:eastAsia="zh-CN" w:bidi="ar-SA"/>
              </w:rPr>
              <w:t>干式过滤（过滤棉）+</w:t>
            </w:r>
            <w:r>
              <w:rPr>
                <w:rFonts w:hint="default" w:ascii="Times New Roman" w:hAnsi="Times New Roman" w:eastAsia="宋体" w:cs="Times New Roman"/>
                <w:kern w:val="2"/>
                <w:sz w:val="21"/>
                <w:szCs w:val="24"/>
                <w:u w:val="single"/>
                <w:lang w:val="en-US" w:eastAsia="zh-CN" w:bidi="ar-SA"/>
              </w:rPr>
              <w:t>活性炭吸附</w:t>
            </w:r>
            <w:r>
              <w:rPr>
                <w:rFonts w:hint="eastAsia" w:cs="Times New Roman"/>
                <w:kern w:val="2"/>
                <w:sz w:val="21"/>
                <w:szCs w:val="24"/>
                <w:u w:val="single"/>
                <w:lang w:val="en-US" w:eastAsia="zh-CN" w:bidi="ar-SA"/>
              </w:rPr>
              <w:t>浓缩+催化燃烧（RCO）</w:t>
            </w:r>
            <w:r>
              <w:rPr>
                <w:rFonts w:hint="default" w:ascii="Times New Roman" w:hAnsi="Times New Roman" w:eastAsia="宋体" w:cs="Times New Roman"/>
                <w:kern w:val="2"/>
                <w:sz w:val="21"/>
                <w:szCs w:val="24"/>
                <w:u w:val="single"/>
                <w:lang w:val="en-US" w:eastAsia="zh-CN" w:bidi="ar-SA"/>
              </w:rPr>
              <w:t>）处理，最终经</w:t>
            </w:r>
            <w:r>
              <w:rPr>
                <w:rFonts w:hint="eastAsia" w:cs="Times New Roman"/>
                <w:kern w:val="2"/>
                <w:sz w:val="21"/>
                <w:szCs w:val="24"/>
                <w:u w:val="single"/>
                <w:lang w:val="en-US" w:eastAsia="zh-CN" w:bidi="ar-SA"/>
              </w:rPr>
              <w:t>20</w:t>
            </w:r>
            <w:r>
              <w:rPr>
                <w:rFonts w:hint="default" w:ascii="Times New Roman" w:hAnsi="Times New Roman" w:eastAsia="宋体" w:cs="Times New Roman"/>
                <w:kern w:val="2"/>
                <w:sz w:val="21"/>
                <w:szCs w:val="24"/>
                <w:u w:val="single"/>
                <w:lang w:val="en-US" w:eastAsia="zh-CN" w:bidi="ar-SA"/>
              </w:rPr>
              <w:t>m排气筒P</w:t>
            </w:r>
            <w:r>
              <w:rPr>
                <w:rFonts w:hint="eastAsia" w:ascii="Times New Roman" w:hAnsi="Times New Roman" w:eastAsia="宋体" w:cs="Times New Roman"/>
                <w:kern w:val="2"/>
                <w:sz w:val="21"/>
                <w:szCs w:val="24"/>
                <w:u w:val="single"/>
                <w:lang w:val="en-US" w:eastAsia="zh-CN" w:bidi="ar-SA"/>
              </w:rPr>
              <w:t>1</w:t>
            </w:r>
            <w:r>
              <w:rPr>
                <w:rFonts w:hint="default" w:ascii="Times New Roman" w:hAnsi="Times New Roman" w:eastAsia="宋体" w:cs="Times New Roman"/>
                <w:kern w:val="2"/>
                <w:sz w:val="21"/>
                <w:szCs w:val="24"/>
                <w:u w:val="single"/>
                <w:lang w:val="en-US" w:eastAsia="zh-CN" w:bidi="ar-SA"/>
              </w:rPr>
              <w:t>（DA00</w:t>
            </w:r>
            <w:r>
              <w:rPr>
                <w:rFonts w:hint="eastAsia" w:ascii="Times New Roman" w:hAnsi="Times New Roman" w:eastAsia="宋体" w:cs="Times New Roman"/>
                <w:kern w:val="2"/>
                <w:sz w:val="21"/>
                <w:szCs w:val="24"/>
                <w:u w:val="single"/>
                <w:lang w:val="en-US" w:eastAsia="zh-CN" w:bidi="ar-SA"/>
              </w:rPr>
              <w:t>1</w:t>
            </w:r>
            <w:r>
              <w:rPr>
                <w:rFonts w:hint="default" w:ascii="Times New Roman" w:hAnsi="Times New Roman" w:eastAsia="宋体" w:cs="Times New Roman"/>
                <w:kern w:val="2"/>
                <w:sz w:val="21"/>
                <w:szCs w:val="24"/>
                <w:u w:val="single"/>
                <w:lang w:val="en-US" w:eastAsia="zh-CN" w:bidi="ar-SA"/>
              </w:rPr>
              <w:t>）达标排放。</w:t>
            </w:r>
          </w:p>
        </w:tc>
        <w:tc>
          <w:tcPr>
            <w:tcW w:w="376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eastAsia" w:cs="Times New Roman"/>
                <w:sz w:val="21"/>
                <w:szCs w:val="21"/>
                <w:u w:val="single"/>
                <w:lang w:eastAsia="zh-CN"/>
              </w:rPr>
            </w:pPr>
            <w:r>
              <w:rPr>
                <w:rFonts w:hint="eastAsia" w:cs="Times New Roman"/>
                <w:b/>
                <w:bCs/>
                <w:sz w:val="21"/>
                <w:szCs w:val="21"/>
                <w:u w:val="single"/>
                <w:lang w:val="en-US" w:eastAsia="zh-CN"/>
              </w:rPr>
              <w:t>（1）</w:t>
            </w:r>
            <w:r>
              <w:rPr>
                <w:rFonts w:hint="eastAsia" w:cs="Times New Roman"/>
                <w:sz w:val="21"/>
                <w:szCs w:val="21"/>
                <w:u w:val="single"/>
                <w:lang w:val="en-US" w:eastAsia="zh-CN"/>
              </w:rPr>
              <w:t>有组织粉尘</w:t>
            </w:r>
            <w:r>
              <w:rPr>
                <w:rFonts w:hint="default" w:ascii="Times New Roman" w:hAnsi="Times New Roman" w:cs="Times New Roman"/>
                <w:sz w:val="21"/>
                <w:szCs w:val="21"/>
                <w:u w:val="single"/>
              </w:rPr>
              <w:t>满足《河南省重污染天气通用行业应急减排措施制定技术指南（2021年修订版）》文件中相关标准要求，即PM排放浓度≦10mg/m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限值要求，同时满足《大气污染物综合排放标准》（GB16297-1996）表2标准中排放速率≦</w:t>
            </w:r>
            <w:r>
              <w:rPr>
                <w:rFonts w:hint="eastAsia" w:cs="Times New Roman"/>
                <w:sz w:val="21"/>
                <w:szCs w:val="21"/>
                <w:u w:val="single"/>
                <w:lang w:val="en-US" w:eastAsia="zh-CN"/>
              </w:rPr>
              <w:t>5.9</w:t>
            </w:r>
            <w:r>
              <w:rPr>
                <w:rFonts w:hint="default" w:ascii="Times New Roman" w:hAnsi="Times New Roman" w:cs="Times New Roman"/>
                <w:sz w:val="21"/>
                <w:szCs w:val="21"/>
                <w:u w:val="single"/>
              </w:rPr>
              <w:t>kg/h的要求</w:t>
            </w:r>
            <w:r>
              <w:rPr>
                <w:rFonts w:hint="eastAsia" w:cs="Times New Roman"/>
                <w:sz w:val="21"/>
                <w:szCs w:val="21"/>
                <w:u w:val="single"/>
                <w:lang w:eastAsia="zh-CN"/>
              </w:rPr>
              <w:t>；</w:t>
            </w:r>
          </w:p>
          <w:p>
            <w:pPr>
              <w:keepNext w:val="0"/>
              <w:keepLines w:val="0"/>
              <w:pageBreakBefore w:val="0"/>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sz w:val="21"/>
                <w:szCs w:val="21"/>
                <w:u w:val="single"/>
                <w:lang w:eastAsia="zh-CN"/>
              </w:rPr>
            </w:pPr>
            <w:r>
              <w:rPr>
                <w:rFonts w:hint="eastAsia" w:cs="Times New Roman"/>
                <w:b/>
                <w:bCs/>
                <w:sz w:val="21"/>
                <w:szCs w:val="21"/>
                <w:u w:val="single"/>
                <w:lang w:val="en-US" w:eastAsia="zh-CN"/>
              </w:rPr>
              <w:t>（2）</w:t>
            </w:r>
            <w:r>
              <w:rPr>
                <w:rFonts w:hint="eastAsia" w:cs="Times New Roman"/>
                <w:sz w:val="21"/>
                <w:szCs w:val="21"/>
                <w:u w:val="single"/>
                <w:lang w:val="en-US" w:eastAsia="zh-CN"/>
              </w:rPr>
              <w:t>有组织非甲烷总烃、二甲苯</w:t>
            </w:r>
            <w:r>
              <w:rPr>
                <w:rFonts w:hint="default" w:ascii="Times New Roman" w:hAnsi="Times New Roman" w:cs="Times New Roman"/>
                <w:bCs/>
                <w:color w:val="auto"/>
                <w:sz w:val="21"/>
                <w:szCs w:val="21"/>
                <w:u w:val="single"/>
              </w:rPr>
              <w:t>满足</w:t>
            </w:r>
            <w:r>
              <w:rPr>
                <w:rFonts w:hint="default" w:ascii="Times New Roman" w:hAnsi="Times New Roman" w:cs="Times New Roman"/>
                <w:bCs/>
                <w:color w:val="auto"/>
                <w:sz w:val="21"/>
                <w:szCs w:val="21"/>
                <w:u w:val="single"/>
                <w:lang w:eastAsia="zh-CN"/>
              </w:rPr>
              <w:t>《大气污染物综合排放标准》（GB16297-1996）表2标准（</w:t>
            </w:r>
            <w:r>
              <w:rPr>
                <w:rFonts w:hint="eastAsia" w:cs="Times New Roman"/>
                <w:bCs/>
                <w:color w:val="auto"/>
                <w:sz w:val="21"/>
                <w:szCs w:val="21"/>
                <w:u w:val="single"/>
                <w:lang w:val="en-US" w:eastAsia="zh-CN"/>
              </w:rPr>
              <w:t>20</w:t>
            </w:r>
            <w:r>
              <w:rPr>
                <w:rFonts w:hint="default" w:ascii="Times New Roman" w:hAnsi="Times New Roman" w:cs="Times New Roman"/>
                <w:bCs/>
                <w:color w:val="auto"/>
                <w:sz w:val="21"/>
                <w:szCs w:val="21"/>
                <w:u w:val="single"/>
                <w:lang w:eastAsia="zh-CN"/>
              </w:rPr>
              <w:t>m高排气筒）</w:t>
            </w:r>
            <w:r>
              <w:rPr>
                <w:rFonts w:hint="default" w:ascii="Times New Roman" w:hAnsi="Times New Roman" w:cs="Times New Roman"/>
                <w:bCs/>
                <w:color w:val="auto"/>
                <w:sz w:val="21"/>
                <w:szCs w:val="21"/>
                <w:u w:val="single"/>
                <w:lang w:val="en-US" w:eastAsia="zh-CN"/>
              </w:rPr>
              <w:t>以及《关于全省开展工业企业挥发性有机物专项治理工作中排放建议值的通知》（豫环攻坚办</w:t>
            </w:r>
            <w:r>
              <w:rPr>
                <w:rFonts w:hint="eastAsia" w:cs="Times New Roman"/>
                <w:bCs/>
                <w:color w:val="auto"/>
                <w:sz w:val="21"/>
                <w:szCs w:val="21"/>
                <w:u w:val="single"/>
                <w:lang w:val="en-US" w:eastAsia="zh-CN"/>
              </w:rPr>
              <w:t>〔</w:t>
            </w:r>
            <w:r>
              <w:rPr>
                <w:rFonts w:hint="default" w:ascii="Times New Roman" w:hAnsi="Times New Roman" w:cs="Times New Roman"/>
                <w:bCs/>
                <w:color w:val="auto"/>
                <w:sz w:val="21"/>
                <w:szCs w:val="21"/>
                <w:u w:val="single"/>
                <w:lang w:val="en-US" w:eastAsia="zh-CN"/>
              </w:rPr>
              <w:t>2017</w:t>
            </w:r>
            <w:r>
              <w:rPr>
                <w:rFonts w:hint="eastAsia" w:cs="Times New Roman"/>
                <w:bCs/>
                <w:color w:val="auto"/>
                <w:sz w:val="21"/>
                <w:szCs w:val="21"/>
                <w:u w:val="single"/>
                <w:lang w:val="en-US" w:eastAsia="zh-CN"/>
              </w:rPr>
              <w:t>〕</w:t>
            </w:r>
            <w:r>
              <w:rPr>
                <w:rFonts w:hint="default" w:ascii="Times New Roman" w:hAnsi="Times New Roman" w:cs="Times New Roman"/>
                <w:bCs/>
                <w:color w:val="auto"/>
                <w:sz w:val="21"/>
                <w:szCs w:val="21"/>
                <w:u w:val="single"/>
                <w:lang w:val="en-US" w:eastAsia="zh-CN"/>
              </w:rPr>
              <w:t>162号）三者中关于非甲烷总烃限值的严格值，即非甲烷总烃</w:t>
            </w:r>
            <w:r>
              <w:rPr>
                <w:rFonts w:hint="default" w:ascii="Times New Roman" w:hAnsi="Times New Roman" w:eastAsia="宋体" w:cs="Times New Roman"/>
                <w:sz w:val="21"/>
                <w:szCs w:val="21"/>
                <w:u w:val="single"/>
              </w:rPr>
              <w:t>≦</w:t>
            </w:r>
            <w:r>
              <w:rPr>
                <w:rFonts w:hint="eastAsia" w:cs="Times New Roman"/>
                <w:sz w:val="21"/>
                <w:szCs w:val="21"/>
                <w:u w:val="single"/>
                <w:lang w:val="en-US" w:eastAsia="zh-CN"/>
              </w:rPr>
              <w:t>8</w:t>
            </w:r>
            <w:r>
              <w:rPr>
                <w:rFonts w:hint="default" w:ascii="Times New Roman" w:hAnsi="Times New Roman" w:cs="Times New Roman"/>
                <w:sz w:val="21"/>
                <w:szCs w:val="21"/>
                <w:u w:val="single"/>
                <w:lang w:val="en-US" w:eastAsia="zh-CN"/>
              </w:rPr>
              <w:t>0</w:t>
            </w:r>
            <w:r>
              <w:rPr>
                <w:rFonts w:hint="default" w:ascii="Times New Roman" w:hAnsi="Times New Roman" w:cs="Times New Roman"/>
                <w:sz w:val="21"/>
                <w:szCs w:val="21"/>
                <w:u w:val="single"/>
              </w:rPr>
              <w:t>mg/m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vertAlign w:val="baseline"/>
                <w:lang w:eastAsia="zh-CN"/>
              </w:rPr>
              <w:t>，</w:t>
            </w:r>
            <w:r>
              <w:rPr>
                <w:rFonts w:hint="default" w:ascii="Times New Roman" w:hAnsi="Times New Roman" w:cs="Times New Roman"/>
                <w:sz w:val="21"/>
                <w:szCs w:val="21"/>
                <w:u w:val="single"/>
                <w:vertAlign w:val="baseline"/>
                <w:lang w:val="en-US" w:eastAsia="zh-CN"/>
              </w:rPr>
              <w:t>排放速率</w:t>
            </w:r>
            <w:r>
              <w:rPr>
                <w:rFonts w:hint="default" w:ascii="Times New Roman" w:hAnsi="Times New Roman" w:eastAsia="宋体" w:cs="Times New Roman"/>
                <w:sz w:val="21"/>
                <w:szCs w:val="21"/>
                <w:u w:val="single"/>
              </w:rPr>
              <w:t>≦</w:t>
            </w:r>
            <w:r>
              <w:rPr>
                <w:rFonts w:hint="eastAsia" w:cs="Times New Roman"/>
                <w:sz w:val="21"/>
                <w:szCs w:val="21"/>
                <w:u w:val="single"/>
                <w:lang w:val="en-US" w:eastAsia="zh-CN"/>
              </w:rPr>
              <w:t>17</w:t>
            </w:r>
            <w:r>
              <w:rPr>
                <w:rFonts w:hint="default" w:ascii="Times New Roman" w:hAnsi="Times New Roman" w:cs="Times New Roman"/>
                <w:sz w:val="21"/>
                <w:szCs w:val="21"/>
                <w:u w:val="single"/>
                <w:lang w:val="en-US" w:eastAsia="zh-CN"/>
              </w:rPr>
              <w:t>kg/h</w:t>
            </w:r>
            <w:r>
              <w:rPr>
                <w:rFonts w:hint="eastAsia" w:cs="Times New Roman"/>
                <w:sz w:val="21"/>
                <w:szCs w:val="21"/>
                <w:u w:val="single"/>
                <w:lang w:val="en-US" w:eastAsia="zh-CN"/>
              </w:rPr>
              <w:t>；二甲苯40</w:t>
            </w:r>
            <w:r>
              <w:rPr>
                <w:rFonts w:hint="default" w:ascii="Times New Roman" w:hAnsi="Times New Roman" w:cs="Times New Roman"/>
                <w:sz w:val="21"/>
                <w:szCs w:val="21"/>
                <w:u w:val="single"/>
              </w:rPr>
              <w:t>mg/m</w:t>
            </w:r>
            <w:r>
              <w:rPr>
                <w:rFonts w:hint="default" w:ascii="Times New Roman" w:hAnsi="Times New Roman" w:cs="Times New Roman"/>
                <w:sz w:val="21"/>
                <w:szCs w:val="21"/>
                <w:u w:val="single"/>
                <w:vertAlign w:val="superscript"/>
              </w:rPr>
              <w:t>3</w:t>
            </w:r>
            <w:r>
              <w:rPr>
                <w:rFonts w:hint="eastAsia" w:ascii="Times New Roman" w:hAnsi="Times New Roman" w:cs="Times New Roman"/>
                <w:sz w:val="21"/>
                <w:szCs w:val="21"/>
                <w:u w:val="single"/>
                <w:vertAlign w:val="baseline"/>
                <w:lang w:eastAsia="zh-CN"/>
              </w:rPr>
              <w:t>，</w:t>
            </w:r>
            <w:r>
              <w:rPr>
                <w:rFonts w:hint="default" w:ascii="Times New Roman" w:hAnsi="Times New Roman" w:cs="Times New Roman"/>
                <w:sz w:val="21"/>
                <w:szCs w:val="21"/>
                <w:u w:val="single"/>
                <w:vertAlign w:val="baseline"/>
                <w:lang w:val="en-US" w:eastAsia="zh-CN"/>
              </w:rPr>
              <w:t>排放速率</w:t>
            </w:r>
            <w:r>
              <w:rPr>
                <w:rFonts w:hint="default" w:ascii="Times New Roman" w:hAnsi="Times New Roman" w:eastAsia="宋体" w:cs="Times New Roman"/>
                <w:sz w:val="21"/>
                <w:szCs w:val="21"/>
                <w:u w:val="single"/>
              </w:rPr>
              <w:t>≦</w:t>
            </w:r>
            <w:r>
              <w:rPr>
                <w:rFonts w:hint="eastAsia" w:cs="Times New Roman"/>
                <w:sz w:val="21"/>
                <w:szCs w:val="21"/>
                <w:u w:val="single"/>
                <w:lang w:val="en-US" w:eastAsia="zh-CN"/>
              </w:rPr>
              <w:t>1.7</w:t>
            </w:r>
            <w:r>
              <w:rPr>
                <w:rFonts w:hint="default" w:ascii="Times New Roman" w:hAnsi="Times New Roman" w:cs="Times New Roman"/>
                <w:sz w:val="21"/>
                <w:szCs w:val="21"/>
                <w:u w:val="single"/>
                <w:lang w:val="en-US" w:eastAsia="zh-CN"/>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c>
          <w:tcPr>
            <w:tcW w:w="1018"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lang w:val="en-US"/>
              </w:rPr>
            </w:pPr>
            <w:r>
              <w:rPr>
                <w:rFonts w:hint="eastAsia" w:cs="Times New Roman"/>
                <w:sz w:val="21"/>
                <w:szCs w:val="21"/>
                <w:u w:val="single"/>
                <w:lang w:val="en-US" w:eastAsia="zh-CN"/>
              </w:rPr>
              <w:t>废泡沫再利用</w:t>
            </w:r>
            <w:r>
              <w:rPr>
                <w:rFonts w:hint="default" w:ascii="Times New Roman" w:hAnsi="Times New Roman" w:cs="Times New Roman"/>
                <w:sz w:val="21"/>
                <w:szCs w:val="21"/>
                <w:u w:val="single"/>
                <w:lang w:val="en-US" w:eastAsia="zh-CN"/>
              </w:rPr>
              <w:t>生产线</w:t>
            </w:r>
            <w:r>
              <w:rPr>
                <w:rFonts w:hint="eastAsia" w:cs="Times New Roman"/>
                <w:sz w:val="21"/>
                <w:szCs w:val="21"/>
                <w:u w:val="single"/>
                <w:lang w:val="en-US" w:eastAsia="zh-CN"/>
              </w:rPr>
              <w:t>（2条）</w:t>
            </w:r>
          </w:p>
        </w:tc>
        <w:tc>
          <w:tcPr>
            <w:tcW w:w="1607"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kern w:val="0"/>
                <w:sz w:val="21"/>
                <w:szCs w:val="21"/>
                <w:highlight w:val="none"/>
                <w:u w:val="single"/>
                <w:lang w:val="en-US" w:eastAsia="zh-CN" w:bidi="ar"/>
              </w:rPr>
            </w:pPr>
            <w:r>
              <w:rPr>
                <w:rFonts w:hint="eastAsia" w:cs="Times New Roman"/>
                <w:b w:val="0"/>
                <w:bCs/>
                <w:color w:val="auto"/>
                <w:kern w:val="0"/>
                <w:sz w:val="21"/>
                <w:szCs w:val="21"/>
                <w:highlight w:val="none"/>
                <w:u w:val="single"/>
                <w:lang w:val="en-US" w:eastAsia="zh-CN" w:bidi="ar"/>
              </w:rPr>
              <w:t>破碎粉尘（DA002）</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val="en-US" w:eastAsia="zh-CN"/>
              </w:rPr>
              <w:t>颗粒物</w:t>
            </w:r>
          </w:p>
        </w:tc>
        <w:tc>
          <w:tcPr>
            <w:tcW w:w="60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u w:val="single"/>
                <w:lang w:val="en-US" w:eastAsia="zh-CN"/>
              </w:rPr>
              <w:t>本项目针对该工序产尘点配备集气设施进行收集，其中破碎设备进料口采取三面封闭，上方配备集气罩进行负压收集；下料口四面封闭并接入管道进行负压收集；最终将废气引入袋式除尘器处理，通过20m排气筒P2（DA002）高空达标排放。</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c>
          <w:tcPr>
            <w:tcW w:w="101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c>
          <w:tcPr>
            <w:tcW w:w="1607"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kern w:val="0"/>
                <w:sz w:val="21"/>
                <w:szCs w:val="21"/>
                <w:highlight w:val="none"/>
                <w:u w:val="single"/>
                <w:lang w:val="en-US" w:eastAsia="zh-CN" w:bidi="ar"/>
              </w:rPr>
            </w:pPr>
            <w:r>
              <w:rPr>
                <w:rFonts w:hint="eastAsia" w:cs="Times New Roman"/>
                <w:b w:val="0"/>
                <w:bCs/>
                <w:color w:val="auto"/>
                <w:kern w:val="0"/>
                <w:sz w:val="21"/>
                <w:szCs w:val="21"/>
                <w:highlight w:val="none"/>
                <w:u w:val="single"/>
                <w:lang w:val="en-US" w:eastAsia="zh-CN" w:bidi="ar"/>
              </w:rPr>
              <w:t>熔融挤出废气（DA003）</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非甲烷总烃</w:t>
            </w:r>
          </w:p>
        </w:tc>
        <w:tc>
          <w:tcPr>
            <w:tcW w:w="60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u w:val="single"/>
                <w:lang w:val="en-US" w:eastAsia="zh-CN"/>
              </w:rPr>
              <w:t>本项目针对熔融挤出设备的排气口、连接处和挤出机的出口处安装全密闭集气系统做到负压收集，将有机废气通过管道排入废气处理系统（</w:t>
            </w:r>
            <w:r>
              <w:rPr>
                <w:rFonts w:hint="eastAsia" w:cs="Times New Roman"/>
                <w:kern w:val="2"/>
                <w:sz w:val="21"/>
                <w:szCs w:val="24"/>
                <w:u w:val="single"/>
                <w:lang w:val="en-US" w:eastAsia="zh-CN" w:bidi="ar-SA"/>
              </w:rPr>
              <w:t>干式过滤（过滤棉）+</w:t>
            </w:r>
            <w:r>
              <w:rPr>
                <w:rFonts w:hint="default" w:ascii="Times New Roman" w:hAnsi="Times New Roman" w:eastAsia="宋体" w:cs="Times New Roman"/>
                <w:kern w:val="2"/>
                <w:sz w:val="21"/>
                <w:szCs w:val="24"/>
                <w:u w:val="single"/>
                <w:lang w:val="en-US" w:eastAsia="zh-CN" w:bidi="ar-SA"/>
              </w:rPr>
              <w:t>活性炭吸附</w:t>
            </w:r>
            <w:r>
              <w:rPr>
                <w:rFonts w:hint="eastAsia" w:cs="Times New Roman"/>
                <w:kern w:val="2"/>
                <w:sz w:val="21"/>
                <w:szCs w:val="24"/>
                <w:u w:val="single"/>
                <w:lang w:val="en-US" w:eastAsia="zh-CN" w:bidi="ar-SA"/>
              </w:rPr>
              <w:t>浓缩+催化燃烧（RCO）</w:t>
            </w:r>
            <w:r>
              <w:rPr>
                <w:rFonts w:hint="eastAsia"/>
                <w:u w:val="single"/>
                <w:lang w:val="en-US" w:eastAsia="zh-CN"/>
              </w:rPr>
              <w:t>）处理，最终经20m排气筒P3（DA003）达标排放。</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single"/>
              </w:rPr>
            </w:pPr>
          </w:p>
        </w:tc>
        <w:tc>
          <w:tcPr>
            <w:tcW w:w="10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eastAsia" w:cs="Times New Roman"/>
                <w:kern w:val="2"/>
                <w:sz w:val="21"/>
                <w:szCs w:val="21"/>
                <w:u w:val="single"/>
                <w:lang w:val="en-US" w:eastAsia="zh-CN" w:bidi="ar-SA"/>
              </w:rPr>
              <w:t>无组织废气</w:t>
            </w:r>
            <w:r>
              <w:rPr>
                <w:rFonts w:hint="default" w:ascii="Times New Roman" w:hAnsi="Times New Roman" w:cs="Times New Roman"/>
                <w:u w:val="single"/>
              </w:rPr>
              <w:t></w:t>
            </w:r>
          </w:p>
        </w:tc>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kern w:val="2"/>
                <w:sz w:val="21"/>
                <w:szCs w:val="21"/>
                <w:u w:val="single"/>
                <w:lang w:val="en-US" w:eastAsia="zh-CN" w:bidi="ar-SA"/>
              </w:rPr>
            </w:pPr>
            <w:r>
              <w:rPr>
                <w:rFonts w:hint="default" w:ascii="Times New Roman" w:hAnsi="Times New Roman" w:cs="Times New Roman"/>
                <w:u w:val="single"/>
              </w:rPr>
              <w:t>厂区内运输道路扬尘</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val="en-US" w:eastAsia="zh-CN"/>
              </w:rPr>
              <w:t>颗粒物</w:t>
            </w:r>
          </w:p>
        </w:tc>
        <w:tc>
          <w:tcPr>
            <w:tcW w:w="6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u w:val="single"/>
              </w:rPr>
              <w:t>①及时对厂区内地面进行洒水降尘、清扫；②汽车进入厂区后要减速慢行，运输车辆均全封闭遮盖，减少原料的散落；③厂区门口设置车辆清洗设施，车辆离场时确保冲洗干净后方可上路。</w:t>
            </w:r>
          </w:p>
        </w:tc>
        <w:tc>
          <w:tcPr>
            <w:tcW w:w="376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rPr>
            </w:pPr>
            <w:r>
              <w:rPr>
                <w:rFonts w:hint="default"/>
              </w:rPr>
              <w:t>无组织</w:t>
            </w:r>
            <w:r>
              <w:rPr>
                <w:rFonts w:hint="eastAsia"/>
                <w:lang w:val="en-US" w:eastAsia="zh-CN"/>
              </w:rPr>
              <w:t>颗粒物</w:t>
            </w:r>
            <w:r>
              <w:rPr>
                <w:rFonts w:hint="default"/>
              </w:rPr>
              <w:t>排放需满足《大气污染物综合排放标准》（GB16297-1996）表2标准（周界外浓度最高点）中颗粒物≦1.0mg/m</w:t>
            </w:r>
            <w:r>
              <w:rPr>
                <w:rFonts w:hint="default"/>
                <w:vertAlign w:val="superscript"/>
              </w:rPr>
              <w:t>3</w:t>
            </w:r>
            <w:r>
              <w:rPr>
                <w:rFonts w:hint="default"/>
              </w:rPr>
              <w:t>。</w:t>
            </w:r>
          </w:p>
          <w:p>
            <w:pPr>
              <w:pStyle w:val="2"/>
              <w:rPr>
                <w:rFonts w:hint="default" w:eastAsia="宋体"/>
                <w:lang w:val="en-US" w:eastAsia="zh-CN"/>
              </w:rPr>
            </w:pPr>
            <w:r>
              <w:rPr>
                <w:rFonts w:hint="eastAsia"/>
                <w:lang w:val="en-US" w:eastAsia="zh-CN"/>
              </w:rPr>
              <w:t>无组织恶臭（</w:t>
            </w:r>
            <w:r>
              <w:rPr>
                <w:rFonts w:hint="default" w:ascii="Times New Roman" w:hAnsi="Times New Roman" w:cs="Times New Roman"/>
              </w:rPr>
              <w:t>NH</w:t>
            </w:r>
            <w:r>
              <w:rPr>
                <w:rFonts w:hint="default" w:ascii="Times New Roman" w:hAnsi="Times New Roman" w:cs="Times New Roman"/>
                <w:vertAlign w:val="subscript"/>
              </w:rPr>
              <w:t>3</w:t>
            </w:r>
            <w:r>
              <w:rPr>
                <w:rFonts w:hint="eastAsia" w:cs="Times New Roman"/>
                <w:vertAlign w:val="baseline"/>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r>
              <w:rPr>
                <w:rFonts w:hint="eastAsia"/>
                <w:lang w:val="en-US" w:eastAsia="zh-CN"/>
              </w:rPr>
              <w:t>）需满足《恶臭污染物排放标准》（GB14554-93）表1标准，</w:t>
            </w:r>
            <w:r>
              <w:rPr>
                <w:rFonts w:hint="default" w:ascii="Times New Roman" w:hAnsi="Times New Roman" w:cs="Times New Roman"/>
              </w:rPr>
              <w:t>NH</w:t>
            </w:r>
            <w:r>
              <w:rPr>
                <w:rFonts w:hint="default" w:ascii="Times New Roman" w:hAnsi="Times New Roman" w:cs="Times New Roman"/>
                <w:vertAlign w:val="subscript"/>
              </w:rPr>
              <w:t>3</w:t>
            </w:r>
            <w:r>
              <w:rPr>
                <w:rFonts w:hint="eastAsia" w:ascii="Times New Roman" w:hAnsi="Times New Roman" w:cs="Times New Roman"/>
                <w:vertAlign w:val="baseline"/>
                <w:lang w:val="en-US" w:eastAsia="zh-CN"/>
              </w:rPr>
              <w:t>1.5mg/m</w:t>
            </w:r>
            <w:r>
              <w:rPr>
                <w:rFonts w:hint="eastAsia" w:ascii="Times New Roman" w:hAnsi="Times New Roman" w:cs="Times New Roman"/>
                <w:vertAlign w:val="superscript"/>
                <w:lang w:val="en-US" w:eastAsia="zh-CN"/>
              </w:rPr>
              <w:t>3</w:t>
            </w:r>
            <w:r>
              <w:rPr>
                <w:rFonts w:hint="eastAsia" w:ascii="Times New Roman" w:hAnsi="Times New Roman" w:cs="Times New Roman"/>
                <w:vertAlign w:val="baseline"/>
                <w:lang w:val="en-US"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r>
              <w:rPr>
                <w:rFonts w:hint="eastAsia" w:ascii="Times New Roman" w:hAnsi="Times New Roman" w:cs="Times New Roman"/>
                <w:lang w:val="en-US" w:eastAsia="zh-CN"/>
              </w:rPr>
              <w:t>0.06</w:t>
            </w:r>
            <w:r>
              <w:rPr>
                <w:rFonts w:hint="eastAsia" w:ascii="Times New Roman" w:hAnsi="Times New Roman" w:cs="Times New Roman"/>
                <w:vertAlign w:val="baseline"/>
                <w:lang w:val="en-US" w:eastAsia="zh-CN"/>
              </w:rPr>
              <w:t>mg/m</w:t>
            </w:r>
            <w:r>
              <w:rPr>
                <w:rFonts w:hint="eastAsia" w:ascii="Times New Roman" w:hAnsi="Times New Roman" w:cs="Times New Roman"/>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single"/>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kern w:val="2"/>
                <w:sz w:val="21"/>
                <w:szCs w:val="21"/>
                <w:u w:val="single"/>
                <w:lang w:val="en-US" w:eastAsia="zh-CN" w:bidi="ar-SA"/>
              </w:rPr>
            </w:pPr>
          </w:p>
        </w:tc>
        <w:tc>
          <w:tcPr>
            <w:tcW w:w="160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u w:val="single"/>
                <w:lang w:val="en-US" w:eastAsia="zh-CN"/>
              </w:rPr>
            </w:pPr>
            <w:r>
              <w:rPr>
                <w:rFonts w:hint="eastAsia" w:cs="Times New Roman"/>
                <w:u w:val="single"/>
                <w:lang w:val="en-US" w:eastAsia="zh-CN"/>
              </w:rPr>
              <w:t>一体化污水处理设施废气</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lang w:val="en-US" w:eastAsia="zh-CN"/>
              </w:rPr>
            </w:pPr>
            <w:r>
              <w:rPr>
                <w:rFonts w:hint="default" w:ascii="Times New Roman" w:hAnsi="Times New Roman" w:cs="Times New Roman"/>
              </w:rPr>
              <w:t>NH</w:t>
            </w:r>
            <w:r>
              <w:rPr>
                <w:rFonts w:hint="default" w:ascii="Times New Roman" w:hAnsi="Times New Roman" w:cs="Times New Roman"/>
                <w:vertAlign w:val="subscript"/>
              </w:rPr>
              <w:t>3</w:t>
            </w:r>
            <w:r>
              <w:rPr>
                <w:rFonts w:hint="eastAsia" w:cs="Times New Roman"/>
                <w:vertAlign w:val="baseline"/>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60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u w:val="single"/>
              </w:rPr>
            </w:pPr>
            <w:r>
              <w:rPr>
                <w:rFonts w:hint="eastAsia" w:cs="Times New Roman"/>
                <w:lang w:val="en-US" w:eastAsia="zh-CN"/>
              </w:rPr>
              <w:t>一体污水处理设施各处理单元加盖密闭，加强车间通风，车间周围绿化</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single"/>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single"/>
                <w:lang w:val="en-US" w:eastAsia="zh-CN" w:bidi="ar-SA"/>
              </w:rPr>
            </w:pPr>
          </w:p>
        </w:tc>
        <w:tc>
          <w:tcPr>
            <w:tcW w:w="1607"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single"/>
                <w:lang w:val="en-US" w:eastAsia="zh-CN" w:bidi="ar-SA"/>
              </w:rPr>
            </w:pPr>
            <w:r>
              <w:rPr>
                <w:rFonts w:hint="eastAsia" w:cs="Times New Roman"/>
                <w:color w:val="000000"/>
                <w:sz w:val="21"/>
                <w:u w:val="single"/>
                <w:lang w:val="en-US" w:eastAsia="zh-CN"/>
              </w:rPr>
              <w:t>破碎工序未收集的粉尘</w:t>
            </w:r>
          </w:p>
        </w:tc>
        <w:tc>
          <w:tcPr>
            <w:tcW w:w="1603"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single"/>
                <w:lang w:val="en-US" w:eastAsia="zh-CN" w:bidi="ar-SA"/>
              </w:rPr>
            </w:pPr>
            <w:r>
              <w:rPr>
                <w:rFonts w:hint="eastAsia" w:cs="Times New Roman"/>
                <w:color w:val="000000"/>
                <w:sz w:val="21"/>
                <w:u w:val="single"/>
                <w:lang w:val="en-US" w:eastAsia="zh-CN"/>
              </w:rPr>
              <w:t>颗粒物</w:t>
            </w:r>
          </w:p>
        </w:tc>
        <w:tc>
          <w:tcPr>
            <w:tcW w:w="600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密闭车间，车间外围和道路绿化</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0"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4"/>
                <w:szCs w:val="24"/>
                <w:u w:val="single"/>
              </w:rPr>
            </w:pPr>
          </w:p>
        </w:tc>
        <w:tc>
          <w:tcPr>
            <w:tcW w:w="10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u w:val="single"/>
                <w:lang w:val="en-US" w:eastAsia="zh-CN" w:bidi="ar-SA"/>
              </w:rPr>
            </w:pPr>
          </w:p>
        </w:tc>
        <w:tc>
          <w:tcPr>
            <w:tcW w:w="1607"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single"/>
                <w:lang w:val="en-US" w:eastAsia="zh-CN" w:bidi="ar-SA"/>
              </w:rPr>
            </w:pPr>
            <w:r>
              <w:rPr>
                <w:rFonts w:hint="eastAsia" w:cs="Times New Roman"/>
                <w:u w:val="single"/>
                <w:lang w:val="en-US" w:eastAsia="zh-CN"/>
              </w:rPr>
              <w:t>熔融挤出工序未被收集的废气</w:t>
            </w:r>
          </w:p>
        </w:tc>
        <w:tc>
          <w:tcPr>
            <w:tcW w:w="1603"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single"/>
                <w:lang w:val="en-US" w:eastAsia="zh-CN" w:bidi="ar-SA"/>
              </w:rPr>
            </w:pPr>
            <w:r>
              <w:rPr>
                <w:rFonts w:hint="eastAsia" w:cs="Times New Roman"/>
                <w:u w:val="single"/>
                <w:lang w:val="en-US" w:eastAsia="zh-CN"/>
              </w:rPr>
              <w:t>非甲烷总烃、二甲苯、颗粒物</w:t>
            </w:r>
          </w:p>
        </w:tc>
        <w:tc>
          <w:tcPr>
            <w:tcW w:w="600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kern w:val="2"/>
                <w:sz w:val="21"/>
                <w:szCs w:val="24"/>
                <w:u w:val="single"/>
                <w:lang w:val="en-US" w:eastAsia="zh-CN" w:bidi="ar-SA"/>
              </w:rPr>
            </w:pPr>
            <w:r>
              <w:rPr>
                <w:rFonts w:hint="eastAsia"/>
                <w:u w:val="single"/>
                <w:lang w:val="en-US" w:eastAsia="zh-CN"/>
              </w:rPr>
              <w:t>密闭车间</w:t>
            </w:r>
          </w:p>
        </w:tc>
        <w:tc>
          <w:tcPr>
            <w:tcW w:w="376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eastAsia="宋体" w:cs="Times New Roman"/>
                <w:sz w:val="21"/>
                <w:szCs w:val="21"/>
                <w:u w:val="single"/>
                <w:lang w:val="en-US" w:eastAsia="zh-CN"/>
              </w:rPr>
            </w:pPr>
            <w:r>
              <w:rPr>
                <w:rFonts w:hint="eastAsia" w:cs="Times New Roman"/>
                <w:b/>
                <w:bCs/>
                <w:sz w:val="21"/>
                <w:szCs w:val="21"/>
                <w:u w:val="single"/>
                <w:lang w:val="en-US" w:eastAsia="zh-CN"/>
              </w:rPr>
              <w:t>厂房外：</w:t>
            </w:r>
            <w:r>
              <w:rPr>
                <w:rFonts w:hint="eastAsia" w:cs="Times New Roman"/>
                <w:sz w:val="21"/>
                <w:szCs w:val="21"/>
                <w:u w:val="single"/>
                <w:lang w:val="en-US" w:eastAsia="zh-CN"/>
              </w:rPr>
              <w:t>厂区内无组织非甲烷总烃排放执行《挥发性有机物无组织排放控制标准》（GB37822-2019）相关要求即：</w:t>
            </w:r>
            <w:r>
              <w:rPr>
                <w:rFonts w:hint="eastAsia"/>
                <w:u w:val="single"/>
              </w:rPr>
              <w:t>在厂房</w:t>
            </w:r>
            <w:r>
              <w:rPr>
                <w:u w:val="single"/>
              </w:rPr>
              <w:t>外设置监控点</w:t>
            </w:r>
            <w:r>
              <w:rPr>
                <w:rFonts w:hint="eastAsia"/>
                <w:u w:val="single"/>
                <w:lang w:eastAsia="zh-CN"/>
              </w:rPr>
              <w:t>，</w:t>
            </w:r>
            <w:r>
              <w:rPr>
                <w:u w:val="single"/>
              </w:rPr>
              <w:t>监控点处</w:t>
            </w:r>
            <w:r>
              <w:rPr>
                <w:rFonts w:hint="eastAsia"/>
                <w:u w:val="single"/>
              </w:rPr>
              <w:t>1h平均浓度值</w:t>
            </w:r>
            <w:r>
              <w:rPr>
                <w:rFonts w:hint="default" w:ascii="Arial" w:hAnsi="Arial" w:cs="Arial"/>
                <w:u w:val="single"/>
              </w:rPr>
              <w:t>≤</w:t>
            </w:r>
            <w:r>
              <w:rPr>
                <w:rFonts w:hint="eastAsia"/>
                <w:u w:val="single"/>
                <w:lang w:val="en-US" w:eastAsia="zh-CN"/>
              </w:rPr>
              <w:t>6.0mg/m</w:t>
            </w:r>
            <w:r>
              <w:rPr>
                <w:rFonts w:hint="eastAsia"/>
                <w:u w:val="single"/>
                <w:vertAlign w:val="superscript"/>
                <w:lang w:val="en-US" w:eastAsia="zh-CN"/>
              </w:rPr>
              <w:t>3</w:t>
            </w:r>
            <w:r>
              <w:rPr>
                <w:rFonts w:hint="eastAsia"/>
                <w:u w:val="single"/>
                <w:lang w:val="en-US" w:eastAsia="zh-CN"/>
              </w:rPr>
              <w:t>，</w:t>
            </w:r>
            <w:r>
              <w:rPr>
                <w:u w:val="single"/>
              </w:rPr>
              <w:t>监控点处任意一次浓度值</w:t>
            </w:r>
            <w:r>
              <w:rPr>
                <w:rFonts w:hint="default" w:ascii="Arial" w:hAnsi="Arial" w:cs="Arial"/>
                <w:u w:val="single"/>
              </w:rPr>
              <w:t>≤</w:t>
            </w:r>
            <w:r>
              <w:rPr>
                <w:rFonts w:hint="eastAsia"/>
                <w:u w:val="single"/>
                <w:lang w:val="en-US" w:eastAsia="zh-CN"/>
              </w:rPr>
              <w:t>20.0mg/m</w:t>
            </w:r>
            <w:r>
              <w:rPr>
                <w:rFonts w:hint="eastAsia"/>
                <w:u w:val="single"/>
                <w:vertAlign w:val="superscript"/>
                <w:lang w:val="en-US" w:eastAsia="zh-CN"/>
              </w:rPr>
              <w:t>3</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r>
              <w:rPr>
                <w:rFonts w:hint="eastAsia" w:cs="Times New Roman"/>
                <w:b/>
                <w:bCs/>
                <w:sz w:val="21"/>
                <w:szCs w:val="21"/>
                <w:u w:val="single"/>
                <w:lang w:val="en-US" w:eastAsia="zh-CN"/>
              </w:rPr>
              <w:t>厂界：</w:t>
            </w:r>
            <w:r>
              <w:rPr>
                <w:rFonts w:hint="eastAsia" w:cs="Times New Roman"/>
                <w:b w:val="0"/>
                <w:bCs w:val="0"/>
                <w:sz w:val="21"/>
                <w:szCs w:val="21"/>
                <w:u w:val="single"/>
                <w:lang w:val="en-US" w:eastAsia="zh-CN"/>
              </w:rPr>
              <w:t>颗粒物</w:t>
            </w:r>
            <w:r>
              <w:rPr>
                <w:rFonts w:hint="default"/>
                <w:u w:val="single"/>
              </w:rPr>
              <w:t>排放需满足《大气污染物综合排放标准》（GB16297-1996）表2标准（周界外浓度最高点）中颗粒物≦1.0mg/m</w:t>
            </w:r>
            <w:r>
              <w:rPr>
                <w:rFonts w:hint="default"/>
                <w:u w:val="single"/>
                <w:vertAlign w:val="superscript"/>
              </w:rPr>
              <w:t>3</w:t>
            </w:r>
            <w:r>
              <w:rPr>
                <w:rFonts w:hint="default"/>
                <w:u w:val="single"/>
              </w:rPr>
              <w:t>。</w:t>
            </w:r>
            <w:r>
              <w:rPr>
                <w:rFonts w:hint="default" w:ascii="Times New Roman" w:hAnsi="Times New Roman" w:cs="Times New Roman"/>
                <w:sz w:val="21"/>
                <w:szCs w:val="21"/>
                <w:u w:val="single"/>
              </w:rPr>
              <w:t>无组织非甲烷总烃</w:t>
            </w:r>
            <w:r>
              <w:rPr>
                <w:rFonts w:hint="eastAsia" w:cs="Times New Roman"/>
                <w:sz w:val="21"/>
                <w:szCs w:val="21"/>
                <w:u w:val="single"/>
                <w:lang w:eastAsia="zh-CN"/>
              </w:rPr>
              <w:t>、</w:t>
            </w:r>
            <w:r>
              <w:rPr>
                <w:rFonts w:hint="eastAsia" w:cs="Times New Roman"/>
                <w:sz w:val="21"/>
                <w:szCs w:val="21"/>
                <w:u w:val="single"/>
                <w:lang w:val="en-US" w:eastAsia="zh-CN"/>
              </w:rPr>
              <w:t>二甲苯</w:t>
            </w:r>
            <w:r>
              <w:rPr>
                <w:rFonts w:hint="default" w:ascii="Times New Roman" w:hAnsi="Times New Roman" w:cs="Times New Roman"/>
                <w:sz w:val="21"/>
                <w:szCs w:val="21"/>
                <w:u w:val="single"/>
              </w:rPr>
              <w:t>需满足河南省环境污染防治攻坚战领导小组办公室文件《关于全省开展工业企业挥发性有机物专项治理工作中排放建议值的通知》（豫环攻坚办</w:t>
            </w:r>
            <w:r>
              <w:rPr>
                <w:rFonts w:hint="eastAsia" w:cs="Times New Roman"/>
                <w:sz w:val="21"/>
                <w:szCs w:val="21"/>
                <w:u w:val="single"/>
                <w:lang w:eastAsia="zh-CN"/>
              </w:rPr>
              <w:t>〔</w:t>
            </w:r>
            <w:r>
              <w:rPr>
                <w:rFonts w:hint="default" w:ascii="Times New Roman" w:hAnsi="Times New Roman" w:cs="Times New Roman"/>
                <w:sz w:val="21"/>
                <w:szCs w:val="21"/>
                <w:u w:val="single"/>
              </w:rPr>
              <w:t>2017</w:t>
            </w:r>
            <w:r>
              <w:rPr>
                <w:rFonts w:hint="eastAsia" w:cs="Times New Roman"/>
                <w:sz w:val="21"/>
                <w:szCs w:val="21"/>
                <w:u w:val="single"/>
                <w:lang w:eastAsia="zh-CN"/>
              </w:rPr>
              <w:t>〕</w:t>
            </w:r>
            <w:r>
              <w:rPr>
                <w:rFonts w:hint="default" w:ascii="Times New Roman" w:hAnsi="Times New Roman" w:cs="Times New Roman"/>
                <w:sz w:val="21"/>
                <w:szCs w:val="21"/>
                <w:u w:val="single"/>
              </w:rPr>
              <w:t>162号）中表2中限值（其他企业非甲烷总烃2.0mg/m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w:t>
            </w:r>
            <w:r>
              <w:rPr>
                <w:rFonts w:hint="eastAsia" w:cs="Times New Roman"/>
                <w:sz w:val="21"/>
                <w:szCs w:val="21"/>
                <w:u w:val="single"/>
                <w:lang w:eastAsia="zh-CN"/>
              </w:rPr>
              <w:t>，</w:t>
            </w:r>
            <w:r>
              <w:rPr>
                <w:rFonts w:hint="eastAsia" w:cs="Times New Roman"/>
                <w:sz w:val="21"/>
                <w:szCs w:val="21"/>
                <w:u w:val="single"/>
                <w:lang w:val="en-US" w:eastAsia="zh-CN"/>
              </w:rPr>
              <w:t>二甲苯0.2</w:t>
            </w:r>
            <w:r>
              <w:rPr>
                <w:rFonts w:hint="default" w:ascii="Times New Roman" w:hAnsi="Times New Roman" w:cs="Times New Roman"/>
                <w:sz w:val="21"/>
                <w:szCs w:val="21"/>
                <w:u w:val="single"/>
              </w:rPr>
              <w:t>mg/m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地表水环境</w:t>
            </w:r>
          </w:p>
        </w:tc>
        <w:tc>
          <w:tcPr>
            <w:tcW w:w="2625" w:type="dxa"/>
            <w:gridSpan w:val="2"/>
            <w:noWrap w:val="0"/>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kern w:val="2"/>
                <w:sz w:val="21"/>
                <w:szCs w:val="21"/>
                <w:u w:val="single"/>
                <w:lang w:val="en-US" w:eastAsia="zh-CN" w:bidi="ar-SA"/>
              </w:rPr>
              <w:t>生活污水</w:t>
            </w:r>
          </w:p>
        </w:tc>
        <w:tc>
          <w:tcPr>
            <w:tcW w:w="1603"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lang w:eastAsia="zh-CN"/>
              </w:rPr>
              <w:t>COD、BOD</w:t>
            </w:r>
            <w:r>
              <w:rPr>
                <w:rFonts w:hint="default" w:ascii="Times New Roman" w:hAnsi="Times New Roman" w:cs="Times New Roman"/>
                <w:sz w:val="21"/>
                <w:szCs w:val="21"/>
                <w:u w:val="single"/>
                <w:vertAlign w:val="subscript"/>
                <w:lang w:eastAsia="zh-CN"/>
              </w:rPr>
              <w:t>5</w:t>
            </w:r>
            <w:r>
              <w:rPr>
                <w:rFonts w:hint="default" w:ascii="Times New Roman" w:hAnsi="Times New Roman" w:cs="Times New Roman"/>
                <w:sz w:val="21"/>
                <w:szCs w:val="21"/>
                <w:u w:val="single"/>
                <w:lang w:eastAsia="zh-CN"/>
              </w:rPr>
              <w:t>、SS、NH</w:t>
            </w:r>
            <w:r>
              <w:rPr>
                <w:rFonts w:hint="default" w:ascii="Times New Roman" w:hAnsi="Times New Roman" w:eastAsia="宋体" w:cs="Times New Roman"/>
                <w:sz w:val="21"/>
                <w:szCs w:val="21"/>
                <w:u w:val="single"/>
                <w:vertAlign w:val="subscript"/>
                <w:lang w:eastAsia="zh-CN"/>
              </w:rPr>
              <w:t>3</w:t>
            </w:r>
            <w:r>
              <w:rPr>
                <w:rFonts w:hint="default" w:ascii="Times New Roman" w:hAnsi="Times New Roman" w:cs="Times New Roman"/>
                <w:sz w:val="21"/>
                <w:szCs w:val="21"/>
                <w:u w:val="single"/>
                <w:lang w:eastAsia="zh-CN"/>
              </w:rPr>
              <w:t>-N</w:t>
            </w:r>
          </w:p>
        </w:tc>
        <w:tc>
          <w:tcPr>
            <w:tcW w:w="60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eastAsia" w:eastAsia="宋体"/>
                <w:u w:val="single"/>
                <w:lang w:eastAsia="zh-CN"/>
              </w:rPr>
              <w:t>生活污水经化粪池收集后可直接进入污水管网，最终进入</w:t>
            </w:r>
            <w:r>
              <w:rPr>
                <w:rFonts w:hint="eastAsia"/>
                <w:u w:val="single"/>
                <w:lang w:eastAsia="zh-CN"/>
              </w:rPr>
              <w:t>宝丰县产业集聚区污水处理厂</w:t>
            </w:r>
            <w:r>
              <w:rPr>
                <w:rFonts w:hint="eastAsia" w:eastAsia="宋体"/>
                <w:u w:val="single"/>
                <w:lang w:eastAsia="zh-CN"/>
              </w:rPr>
              <w:t>进行处理</w:t>
            </w:r>
          </w:p>
        </w:tc>
        <w:tc>
          <w:tcPr>
            <w:tcW w:w="376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p>
        </w:tc>
        <w:tc>
          <w:tcPr>
            <w:tcW w:w="2625" w:type="dxa"/>
            <w:gridSpan w:val="2"/>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kern w:val="2"/>
                <w:sz w:val="21"/>
                <w:szCs w:val="21"/>
                <w:u w:val="single"/>
                <w:lang w:val="en-US" w:eastAsia="zh-CN" w:bidi="ar-SA"/>
              </w:rPr>
              <w:t>车辆冲洗废水</w:t>
            </w:r>
          </w:p>
        </w:tc>
        <w:tc>
          <w:tcPr>
            <w:tcW w:w="1603"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kern w:val="2"/>
                <w:sz w:val="21"/>
                <w:szCs w:val="21"/>
                <w:u w:val="single"/>
                <w:lang w:val="en-US" w:eastAsia="zh-CN" w:bidi="ar-SA"/>
              </w:rPr>
              <w:t>SS</w:t>
            </w:r>
          </w:p>
        </w:tc>
        <w:tc>
          <w:tcPr>
            <w:tcW w:w="6000"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kern w:val="2"/>
                <w:sz w:val="21"/>
                <w:szCs w:val="21"/>
                <w:u w:val="single"/>
                <w:lang w:val="en-US" w:eastAsia="zh-CN" w:bidi="ar-SA"/>
              </w:rPr>
            </w:pPr>
            <w:r>
              <w:rPr>
                <w:rFonts w:hint="eastAsia" w:eastAsia="宋体"/>
                <w:u w:val="single"/>
                <w:lang w:eastAsia="zh-CN"/>
              </w:rPr>
              <w:t>车辆冲洗废水经沉淀池处理后，循环使用不外排</w:t>
            </w:r>
          </w:p>
        </w:tc>
        <w:tc>
          <w:tcPr>
            <w:tcW w:w="3764"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lang w:val="en-US" w:eastAsia="zh-CN"/>
              </w:rPr>
              <w:t>综合利用，不外排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p>
        </w:tc>
        <w:tc>
          <w:tcPr>
            <w:tcW w:w="2625" w:type="dxa"/>
            <w:gridSpan w:val="2"/>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cs="Times New Roman"/>
                <w:kern w:val="2"/>
                <w:sz w:val="21"/>
                <w:szCs w:val="21"/>
                <w:u w:val="single"/>
                <w:lang w:val="en-US" w:eastAsia="zh-CN" w:bidi="ar-SA"/>
              </w:rPr>
            </w:pPr>
            <w:r>
              <w:rPr>
                <w:rFonts w:hint="eastAsia" w:cs="Times New Roman"/>
                <w:kern w:val="2"/>
                <w:sz w:val="21"/>
                <w:szCs w:val="21"/>
                <w:u w:val="single"/>
                <w:lang w:val="en-US" w:eastAsia="zh-CN" w:bidi="ar-SA"/>
              </w:rPr>
              <w:t>清洗废水</w:t>
            </w:r>
          </w:p>
        </w:tc>
        <w:tc>
          <w:tcPr>
            <w:tcW w:w="1603" w:type="dxa"/>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cs="Times New Roman"/>
                <w:sz w:val="21"/>
                <w:szCs w:val="21"/>
                <w:u w:val="single"/>
                <w:lang w:eastAsia="zh-CN"/>
              </w:rPr>
            </w:pPr>
            <w:r>
              <w:rPr>
                <w:rFonts w:hint="default" w:ascii="Times New Roman" w:hAnsi="Times New Roman" w:cs="Times New Roman"/>
                <w:kern w:val="2"/>
                <w:sz w:val="21"/>
                <w:szCs w:val="21"/>
                <w:u w:val="single"/>
                <w:lang w:val="en-US" w:eastAsia="zh-CN" w:bidi="ar-SA"/>
              </w:rPr>
              <w:t>SS</w:t>
            </w:r>
          </w:p>
        </w:tc>
        <w:tc>
          <w:tcPr>
            <w:tcW w:w="6000" w:type="dxa"/>
            <w:noWrap w:val="0"/>
            <w:vAlign w:val="center"/>
          </w:tcPr>
          <w:p>
            <w:pPr>
              <w:jc w:val="center"/>
              <w:rPr>
                <w:rFonts w:hint="default" w:ascii="Times New Roman" w:hAnsi="Times New Roman" w:eastAsia="宋体" w:cs="Times New Roman"/>
                <w:color w:val="auto"/>
                <w:sz w:val="21"/>
                <w:szCs w:val="21"/>
                <w:u w:val="single"/>
                <w:lang w:val="en-US" w:eastAsia="zh-CN"/>
              </w:rPr>
            </w:pPr>
            <w:r>
              <w:rPr>
                <w:rFonts w:hint="eastAsia" w:eastAsia="宋体"/>
                <w:u w:val="single"/>
                <w:lang w:eastAsia="zh-CN"/>
              </w:rPr>
              <w:t>清洗废水经</w:t>
            </w:r>
            <w:r>
              <w:rPr>
                <w:rFonts w:hint="eastAsia"/>
                <w:u w:val="single"/>
                <w:lang w:val="en-US" w:eastAsia="zh-CN"/>
              </w:rPr>
              <w:t>30m</w:t>
            </w:r>
            <w:r>
              <w:rPr>
                <w:rFonts w:hint="eastAsia"/>
                <w:u w:val="single"/>
                <w:vertAlign w:val="superscript"/>
                <w:lang w:val="en-US" w:eastAsia="zh-CN"/>
              </w:rPr>
              <w:t>3</w:t>
            </w:r>
            <w:r>
              <w:rPr>
                <w:rFonts w:hint="eastAsia"/>
                <w:u w:val="single"/>
                <w:lang w:val="en-US" w:eastAsia="zh-CN"/>
              </w:rPr>
              <w:t>/d一体化污水处理设施（初沉池+调节池+A/O+二沉池+消毒池）</w:t>
            </w:r>
            <w:r>
              <w:rPr>
                <w:rFonts w:hint="eastAsia" w:eastAsia="宋体"/>
                <w:u w:val="single"/>
                <w:lang w:eastAsia="zh-CN"/>
              </w:rPr>
              <w:t>处理后循环使用不外排</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3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p>
        </w:tc>
        <w:tc>
          <w:tcPr>
            <w:tcW w:w="2625"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color w:val="000000"/>
                <w:kern w:val="2"/>
                <w:sz w:val="21"/>
                <w:szCs w:val="24"/>
                <w:u w:val="single"/>
                <w:lang w:val="en-US" w:eastAsia="zh-CN" w:bidi="ar-SA"/>
              </w:rPr>
            </w:pPr>
            <w:r>
              <w:rPr>
                <w:rFonts w:hint="eastAsia" w:cs="Times New Roman"/>
                <w:color w:val="000000"/>
                <w:sz w:val="21"/>
                <w:u w:val="single"/>
                <w:lang w:val="en-US" w:eastAsia="zh-CN"/>
              </w:rPr>
              <w:t>冷却水</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kern w:val="2"/>
                <w:sz w:val="21"/>
                <w:szCs w:val="24"/>
                <w:u w:val="single"/>
                <w:lang w:val="en-US" w:eastAsia="zh-CN" w:bidi="ar-SA"/>
              </w:rPr>
            </w:pPr>
            <w:r>
              <w:rPr>
                <w:rFonts w:hint="eastAsia" w:ascii="Times New Roman" w:hAnsi="Times New Roman"/>
                <w:color w:val="auto"/>
                <w:sz w:val="21"/>
                <w:szCs w:val="21"/>
                <w:u w:val="single"/>
                <w:vertAlign w:val="baseline"/>
              </w:rPr>
              <w:t>COD、SS</w:t>
            </w:r>
          </w:p>
        </w:tc>
        <w:tc>
          <w:tcPr>
            <w:tcW w:w="600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kern w:val="2"/>
                <w:sz w:val="21"/>
                <w:szCs w:val="24"/>
                <w:u w:val="single"/>
                <w:lang w:val="en-US" w:eastAsia="zh-CN" w:bidi="ar-SA"/>
              </w:rPr>
            </w:pPr>
            <w:r>
              <w:rPr>
                <w:rFonts w:hint="eastAsia"/>
                <w:color w:val="auto"/>
                <w:sz w:val="21"/>
                <w:szCs w:val="21"/>
                <w:u w:val="single"/>
                <w:vertAlign w:val="baseline"/>
                <w:lang w:val="en-US" w:eastAsia="zh-CN"/>
              </w:rPr>
              <w:t>冷却水循环使用，定期补充新鲜水</w:t>
            </w:r>
          </w:p>
        </w:tc>
        <w:tc>
          <w:tcPr>
            <w:tcW w:w="3764"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声环境</w:t>
            </w:r>
          </w:p>
        </w:tc>
        <w:tc>
          <w:tcPr>
            <w:tcW w:w="2625" w:type="dxa"/>
            <w:gridSpan w:val="2"/>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噪声</w:t>
            </w:r>
          </w:p>
        </w:tc>
        <w:tc>
          <w:tcPr>
            <w:tcW w:w="160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lang w:val="en-US"/>
              </w:rPr>
            </w:pPr>
            <w:r>
              <w:rPr>
                <w:rFonts w:hint="default" w:ascii="Times New Roman" w:hAnsi="Times New Roman" w:cs="Times New Roman"/>
                <w:sz w:val="21"/>
                <w:szCs w:val="21"/>
                <w:u w:val="single"/>
                <w:lang w:val="en-US" w:eastAsia="zh-CN"/>
              </w:rPr>
              <w:t>设备噪声</w:t>
            </w:r>
          </w:p>
        </w:tc>
        <w:tc>
          <w:tcPr>
            <w:tcW w:w="6000"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u w:val="single"/>
              </w:rPr>
              <w:t>采用低噪声生产工艺及设备</w:t>
            </w:r>
            <w:r>
              <w:rPr>
                <w:rFonts w:hint="eastAsia" w:cs="Times New Roman"/>
                <w:u w:val="single"/>
                <w:lang w:eastAsia="zh-CN"/>
              </w:rPr>
              <w:t>，</w:t>
            </w:r>
            <w:r>
              <w:rPr>
                <w:rFonts w:hint="eastAsia" w:cs="Times New Roman"/>
                <w:u w:val="single"/>
                <w:lang w:val="en-US" w:eastAsia="zh-CN"/>
              </w:rPr>
              <w:t>并定期维护、保养设备和车辆</w:t>
            </w:r>
            <w:r>
              <w:rPr>
                <w:rFonts w:hint="default" w:ascii="Times New Roman" w:hAnsi="Times New Roman" w:cs="Times New Roman"/>
                <w:u w:val="single"/>
              </w:rPr>
              <w:t>；使用低噪声设备、基础减振</w:t>
            </w:r>
            <w:r>
              <w:rPr>
                <w:rFonts w:hint="default" w:ascii="Times New Roman" w:hAnsi="Times New Roman" w:cs="Times New Roman"/>
                <w:u w:val="single"/>
                <w:lang w:val="en-US" w:eastAsia="zh-CN"/>
              </w:rPr>
              <w:t>以及</w:t>
            </w:r>
            <w:r>
              <w:rPr>
                <w:rFonts w:hint="default" w:ascii="Times New Roman" w:hAnsi="Times New Roman" w:cs="Times New Roman"/>
                <w:u w:val="single"/>
              </w:rPr>
              <w:t>厂房隔声等措施，降低噪声强度</w:t>
            </w:r>
          </w:p>
        </w:tc>
        <w:tc>
          <w:tcPr>
            <w:tcW w:w="376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rPr>
              <w:t>《工业企业厂界环境噪声排放标准</w:t>
            </w:r>
            <w:r>
              <w:rPr>
                <w:rFonts w:hint="default" w:ascii="Times New Roman" w:hAnsi="Times New Roman" w:cs="Times New Roman"/>
                <w:sz w:val="21"/>
                <w:szCs w:val="21"/>
                <w:u w:val="single"/>
                <w:lang w:eastAsia="zh-CN"/>
              </w:rPr>
              <w:t>》</w:t>
            </w:r>
            <w:r>
              <w:rPr>
                <w:rFonts w:hint="default" w:ascii="Times New Roman" w:hAnsi="Times New Roman" w:cs="Times New Roman"/>
                <w:sz w:val="21"/>
                <w:szCs w:val="21"/>
                <w:u w:val="single"/>
              </w:rPr>
              <w:t>（GB12348-2008）中</w:t>
            </w:r>
            <w:r>
              <w:rPr>
                <w:rFonts w:hint="eastAsia" w:cs="Times New Roman"/>
                <w:sz w:val="21"/>
                <w:szCs w:val="21"/>
                <w:u w:val="single"/>
                <w:lang w:val="en-US" w:eastAsia="zh-CN"/>
              </w:rPr>
              <w:t>3</w:t>
            </w:r>
            <w:r>
              <w:rPr>
                <w:rFonts w:hint="default" w:ascii="Times New Roman" w:hAnsi="Times New Roman" w:cs="Times New Roman"/>
                <w:sz w:val="21"/>
                <w:szCs w:val="21"/>
                <w:u w:val="single"/>
                <w:lang w:val="en-US"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电磁辐射</w:t>
            </w:r>
          </w:p>
        </w:tc>
        <w:tc>
          <w:tcPr>
            <w:tcW w:w="10228" w:type="dxa"/>
            <w:gridSpan w:val="4"/>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无</w:t>
            </w:r>
          </w:p>
        </w:tc>
        <w:tc>
          <w:tcPr>
            <w:tcW w:w="3764"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固体废物</w:t>
            </w:r>
          </w:p>
        </w:tc>
        <w:tc>
          <w:tcPr>
            <w:tcW w:w="13992"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生活垃圾经收集后交由环卫部门统一处理</w:t>
            </w:r>
            <w:r>
              <w:rPr>
                <w:rFonts w:hint="eastAsia" w:cs="Times New Roman"/>
                <w:sz w:val="21"/>
                <w:szCs w:val="21"/>
                <w:u w:val="single"/>
                <w:lang w:val="en-US" w:eastAsia="zh-CN"/>
              </w:rPr>
              <w:t>；废过滤棉、</w:t>
            </w:r>
            <w:r>
              <w:rPr>
                <w:rFonts w:hint="default" w:ascii="Times New Roman" w:hAnsi="Times New Roman" w:eastAsia="宋体" w:cs="Times New Roman"/>
                <w:sz w:val="21"/>
                <w:szCs w:val="21"/>
                <w:u w:val="single"/>
                <w:lang w:val="en-US" w:eastAsia="zh-CN"/>
              </w:rPr>
              <w:t>人工分拣出的杂物</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lang w:val="en-US" w:eastAsia="zh-CN"/>
              </w:rPr>
              <w:t>除尘器收集的粉尘</w:t>
            </w:r>
            <w:r>
              <w:rPr>
                <w:rFonts w:hint="eastAsia" w:cs="Times New Roman"/>
                <w:sz w:val="21"/>
                <w:szCs w:val="21"/>
                <w:u w:val="single"/>
                <w:lang w:val="en-US" w:eastAsia="zh-CN"/>
              </w:rPr>
              <w:t>、</w:t>
            </w:r>
            <w:r>
              <w:rPr>
                <w:rFonts w:hint="default" w:ascii="Times New Roman" w:hAnsi="Times New Roman" w:eastAsia="宋体" w:cs="Times New Roman"/>
                <w:sz w:val="21"/>
                <w:szCs w:val="21"/>
                <w:u w:val="single"/>
                <w:lang w:val="en-US" w:eastAsia="zh-CN"/>
              </w:rPr>
              <w:t>熔融挤出工序产生的废滤网</w:t>
            </w:r>
            <w:r>
              <w:rPr>
                <w:rFonts w:hint="eastAsia" w:cs="Times New Roman"/>
                <w:sz w:val="21"/>
                <w:szCs w:val="21"/>
                <w:u w:val="single"/>
                <w:lang w:val="en-US" w:eastAsia="zh-CN"/>
              </w:rPr>
              <w:t>以及</w:t>
            </w:r>
            <w:r>
              <w:rPr>
                <w:rFonts w:hint="default" w:ascii="Times New Roman" w:hAnsi="Times New Roman" w:eastAsia="宋体" w:cs="Times New Roman"/>
                <w:sz w:val="21"/>
                <w:szCs w:val="21"/>
                <w:u w:val="single"/>
                <w:lang w:val="en-US" w:eastAsia="zh-CN"/>
              </w:rPr>
              <w:t>清洗废水处理设施沉淀物</w:t>
            </w:r>
            <w:r>
              <w:rPr>
                <w:rFonts w:hint="eastAsia"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u w:val="single"/>
                <w:lang w:val="en-US" w:eastAsia="zh-CN"/>
              </w:rPr>
              <w:t>经压滤机处理后</w:t>
            </w:r>
            <w:r>
              <w:rPr>
                <w:rFonts w:hint="eastAsia" w:ascii="Times New Roman" w:hAnsi="Times New Roman" w:eastAsia="宋体" w:cs="Times New Roman"/>
                <w:sz w:val="21"/>
                <w:szCs w:val="21"/>
                <w:u w:val="single"/>
                <w:lang w:val="en-US" w:eastAsia="zh-CN"/>
              </w:rPr>
              <w:t>）</w:t>
            </w:r>
            <w:r>
              <w:rPr>
                <w:rFonts w:hint="eastAsia" w:cs="Times New Roman"/>
                <w:sz w:val="21"/>
                <w:szCs w:val="21"/>
                <w:u w:val="single"/>
                <w:lang w:val="en-US" w:eastAsia="zh-CN"/>
              </w:rPr>
              <w:t>暂存于</w:t>
            </w:r>
            <w:r>
              <w:rPr>
                <w:rFonts w:hint="eastAsia" w:cs="Times New Roman"/>
                <w:sz w:val="21"/>
                <w:szCs w:val="21"/>
                <w:u w:val="single"/>
                <w:vertAlign w:val="baseline"/>
                <w:lang w:val="en-US" w:eastAsia="zh-CN"/>
              </w:rPr>
              <w:t>一般固废暂存间（</w:t>
            </w:r>
            <w:r>
              <w:rPr>
                <w:rFonts w:hint="eastAsia" w:cs="Times New Roman"/>
                <w:sz w:val="21"/>
                <w:szCs w:val="21"/>
                <w:u w:val="single"/>
                <w:lang w:val="en-US" w:eastAsia="zh-CN"/>
              </w:rPr>
              <w:t>30m</w:t>
            </w:r>
            <w:r>
              <w:rPr>
                <w:rFonts w:hint="eastAsia" w:cs="Times New Roman"/>
                <w:sz w:val="21"/>
                <w:szCs w:val="21"/>
                <w:u w:val="single"/>
                <w:vertAlign w:val="superscript"/>
                <w:lang w:val="en-US" w:eastAsia="zh-CN"/>
              </w:rPr>
              <w:t>2</w:t>
            </w:r>
            <w:r>
              <w:rPr>
                <w:rFonts w:hint="eastAsia" w:cs="Times New Roman"/>
                <w:sz w:val="21"/>
                <w:szCs w:val="21"/>
                <w:u w:val="single"/>
                <w:vertAlign w:val="baseline"/>
                <w:lang w:val="en-US" w:eastAsia="zh-CN"/>
              </w:rPr>
              <w:t>）</w:t>
            </w:r>
            <w:r>
              <w:rPr>
                <w:rFonts w:hint="default" w:ascii="Times New Roman" w:hAnsi="Times New Roman" w:eastAsia="宋体" w:cs="Times New Roman"/>
                <w:sz w:val="21"/>
                <w:szCs w:val="21"/>
                <w:u w:val="single"/>
                <w:lang w:val="en-US" w:eastAsia="zh-CN"/>
              </w:rPr>
              <w:t>；</w:t>
            </w:r>
            <w:r>
              <w:rPr>
                <w:rFonts w:hint="eastAsia" w:cs="Times New Roman"/>
                <w:sz w:val="21"/>
                <w:szCs w:val="21"/>
                <w:u w:val="single"/>
                <w:lang w:val="en-US" w:eastAsia="zh-CN"/>
              </w:rPr>
              <w:t>定期</w:t>
            </w:r>
            <w:r>
              <w:rPr>
                <w:rFonts w:hint="default" w:ascii="Times New Roman" w:hAnsi="Times New Roman" w:eastAsia="宋体" w:cs="Times New Roman"/>
                <w:sz w:val="21"/>
                <w:szCs w:val="21"/>
                <w:u w:val="single"/>
                <w:lang w:val="en-US" w:eastAsia="zh-CN"/>
              </w:rPr>
              <w:t>交由当地环卫部门清运。</w:t>
            </w:r>
            <w:r>
              <w:rPr>
                <w:rFonts w:hint="eastAsia"/>
                <w:color w:val="auto"/>
                <w:u w:val="single"/>
                <w:lang w:val="en-US" w:eastAsia="zh-CN"/>
              </w:rPr>
              <w:t>生产过程中产生的危险废物主要包括废活性炭、设备保养产生的废机油</w:t>
            </w:r>
            <w:r>
              <w:rPr>
                <w:rFonts w:hint="eastAsia"/>
                <w:color w:val="auto"/>
                <w:lang w:val="en-US" w:eastAsia="zh-CN"/>
              </w:rPr>
              <w:t>以及催化燃烧产生的废催化剂（需做固体废物浸出实验）</w:t>
            </w:r>
            <w:r>
              <w:rPr>
                <w:rFonts w:hint="eastAsia"/>
                <w:color w:val="auto"/>
                <w:u w:val="single"/>
                <w:lang w:val="en-US" w:eastAsia="zh-CN"/>
              </w:rPr>
              <w:t>。针对生产过程中产生的危险废物本项目主要将其暂存于20m</w:t>
            </w:r>
            <w:r>
              <w:rPr>
                <w:rFonts w:hint="eastAsia"/>
                <w:color w:val="auto"/>
                <w:u w:val="single"/>
                <w:vertAlign w:val="superscript"/>
                <w:lang w:val="en-US" w:eastAsia="zh-CN"/>
              </w:rPr>
              <w:t>3</w:t>
            </w:r>
            <w:r>
              <w:rPr>
                <w:rFonts w:hint="eastAsia"/>
                <w:color w:val="auto"/>
                <w:u w:val="single"/>
                <w:lang w:val="en-US" w:eastAsia="zh-CN"/>
              </w:rPr>
              <w:t>危废暂存间，定期交由具有危废资质单位处置。危废暂存间符合《危险废物贮存污染控制标准》（GB18597-2001）及2013修改单要求。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土壤及地下水</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污染防治措施</w:t>
            </w:r>
          </w:p>
        </w:tc>
        <w:tc>
          <w:tcPr>
            <w:tcW w:w="13992"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sz w:val="21"/>
                <w:szCs w:val="21"/>
                <w:u w:val="single"/>
                <w:lang w:val="en-US" w:eastAsia="zh-CN"/>
              </w:rPr>
            </w:pPr>
            <w:r>
              <w:rPr>
                <w:rFonts w:hint="eastAsia"/>
                <w:color w:val="auto"/>
                <w:sz w:val="21"/>
                <w:szCs w:val="21"/>
                <w:u w:val="single"/>
                <w:lang w:val="en-US" w:eastAsia="zh-CN"/>
              </w:rPr>
              <w:t>为防止本项目对土壤及地下水造成污染，本次评价要求：（1）项目20m</w:t>
            </w:r>
            <w:r>
              <w:rPr>
                <w:rFonts w:hint="eastAsia"/>
                <w:color w:val="auto"/>
                <w:sz w:val="21"/>
                <w:szCs w:val="21"/>
                <w:u w:val="single"/>
                <w:vertAlign w:val="superscript"/>
                <w:lang w:val="en-US" w:eastAsia="zh-CN"/>
              </w:rPr>
              <w:t>2</w:t>
            </w:r>
            <w:r>
              <w:rPr>
                <w:rFonts w:hint="eastAsia"/>
                <w:color w:val="auto"/>
                <w:sz w:val="21"/>
                <w:szCs w:val="21"/>
                <w:u w:val="single"/>
                <w:lang w:val="en-US" w:eastAsia="zh-CN"/>
              </w:rPr>
              <w:t>危废暂存间采取重点防渗措施，具体要求为：</w:t>
            </w:r>
            <w:r>
              <w:rPr>
                <w:rFonts w:hint="default" w:ascii="Times New Roman" w:hAnsi="Times New Roman" w:cs="Times New Roman"/>
                <w:szCs w:val="21"/>
                <w:u w:val="single"/>
              </w:rPr>
              <w:t>危废暂存间使用2.0mm土工膜，防渗系数达到等效黏土防渗层Mb≥6.0m，K≤1×10</w:t>
            </w:r>
            <w:r>
              <w:rPr>
                <w:rFonts w:hint="eastAsia" w:cs="Times New Roman"/>
                <w:szCs w:val="21"/>
                <w:u w:val="single"/>
                <w:vertAlign w:val="superscript"/>
                <w:lang w:val="en-US" w:eastAsia="zh-CN"/>
              </w:rPr>
              <w:t>-10</w:t>
            </w:r>
            <w:r>
              <w:rPr>
                <w:rFonts w:hint="default" w:ascii="Times New Roman" w:hAnsi="Times New Roman" w:cs="Times New Roman"/>
                <w:szCs w:val="21"/>
                <w:u w:val="single"/>
              </w:rPr>
              <w:t>cm/s；同时废机油收集容器设置防漏托盘，托盘容积应不小于收集容器容积的三分之一</w:t>
            </w:r>
            <w:r>
              <w:rPr>
                <w:rFonts w:hint="eastAsia" w:ascii="Times New Roman" w:hAnsi="Times New Roman" w:cs="Times New Roman"/>
                <w:szCs w:val="21"/>
                <w:u w:val="single"/>
                <w:lang w:eastAsia="zh-CN"/>
              </w:rPr>
              <w:t>（</w:t>
            </w:r>
            <w:r>
              <w:rPr>
                <w:rFonts w:hint="eastAsia" w:ascii="Times New Roman" w:hAnsi="Times New Roman" w:cs="Times New Roman"/>
                <w:szCs w:val="21"/>
                <w:u w:val="single"/>
                <w:lang w:val="en-US" w:eastAsia="zh-CN"/>
              </w:rPr>
              <w:t>2</w:t>
            </w:r>
            <w:r>
              <w:rPr>
                <w:rFonts w:hint="eastAsia" w:ascii="Times New Roman" w:hAnsi="Times New Roman" w:cs="Times New Roman"/>
                <w:szCs w:val="21"/>
                <w:u w:val="single"/>
                <w:lang w:eastAsia="zh-CN"/>
              </w:rPr>
              <w:t>）</w:t>
            </w:r>
            <w:r>
              <w:rPr>
                <w:rFonts w:hint="eastAsia" w:ascii="Times New Roman" w:hAnsi="Times New Roman" w:cs="Times New Roman"/>
                <w:szCs w:val="21"/>
                <w:u w:val="single"/>
                <w:lang w:val="en-US" w:eastAsia="zh-CN"/>
              </w:rPr>
              <w:t>针对项目</w:t>
            </w:r>
            <w:r>
              <w:rPr>
                <w:rFonts w:hint="eastAsia" w:cs="Times New Roman"/>
                <w:b w:val="0"/>
                <w:bCs w:val="0"/>
                <w:color w:val="auto"/>
                <w:sz w:val="21"/>
                <w:szCs w:val="21"/>
                <w:highlight w:val="none"/>
                <w:u w:val="single"/>
                <w:vertAlign w:val="baseline"/>
                <w:lang w:val="en-US" w:eastAsia="zh-CN"/>
              </w:rPr>
              <w:t>生产车间、车辆冲洗废水的沉淀池以及清洗废水一体化处理设施</w:t>
            </w:r>
            <w:r>
              <w:rPr>
                <w:rFonts w:hint="eastAsia" w:cs="Times New Roman"/>
                <w:color w:val="000000"/>
                <w:sz w:val="21"/>
                <w:u w:val="single"/>
                <w:lang w:val="en-US" w:eastAsia="zh-CN"/>
              </w:rPr>
              <w:t>采取一般防渗措施，</w:t>
            </w:r>
            <w:r>
              <w:rPr>
                <w:rFonts w:hint="eastAsia"/>
                <w:color w:val="auto"/>
                <w:sz w:val="21"/>
                <w:szCs w:val="21"/>
                <w:u w:val="single"/>
                <w:lang w:val="en-US" w:eastAsia="zh-CN"/>
              </w:rPr>
              <w:t>具体要求为：</w:t>
            </w:r>
            <w:r>
              <w:rPr>
                <w:rFonts w:hint="default" w:ascii="Times New Roman" w:hAnsi="Times New Roman" w:cs="Times New Roman"/>
                <w:szCs w:val="21"/>
                <w:u w:val="single"/>
              </w:rPr>
              <w:t>等效黏土防渗层Mb≥1.5m，K≤1×10</w:t>
            </w:r>
            <w:r>
              <w:rPr>
                <w:rFonts w:hint="eastAsia" w:cs="Times New Roman"/>
                <w:szCs w:val="21"/>
                <w:u w:val="single"/>
                <w:vertAlign w:val="superscript"/>
                <w:lang w:val="en-US" w:eastAsia="zh-CN"/>
              </w:rPr>
              <w:t>-7</w:t>
            </w:r>
            <w:r>
              <w:rPr>
                <w:rFonts w:hint="default" w:ascii="Times New Roman" w:hAnsi="Times New Roman" w:cs="Times New Roman"/>
                <w:szCs w:val="21"/>
                <w:u w:val="single"/>
                <w:vertAlign w:val="superscript"/>
              </w:rPr>
              <w:t>c</w:t>
            </w:r>
            <w:r>
              <w:rPr>
                <w:rFonts w:hint="default" w:ascii="Times New Roman" w:hAnsi="Times New Roman" w:cs="Times New Roman"/>
                <w:szCs w:val="21"/>
                <w:u w:val="single"/>
              </w:rPr>
              <w:t>m/s</w:t>
            </w:r>
            <w:r>
              <w:rPr>
                <w:rFonts w:hint="eastAsia" w:ascii="Times New Roman" w:hAnsi="Times New Roman" w:cs="Times New Roman"/>
                <w:szCs w:val="21"/>
                <w:u w:val="singl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生态保护措施</w:t>
            </w:r>
          </w:p>
        </w:tc>
        <w:tc>
          <w:tcPr>
            <w:tcW w:w="13992"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本项目对生态环境的影响主要在施工期，影响是暂时的，施工结束后受影响的环境要素大多可以恢复到现状水平。施工过程中可采取隔离、防风、防水土流失的措施，减少扬尘量，避免对区域地表水域的污染。项目建成后通过采取厂区绿化、硬化等措施后，生态环境将得到一定程度的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single"/>
              </w:rPr>
            </w:pPr>
            <w:r>
              <w:rPr>
                <w:rFonts w:hint="default" w:ascii="Times New Roman" w:hAnsi="Times New Roman" w:cs="Times New Roman"/>
                <w:b/>
                <w:bCs/>
                <w:spacing w:val="-8"/>
                <w:sz w:val="21"/>
                <w:szCs w:val="21"/>
                <w:u w:val="single"/>
              </w:rPr>
              <w:t>环境风险</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single"/>
              </w:rPr>
            </w:pPr>
            <w:r>
              <w:rPr>
                <w:rFonts w:hint="default" w:ascii="Times New Roman" w:hAnsi="Times New Roman" w:cs="Times New Roman"/>
                <w:b/>
                <w:bCs/>
                <w:spacing w:val="-8"/>
                <w:sz w:val="21"/>
                <w:szCs w:val="21"/>
                <w:u w:val="single"/>
              </w:rPr>
              <w:t>防范措施</w:t>
            </w:r>
          </w:p>
        </w:tc>
        <w:tc>
          <w:tcPr>
            <w:tcW w:w="13992"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sz w:val="21"/>
                <w:szCs w:val="21"/>
                <w:u w:val="single"/>
              </w:rPr>
            </w:pPr>
            <w:r>
              <w:rPr>
                <w:rFonts w:hint="eastAsia" w:cs="Times New Roman"/>
                <w:sz w:val="21"/>
                <w:szCs w:val="21"/>
                <w:u w:val="single"/>
                <w:lang w:val="en-US" w:eastAsia="zh-CN"/>
              </w:rPr>
              <w:t>本项目</w:t>
            </w:r>
            <w:r>
              <w:rPr>
                <w:rFonts w:hint="default" w:ascii="Times New Roman" w:hAnsi="Times New Roman" w:cs="Times New Roman"/>
                <w:sz w:val="21"/>
                <w:szCs w:val="21"/>
                <w:u w:val="single"/>
              </w:rPr>
              <w:t>危废暂存间按《危险废物贮存污染控制标准》（GB18597-2001）及修改单中规定，对地面、围堰进行防渗处理。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033" w:type="dxa"/>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single"/>
              </w:rPr>
            </w:pPr>
            <w:r>
              <w:rPr>
                <w:rFonts w:hint="default" w:ascii="Times New Roman" w:hAnsi="Times New Roman" w:cs="Times New Roman"/>
                <w:b/>
                <w:bCs/>
                <w:spacing w:val="-8"/>
                <w:sz w:val="21"/>
                <w:szCs w:val="21"/>
                <w:u w:val="single"/>
              </w:rPr>
              <w:t>其他环境</w:t>
            </w:r>
          </w:p>
          <w:p>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cs="Times New Roman"/>
                <w:b/>
                <w:bCs/>
                <w:spacing w:val="-8"/>
                <w:sz w:val="21"/>
                <w:szCs w:val="21"/>
                <w:u w:val="single"/>
              </w:rPr>
            </w:pPr>
            <w:r>
              <w:rPr>
                <w:rFonts w:hint="default" w:ascii="Times New Roman" w:hAnsi="Times New Roman" w:cs="Times New Roman"/>
                <w:b/>
                <w:bCs/>
                <w:spacing w:val="-8"/>
                <w:sz w:val="21"/>
                <w:szCs w:val="21"/>
                <w:u w:val="single"/>
              </w:rPr>
              <w:t>管理要求</w:t>
            </w:r>
          </w:p>
        </w:tc>
        <w:tc>
          <w:tcPr>
            <w:tcW w:w="13992" w:type="dxa"/>
            <w:gridSpan w:val="5"/>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rPr>
                <w:rFonts w:hint="default"/>
                <w:u w:val="single"/>
                <w:lang w:val="en-US" w:eastAsia="zh-CN"/>
              </w:rPr>
            </w:pPr>
            <w:r>
              <w:rPr>
                <w:rFonts w:hint="default"/>
                <w:u w:val="single"/>
                <w:lang w:val="en-US" w:eastAsia="zh-CN"/>
              </w:rPr>
              <w:t>对照《固定污染源排污许可分类管理名录》（2019年版），项目属于</w:t>
            </w:r>
            <w:r>
              <w:rPr>
                <w:rFonts w:hint="eastAsia"/>
                <w:u w:val="single"/>
                <w:lang w:val="en-US" w:eastAsia="zh-CN"/>
              </w:rPr>
              <w:t>“</w:t>
            </w:r>
            <w:r>
              <w:rPr>
                <w:rFonts w:hint="default"/>
                <w:u w:val="single"/>
                <w:lang w:val="en-US" w:eastAsia="zh-CN"/>
              </w:rPr>
              <w:t>三十七、废弃资源综合利用业 42</w:t>
            </w:r>
            <w:r>
              <w:rPr>
                <w:rFonts w:hint="eastAsia"/>
                <w:u w:val="single"/>
                <w:lang w:val="en-US" w:eastAsia="zh-CN"/>
              </w:rPr>
              <w:t>”</w:t>
            </w:r>
            <w:r>
              <w:rPr>
                <w:rFonts w:hint="default"/>
                <w:u w:val="single"/>
                <w:lang w:val="en-US" w:eastAsia="zh-CN"/>
              </w:rPr>
              <w:t>中</w:t>
            </w:r>
            <w:r>
              <w:rPr>
                <w:rFonts w:hint="eastAsia"/>
                <w:u w:val="single"/>
                <w:lang w:val="en-US" w:eastAsia="zh-CN"/>
              </w:rPr>
              <w:t>“</w:t>
            </w:r>
            <w:r>
              <w:rPr>
                <w:rFonts w:hint="default"/>
                <w:u w:val="single"/>
                <w:lang w:val="en-US" w:eastAsia="zh-CN"/>
              </w:rPr>
              <w:t>非金属废料和碎屑加工处理 422</w:t>
            </w:r>
            <w:r>
              <w:rPr>
                <w:rFonts w:hint="eastAsia"/>
                <w:u w:val="single"/>
                <w:lang w:val="en-US" w:eastAsia="zh-CN"/>
              </w:rPr>
              <w:t>”</w:t>
            </w:r>
            <w:r>
              <w:rPr>
                <w:rFonts w:hint="default"/>
                <w:u w:val="single"/>
                <w:lang w:val="en-US" w:eastAsia="zh-CN"/>
              </w:rPr>
              <w:t>，为简化管理。根据《排污许可管理办法（试行）》（部令[2018]48号），企业应当在启动生产设施或者在实际排污之前申请排污许可证。</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snapToGrid w:val="0"/>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snapToGrid w:val="0"/>
        </w:rPr>
        <w:br w:type="page"/>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sz w:val="30"/>
          <w:szCs w:val="30"/>
        </w:rPr>
      </w:pPr>
      <w:r>
        <w:rPr>
          <w:rFonts w:hint="eastAsia" w:ascii="宋体" w:hAnsi="宋体" w:eastAsia="宋体" w:cs="宋体"/>
          <w:b/>
          <w:bCs/>
          <w:snapToGrid w:val="0"/>
          <w:sz w:val="30"/>
          <w:szCs w:val="30"/>
        </w:rPr>
        <w:t>六、结论</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cs="宋体"/>
                <w:sz w:val="24"/>
              </w:rPr>
            </w:pPr>
            <w:r>
              <w:rPr>
                <w:rFonts w:hint="eastAsia" w:cs="Times New Roman"/>
                <w:color w:val="auto"/>
                <w:sz w:val="24"/>
                <w:lang w:eastAsia="zh-CN"/>
              </w:rPr>
              <w:t>宝丰县盛祥再生资源有限公司年产10000吨再生资源颗粒项目</w:t>
            </w:r>
            <w:r>
              <w:rPr>
                <w:rFonts w:hint="default" w:ascii="Times New Roman" w:hAnsi="Times New Roman" w:cs="Times New Roman"/>
                <w:color w:val="auto"/>
                <w:sz w:val="24"/>
              </w:rPr>
              <w:t>位于</w:t>
            </w:r>
            <w:r>
              <w:rPr>
                <w:rFonts w:hint="eastAsia" w:cs="Times New Roman"/>
                <w:color w:val="auto"/>
                <w:sz w:val="24"/>
                <w:lang w:eastAsia="zh-CN"/>
              </w:rPr>
              <w:t>平顶山市宝丰县宝丰高新技术产业开发区旭原不锈钢院内8号厂房</w:t>
            </w:r>
            <w:r>
              <w:rPr>
                <w:rFonts w:hint="default" w:ascii="Times New Roman" w:hAnsi="Times New Roman" w:cs="Times New Roman"/>
                <w:color w:val="auto"/>
                <w:sz w:val="24"/>
              </w:rPr>
              <w:t>，用地性质为</w:t>
            </w:r>
            <w:r>
              <w:rPr>
                <w:rFonts w:hint="eastAsia" w:cs="Times New Roman"/>
                <w:color w:val="auto"/>
                <w:sz w:val="24"/>
                <w:lang w:val="en-US" w:eastAsia="zh-CN"/>
              </w:rPr>
              <w:t>工业</w:t>
            </w:r>
            <w:r>
              <w:rPr>
                <w:rFonts w:hint="default" w:ascii="Times New Roman" w:hAnsi="Times New Roman" w:cs="Times New Roman"/>
                <w:color w:val="auto"/>
                <w:sz w:val="24"/>
              </w:rPr>
              <w:t>用地，选址可行；项</w:t>
            </w:r>
            <w:r>
              <w:rPr>
                <w:rFonts w:hint="default" w:ascii="Times New Roman" w:hAnsi="Times New Roman" w:cs="Times New Roman"/>
                <w:sz w:val="24"/>
              </w:rPr>
              <w:t>目属于</w:t>
            </w:r>
            <w:r>
              <w:rPr>
                <w:rFonts w:hint="default" w:ascii="Times New Roman" w:hAnsi="Times New Roman" w:cs="Times New Roman"/>
                <w:sz w:val="24"/>
                <w:lang w:val="en-US" w:eastAsia="zh-CN"/>
              </w:rPr>
              <w:t>鼓励</w:t>
            </w:r>
            <w:r>
              <w:rPr>
                <w:rFonts w:hint="default" w:ascii="Times New Roman" w:hAnsi="Times New Roman" w:cs="Times New Roman"/>
                <w:sz w:val="24"/>
              </w:rPr>
              <w:t>类建设项目，符合当前国家产业政策，建设内容可行。项目所在地环境质量总体较好，项目建成投入使用后，在采取相应的治理措施后，可满足相应的国家排放标准。建设单位在施工期、运营期应当在执行“三同时”原则的基础上，严格执行国家的环保法律法规，切实落实本环评中提出的各项污染防治和生态保护措施，将对周围环境的影响降低到可接受的程度，从环保角度看，本项目的建设可行。</w:t>
            </w:r>
          </w:p>
        </w:tc>
      </w:tr>
    </w:tbl>
    <w:p>
      <w:pPr>
        <w:rPr>
          <w:rFonts w:ascii="宋体"/>
        </w:rPr>
        <w:sectPr>
          <w:pgSz w:w="11906" w:h="16838"/>
          <w:pgMar w:top="1440" w:right="1083" w:bottom="1440" w:left="1083"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eastAsia" w:ascii="宋体" w:hAnsi="宋体" w:eastAsia="宋体" w:cs="宋体"/>
          <w:b/>
          <w:bCs/>
          <w:snapToGrid w:val="0"/>
          <w:sz w:val="32"/>
          <w:szCs w:val="32"/>
        </w:rPr>
      </w:pPr>
      <w:r>
        <w:rPr>
          <w:rFonts w:hint="eastAsia" w:ascii="宋体" w:hAnsi="宋体" w:eastAsia="宋体" w:cs="宋体"/>
          <w:b/>
          <w:bCs/>
          <w:snapToGrid w:val="0"/>
          <w:sz w:val="32"/>
          <w:szCs w:val="32"/>
        </w:rPr>
        <w:t>附表</w:t>
      </w:r>
    </w:p>
    <w:p>
      <w:pPr>
        <w:pStyle w:val="2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宋体" w:hAnsi="宋体" w:eastAsia="宋体" w:cs="宋体"/>
          <w:b/>
          <w:bCs/>
          <w:snapToGrid w:val="0"/>
          <w:sz w:val="38"/>
          <w:szCs w:val="38"/>
        </w:rPr>
      </w:pPr>
      <w:r>
        <w:rPr>
          <w:rFonts w:hint="eastAsia" w:ascii="宋体" w:hAnsi="宋体" w:eastAsia="宋体" w:cs="宋体"/>
          <w:b/>
          <w:bCs/>
          <w:snapToGrid w:val="0"/>
          <w:sz w:val="38"/>
          <w:szCs w:val="38"/>
        </w:rPr>
        <w:t>建设项目污染物排放量汇总表</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127"/>
        <w:gridCol w:w="1270"/>
        <w:gridCol w:w="1298"/>
        <w:gridCol w:w="1730"/>
        <w:gridCol w:w="1585"/>
        <w:gridCol w:w="1790"/>
        <w:gridCol w:w="1615"/>
        <w:gridCol w:w="12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tcBorders>
              <w:tl2br w:val="single" w:color="auto" w:sz="4" w:space="0"/>
            </w:tcBorders>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jc w:val="righ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项目</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jc w:val="lef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分类</w:t>
            </w:r>
          </w:p>
        </w:tc>
        <w:tc>
          <w:tcPr>
            <w:tcW w:w="2127"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污染物名称</w:t>
            </w:r>
          </w:p>
        </w:tc>
        <w:tc>
          <w:tcPr>
            <w:tcW w:w="127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1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①</w:t>
            </w:r>
            <w:r>
              <w:rPr>
                <w:rFonts w:hint="default" w:ascii="Times New Roman" w:hAnsi="Times New Roman" w:eastAsia="宋体" w:cs="Times New Roman"/>
                <w:snapToGrid w:val="0"/>
                <w:color w:val="auto"/>
                <w:spacing w:val="-6"/>
                <w:kern w:val="21"/>
                <w:sz w:val="24"/>
                <w:szCs w:val="24"/>
              </w:rPr>
              <w:fldChar w:fldCharType="end"/>
            </w:r>
          </w:p>
        </w:tc>
        <w:tc>
          <w:tcPr>
            <w:tcW w:w="1298"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现有工程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许可排放量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2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snapToGrid w:val="0"/>
                <w:color w:val="auto"/>
                <w:spacing w:val="-6"/>
                <w:kern w:val="21"/>
                <w:sz w:val="24"/>
                <w:szCs w:val="24"/>
              </w:rPr>
              <w:t>②</w:t>
            </w:r>
            <w:r>
              <w:rPr>
                <w:rFonts w:hint="default" w:ascii="Times New Roman" w:hAnsi="Times New Roman" w:eastAsia="宋体" w:cs="Times New Roman"/>
                <w:snapToGrid w:val="0"/>
                <w:color w:val="auto"/>
                <w:spacing w:val="-6"/>
                <w:kern w:val="21"/>
                <w:sz w:val="24"/>
                <w:szCs w:val="24"/>
              </w:rPr>
              <w:fldChar w:fldCharType="end"/>
            </w:r>
          </w:p>
        </w:tc>
        <w:tc>
          <w:tcPr>
            <w:tcW w:w="173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在建工程</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3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③</w:t>
            </w:r>
            <w:r>
              <w:rPr>
                <w:rFonts w:hint="default" w:ascii="Times New Roman" w:hAnsi="Times New Roman" w:eastAsia="宋体" w:cs="Times New Roman"/>
                <w:snapToGrid w:val="0"/>
                <w:color w:val="auto"/>
                <w:spacing w:val="-6"/>
                <w:kern w:val="21"/>
                <w:sz w:val="24"/>
                <w:szCs w:val="24"/>
              </w:rPr>
              <w:fldChar w:fldCharType="end"/>
            </w:r>
          </w:p>
        </w:tc>
        <w:tc>
          <w:tcPr>
            <w:tcW w:w="158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本项目</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排放量（固体废物产生量）</w:t>
            </w: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4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④</w:t>
            </w:r>
            <w:r>
              <w:rPr>
                <w:rFonts w:hint="default" w:ascii="Times New Roman" w:hAnsi="Times New Roman" w:eastAsia="宋体" w:cs="Times New Roman"/>
                <w:snapToGrid w:val="0"/>
                <w:color w:val="auto"/>
                <w:spacing w:val="-6"/>
                <w:kern w:val="21"/>
                <w:sz w:val="24"/>
                <w:szCs w:val="24"/>
              </w:rPr>
              <w:fldChar w:fldCharType="end"/>
            </w:r>
          </w:p>
        </w:tc>
        <w:tc>
          <w:tcPr>
            <w:tcW w:w="1790"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以新带老削减量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（新建项目不填）</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5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⑤</w:t>
            </w:r>
            <w:r>
              <w:rPr>
                <w:rFonts w:hint="default" w:ascii="Times New Roman" w:hAnsi="Times New Roman" w:eastAsia="宋体" w:cs="Times New Roman"/>
                <w:snapToGrid w:val="0"/>
                <w:color w:val="auto"/>
                <w:spacing w:val="-16"/>
                <w:kern w:val="21"/>
                <w:sz w:val="24"/>
                <w:szCs w:val="24"/>
              </w:rPr>
              <w:fldChar w:fldCharType="end"/>
            </w:r>
          </w:p>
        </w:tc>
        <w:tc>
          <w:tcPr>
            <w:tcW w:w="161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本项目建成后</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16"/>
                <w:kern w:val="21"/>
                <w:sz w:val="24"/>
                <w:szCs w:val="24"/>
              </w:rPr>
            </w:pPr>
            <w:r>
              <w:rPr>
                <w:rFonts w:hint="default" w:ascii="Times New Roman" w:hAnsi="Times New Roman" w:eastAsia="宋体" w:cs="Times New Roman"/>
                <w:snapToGrid w:val="0"/>
                <w:color w:val="auto"/>
                <w:spacing w:val="-16"/>
                <w:kern w:val="21"/>
                <w:sz w:val="24"/>
                <w:szCs w:val="24"/>
              </w:rPr>
              <w:t>全厂排放量（固体废物产生量）</w:t>
            </w:r>
            <w:r>
              <w:rPr>
                <w:rFonts w:hint="default" w:ascii="Times New Roman" w:hAnsi="Times New Roman" w:eastAsia="宋体" w:cs="Times New Roman"/>
                <w:snapToGrid w:val="0"/>
                <w:color w:val="auto"/>
                <w:spacing w:val="-16"/>
                <w:kern w:val="21"/>
                <w:sz w:val="24"/>
                <w:szCs w:val="24"/>
              </w:rPr>
              <w:fldChar w:fldCharType="begin"/>
            </w:r>
            <w:r>
              <w:rPr>
                <w:rFonts w:hint="default" w:ascii="Times New Roman" w:hAnsi="Times New Roman" w:eastAsia="宋体" w:cs="Times New Roman"/>
                <w:snapToGrid w:val="0"/>
                <w:color w:val="auto"/>
                <w:spacing w:val="-16"/>
                <w:kern w:val="21"/>
                <w:sz w:val="24"/>
                <w:szCs w:val="24"/>
              </w:rPr>
              <w:instrText xml:space="preserve"> = 6 \* GB3 \* MERGEFORMAT </w:instrText>
            </w:r>
            <w:r>
              <w:rPr>
                <w:rFonts w:hint="default" w:ascii="Times New Roman" w:hAnsi="Times New Roman" w:eastAsia="宋体" w:cs="Times New Roman"/>
                <w:snapToGrid w:val="0"/>
                <w:color w:val="auto"/>
                <w:spacing w:val="-16"/>
                <w:kern w:val="21"/>
                <w:sz w:val="24"/>
                <w:szCs w:val="24"/>
              </w:rPr>
              <w:fldChar w:fldCharType="separate"/>
            </w:r>
            <w:r>
              <w:rPr>
                <w:rFonts w:hint="default" w:ascii="Times New Roman" w:hAnsi="Times New Roman" w:eastAsia="宋体" w:cs="Times New Roman"/>
                <w:color w:val="auto"/>
                <w:kern w:val="2"/>
                <w:sz w:val="24"/>
                <w:szCs w:val="24"/>
              </w:rPr>
              <w:t>⑥</w:t>
            </w:r>
            <w:r>
              <w:rPr>
                <w:rFonts w:hint="default" w:ascii="Times New Roman" w:hAnsi="Times New Roman" w:eastAsia="宋体" w:cs="Times New Roman"/>
                <w:snapToGrid w:val="0"/>
                <w:color w:val="auto"/>
                <w:spacing w:val="-16"/>
                <w:kern w:val="21"/>
                <w:sz w:val="24"/>
                <w:szCs w:val="24"/>
              </w:rPr>
              <w:fldChar w:fldCharType="end"/>
            </w:r>
          </w:p>
        </w:tc>
        <w:tc>
          <w:tcPr>
            <w:tcW w:w="1215" w:type="dxa"/>
            <w:noWrap w:val="0"/>
            <w:tcMar>
              <w:left w:w="28" w:type="dxa"/>
              <w:right w:w="28" w:type="dxa"/>
            </w:tcMar>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t>变化量</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spacing w:val="-6"/>
                <w:kern w:val="21"/>
                <w:sz w:val="24"/>
                <w:szCs w:val="24"/>
              </w:rPr>
            </w:pPr>
            <w:r>
              <w:rPr>
                <w:rFonts w:hint="default" w:ascii="Times New Roman" w:hAnsi="Times New Roman" w:eastAsia="宋体" w:cs="Times New Roman"/>
                <w:snapToGrid w:val="0"/>
                <w:color w:val="auto"/>
                <w:spacing w:val="-6"/>
                <w:kern w:val="21"/>
                <w:sz w:val="24"/>
                <w:szCs w:val="24"/>
              </w:rPr>
              <w:fldChar w:fldCharType="begin"/>
            </w:r>
            <w:r>
              <w:rPr>
                <w:rFonts w:hint="default" w:ascii="Times New Roman" w:hAnsi="Times New Roman" w:eastAsia="宋体" w:cs="Times New Roman"/>
                <w:snapToGrid w:val="0"/>
                <w:color w:val="auto"/>
                <w:spacing w:val="-6"/>
                <w:kern w:val="21"/>
                <w:sz w:val="24"/>
                <w:szCs w:val="24"/>
              </w:rPr>
              <w:instrText xml:space="preserve"> = 7 \* GB3 \* MERGEFORMAT </w:instrText>
            </w:r>
            <w:r>
              <w:rPr>
                <w:rFonts w:hint="default" w:ascii="Times New Roman" w:hAnsi="Times New Roman" w:eastAsia="宋体" w:cs="Times New Roman"/>
                <w:snapToGrid w:val="0"/>
                <w:color w:val="auto"/>
                <w:spacing w:val="-6"/>
                <w:kern w:val="21"/>
                <w:sz w:val="24"/>
                <w:szCs w:val="24"/>
              </w:rPr>
              <w:fldChar w:fldCharType="separate"/>
            </w:r>
            <w:r>
              <w:rPr>
                <w:rFonts w:hint="default" w:ascii="Times New Roman" w:hAnsi="Times New Roman" w:eastAsia="宋体" w:cs="Times New Roman"/>
                <w:color w:val="auto"/>
                <w:kern w:val="2"/>
                <w:sz w:val="24"/>
                <w:szCs w:val="24"/>
              </w:rPr>
              <w:t>⑦</w:t>
            </w:r>
            <w:r>
              <w:rPr>
                <w:rFonts w:hint="default" w:ascii="Times New Roman" w:hAnsi="Times New Roman" w:eastAsia="宋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颗粒物</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0.34252</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0.34252</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有机废气（非甲烷总烃和二甲苯）</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0.51636t/a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0.51636</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COD</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0.25</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0.25</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NH</w:t>
            </w:r>
            <w:r>
              <w:rPr>
                <w:rFonts w:hint="default" w:ascii="Times New Roman" w:hAnsi="Times New Roman" w:cs="Times New Roman"/>
                <w:snapToGrid w:val="0"/>
                <w:color w:val="auto"/>
                <w:kern w:val="21"/>
                <w:sz w:val="24"/>
                <w:szCs w:val="24"/>
                <w:vertAlign w:val="subscript"/>
                <w:lang w:val="en-US" w:eastAsia="zh-CN"/>
              </w:rPr>
              <w:t>3</w:t>
            </w:r>
            <w:r>
              <w:rPr>
                <w:rFonts w:hint="default" w:ascii="Times New Roman" w:hAnsi="Times New Roman" w:cs="Times New Roman"/>
                <w:snapToGrid w:val="0"/>
                <w:color w:val="auto"/>
                <w:kern w:val="21"/>
                <w:sz w:val="24"/>
                <w:szCs w:val="24"/>
                <w:lang w:val="en-US" w:eastAsia="zh-CN"/>
              </w:rPr>
              <w:t>-N</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0.034</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0.034</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除尘器收集尘</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 w:val="21"/>
                <w:szCs w:val="21"/>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1.155</w:t>
            </w:r>
            <w:r>
              <w:rPr>
                <w:rFonts w:hint="default" w:ascii="Times New Roman" w:hAnsi="Times New Roman" w:eastAsia="宋体" w:cs="Times New Roman"/>
                <w:snapToGrid w:val="0"/>
                <w:color w:val="auto"/>
                <w:kern w:val="21"/>
                <w:sz w:val="24"/>
                <w:szCs w:val="24"/>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1.155</w:t>
            </w:r>
            <w:r>
              <w:rPr>
                <w:rFonts w:hint="default" w:ascii="Times New Roman" w:hAnsi="Times New Roman" w:eastAsia="宋体"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清洗废水产生的沉淀物</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12.65</w:t>
            </w:r>
            <w:r>
              <w:rPr>
                <w:rFonts w:hint="default" w:ascii="Times New Roman" w:hAnsi="Times New Roman" w:eastAsia="宋体" w:cs="Times New Roman"/>
                <w:snapToGrid w:val="0"/>
                <w:color w:val="auto"/>
                <w:kern w:val="21"/>
                <w:sz w:val="24"/>
                <w:szCs w:val="24"/>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12.65</w:t>
            </w:r>
            <w:r>
              <w:rPr>
                <w:rFonts w:hint="default" w:ascii="Times New Roman" w:hAnsi="Times New Roman" w:eastAsia="宋体" w:cs="Times New Roman"/>
                <w:snapToGrid w:val="0"/>
                <w:color w:val="auto"/>
                <w:kern w:val="21"/>
                <w:sz w:val="24"/>
                <w:szCs w:val="24"/>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人工分拣杂物</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14.0</w:t>
            </w:r>
            <w:r>
              <w:rPr>
                <w:rFonts w:hint="default" w:ascii="Times New Roman" w:hAnsi="Times New Roman" w:eastAsia="宋体" w:cs="Times New Roman"/>
                <w:snapToGrid w:val="0"/>
                <w:color w:val="auto"/>
                <w:kern w:val="21"/>
                <w:sz w:val="24"/>
                <w:szCs w:val="24"/>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14.0</w:t>
            </w:r>
            <w:r>
              <w:rPr>
                <w:rFonts w:hint="default" w:ascii="Times New Roman" w:hAnsi="Times New Roman" w:eastAsia="宋体"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废滤网</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5.22t/a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bidi="ar-SA"/>
              </w:rPr>
            </w:pP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5.22t/a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废过滤棉</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1.2945t/a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1.2945t/a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职工生活</w:t>
            </w:r>
          </w:p>
        </w:tc>
        <w:tc>
          <w:tcPr>
            <w:tcW w:w="2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snapToGrid w:val="0"/>
                <w:color w:val="auto"/>
                <w:kern w:val="21"/>
                <w:sz w:val="24"/>
                <w:szCs w:val="24"/>
                <w:lang w:val="en-US" w:eastAsia="zh-CN"/>
              </w:rPr>
              <w:t>生活垃圾</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4.5</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4.5</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废机油</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0.06</w:t>
            </w:r>
            <w:r>
              <w:rPr>
                <w:rFonts w:hint="default" w:ascii="Times New Roman" w:hAnsi="Times New Roman" w:cs="Times New Roman"/>
                <w:snapToGrid w:val="0"/>
                <w:color w:val="auto"/>
                <w:kern w:val="21"/>
                <w:sz w:val="24"/>
                <w:szCs w:val="24"/>
                <w:lang w:val="en-US" w:eastAsia="zh-CN"/>
              </w:rPr>
              <w:t>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r>
              <w:rPr>
                <w:rFonts w:hint="eastAsia" w:ascii="Times New Roman" w:cs="Times New Roman"/>
                <w:snapToGrid w:val="0"/>
                <w:color w:val="auto"/>
                <w:kern w:val="21"/>
                <w:sz w:val="24"/>
                <w:szCs w:val="24"/>
                <w:lang w:val="en-US" w:eastAsia="zh-CN"/>
              </w:rPr>
              <w:t>0.06</w:t>
            </w:r>
            <w:r>
              <w:rPr>
                <w:rFonts w:hint="default" w:ascii="Times New Roman" w:hAnsi="Times New Roman" w:cs="Times New Roman"/>
                <w:snapToGrid w:val="0"/>
                <w:color w:val="auto"/>
                <w:kern w:val="21"/>
                <w:sz w:val="24"/>
                <w:szCs w:val="24"/>
                <w:lang w:val="en-US" w:eastAsia="zh-CN"/>
              </w:rPr>
              <w:t>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废活性炭</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1.56t/a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1.56t/a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84"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eastAsia="宋体" w:cs="Times New Roman"/>
                <w:snapToGrid w:val="0"/>
                <w:color w:val="auto"/>
                <w:kern w:val="21"/>
                <w:sz w:val="24"/>
                <w:szCs w:val="24"/>
              </w:rPr>
            </w:pPr>
          </w:p>
        </w:tc>
        <w:tc>
          <w:tcPr>
            <w:tcW w:w="2127"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废催化剂（需做固体废物浸出实验）</w:t>
            </w:r>
          </w:p>
        </w:tc>
        <w:tc>
          <w:tcPr>
            <w:tcW w:w="12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98"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73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8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0.03t/a</w:t>
            </w:r>
          </w:p>
        </w:tc>
        <w:tc>
          <w:tcPr>
            <w:tcW w:w="17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0.03t/a</w:t>
            </w:r>
          </w:p>
        </w:tc>
        <w:tc>
          <w:tcPr>
            <w:tcW w:w="1215" w:type="dxa"/>
            <w:noWrap w:val="0"/>
            <w:vAlign w:val="center"/>
          </w:tcPr>
          <w:p>
            <w:pPr>
              <w:pStyle w:val="38"/>
              <w:keepNext w:val="0"/>
              <w:keepLines w:val="0"/>
              <w:pageBreakBefore w:val="0"/>
              <w:widowControl w:val="0"/>
              <w:kinsoku/>
              <w:wordWrap/>
              <w:overflowPunct/>
              <w:topLinePunct w:val="0"/>
              <w:autoSpaceDE/>
              <w:autoSpaceDN/>
              <w:bidi w:val="0"/>
              <w:adjustRightInd/>
              <w:snapToGrid/>
              <w:spacing w:beforeLines="0" w:afterLines="0" w:line="360" w:lineRule="exact"/>
              <w:textAlignment w:val="auto"/>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r>
    </w:tbl>
    <w:p>
      <w:pPr>
        <w:pStyle w:val="38"/>
        <w:spacing w:before="192" w:beforeLines="80" w:after="24"/>
        <w:jc w:val="left"/>
        <w:rPr>
          <w:rFonts w:hint="default" w:ascii="Times New Roman" w:hAnsi="Times New Roman" w:cs="Times New Roman"/>
          <w:snapToGrid w:val="0"/>
          <w:color w:val="000000"/>
          <w:spacing w:val="-6"/>
          <w:kern w:val="21"/>
          <w:szCs w:val="21"/>
        </w:rPr>
      </w:pP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p>
      <w:pPr>
        <w:rPr>
          <w:rFonts w:hint="eastAsia"/>
          <w:lang w:eastAsia="zh-CN"/>
        </w:rPr>
        <w:sectPr>
          <w:footerReference r:id="rId7" w:type="default"/>
          <w:pgSz w:w="16838" w:h="11906" w:orient="landscape"/>
          <w:pgMar w:top="1083" w:right="1440" w:bottom="1083" w:left="1440" w:header="851" w:footer="850" w:gutter="0"/>
          <w:pgBorders>
            <w:top w:val="none" w:sz="0" w:space="0"/>
            <w:left w:val="none" w:sz="0" w:space="0"/>
            <w:bottom w:val="none" w:sz="0" w:space="0"/>
            <w:right w:val="none" w:sz="0" w:space="0"/>
          </w:pgBorders>
          <w:cols w:space="0" w:num="1"/>
          <w:rtlGutter w:val="0"/>
          <w:docGrid w:linePitch="312" w:charSpace="0"/>
        </w:sectPr>
      </w:pPr>
    </w:p>
    <w:p>
      <w:pPr>
        <w:bidi w:val="0"/>
        <w:jc w:val="center"/>
      </w:pPr>
      <w:r>
        <w:drawing>
          <wp:anchor distT="0" distB="0" distL="114300" distR="114300" simplePos="0" relativeHeight="251666432" behindDoc="0" locked="0" layoutInCell="1" allowOverlap="1">
            <wp:simplePos x="0" y="0"/>
            <wp:positionH relativeFrom="column">
              <wp:posOffset>8239125</wp:posOffset>
            </wp:positionH>
            <wp:positionV relativeFrom="paragraph">
              <wp:posOffset>59055</wp:posOffset>
            </wp:positionV>
            <wp:extent cx="612140" cy="487680"/>
            <wp:effectExtent l="0" t="0" r="16510" b="7620"/>
            <wp:wrapNone/>
            <wp:docPr id="5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11"/>
                    <pic:cNvPicPr>
                      <a:picLocks noChangeAspect="1"/>
                    </pic:cNvPicPr>
                  </pic:nvPicPr>
                  <pic:blipFill>
                    <a:blip r:embed="rId32"/>
                    <a:stretch>
                      <a:fillRect/>
                    </a:stretch>
                  </pic:blipFill>
                  <pic:spPr>
                    <a:xfrm>
                      <a:off x="0" y="0"/>
                      <a:ext cx="612140" cy="487680"/>
                    </a:xfrm>
                    <a:prstGeom prst="rect">
                      <a:avLst/>
                    </a:prstGeom>
                    <a:noFill/>
                    <a:ln>
                      <a:noFill/>
                    </a:ln>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5066665</wp:posOffset>
                </wp:positionH>
                <wp:positionV relativeFrom="paragraph">
                  <wp:posOffset>3705860</wp:posOffset>
                </wp:positionV>
                <wp:extent cx="121920" cy="102235"/>
                <wp:effectExtent l="0" t="0" r="11430" b="12065"/>
                <wp:wrapNone/>
                <wp:docPr id="5" name="等腰三角形 5"/>
                <wp:cNvGraphicFramePr/>
                <a:graphic xmlns:a="http://schemas.openxmlformats.org/drawingml/2006/main">
                  <a:graphicData uri="http://schemas.microsoft.com/office/word/2010/wordprocessingShape">
                    <wps:wsp>
                      <wps:cNvSpPr/>
                      <wps:spPr>
                        <a:xfrm>
                          <a:off x="5772150" y="4566285"/>
                          <a:ext cx="121920" cy="10223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98.95pt;margin-top:291.8pt;height:8.05pt;width:9.6pt;z-index:251663360;v-text-anchor:middle;mso-width-relative:page;mso-height-relative:page;" fillcolor="#FF0000" filled="t" stroked="f" coordsize="21600,21600" o:gfxdata="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W2tVDbAAAA&#10;CwEAAA8AAAAAAAAAAQAgAAAAIgAAAGRycy9kb3ducmV2LnhtbFBLAQIUABQAAAAIAIdO4kDWfUls&#10;jAIAAOMEAAAOAAAAAAAAAAEAIAAAACoBAABkcnMvZTJvRG9jLnhtbFBLBQYAAAAABgAGAFkBAAAo&#10;BgAAAAA=&#10;" adj="108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5158105</wp:posOffset>
                </wp:positionH>
                <wp:positionV relativeFrom="paragraph">
                  <wp:posOffset>3521710</wp:posOffset>
                </wp:positionV>
                <wp:extent cx="325120" cy="235585"/>
                <wp:effectExtent l="0" t="5080" r="17780" b="6985"/>
                <wp:wrapNone/>
                <wp:docPr id="7" name="直接箭头连接符 7"/>
                <wp:cNvGraphicFramePr/>
                <a:graphic xmlns:a="http://schemas.openxmlformats.org/drawingml/2006/main">
                  <a:graphicData uri="http://schemas.microsoft.com/office/word/2010/wordprocessingShape">
                    <wps:wsp>
                      <wps:cNvCnPr>
                        <a:stCxn id="6" idx="1"/>
                        <a:endCxn id="5" idx="5"/>
                      </wps:cNvCnPr>
                      <wps:spPr>
                        <a:xfrm flipH="1">
                          <a:off x="5853430" y="4436110"/>
                          <a:ext cx="325120" cy="23558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06.15pt;margin-top:277.3pt;height:18.55pt;width:25.6pt;z-index:251665408;mso-width-relative:page;mso-height-relative:page;" filled="f" stroked="t" coordsize="21600,21600" o:gfxdata="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cL3otgAAAALAQAADwAAAAAA&#10;AAABACAAAAAiAAAAZHJzL2Rvd25yZXYueG1sUEsBAhQAFAAAAAgAh07iQPTrPWZMAgAAZgQAAA4A&#10;AAAAAAAAAQAgAAAAJwEAAGRycy9lMm9Eb2MueG1sUEsFBgAAAAAGAAYAWQEAAOUFAAAAAA==&#10;">
                <v:fill on="f" focussize="0,0"/>
                <v:stroke weight="1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5483225</wp:posOffset>
                </wp:positionH>
                <wp:positionV relativeFrom="paragraph">
                  <wp:posOffset>3382010</wp:posOffset>
                </wp:positionV>
                <wp:extent cx="1008380" cy="279400"/>
                <wp:effectExtent l="0" t="0" r="0" b="0"/>
                <wp:wrapNone/>
                <wp:docPr id="6" name="文本框 6"/>
                <wp:cNvGraphicFramePr/>
                <a:graphic xmlns:a="http://schemas.openxmlformats.org/drawingml/2006/main">
                  <a:graphicData uri="http://schemas.microsoft.com/office/word/2010/wordprocessingShape">
                    <wps:wsp>
                      <wps:cNvSpPr txBox="1"/>
                      <wps:spPr>
                        <a:xfrm>
                          <a:off x="6169025" y="4296410"/>
                          <a:ext cx="100838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b/>
                                <w:bCs/>
                                <w:sz w:val="24"/>
                                <w:szCs w:val="24"/>
                                <w:lang w:val="en-US" w:eastAsia="zh-CN"/>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75pt;margin-top:266.3pt;height:22pt;width:79.4pt;z-index:251664384;mso-width-relative:page;mso-height-relative:page;" filled="f" stroked="f" coordsize="21600,21600" o:gfxdata="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zp/xDcAAAADAEAAA8AAAAA&#10;AAAAAQAgAAAAIgAAAGRycy9kb3ducmV2LnhtbFBLAQIUABQAAAAIAIdO4kDy1peESQIAAHIEAAAO&#10;AAAAAAAAAAEAIAAAACsBAABkcnMvZTJvRG9jLnhtbFBLBQYAAAAABgAGAFkBAADmBQAAAAA=&#10;">
                <v:fill on="f" focussize="0,0"/>
                <v:stroke on="f" weight="0.5pt"/>
                <v:imagedata o:title=""/>
                <o:lock v:ext="edit" aspectratio="f"/>
                <v:textbox>
                  <w:txbxContent>
                    <w:p>
                      <w:pPr>
                        <w:rPr>
                          <w:rFonts w:hint="default" w:eastAsia="宋体"/>
                          <w:b/>
                          <w:bCs/>
                          <w:sz w:val="24"/>
                          <w:szCs w:val="24"/>
                          <w:lang w:val="en-US" w:eastAsia="zh-CN"/>
                        </w:rPr>
                      </w:pPr>
                      <w:r>
                        <w:rPr>
                          <w:rFonts w:hint="eastAsia"/>
                          <w:b/>
                          <w:bCs/>
                          <w:sz w:val="24"/>
                          <w:szCs w:val="24"/>
                          <w:lang w:val="en-US" w:eastAsia="zh-CN"/>
                        </w:rPr>
                        <w:t>本项目位置</w:t>
                      </w:r>
                    </w:p>
                  </w:txbxContent>
                </v:textbox>
              </v:shape>
            </w:pict>
          </mc:Fallback>
        </mc:AlternateContent>
      </w:r>
      <w:r>
        <w:drawing>
          <wp:inline distT="0" distB="0" distL="114300" distR="114300">
            <wp:extent cx="5257165" cy="8357870"/>
            <wp:effectExtent l="19050" t="19050" r="24130" b="19685"/>
            <wp:docPr id="535" name="图片 65" descr="B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65" descr="BDC9"/>
                    <pic:cNvPicPr>
                      <a:picLocks noChangeAspect="1"/>
                    </pic:cNvPicPr>
                  </pic:nvPicPr>
                  <pic:blipFill>
                    <a:blip r:embed="rId33"/>
                    <a:stretch>
                      <a:fillRect/>
                    </a:stretch>
                  </pic:blipFill>
                  <pic:spPr>
                    <a:xfrm rot="5400000">
                      <a:off x="0" y="0"/>
                      <a:ext cx="5257165" cy="8357870"/>
                    </a:xfrm>
                    <a:prstGeom prst="rect">
                      <a:avLst/>
                    </a:prstGeom>
                    <a:noFill/>
                    <a:ln w="19050" cap="flat" cmpd="sng">
                      <a:solidFill>
                        <a:srgbClr val="000000"/>
                      </a:solidFill>
                      <a:prstDash val="solid"/>
                      <a:miter/>
                      <a:headEnd type="none" w="med" len="med"/>
                      <a:tailEnd type="none" w="med" len="med"/>
                    </a:ln>
                  </pic:spPr>
                </pic:pic>
              </a:graphicData>
            </a:graphic>
          </wp:inline>
        </w:drawing>
      </w:r>
    </w:p>
    <w:p>
      <w:pPr>
        <w:spacing w:line="240" w:lineRule="auto"/>
        <w:jc w:val="center"/>
        <w:outlineLvl w:val="0"/>
        <w:rPr>
          <w:rFonts w:hint="eastAsia"/>
          <w:b/>
          <w:bCs/>
          <w:sz w:val="28"/>
          <w:szCs w:val="28"/>
          <w:lang w:val="en-US" w:eastAsia="zh-CN"/>
        </w:rPr>
        <w:sectPr>
          <w:footerReference r:id="rId8" w:type="default"/>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4381500</wp:posOffset>
                </wp:positionH>
                <wp:positionV relativeFrom="paragraph">
                  <wp:posOffset>3246120</wp:posOffset>
                </wp:positionV>
                <wp:extent cx="476250" cy="300355"/>
                <wp:effectExtent l="0" t="8255" r="19050" b="15240"/>
                <wp:wrapNone/>
                <wp:docPr id="4" name="直接连接符 4"/>
                <wp:cNvGraphicFramePr/>
                <a:graphic xmlns:a="http://schemas.openxmlformats.org/drawingml/2006/main">
                  <a:graphicData uri="http://schemas.microsoft.com/office/word/2010/wordprocessingShape">
                    <wps:wsp>
                      <wps:cNvCnPr/>
                      <wps:spPr>
                        <a:xfrm flipH="1">
                          <a:off x="0" y="0"/>
                          <a:ext cx="476250" cy="300355"/>
                        </a:xfrm>
                        <a:prstGeom prst="line">
                          <a:avLst/>
                        </a:prstGeom>
                        <a:ln w="1905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5pt;margin-top:255.6pt;height:23.65pt;width:37.5pt;z-index:251662336;mso-width-relative:page;mso-height-relative:page;" filled="f" stroked="t" coordsize="21600,21600" o:gfxdata="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&#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aphdgAAAALAQAADwAAAAAAAAABACAAAAAiAAAA&#10;ZHJzL2Rvd25yZXYueG1sUEsBAhQAFAAAAAgAh07iQBj0aeoHAgAA9AMAAA4AAAAAAAAAAQAgAAAA&#10;JwEAAGRycy9lMm9Eb2MueG1sUEsFBgAAAAAGAAYAWQEAAKAFAAAAAA==&#10;">
                <v:fill on="f" focussize="0,0"/>
                <v:stroke weight="1.5pt" color="#FF0000" joinstyle="round" endarrow="open"/>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4843145</wp:posOffset>
                </wp:positionH>
                <wp:positionV relativeFrom="paragraph">
                  <wp:posOffset>3114040</wp:posOffset>
                </wp:positionV>
                <wp:extent cx="1047750" cy="27178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47750" cy="271780"/>
                        </a:xfrm>
                        <a:prstGeom prst="rect">
                          <a:avLst/>
                        </a:prstGeom>
                        <a:noFill/>
                        <a:ln>
                          <a:noFill/>
                        </a:ln>
                      </wps:spPr>
                      <wps:txbx>
                        <w:txbxContent>
                          <w:p>
                            <w:pPr>
                              <w:rPr>
                                <w:rFonts w:hint="default" w:eastAsia="宋体"/>
                                <w:b/>
                                <w:bCs/>
                                <w:color w:val="FF0000"/>
                                <w:lang w:val="en-US" w:eastAsia="zh-CN"/>
                              </w:rPr>
                            </w:pPr>
                            <w:r>
                              <w:rPr>
                                <w:rFonts w:hint="eastAsia"/>
                                <w:b/>
                                <w:bCs/>
                                <w:color w:val="FF0000"/>
                                <w:lang w:val="en-US" w:eastAsia="zh-CN"/>
                              </w:rPr>
                              <w:t>本项目位置</w:t>
                            </w:r>
                          </w:p>
                        </w:txbxContent>
                      </wps:txbx>
                      <wps:bodyPr upright="1"/>
                    </wps:wsp>
                  </a:graphicData>
                </a:graphic>
              </wp:anchor>
            </w:drawing>
          </mc:Choice>
          <mc:Fallback>
            <w:pict>
              <v:shape id="_x0000_s1026" o:spid="_x0000_s1026" o:spt="202" type="#_x0000_t202" style="position:absolute;left:0pt;margin-left:381.35pt;margin-top:245.2pt;height:21.4pt;width:82.5pt;z-index:251661312;mso-width-relative:page;mso-height-relative:page;" filled="f" stroked="f" coordsize="21600,21600" o:gfxdata="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QOoj2AAA&#10;AAsBAAAPAAAAAAAAAAEAIAAAACIAAABkcnMvZG93bnJldi54bWxQSwECFAAUAAAACACHTuJAZD+4&#10;E6wBAABQAwAADgAAAAAAAAABACAAAAAnAQAAZHJzL2Uyb0RvYy54bWxQSwUGAAAAAAYABgBZAQAA&#10;RQUAAAAA&#10;">
                <v:fill on="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本项目位置</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4206240</wp:posOffset>
                </wp:positionH>
                <wp:positionV relativeFrom="paragraph">
                  <wp:posOffset>3495040</wp:posOffset>
                </wp:positionV>
                <wp:extent cx="212090" cy="190500"/>
                <wp:effectExtent l="15240" t="14605" r="20320" b="23495"/>
                <wp:wrapNone/>
                <wp:docPr id="11" name="五角星 11"/>
                <wp:cNvGraphicFramePr/>
                <a:graphic xmlns:a="http://schemas.openxmlformats.org/drawingml/2006/main">
                  <a:graphicData uri="http://schemas.microsoft.com/office/word/2010/wordprocessingShape">
                    <wps:wsp>
                      <wps:cNvSpPr/>
                      <wps:spPr>
                        <a:xfrm>
                          <a:off x="0" y="0"/>
                          <a:ext cx="212090" cy="19050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31.2pt;margin-top:275.2pt;height:15pt;width:16.7pt;z-index:251660288;mso-width-relative:page;mso-height-relative:page;" fillcolor="#FF0000" filled="t" stroked="t" coordsize="212090,190500" o:gfxdata="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rD5XaAAAACwEAAA8AAAAAAAAAAQAgAAAAIgAAAGRy&#10;cy9kb3ducmV2LnhtbFBLAQIUABQAAAAIAIdO4kDzMC9lAwIAACMEAAAOAAAAAAAAAAEAIAAAACkB&#10;AABkcnMvZTJvRG9jLnhtbFBLBQYAAAAABgAGAFkBAACeBQAAAAA=&#10;" path="m0,72764l81011,72764,106045,0,131078,72764,212089,72764,146549,117734,171584,190499,106045,145528,40505,190499,65540,117734xe">
                <v:path o:connectlocs="106045,0;0,72764;40505,190499;171584,190499;212089,72764" o:connectangles="247,164,82,82,0"/>
                <v:fill on="t" focussize="0,0"/>
                <v:stroke color="#000000" joinstyle="miter"/>
                <v:imagedata o:title=""/>
                <o:lock v:ext="edit" aspectratio="f"/>
              </v:shape>
            </w:pict>
          </mc:Fallback>
        </mc:AlternateContent>
      </w:r>
      <w:r>
        <w:rPr>
          <w:rFonts w:hint="eastAsia"/>
          <w:b/>
          <w:bCs/>
          <w:sz w:val="28"/>
          <w:szCs w:val="28"/>
          <w:lang w:eastAsia="zh-CN"/>
        </w:rPr>
        <w:t>附图一</w:t>
      </w:r>
      <w:r>
        <w:rPr>
          <w:rFonts w:hint="eastAsia"/>
          <w:b/>
          <w:bCs/>
          <w:sz w:val="28"/>
          <w:szCs w:val="28"/>
          <w:lang w:val="en-US" w:eastAsia="zh-CN"/>
        </w:rPr>
        <w:t xml:space="preserve"> 项目地理位置图</w:t>
      </w:r>
    </w:p>
    <w:p>
      <w:pPr>
        <w:pStyle w:val="3"/>
        <w:ind w:left="0" w:leftChars="0" w:firstLine="0" w:firstLineChars="0"/>
        <w:jc w:val="center"/>
      </w:pPr>
      <w:r>
        <w:drawing>
          <wp:anchor distT="0" distB="0" distL="114300" distR="114300" simplePos="0" relativeHeight="251673600" behindDoc="0" locked="0" layoutInCell="1" allowOverlap="1">
            <wp:simplePos x="0" y="0"/>
            <wp:positionH relativeFrom="column">
              <wp:posOffset>8658225</wp:posOffset>
            </wp:positionH>
            <wp:positionV relativeFrom="paragraph">
              <wp:posOffset>40005</wp:posOffset>
            </wp:positionV>
            <wp:extent cx="612140" cy="487680"/>
            <wp:effectExtent l="0" t="0" r="16510" b="762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2"/>
                    <a:stretch>
                      <a:fillRect/>
                    </a:stretch>
                  </pic:blipFill>
                  <pic:spPr>
                    <a:xfrm>
                      <a:off x="0" y="0"/>
                      <a:ext cx="612140" cy="487680"/>
                    </a:xfrm>
                    <a:prstGeom prst="rect">
                      <a:avLst/>
                    </a:prstGeom>
                    <a:noFill/>
                    <a:ln>
                      <a:noFill/>
                    </a:ln>
                  </pic:spPr>
                </pic:pic>
              </a:graphicData>
            </a:graphic>
          </wp:anchor>
        </w:drawing>
      </w:r>
      <w:r>
        <w:rPr>
          <w:sz w:val="24"/>
        </w:rPr>
        <mc:AlternateContent>
          <mc:Choice Requires="wps">
            <w:drawing>
              <wp:anchor distT="0" distB="0" distL="114300" distR="114300" simplePos="0" relativeHeight="251685888" behindDoc="0" locked="0" layoutInCell="1" allowOverlap="1">
                <wp:simplePos x="0" y="0"/>
                <wp:positionH relativeFrom="column">
                  <wp:posOffset>4330700</wp:posOffset>
                </wp:positionH>
                <wp:positionV relativeFrom="paragraph">
                  <wp:posOffset>3363595</wp:posOffset>
                </wp:positionV>
                <wp:extent cx="559435" cy="31940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5943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350m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pt;margin-top:264.85pt;height:25.15pt;width:44.05pt;z-index:251685888;mso-width-relative:page;mso-height-relative:page;" filled="f" stroked="f" coordsize="21600,21600" o:gfxdata="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dC/G2wAAAAsBAAAPAAAAAAAAAAEAIAAAACIAAABk&#10;cnMvZG93bnJldi54bWxQSwECFAAUAAAACACHTuJAlLMvczwCAABnBAAADgAAAAAAAAABACAAAAAq&#10;AQAAZHJzL2Uyb0RvYy54bWxQSwUGAAAAAAYABgBZAQAA2AU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350m</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4584700</wp:posOffset>
                </wp:positionH>
                <wp:positionV relativeFrom="paragraph">
                  <wp:posOffset>2347595</wp:posOffset>
                </wp:positionV>
                <wp:extent cx="234950" cy="1475740"/>
                <wp:effectExtent l="9525" t="1270" r="41275" b="8890"/>
                <wp:wrapNone/>
                <wp:docPr id="53" name="直接箭头连接符 53"/>
                <wp:cNvGraphicFramePr/>
                <a:graphic xmlns:a="http://schemas.openxmlformats.org/drawingml/2006/main">
                  <a:graphicData uri="http://schemas.microsoft.com/office/word/2010/wordprocessingShape">
                    <wps:wsp>
                      <wps:cNvCnPr>
                        <a:stCxn id="25" idx="2"/>
                        <a:endCxn id="24" idx="1"/>
                      </wps:cNvCnPr>
                      <wps:spPr>
                        <a:xfrm>
                          <a:off x="0" y="0"/>
                          <a:ext cx="234950" cy="14757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1pt;margin-top:184.85pt;height:116.2pt;width:18.5pt;z-index:251684864;mso-width-relative:page;mso-height-relative:page;" filled="f" stroked="t" coordsize="21600,21600" o:gfxdata="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s30S2wAAAAsBAAAPAAAAAAAAAAEAIAAAACIAAABkcnMvZG93bnJldi54bWxQSwECFAAU&#10;AAAACACHTuJAAAtnWScCAAAoBAAADgAAAAAAAAABACAAAAAqAQAAZHJzL2Uyb0RvYy54bWxQSwUG&#10;AAAAAAYABgBZAQAAwwUAAAAA&#10;">
                <v:fill on="f" focussize="0,0"/>
                <v:stroke weight="1.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4740275</wp:posOffset>
                </wp:positionH>
                <wp:positionV relativeFrom="paragraph">
                  <wp:posOffset>972820</wp:posOffset>
                </wp:positionV>
                <wp:extent cx="559435" cy="31940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5943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355m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25pt;margin-top:76.6pt;height:25.15pt;width:44.05pt;z-index:251683840;mso-width-relative:page;mso-height-relative:page;" filled="f" stroked="f" coordsize="21600,21600" o:gfxdata="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&#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lfM+9wAAAALAQAADwAAAAAAAAABACAAAAAiAAAA&#10;ZHJzL2Rvd25yZXYueG1sUEsBAhQAFAAAAAgAh07iQIu6N2w8AgAAZwQAAA4AAAAAAAAAAQAgAAAA&#10;KwEAAGRycy9lMm9Eb2MueG1sUEsFBgAAAAAGAAYAWQEAANkFA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355m</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3740150</wp:posOffset>
                </wp:positionH>
                <wp:positionV relativeFrom="paragraph">
                  <wp:posOffset>1229995</wp:posOffset>
                </wp:positionV>
                <wp:extent cx="1092200" cy="4902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9220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河南旭原不锈钢厂界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96.85pt;height:38.6pt;width:86pt;z-index:251678720;mso-width-relative:page;mso-height-relative:page;" filled="f" stroked="f" coordsize="21600,21600" o:gfxdata="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2tig7bAAAACwEAAA8AAAAAAAAAAQAgAAAAIgAAAGRy&#10;cy9kb3ducmV2LnhtbFBLAQIUABQAAAAIAIdO4kDpBhoBOwIAAGgEAAAOAAAAAAAAAAEAIAAAACoB&#10;AABkcnMvZTJvRG9jLnhtbFBLBQYAAAAABgAGAFkBAADXBQ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河南旭原不锈钢厂界</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4722495</wp:posOffset>
                </wp:positionH>
                <wp:positionV relativeFrom="paragraph">
                  <wp:posOffset>725805</wp:posOffset>
                </wp:positionV>
                <wp:extent cx="95250" cy="1343025"/>
                <wp:effectExtent l="9525" t="0" r="47625" b="9525"/>
                <wp:wrapNone/>
                <wp:docPr id="51" name="直接箭头连接符 51"/>
                <wp:cNvGraphicFramePr/>
                <a:graphic xmlns:a="http://schemas.openxmlformats.org/drawingml/2006/main">
                  <a:graphicData uri="http://schemas.microsoft.com/office/word/2010/wordprocessingShape">
                    <wps:wsp>
                      <wps:cNvCnPr/>
                      <wps:spPr>
                        <a:xfrm flipV="1">
                          <a:off x="5095240" y="1640205"/>
                          <a:ext cx="95250" cy="13430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1.85pt;margin-top:57.15pt;height:105.75pt;width:7.5pt;z-index:251682816;mso-width-relative:page;mso-height-relative:page;" filled="f" stroked="t" coordsize="21600,21600" o:gfxdata="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dk4X2wAA&#10;AAsBAAAPAAAAAAAAAAEAIAAAACIAAABkcnMvZG93bnJldi54bWxQSwECFAAUAAAACACHTuJAeQAz&#10;jRsCAAD7AwAADgAAAAAAAAABACAAAAAqAQAAZHJzL2Uyb0RvYy54bWxQSwUGAAAAAAYABgBZAQAA&#10;twUAAAAA&#10;">
                <v:fill on="f" focussize="0,0"/>
                <v:stroke weight="1.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4473575</wp:posOffset>
                </wp:positionH>
                <wp:positionV relativeFrom="paragraph">
                  <wp:posOffset>96520</wp:posOffset>
                </wp:positionV>
                <wp:extent cx="759460" cy="34798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759460" cy="347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lang w:val="en-US" w:eastAsia="zh-CN"/>
                              </w:rPr>
                            </w:pPr>
                            <w:r>
                              <w:rPr>
                                <w:rFonts w:hint="eastAsia"/>
                                <w:b/>
                                <w:bCs/>
                                <w:color w:val="FF0000"/>
                                <w:lang w:val="en-US" w:eastAsia="zh-CN"/>
                              </w:rPr>
                              <w:t>石洼村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25pt;margin-top:7.6pt;height:27.4pt;width:59.8pt;z-index:251681792;mso-width-relative:page;mso-height-relative:page;" filled="f" stroked="f" coordsize="21600,21600" o:gfxdata="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0E0x2QAAAAkBAAAPAAAAAAAAAAEAIAAAACIAAABkcnMv&#10;ZG93bnJldi54bWxQSwECFAAUAAAACACHTuJAqJrHazsCAABnBAAADgAAAAAAAAABACAAAAAoAQAA&#10;ZHJzL2Uyb0RvYy54bWxQSwUGAAAAAAYABgBZAQAA1QUAAAAA&#10;">
                <v:fill on="f" focussize="0,0"/>
                <v:stroke on="f" weight="0.5pt"/>
                <v:imagedata o:title=""/>
                <o:lock v:ext="edit" aspectratio="f"/>
                <v:textbox>
                  <w:txbxContent>
                    <w:p>
                      <w:pPr>
                        <w:rPr>
                          <w:rFonts w:hint="default"/>
                          <w:b/>
                          <w:bCs/>
                          <w:color w:val="FF0000"/>
                          <w:lang w:val="en-US" w:eastAsia="zh-CN"/>
                        </w:rPr>
                      </w:pPr>
                      <w:r>
                        <w:rPr>
                          <w:rFonts w:hint="eastAsia"/>
                          <w:b/>
                          <w:bCs/>
                          <w:color w:val="FF0000"/>
                          <w:lang w:val="en-US" w:eastAsia="zh-CN"/>
                        </w:rPr>
                        <w:t>石洼村</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4454525</wp:posOffset>
                </wp:positionH>
                <wp:positionV relativeFrom="paragraph">
                  <wp:posOffset>4096385</wp:posOffset>
                </wp:positionV>
                <wp:extent cx="1092200" cy="726440"/>
                <wp:effectExtent l="0" t="0" r="0" b="0"/>
                <wp:wrapNone/>
                <wp:docPr id="26" name="文本框 26"/>
                <wp:cNvGraphicFramePr/>
                <a:graphic xmlns:a="http://schemas.openxmlformats.org/drawingml/2006/main">
                  <a:graphicData uri="http://schemas.microsoft.com/office/word/2010/wordprocessingShape">
                    <wps:wsp>
                      <wps:cNvSpPr txBox="1"/>
                      <wps:spPr>
                        <a:xfrm rot="2280000">
                          <a:off x="0" y="0"/>
                          <a:ext cx="1092200" cy="726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lang w:val="en-US" w:eastAsia="zh-CN"/>
                              </w:rPr>
                            </w:pPr>
                            <w:r>
                              <w:rPr>
                                <w:rFonts w:hint="default"/>
                                <w:b/>
                                <w:bCs/>
                                <w:color w:val="FF0000"/>
                                <w:lang w:val="en-US" w:eastAsia="zh-CN"/>
                              </w:rPr>
                              <w:t>宝丰县产业集聚区公租房小区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75pt;margin-top:322.55pt;height:57.2pt;width:86pt;rotation:2490368f;z-index:251668480;mso-width-relative:page;mso-height-relative:page;" filled="f" stroked="f" coordsize="21600,21600" o:gfxdata="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v2ZnvYAAAACwEAAA8AAAAAAAAAAQAgAAAA&#10;IgAAAGRycy9kb3ducmV2LnhtbFBLAQIUABQAAAAIAIdO4kBf91qbRAIAAHYEAAAOAAAAAAAAAAEA&#10;IAAAACcBAABkcnMvZTJvRG9jLnhtbFBLBQYAAAAABgAGAFkBAADdBQAAAAA=&#10;">
                <v:fill on="f" focussize="0,0"/>
                <v:stroke on="f" weight="0.5pt"/>
                <v:imagedata o:title=""/>
                <o:lock v:ext="edit" aspectratio="f"/>
                <v:textbox>
                  <w:txbxContent>
                    <w:p>
                      <w:pPr>
                        <w:rPr>
                          <w:rFonts w:hint="eastAsia"/>
                          <w:b/>
                          <w:bCs/>
                          <w:color w:val="FF0000"/>
                          <w:lang w:val="en-US" w:eastAsia="zh-CN"/>
                        </w:rPr>
                      </w:pPr>
                      <w:r>
                        <w:rPr>
                          <w:rFonts w:hint="default"/>
                          <w:b/>
                          <w:bCs/>
                          <w:color w:val="FF0000"/>
                          <w:lang w:val="en-US" w:eastAsia="zh-CN"/>
                        </w:rPr>
                        <w:t>宝丰县产业集聚区公租房小区</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2626995</wp:posOffset>
                </wp:positionH>
                <wp:positionV relativeFrom="paragraph">
                  <wp:posOffset>49530</wp:posOffset>
                </wp:positionV>
                <wp:extent cx="4991100" cy="1428750"/>
                <wp:effectExtent l="1905" t="635" r="17145" b="37465"/>
                <wp:wrapNone/>
                <wp:docPr id="49" name="任意多边形 49"/>
                <wp:cNvGraphicFramePr/>
                <a:graphic xmlns:a="http://schemas.openxmlformats.org/drawingml/2006/main">
                  <a:graphicData uri="http://schemas.microsoft.com/office/word/2010/wordprocessingShape">
                    <wps:wsp>
                      <wps:cNvSpPr/>
                      <wps:spPr>
                        <a:xfrm>
                          <a:off x="3312795" y="963930"/>
                          <a:ext cx="4991100" cy="1428750"/>
                        </a:xfrm>
                        <a:custGeom>
                          <a:avLst/>
                          <a:gdLst>
                            <a:gd name="connisteX0" fmla="*/ 0 w 4991100"/>
                            <a:gd name="connsiteY0" fmla="*/ 57150 h 1428750"/>
                            <a:gd name="connisteX1" fmla="*/ 1457325 w 4991100"/>
                            <a:gd name="connsiteY1" fmla="*/ 219075 h 1428750"/>
                            <a:gd name="connisteX2" fmla="*/ 1447800 w 4991100"/>
                            <a:gd name="connsiteY2" fmla="*/ 523875 h 1428750"/>
                            <a:gd name="connisteX3" fmla="*/ 2705100 w 4991100"/>
                            <a:gd name="connsiteY3" fmla="*/ 685800 h 1428750"/>
                            <a:gd name="connisteX4" fmla="*/ 3000375 w 4991100"/>
                            <a:gd name="connsiteY4" fmla="*/ 685800 h 1428750"/>
                            <a:gd name="connisteX5" fmla="*/ 3028950 w 4991100"/>
                            <a:gd name="connsiteY5" fmla="*/ 323850 h 1428750"/>
                            <a:gd name="connisteX6" fmla="*/ 3419475 w 4991100"/>
                            <a:gd name="connsiteY6" fmla="*/ 409575 h 1428750"/>
                            <a:gd name="connisteX7" fmla="*/ 4953000 w 4991100"/>
                            <a:gd name="connsiteY7" fmla="*/ 1428750 h 1428750"/>
                            <a:gd name="connisteX8" fmla="*/ 4991100 w 4991100"/>
                            <a:gd name="connsiteY8" fmla="*/ 0 h 1428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4991100" h="1428750">
                              <a:moveTo>
                                <a:pt x="0" y="57150"/>
                              </a:moveTo>
                              <a:lnTo>
                                <a:pt x="1457325" y="219075"/>
                              </a:lnTo>
                              <a:lnTo>
                                <a:pt x="1447800" y="523875"/>
                              </a:lnTo>
                              <a:lnTo>
                                <a:pt x="2705100" y="685800"/>
                              </a:lnTo>
                              <a:lnTo>
                                <a:pt x="3000375" y="685800"/>
                              </a:lnTo>
                              <a:lnTo>
                                <a:pt x="3028950" y="323850"/>
                              </a:lnTo>
                              <a:lnTo>
                                <a:pt x="3419475" y="409575"/>
                              </a:lnTo>
                              <a:lnTo>
                                <a:pt x="4953000" y="1428750"/>
                              </a:lnTo>
                              <a:lnTo>
                                <a:pt x="4991100" y="0"/>
                              </a:lnTo>
                            </a:path>
                          </a:pathLst>
                        </a:custGeom>
                        <a:noFill/>
                        <a:ln w="317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06.85pt;margin-top:3.9pt;height:112.5pt;width:393pt;z-index:251680768;mso-width-relative:page;mso-height-relative:page;" filled="f" stroked="t" coordsize="4991100,1428750" o:gfxdata="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OTA0l7aAAAACgEAAA8AAAAAAAAAAQAgAAAAIgAAAGRycy9kb3ducmV2LnhtbFBLAQIUABQAAAAI&#10;AIdO4kCxUVdoswMAALYLAAAOAAAAAAAAAAEAIAAAACkBAABkcnMvZTJvRG9jLnhtbFBLBQYAAAAA&#10;BgAGAFkBAABOBwAAAAA=&#10;" path="m0,57150l1457325,219075,1447800,523875,2705100,685800,3000375,685800,3028950,323850,3419475,409575,4953000,1428750,4991100,0e">
                <v:path o:connectlocs="0,57150;1457325,219075;1447800,523875;2705100,685800;3000375,685800;3028950,323850;3419475,409575;4953000,1428750;4991100,0" o:connectangles="0,0,0,0,0,0,0,0,0"/>
                <v:fill on="f" focussize="0,0"/>
                <v:stroke weight="2.5pt" color="#FFFF00 [3204]"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4345940</wp:posOffset>
                </wp:positionH>
                <wp:positionV relativeFrom="paragraph">
                  <wp:posOffset>2065655</wp:posOffset>
                </wp:positionV>
                <wp:extent cx="639445" cy="305435"/>
                <wp:effectExtent l="0" t="0" r="0" b="0"/>
                <wp:wrapNone/>
                <wp:docPr id="25" name="文本框 25"/>
                <wp:cNvGraphicFramePr/>
                <a:graphic xmlns:a="http://schemas.openxmlformats.org/drawingml/2006/main">
                  <a:graphicData uri="http://schemas.microsoft.com/office/word/2010/wordprocessingShape">
                    <wps:wsp>
                      <wps:cNvSpPr txBox="1"/>
                      <wps:spPr>
                        <a:xfrm rot="1920000">
                          <a:off x="7078980" y="3051810"/>
                          <a:ext cx="639445" cy="305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2pt;margin-top:162.65pt;height:24.05pt;width:50.35pt;rotation:2097152f;z-index:251672576;mso-width-relative:page;mso-height-relative:page;" filled="f" stroked="f" coordsize="21600,21600" o:gfxdata="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ak9S9kAAAALAQAADwAA&#10;AAAAAAABACAAAAAiAAAAZHJzL2Rvd25yZXYueG1sUEsBAhQAFAAAAAgAh07iQIhAnnROAgAAgQQA&#10;AA4AAAAAAAAAAQAgAAAAKAEAAGRycy9lMm9Eb2MueG1sUEsFBgAAAAAGAAYAWQEAAOgFAAAAAA==&#10;">
                <v:fill on="f" focussize="0,0"/>
                <v:stroke on="f" weight="0.5pt"/>
                <v:imagedata o:title=""/>
                <o:lock v:ext="edit" aspectratio="f"/>
                <v:textbox>
                  <w:txbxContent>
                    <w:p>
                      <w:pPr>
                        <w:rPr>
                          <w:rFonts w:hint="eastAsia" w:eastAsia="宋体"/>
                          <w:b/>
                          <w:bCs/>
                          <w:color w:val="FF0000"/>
                          <w:lang w:val="en-US" w:eastAsia="zh-CN"/>
                        </w:rPr>
                      </w:pPr>
                      <w:r>
                        <w:rPr>
                          <w:rFonts w:hint="eastAsia"/>
                          <w:b/>
                          <w:bCs/>
                          <w:color w:val="FF0000"/>
                          <w:lang w:val="en-US" w:eastAsia="zh-CN"/>
                        </w:rPr>
                        <w:t>本项目</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4382770</wp:posOffset>
                </wp:positionH>
                <wp:positionV relativeFrom="paragraph">
                  <wp:posOffset>2120265</wp:posOffset>
                </wp:positionV>
                <wp:extent cx="514985" cy="219075"/>
                <wp:effectExtent l="28575" t="143510" r="46990" b="151765"/>
                <wp:wrapNone/>
                <wp:docPr id="12" name="矩形 12"/>
                <wp:cNvGraphicFramePr/>
                <a:graphic xmlns:a="http://schemas.openxmlformats.org/drawingml/2006/main">
                  <a:graphicData uri="http://schemas.microsoft.com/office/word/2010/wordprocessingShape">
                    <wps:wsp>
                      <wps:cNvSpPr/>
                      <wps:spPr>
                        <a:xfrm rot="2160000">
                          <a:off x="4488180" y="2754630"/>
                          <a:ext cx="51498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1pt;margin-top:166.95pt;height:17.25pt;width:40.55pt;rotation:2359296f;z-index:251670528;v-text-anchor:middle;mso-width-relative:page;mso-height-relative:page;" filled="f" stroked="t" coordsize="21600,21600" o:gfxdata="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2vwSW2AAAAAsBAAAPAAAAAAAAAAEAIAAA&#10;ACIAAABkcnMvZG93bnJldi54bWxQSwECFAAUAAAACACHTuJAj5FdM34CAADmBAAADgAAAAAAAAAB&#10;ACAAAAAnAQAAZHJzL2Uyb0RvYy54bWxQSwUGAAAAAAYABgBZAQAAFwYAAAAA&#10;">
                <v:fill on="f" focussize="0,0"/>
                <v:stroke weight="1.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3783965</wp:posOffset>
                </wp:positionH>
                <wp:positionV relativeFrom="paragraph">
                  <wp:posOffset>1887855</wp:posOffset>
                </wp:positionV>
                <wp:extent cx="1743075" cy="1686560"/>
                <wp:effectExtent l="20320" t="20320" r="27305" b="26670"/>
                <wp:wrapNone/>
                <wp:docPr id="43" name="任意多边形 43"/>
                <wp:cNvGraphicFramePr/>
                <a:graphic xmlns:a="http://schemas.openxmlformats.org/drawingml/2006/main">
                  <a:graphicData uri="http://schemas.microsoft.com/office/word/2010/wordprocessingShape">
                    <wps:wsp>
                      <wps:cNvSpPr/>
                      <wps:spPr>
                        <a:xfrm>
                          <a:off x="3679190" y="2402205"/>
                          <a:ext cx="1743075" cy="1686560"/>
                        </a:xfrm>
                        <a:custGeom>
                          <a:avLst/>
                          <a:gdLst>
                            <a:gd name="connisteX0" fmla="*/ 666750 w 1857375"/>
                            <a:gd name="connsiteY0" fmla="*/ 0 h 1762125"/>
                            <a:gd name="connisteX1" fmla="*/ 0 w 1857375"/>
                            <a:gd name="connsiteY1" fmla="*/ 876300 h 1762125"/>
                            <a:gd name="connisteX2" fmla="*/ 1276350 w 1857375"/>
                            <a:gd name="connsiteY2" fmla="*/ 1762125 h 1762125"/>
                            <a:gd name="connisteX3" fmla="*/ 1857375 w 1857375"/>
                            <a:gd name="connsiteY3" fmla="*/ 923925 h 1762125"/>
                            <a:gd name="connisteX4" fmla="*/ 666750 w 1857375"/>
                            <a:gd name="connsiteY4" fmla="*/ 0 h 17621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857375" h="1762125">
                              <a:moveTo>
                                <a:pt x="666750" y="0"/>
                              </a:moveTo>
                              <a:lnTo>
                                <a:pt x="0" y="876300"/>
                              </a:lnTo>
                              <a:lnTo>
                                <a:pt x="1276350" y="1762125"/>
                              </a:lnTo>
                              <a:lnTo>
                                <a:pt x="1857375" y="923925"/>
                              </a:lnTo>
                              <a:lnTo>
                                <a:pt x="666750" y="0"/>
                              </a:lnTo>
                              <a:close/>
                            </a:path>
                          </a:pathLst>
                        </a:custGeom>
                        <a:noFill/>
                        <a:ln w="28575" cmpd="dbl">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7.95pt;margin-top:148.65pt;height:132.8pt;width:137.25pt;z-index:251677696;mso-width-relative:page;mso-height-relative:page;" filled="f" stroked="t" coordsize="1857375,1762125" o:gfxdata="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UBgSv3AAAAAsBAAAPAAAAAAAA&#10;AAEAIAAAACIAAABkcnMvZG93bnJldi54bWxQSwECFAAUAAAACACHTuJAbaiP6CsDAABhCAAADgAA&#10;AAAAAAABACAAAAArAQAAZHJzL2Uyb0RvYy54bWxQSwUGAAAAAAYABgBZAQAAyAYAAAAA&#10;" path="m666750,0l0,876300,1276350,1762125,1857375,923925,666750,0xe">
                <v:path o:connectlocs="625719,0;0,838721;1197805,1686560;1743075,884304;625719,0" o:connectangles="0,0,0,0,0"/>
                <v:fill on="f" focussize="0,0"/>
                <v:stroke weight="2.25pt" color="#FF0000 [3204]" linestyle="thinThin"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4173855</wp:posOffset>
                </wp:positionH>
                <wp:positionV relativeFrom="paragraph">
                  <wp:posOffset>3823335</wp:posOffset>
                </wp:positionV>
                <wp:extent cx="1819910" cy="1162685"/>
                <wp:effectExtent l="15875" t="19050" r="50165" b="18415"/>
                <wp:wrapNone/>
                <wp:docPr id="24" name="任意多边形 24"/>
                <wp:cNvGraphicFramePr/>
                <a:graphic xmlns:a="http://schemas.openxmlformats.org/drawingml/2006/main">
                  <a:graphicData uri="http://schemas.microsoft.com/office/word/2010/wordprocessingShape">
                    <wps:wsp>
                      <wps:cNvSpPr/>
                      <wps:spPr>
                        <a:xfrm>
                          <a:off x="4221480" y="4404360"/>
                          <a:ext cx="1819910" cy="1162685"/>
                        </a:xfrm>
                        <a:custGeom>
                          <a:avLst/>
                          <a:gdLst>
                            <a:gd name="connisteX0" fmla="*/ 0 w 1905000"/>
                            <a:gd name="connsiteY0" fmla="*/ 895350 h 1323975"/>
                            <a:gd name="connisteX1" fmla="*/ 676275 w 1905000"/>
                            <a:gd name="connsiteY1" fmla="*/ 0 h 1323975"/>
                            <a:gd name="connisteX2" fmla="*/ 1905000 w 1905000"/>
                            <a:gd name="connsiteY2" fmla="*/ 942975 h 1323975"/>
                            <a:gd name="connisteX3" fmla="*/ 495300 w 1905000"/>
                            <a:gd name="connsiteY3" fmla="*/ 1323975 h 1323975"/>
                            <a:gd name="connisteX4" fmla="*/ 9525 w 1905000"/>
                            <a:gd name="connsiteY4" fmla="*/ 933450 h 1323975"/>
                            <a:gd name="connisteX5" fmla="*/ 0 w 1905000"/>
                            <a:gd name="connsiteY5" fmla="*/ 895350 h 13239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905000" h="1323975">
                              <a:moveTo>
                                <a:pt x="0" y="895350"/>
                              </a:moveTo>
                              <a:lnTo>
                                <a:pt x="676275" y="0"/>
                              </a:lnTo>
                              <a:lnTo>
                                <a:pt x="1905000" y="942975"/>
                              </a:lnTo>
                              <a:lnTo>
                                <a:pt x="495300" y="1323975"/>
                              </a:lnTo>
                              <a:lnTo>
                                <a:pt x="9525" y="933450"/>
                              </a:lnTo>
                              <a:lnTo>
                                <a:pt x="0" y="895350"/>
                              </a:lnTo>
                              <a:close/>
                            </a:path>
                          </a:pathLst>
                        </a:cu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8.65pt;margin-top:301.05pt;height:91.55pt;width:143.3pt;z-index:251671552;mso-width-relative:page;mso-height-relative:page;" filled="f" stroked="t" coordsize="1905000,1323975" o:gfxdata="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E6ocJveAAAACwEAAA8AAAAAAAAAAQAgAAAAIgAAAGRy&#10;cy9kb3ducmV2LnhtbFBLAQIUABQAAAAIAIdO4kBzURZnVQMAAC4JAAAOAAAAAAAAAAEAIAAAAC0B&#10;AABkcnMvZTJvRG9jLnhtbFBLBQYAAAAABgAGAFkBAAD0BgAAAAA=&#10;" path="m0,895350l676275,0,1905000,942975,495300,1323975,9525,933450,0,895350xe">
                <v:path o:connectlocs="0,786276;646068,0;1819910,828099;473176,1162685;9099,819734;0,786276" o:connectangles="0,0,0,0,0,0"/>
                <v:fill on="f" focussize="0,0"/>
                <v:stroke weight="2.25pt" color="#FFFF00 [3204]" miterlimit="8" joinstyle="miter" dashstyle="dash"/>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4286250</wp:posOffset>
                </wp:positionH>
                <wp:positionV relativeFrom="paragraph">
                  <wp:posOffset>1720215</wp:posOffset>
                </wp:positionV>
                <wp:extent cx="123190" cy="167640"/>
                <wp:effectExtent l="8890" t="6350" r="1270" b="16510"/>
                <wp:wrapNone/>
                <wp:docPr id="45" name="直接箭头连接符 45"/>
                <wp:cNvGraphicFramePr/>
                <a:graphic xmlns:a="http://schemas.openxmlformats.org/drawingml/2006/main">
                  <a:graphicData uri="http://schemas.microsoft.com/office/word/2010/wordprocessingShape">
                    <wps:wsp>
                      <wps:cNvCnPr>
                        <a:stCxn id="44" idx="2"/>
                        <a:endCxn id="43" idx="0"/>
                      </wps:cNvCnPr>
                      <wps:spPr>
                        <a:xfrm>
                          <a:off x="4345940" y="2129790"/>
                          <a:ext cx="123190" cy="167640"/>
                        </a:xfrm>
                        <a:prstGeom prst="straightConnector1">
                          <a:avLst/>
                        </a:prstGeom>
                        <a:ln w="22225">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7.5pt;margin-top:135.45pt;height:13.2pt;width:9.7pt;z-index:251679744;mso-width-relative:page;mso-height-relative:page;" filled="f" stroked="t" coordsize="21600,21600" o:gfxdata="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elWrLaAAAACwEAAA8AAAAAAAAAAQAgAAAAIgAAAGRycy9kb3ducmV2Lnht&#10;bFBLAQIUABQAAAAIAIdO4kCDLT8uMAIAADMEAAAOAAAAAAAAAAEAIAAAACkBAABkcnMvZTJvRG9j&#10;LnhtbFBLBQYAAAAABgAGAFkBAADLBQAAAAA=&#10;">
                <v:fill on="f" focussize="0,0"/>
                <v:stroke weight="1.75pt" color="#FF0000 [3204]" miterlimit="8" joinstyle="miter" endarrow="open"/>
                <v:imagedata o:title=""/>
                <o:lock v:ext="edit" aspectratio="f"/>
              </v:shape>
            </w:pict>
          </mc:Fallback>
        </mc:AlternateContent>
      </w:r>
      <w:r>
        <w:drawing>
          <wp:inline distT="0" distB="0" distL="114300" distR="114300">
            <wp:extent cx="9229725" cy="5220970"/>
            <wp:effectExtent l="0" t="0" r="9525" b="1778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4"/>
                    <a:stretch>
                      <a:fillRect/>
                    </a:stretch>
                  </pic:blipFill>
                  <pic:spPr>
                    <a:xfrm>
                      <a:off x="0" y="0"/>
                      <a:ext cx="9229725" cy="5220970"/>
                    </a:xfrm>
                    <a:prstGeom prst="rect">
                      <a:avLst/>
                    </a:prstGeom>
                    <a:noFill/>
                    <a:ln>
                      <a:noFill/>
                    </a:ln>
                  </pic:spPr>
                </pic:pic>
              </a:graphicData>
            </a:graphic>
          </wp:inline>
        </w:drawing>
      </w:r>
    </w:p>
    <w:p>
      <w:pPr>
        <w:jc w:val="center"/>
        <w:outlineLvl w:val="0"/>
        <w:rPr>
          <w:rFonts w:hint="default" w:eastAsia="宋体"/>
          <w:b/>
          <w:bCs/>
          <w:sz w:val="28"/>
          <w:szCs w:val="28"/>
          <w:lang w:val="en-US" w:eastAsia="zh-CN"/>
        </w:rPr>
        <w:sectPr>
          <w:footerReference r:id="rId9"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二</w:t>
      </w:r>
      <w:r>
        <w:rPr>
          <w:rFonts w:hint="eastAsia"/>
          <w:b/>
          <w:bCs/>
          <w:sz w:val="28"/>
          <w:szCs w:val="28"/>
        </w:rPr>
        <w:t xml:space="preserve"> 项目周围环境概况</w:t>
      </w:r>
      <w:r>
        <w:rPr>
          <w:rFonts w:hint="eastAsia"/>
          <w:b/>
          <w:bCs/>
          <w:sz w:val="28"/>
          <w:szCs w:val="28"/>
          <w:lang w:val="en-US" w:eastAsia="zh-CN"/>
        </w:rPr>
        <w:t>示意图</w:t>
      </w:r>
    </w:p>
    <w:p>
      <w:pPr>
        <w:bidi w:val="0"/>
      </w:pPr>
      <w:r>
        <mc:AlternateContent>
          <mc:Choice Requires="wps">
            <w:drawing>
              <wp:anchor distT="0" distB="0" distL="114300" distR="114300" simplePos="0" relativeHeight="251667456" behindDoc="0" locked="0" layoutInCell="1" allowOverlap="1">
                <wp:simplePos x="0" y="0"/>
                <wp:positionH relativeFrom="column">
                  <wp:posOffset>8459470</wp:posOffset>
                </wp:positionH>
                <wp:positionV relativeFrom="paragraph">
                  <wp:posOffset>85090</wp:posOffset>
                </wp:positionV>
                <wp:extent cx="886460" cy="5191125"/>
                <wp:effectExtent l="6350" t="6350" r="21590" b="22225"/>
                <wp:wrapNone/>
                <wp:docPr id="59" name="文本框 59"/>
                <wp:cNvGraphicFramePr/>
                <a:graphic xmlns:a="http://schemas.openxmlformats.org/drawingml/2006/main">
                  <a:graphicData uri="http://schemas.microsoft.com/office/word/2010/wordprocessingShape">
                    <wps:wsp>
                      <wps:cNvSpPr txBox="1"/>
                      <wps:spPr>
                        <a:xfrm>
                          <a:off x="0" y="0"/>
                          <a:ext cx="886460" cy="519112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val="0"/>
                              <w:bidi w:val="0"/>
                              <w:adjustRightInd/>
                              <w:snapToGrid/>
                              <w:jc w:val="center"/>
                              <w:textAlignment w:val="auto"/>
                              <w:rPr>
                                <w:rFonts w:hint="default" w:eastAsia="宋体"/>
                                <w:b w:val="0"/>
                                <w:bCs w:val="0"/>
                                <w:lang w:val="en-US" w:eastAsia="zh-CN"/>
                              </w:rPr>
                            </w:pPr>
                            <w:r>
                              <w:rPr>
                                <w:rFonts w:hint="eastAsia"/>
                                <w:b w:val="0"/>
                                <w:bCs w:val="0"/>
                                <w:lang w:val="en-US" w:eastAsia="zh-CN"/>
                              </w:rPr>
                              <w:t>注：本项目位于平顶山市宝丰县宝丰高新技术产业开发区旭原不锈钢院内8号厂房。通过河南省“三线一单”成果查询系统（网址：http://222.143.24.250:8237/#/layout/home）查询可知，本项目所在区域属于宝丰县重点单元（环境管控单元编码为：ZH41042120001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1pt;margin-top:6.7pt;height:408.75pt;width:69.8pt;z-index:251667456;mso-width-relative:page;mso-height-relative:page;" fillcolor="#FFFFFF [3201]" filled="t" stroked="t" coordsize="21600,21600" o:gfxdata="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V&#10;hj5L3AAAAAwBAAAPAAAAAAAAAAEAIAAAACIAAABkcnMvZG93bnJldi54bWxQSwECFAAUAAAACACH&#10;TuJAy93PD1kCAAC6BAAADgAAAAAAAAABACAAAAArAQAAZHJzL2Uyb0RvYy54bWxQSwUGAAAAAAYA&#10;BgBZAQAA9gUAAAAA&#10;">
                <v:fill on="t"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val="0"/>
                        <w:bidi w:val="0"/>
                        <w:adjustRightInd/>
                        <w:snapToGrid/>
                        <w:jc w:val="center"/>
                        <w:textAlignment w:val="auto"/>
                        <w:rPr>
                          <w:rFonts w:hint="default" w:eastAsia="宋体"/>
                          <w:b w:val="0"/>
                          <w:bCs w:val="0"/>
                          <w:lang w:val="en-US" w:eastAsia="zh-CN"/>
                        </w:rPr>
                      </w:pPr>
                      <w:r>
                        <w:rPr>
                          <w:rFonts w:hint="eastAsia"/>
                          <w:b w:val="0"/>
                          <w:bCs w:val="0"/>
                          <w:lang w:val="en-US" w:eastAsia="zh-CN"/>
                        </w:rPr>
                        <w:t>注：本项目位于平顶山市宝丰县宝丰高新技术产业开发区旭原不锈钢院内8号厂房。通过河南省“三线一单”成果查询系统（网址：http://222.143.24.250:8237/#/layout/home）查询可知，本项目所在区域属于宝丰县重点单元（环境管控单元编码为：ZH41042120001）</w:t>
                      </w:r>
                    </w:p>
                  </w:txbxContent>
                </v:textbox>
              </v:shape>
            </w:pict>
          </mc:Fallback>
        </mc:AlternateContent>
      </w:r>
      <w:r>
        <w:drawing>
          <wp:inline distT="0" distB="0" distL="114300" distR="114300">
            <wp:extent cx="8441690" cy="5173980"/>
            <wp:effectExtent l="0" t="0" r="16510" b="762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35"/>
                    <a:stretch>
                      <a:fillRect/>
                    </a:stretch>
                  </pic:blipFill>
                  <pic:spPr>
                    <a:xfrm>
                      <a:off x="0" y="0"/>
                      <a:ext cx="8441690" cy="5173980"/>
                    </a:xfrm>
                    <a:prstGeom prst="rect">
                      <a:avLst/>
                    </a:prstGeom>
                    <a:noFill/>
                    <a:ln>
                      <a:noFill/>
                    </a:ln>
                  </pic:spPr>
                </pic:pic>
              </a:graphicData>
            </a:graphic>
          </wp:inline>
        </w:drawing>
      </w:r>
    </w:p>
    <w:p>
      <w:pPr>
        <w:jc w:val="center"/>
        <w:outlineLvl w:val="0"/>
        <w:rPr>
          <w:rFonts w:hint="eastAsia"/>
          <w:b/>
          <w:bCs/>
          <w:sz w:val="28"/>
          <w:szCs w:val="28"/>
        </w:rPr>
        <w:sectPr>
          <w:footerReference r:id="rId10"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三</w:t>
      </w:r>
      <w:r>
        <w:rPr>
          <w:rFonts w:hint="eastAsia"/>
          <w:b/>
          <w:bCs/>
          <w:sz w:val="28"/>
          <w:szCs w:val="28"/>
        </w:rPr>
        <w:t xml:space="preserve"> </w:t>
      </w:r>
      <w:r>
        <w:rPr>
          <w:rFonts w:hint="eastAsia"/>
          <w:b/>
          <w:bCs/>
          <w:sz w:val="28"/>
          <w:szCs w:val="28"/>
          <w:lang w:val="en-US" w:eastAsia="zh-CN"/>
        </w:rPr>
        <w:t>本项目位置与</w:t>
      </w:r>
      <w:r>
        <w:rPr>
          <w:rFonts w:hint="eastAsia"/>
          <w:b/>
          <w:bCs/>
          <w:sz w:val="28"/>
          <w:szCs w:val="28"/>
        </w:rPr>
        <w:t>“三线一单”管控</w:t>
      </w:r>
      <w:r>
        <w:rPr>
          <w:rFonts w:hint="eastAsia"/>
          <w:b/>
          <w:bCs/>
          <w:sz w:val="28"/>
          <w:szCs w:val="28"/>
          <w:lang w:val="en-US" w:eastAsia="zh-CN"/>
        </w:rPr>
        <w:t>区对比</w:t>
      </w:r>
      <w:r>
        <w:rPr>
          <w:rFonts w:hint="eastAsia"/>
          <w:b/>
          <w:bCs/>
          <w:sz w:val="28"/>
          <w:szCs w:val="28"/>
        </w:rPr>
        <w:t>图</w:t>
      </w:r>
    </w:p>
    <w:p>
      <w:pPr>
        <w:jc w:val="center"/>
      </w:pPr>
      <w:r>
        <w:drawing>
          <wp:anchor distT="0" distB="0" distL="114300" distR="114300" simplePos="0" relativeHeight="251669504" behindDoc="0" locked="0" layoutInCell="1" allowOverlap="1">
            <wp:simplePos x="0" y="0"/>
            <wp:positionH relativeFrom="column">
              <wp:posOffset>8383905</wp:posOffset>
            </wp:positionH>
            <wp:positionV relativeFrom="paragraph">
              <wp:posOffset>64770</wp:posOffset>
            </wp:positionV>
            <wp:extent cx="612140" cy="487680"/>
            <wp:effectExtent l="0" t="0" r="16510" b="7620"/>
            <wp:wrapNone/>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32"/>
                    <a:stretch>
                      <a:fillRect/>
                    </a:stretch>
                  </pic:blipFill>
                  <pic:spPr>
                    <a:xfrm>
                      <a:off x="0" y="0"/>
                      <a:ext cx="612140" cy="487680"/>
                    </a:xfrm>
                    <a:prstGeom prst="rect">
                      <a:avLst/>
                    </a:prstGeom>
                    <a:noFill/>
                    <a:ln>
                      <a:noFill/>
                    </a:ln>
                  </pic:spPr>
                </pic:pic>
              </a:graphicData>
            </a:graphic>
          </wp:anchor>
        </w:drawing>
      </w:r>
      <w:r>
        <w:drawing>
          <wp:inline distT="0" distB="0" distL="114300" distR="114300">
            <wp:extent cx="5727065" cy="5293360"/>
            <wp:effectExtent l="0" t="0" r="6985" b="254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6"/>
                    <a:stretch>
                      <a:fillRect/>
                    </a:stretch>
                  </pic:blipFill>
                  <pic:spPr>
                    <a:xfrm>
                      <a:off x="0" y="0"/>
                      <a:ext cx="5727065" cy="5293360"/>
                    </a:xfrm>
                    <a:prstGeom prst="rect">
                      <a:avLst/>
                    </a:prstGeom>
                    <a:noFill/>
                    <a:ln>
                      <a:noFill/>
                    </a:ln>
                  </pic:spPr>
                </pic:pic>
              </a:graphicData>
            </a:graphic>
          </wp:inline>
        </w:drawing>
      </w:r>
    </w:p>
    <w:p>
      <w:pPr>
        <w:jc w:val="center"/>
        <w:outlineLvl w:val="0"/>
        <w:rPr>
          <w:rFonts w:hint="eastAsia"/>
          <w:b/>
          <w:bCs/>
          <w:sz w:val="28"/>
          <w:szCs w:val="28"/>
        </w:rPr>
        <w:sectPr>
          <w:headerReference r:id="rId11" w:type="default"/>
          <w:footerReference r:id="rId12" w:type="default"/>
          <w:pgSz w:w="16838" w:h="11906" w:orient="landscape"/>
          <w:pgMar w:top="1440" w:right="1080" w:bottom="1440" w:left="1080" w:header="1134" w:footer="964"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四</w:t>
      </w:r>
      <w:r>
        <w:rPr>
          <w:rFonts w:hint="eastAsia"/>
          <w:b/>
          <w:bCs/>
          <w:sz w:val="28"/>
          <w:szCs w:val="28"/>
        </w:rPr>
        <w:t xml:space="preserve"> </w:t>
      </w:r>
      <w:r>
        <w:rPr>
          <w:rFonts w:hint="eastAsia"/>
          <w:b/>
          <w:bCs/>
          <w:sz w:val="28"/>
          <w:szCs w:val="28"/>
          <w:lang w:val="en-US" w:eastAsia="zh-CN"/>
        </w:rPr>
        <w:t>项目平面布置示意</w:t>
      </w:r>
      <w:r>
        <w:rPr>
          <w:rFonts w:hint="eastAsia"/>
          <w:b/>
          <w:bCs/>
          <w:sz w:val="28"/>
          <w:szCs w:val="28"/>
        </w:rPr>
        <w:t>图</w:t>
      </w:r>
    </w:p>
    <w:p>
      <w:pPr>
        <w:bidi w:val="0"/>
        <w:jc w:val="center"/>
        <w:rPr>
          <w:rFonts w:hint="eastAsia"/>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6071235</wp:posOffset>
                </wp:positionH>
                <wp:positionV relativeFrom="paragraph">
                  <wp:posOffset>2954655</wp:posOffset>
                </wp:positionV>
                <wp:extent cx="650240" cy="309880"/>
                <wp:effectExtent l="0" t="4445" r="16510" b="9525"/>
                <wp:wrapNone/>
                <wp:docPr id="37" name="直接箭头连接符 37"/>
                <wp:cNvGraphicFramePr/>
                <a:graphic xmlns:a="http://schemas.openxmlformats.org/drawingml/2006/main">
                  <a:graphicData uri="http://schemas.microsoft.com/office/word/2010/wordprocessingShape">
                    <wps:wsp>
                      <wps:cNvCnPr>
                        <a:stCxn id="36" idx="2"/>
                        <a:endCxn id="35" idx="5"/>
                      </wps:cNvCnPr>
                      <wps:spPr>
                        <a:xfrm flipH="1">
                          <a:off x="6757035" y="3869055"/>
                          <a:ext cx="650240" cy="3098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78.05pt;margin-top:232.65pt;height:24.4pt;width:51.2pt;z-index:251676672;mso-width-relative:page;mso-height-relative:page;" filled="f" stroked="t" coordsize="21600,21600" o:gfxdata="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be2YtoAAAAMAQAADwAAAAAAAAABACAAAAAiAAAAZHJzL2Rv&#10;d25yZXYueG1sUEsBAhQAFAAAAAgAh07iQFA9AeY4AgAAPQQAAA4AAAAAAAAAAQAgAAAAKQEAAGRy&#10;cy9lMm9Eb2MueG1sUEsFBgAAAAAGAAYAWQEAANMFAAAAAA==&#10;">
                <v:fill on="f" focussize="0,0"/>
                <v:stroke weight="1.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6325870</wp:posOffset>
                </wp:positionH>
                <wp:positionV relativeFrom="paragraph">
                  <wp:posOffset>2630805</wp:posOffset>
                </wp:positionV>
                <wp:extent cx="790575" cy="323850"/>
                <wp:effectExtent l="0" t="0" r="0" b="0"/>
                <wp:wrapNone/>
                <wp:docPr id="36" name="文本框 36"/>
                <wp:cNvGraphicFramePr/>
                <a:graphic xmlns:a="http://schemas.openxmlformats.org/drawingml/2006/main">
                  <a:graphicData uri="http://schemas.microsoft.com/office/word/2010/wordprocessingShape">
                    <wps:wsp>
                      <wps:cNvSpPr txBox="1"/>
                      <wps:spPr>
                        <a:xfrm>
                          <a:off x="7011670" y="3545205"/>
                          <a:ext cx="7905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1pt;margin-top:207.15pt;height:25.5pt;width:62.25pt;z-index:251675648;mso-width-relative:page;mso-height-relative:page;" filled="f" stroked="f" coordsize="21600,21600" o:gfxdata="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0xVTHdAAAADAEAAA8AAAAA&#10;AAAAAQAgAAAAIgAAAGRycy9kb3ducmV2LnhtbFBLAQIUABQAAAAIAIdO4kDxhGCFSAIAAHMEAAAO&#10;AAAAAAAAAAEAIAAAACwBAABkcnMvZTJvRG9jLnhtbFBLBQYAAAAABgAGAFkBAADmBQ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项目位置</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5935345</wp:posOffset>
                </wp:positionH>
                <wp:positionV relativeFrom="paragraph">
                  <wp:posOffset>3183255</wp:posOffset>
                </wp:positionV>
                <wp:extent cx="180975" cy="161925"/>
                <wp:effectExtent l="10795" t="12700" r="17780" b="15875"/>
                <wp:wrapNone/>
                <wp:docPr id="35" name="等腰三角形 35"/>
                <wp:cNvGraphicFramePr/>
                <a:graphic xmlns:a="http://schemas.openxmlformats.org/drawingml/2006/main">
                  <a:graphicData uri="http://schemas.microsoft.com/office/word/2010/wordprocessingShape">
                    <wps:wsp>
                      <wps:cNvSpPr/>
                      <wps:spPr>
                        <a:xfrm>
                          <a:off x="6678295" y="4154805"/>
                          <a:ext cx="180975" cy="1619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67.35pt;margin-top:250.65pt;height:12.75pt;width:14.25pt;z-index:251674624;v-text-anchor:middle;mso-width-relative:page;mso-height-relative:page;" fillcolor="#FF0000" filled="t" stroked="t" coordsize="21600,21600" o:gfxdata="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YtkDaAAAACwEAAA8AAAAAAAAAAQAgAAAAIgAAAGRycy9kb3ducmV2Lnht&#10;bFBLAQIUABQAAAAIAIdO4kC5W3spogIAAC8FAAAOAAAAAAAAAAEAIAAAACkBAABkcnMvZTJvRG9j&#10;LnhtbFBLBQYAAAAABgAGAFkBAAA9BgAAAAA=&#10;" adj="10800">
                <v:fill on="t" focussize="0,0"/>
                <v:stroke weight="1pt" color="#41719C [3204]" miterlimit="8" joinstyle="miter"/>
                <v:imagedata o:title=""/>
                <o:lock v:ext="edit" aspectratio="f"/>
              </v:shape>
            </w:pict>
          </mc:Fallback>
        </mc:AlternateContent>
      </w:r>
      <w:r>
        <w:rPr>
          <w:rFonts w:hint="eastAsia"/>
          <w:lang w:eastAsia="zh-CN"/>
        </w:rPr>
        <w:drawing>
          <wp:inline distT="0" distB="0" distL="114300" distR="114300">
            <wp:extent cx="9049385" cy="5259070"/>
            <wp:effectExtent l="0" t="0" r="18415" b="17780"/>
            <wp:docPr id="34" name="图片 34" descr="微信图片_2023011115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01111513541"/>
                    <pic:cNvPicPr>
                      <a:picLocks noChangeAspect="1"/>
                    </pic:cNvPicPr>
                  </pic:nvPicPr>
                  <pic:blipFill>
                    <a:blip r:embed="rId37"/>
                    <a:stretch>
                      <a:fillRect/>
                    </a:stretch>
                  </pic:blipFill>
                  <pic:spPr>
                    <a:xfrm>
                      <a:off x="0" y="0"/>
                      <a:ext cx="9049385" cy="5259070"/>
                    </a:xfrm>
                    <a:prstGeom prst="rect">
                      <a:avLst/>
                    </a:prstGeom>
                  </pic:spPr>
                </pic:pic>
              </a:graphicData>
            </a:graphic>
          </wp:inline>
        </w:drawing>
      </w:r>
    </w:p>
    <w:p>
      <w:pPr>
        <w:jc w:val="center"/>
        <w:outlineLvl w:val="0"/>
        <w:rPr>
          <w:rFonts w:hint="eastAsia"/>
        </w:rPr>
        <w:sectPr>
          <w:headerReference r:id="rId13" w:type="default"/>
          <w:footerReference r:id="rId14" w:type="default"/>
          <w:pgSz w:w="16838" w:h="11906" w:orient="landscape"/>
          <w:pgMar w:top="1440" w:right="1080" w:bottom="1440" w:left="1080" w:header="1134" w:footer="964"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8"/>
        </w:rPr>
        <w:t>附图</w:t>
      </w:r>
      <w:r>
        <w:rPr>
          <w:rFonts w:hint="eastAsia"/>
          <w:b/>
          <w:bCs/>
          <w:sz w:val="28"/>
          <w:szCs w:val="28"/>
          <w:lang w:val="en-US" w:eastAsia="zh-CN"/>
        </w:rPr>
        <w:t>五</w:t>
      </w:r>
      <w:r>
        <w:rPr>
          <w:rFonts w:hint="eastAsia"/>
          <w:b/>
          <w:bCs/>
          <w:sz w:val="28"/>
          <w:szCs w:val="28"/>
        </w:rPr>
        <w:t xml:space="preserve"> </w:t>
      </w:r>
      <w:r>
        <w:rPr>
          <w:rFonts w:hint="eastAsia"/>
          <w:b/>
          <w:bCs/>
          <w:sz w:val="28"/>
          <w:szCs w:val="28"/>
          <w:lang w:val="en-US" w:eastAsia="zh-CN"/>
        </w:rPr>
        <w:t>宝丰县产业集聚区总体发展规划</w:t>
      </w:r>
      <w:r>
        <w:rPr>
          <w:rFonts w:hint="eastAsia"/>
          <w:b/>
          <w:bCs/>
          <w:sz w:val="28"/>
          <w:szCs w:val="28"/>
        </w:rPr>
        <w:t>图</w:t>
      </w:r>
    </w:p>
    <w:tbl>
      <w:tblPr>
        <w:tblStyle w:val="25"/>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1"/>
        <w:gridCol w:w="4720"/>
        <w:gridCol w:w="4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69" w:type="pct"/>
            <w:tcBorders>
              <w:tl2br w:val="nil"/>
              <w:tr2bl w:val="nil"/>
            </w:tcBorders>
            <w:vAlign w:val="center"/>
          </w:tcPr>
          <w:p>
            <w:pPr>
              <w:spacing w:line="240" w:lineRule="auto"/>
              <w:jc w:val="center"/>
              <w:rPr>
                <w:rFonts w:hint="eastAsia" w:eastAsia="宋体"/>
                <w:lang w:eastAsia="zh-CN"/>
              </w:rPr>
            </w:pPr>
            <w:r>
              <w:rPr>
                <w:rFonts w:hint="eastAsia" w:eastAsia="宋体"/>
                <w:lang w:eastAsia="zh-CN"/>
              </w:rPr>
              <w:drawing>
                <wp:inline distT="0" distB="0" distL="114300" distR="114300">
                  <wp:extent cx="2432685" cy="1776730"/>
                  <wp:effectExtent l="0" t="0" r="5715" b="13970"/>
                  <wp:docPr id="13" name="图片 13" descr="48083da00b580f6c8989cf3bb1ff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083da00b580f6c8989cf3bb1ff8d7"/>
                          <pic:cNvPicPr>
                            <a:picLocks noChangeAspect="1"/>
                          </pic:cNvPicPr>
                        </pic:nvPicPr>
                        <pic:blipFill>
                          <a:blip r:embed="rId38"/>
                          <a:stretch>
                            <a:fillRect/>
                          </a:stretch>
                        </pic:blipFill>
                        <pic:spPr>
                          <a:xfrm>
                            <a:off x="0" y="0"/>
                            <a:ext cx="2432685" cy="1776730"/>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eastAsia="宋体"/>
                <w:lang w:eastAsia="zh-CN"/>
              </w:rPr>
            </w:pPr>
            <w:r>
              <w:rPr>
                <w:rFonts w:hint="eastAsia" w:eastAsia="宋体"/>
                <w:lang w:eastAsia="zh-CN"/>
              </w:rPr>
              <w:drawing>
                <wp:inline distT="0" distB="0" distL="114300" distR="114300">
                  <wp:extent cx="2434590" cy="1770380"/>
                  <wp:effectExtent l="0" t="0" r="3810" b="1270"/>
                  <wp:docPr id="15" name="图片 15" descr="e7a2a77acac5e69e87bc36eb5516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7a2a77acac5e69e87bc36eb5516dc4"/>
                          <pic:cNvPicPr>
                            <a:picLocks noChangeAspect="1"/>
                          </pic:cNvPicPr>
                        </pic:nvPicPr>
                        <pic:blipFill>
                          <a:blip r:embed="rId39"/>
                          <a:stretch>
                            <a:fillRect/>
                          </a:stretch>
                        </pic:blipFill>
                        <pic:spPr>
                          <a:xfrm>
                            <a:off x="0" y="0"/>
                            <a:ext cx="2434590" cy="1770380"/>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eastAsia="宋体"/>
                <w:lang w:eastAsia="zh-CN"/>
              </w:rPr>
            </w:pPr>
            <w:r>
              <w:rPr>
                <w:rFonts w:hint="eastAsia" w:eastAsia="宋体"/>
                <w:lang w:eastAsia="zh-CN"/>
              </w:rPr>
              <w:drawing>
                <wp:inline distT="0" distB="0" distL="114300" distR="114300">
                  <wp:extent cx="2516505" cy="1759585"/>
                  <wp:effectExtent l="0" t="0" r="17145" b="12065"/>
                  <wp:docPr id="18" name="图片 18" descr="87329eb644880cb10ca0bfd11264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329eb644880cb10ca0bfd112640be"/>
                          <pic:cNvPicPr>
                            <a:picLocks noChangeAspect="1"/>
                          </pic:cNvPicPr>
                        </pic:nvPicPr>
                        <pic:blipFill>
                          <a:blip r:embed="rId40"/>
                          <a:stretch>
                            <a:fillRect/>
                          </a:stretch>
                        </pic:blipFill>
                        <pic:spPr>
                          <a:xfrm>
                            <a:off x="0" y="0"/>
                            <a:ext cx="2516505" cy="17595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669" w:type="pct"/>
            <w:tcBorders>
              <w:tl2br w:val="nil"/>
              <w:tr2bl w:val="nil"/>
            </w:tcBorders>
            <w:vAlign w:val="center"/>
          </w:tcPr>
          <w:p>
            <w:pPr>
              <w:spacing w:line="240" w:lineRule="auto"/>
              <w:jc w:val="center"/>
              <w:rPr>
                <w:rFonts w:hint="default" w:eastAsia="宋体"/>
                <w:lang w:val="en-US" w:eastAsia="zh-CN"/>
              </w:rPr>
            </w:pPr>
            <w:r>
              <w:rPr>
                <w:rFonts w:hint="eastAsia" w:ascii="Times New Roman" w:hAnsi="Times New Roman" w:eastAsia="宋体" w:cs="Times New Roman"/>
                <w:b/>
                <w:bCs/>
                <w:sz w:val="24"/>
                <w:lang w:val="en-US" w:eastAsia="zh-CN"/>
              </w:rPr>
              <w:t>本项目租赁厂房</w:t>
            </w:r>
          </w:p>
        </w:tc>
        <w:tc>
          <w:tcPr>
            <w:tcW w:w="1665" w:type="pct"/>
            <w:tcBorders>
              <w:tl2br w:val="nil"/>
              <w:tr2bl w:val="nil"/>
            </w:tcBorders>
            <w:vAlign w:val="center"/>
          </w:tcPr>
          <w:p>
            <w:pPr>
              <w:spacing w:line="240" w:lineRule="auto"/>
              <w:jc w:val="center"/>
              <w:rPr>
                <w:rFonts w:hint="default" w:eastAsia="宋体"/>
                <w:lang w:val="en-US" w:eastAsia="zh-CN"/>
              </w:rPr>
            </w:pPr>
            <w:r>
              <w:rPr>
                <w:rFonts w:hint="eastAsia" w:ascii="Times New Roman" w:hAnsi="Times New Roman" w:eastAsia="宋体" w:cs="Times New Roman"/>
                <w:b/>
                <w:bCs/>
                <w:sz w:val="24"/>
                <w:lang w:val="en-US" w:eastAsia="zh-CN"/>
              </w:rPr>
              <w:t>租赁厂房内部实景</w:t>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厂区道路、绿化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5" w:hRule="atLeast"/>
          <w:jc w:val="center"/>
        </w:trPr>
        <w:tc>
          <w:tcPr>
            <w:tcW w:w="1669"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eastAsia="宋体"/>
                <w:lang w:eastAsia="zh-CN"/>
              </w:rPr>
              <w:drawing>
                <wp:inline distT="0" distB="0" distL="114300" distR="114300">
                  <wp:extent cx="2369820" cy="1730375"/>
                  <wp:effectExtent l="0" t="0" r="11430" b="3175"/>
                  <wp:docPr id="19" name="图片 19" descr="63d0caed4d164c3267c3189bc813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3d0caed4d164c3267c3189bc813b7b"/>
                          <pic:cNvPicPr>
                            <a:picLocks noChangeAspect="1"/>
                          </pic:cNvPicPr>
                        </pic:nvPicPr>
                        <pic:blipFill>
                          <a:blip r:embed="rId41"/>
                          <a:stretch>
                            <a:fillRect/>
                          </a:stretch>
                        </pic:blipFill>
                        <pic:spPr>
                          <a:xfrm>
                            <a:off x="0" y="0"/>
                            <a:ext cx="2369820" cy="1730375"/>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2414905" cy="1735455"/>
                  <wp:effectExtent l="0" t="0" r="4445" b="17145"/>
                  <wp:docPr id="20" name="图片 20" descr="f0773d39ce11e775fd4064f96ccf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0773d39ce11e775fd4064f96ccf7e8"/>
                          <pic:cNvPicPr>
                            <a:picLocks noChangeAspect="1"/>
                          </pic:cNvPicPr>
                        </pic:nvPicPr>
                        <pic:blipFill>
                          <a:blip r:embed="rId42"/>
                          <a:stretch>
                            <a:fillRect/>
                          </a:stretch>
                        </pic:blipFill>
                        <pic:spPr>
                          <a:xfrm>
                            <a:off x="0" y="0"/>
                            <a:ext cx="2414905" cy="1735455"/>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eastAsia="宋体"/>
                <w:lang w:eastAsia="zh-CN"/>
              </w:rPr>
            </w:pPr>
            <w:r>
              <w:rPr>
                <w:rFonts w:hint="eastAsia" w:ascii="Times New Roman" w:hAnsi="Times New Roman" w:eastAsia="宋体" w:cs="Times New Roman"/>
                <w:b/>
                <w:bCs/>
                <w:sz w:val="24"/>
                <w:lang w:val="en-US" w:eastAsia="zh-CN"/>
              </w:rPr>
              <w:drawing>
                <wp:inline distT="0" distB="0" distL="114300" distR="114300">
                  <wp:extent cx="2350135" cy="1763395"/>
                  <wp:effectExtent l="0" t="0" r="12065" b="8255"/>
                  <wp:docPr id="22" name="图片 22" descr="3d9f6bbfe34ad7b49c60f3f9749d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d9f6bbfe34ad7b49c60f3f9749dd57"/>
                          <pic:cNvPicPr>
                            <a:picLocks noChangeAspect="1"/>
                          </pic:cNvPicPr>
                        </pic:nvPicPr>
                        <pic:blipFill>
                          <a:blip r:embed="rId43"/>
                          <a:stretch>
                            <a:fillRect/>
                          </a:stretch>
                        </pic:blipFill>
                        <pic:spPr>
                          <a:xfrm>
                            <a:off x="0" y="0"/>
                            <a:ext cx="2350135" cy="17633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69"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cs="Times New Roman"/>
                <w:b/>
                <w:bCs/>
                <w:sz w:val="24"/>
                <w:lang w:val="en-US" w:eastAsia="zh-CN"/>
              </w:rPr>
              <w:t>河南旭原不锈钢有限公司大门</w:t>
            </w:r>
          </w:p>
        </w:tc>
        <w:tc>
          <w:tcPr>
            <w:tcW w:w="1665"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sz w:val="24"/>
                <w:lang w:val="en-US" w:eastAsia="zh-CN"/>
              </w:rPr>
              <w:t>兴宝二路</w:t>
            </w:r>
          </w:p>
        </w:tc>
        <w:tc>
          <w:tcPr>
            <w:tcW w:w="1665" w:type="pct"/>
            <w:tcBorders>
              <w:tl2br w:val="nil"/>
              <w:tr2bl w:val="nil"/>
            </w:tcBorders>
            <w:vAlign w:val="center"/>
          </w:tcPr>
          <w:p>
            <w:pPr>
              <w:spacing w:line="240" w:lineRule="auto"/>
              <w:jc w:val="center"/>
              <w:rPr>
                <w:rFonts w:hint="eastAsia" w:cs="Times New Roman"/>
                <w:b/>
                <w:bCs/>
                <w:sz w:val="24"/>
                <w:lang w:val="en-US" w:eastAsia="zh-CN"/>
              </w:rPr>
            </w:pPr>
            <w:r>
              <w:rPr>
                <w:rFonts w:hint="eastAsia" w:cs="Times New Roman"/>
                <w:b/>
                <w:bCs/>
                <w:sz w:val="24"/>
                <w:lang w:val="en-US" w:eastAsia="zh-CN"/>
              </w:rPr>
              <w:t>父城大道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1669" w:type="pct"/>
            <w:tcBorders>
              <w:tl2br w:val="nil"/>
              <w:tr2bl w:val="nil"/>
            </w:tcBorders>
            <w:vAlign w:val="center"/>
          </w:tcPr>
          <w:p>
            <w:pPr>
              <w:spacing w:line="240" w:lineRule="auto"/>
              <w:jc w:val="center"/>
              <w:rPr>
                <w:rFonts w:hint="eastAsia" w:ascii="Times New Roman" w:hAnsi="Times New Roman" w:eastAsia="宋体" w:cs="Times New Roman"/>
                <w:kern w:val="2"/>
                <w:sz w:val="21"/>
                <w:szCs w:val="24"/>
                <w:lang w:val="en-US" w:eastAsia="zh-CN" w:bidi="ar-SA"/>
              </w:rPr>
            </w:pPr>
            <w:r>
              <w:rPr>
                <w:rFonts w:hint="eastAsia"/>
                <w:b/>
                <w:bCs/>
                <w:sz w:val="24"/>
                <w:lang w:val="en-US" w:eastAsia="zh-CN"/>
              </w:rPr>
              <w:drawing>
                <wp:inline distT="0" distB="0" distL="114300" distR="114300">
                  <wp:extent cx="2385060" cy="1789430"/>
                  <wp:effectExtent l="0" t="0" r="15240" b="1270"/>
                  <wp:docPr id="23" name="图片 23" descr="36d7c9c5feee1d16bb5dfc174756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6d7c9c5feee1d16bb5dfc1747567bb"/>
                          <pic:cNvPicPr>
                            <a:picLocks noChangeAspect="1"/>
                          </pic:cNvPicPr>
                        </pic:nvPicPr>
                        <pic:blipFill>
                          <a:blip r:embed="rId44"/>
                          <a:stretch>
                            <a:fillRect/>
                          </a:stretch>
                        </pic:blipFill>
                        <pic:spPr>
                          <a:xfrm>
                            <a:off x="0" y="0"/>
                            <a:ext cx="2385060" cy="1789430"/>
                          </a:xfrm>
                          <a:prstGeom prst="rect">
                            <a:avLst/>
                          </a:prstGeom>
                        </pic:spPr>
                      </pic:pic>
                    </a:graphicData>
                  </a:graphic>
                </wp:inline>
              </w:drawing>
            </w:r>
          </w:p>
        </w:tc>
        <w:tc>
          <w:tcPr>
            <w:tcW w:w="1665" w:type="pct"/>
            <w:tcBorders>
              <w:tl2br w:val="nil"/>
              <w:tr2bl w:val="nil"/>
            </w:tcBorders>
            <w:vAlign w:val="center"/>
          </w:tcPr>
          <w:p>
            <w:pPr>
              <w:spacing w:line="240" w:lineRule="auto"/>
              <w:jc w:val="center"/>
              <w:rPr>
                <w:rFonts w:hint="eastAsia" w:ascii="Times New Roman" w:hAnsi="Times New Roman" w:eastAsia="宋体" w:cs="Times New Roman"/>
                <w:b/>
                <w:bCs/>
                <w:sz w:val="24"/>
                <w:lang w:val="en-US" w:eastAsia="zh-CN"/>
              </w:rPr>
            </w:pPr>
          </w:p>
        </w:tc>
        <w:tc>
          <w:tcPr>
            <w:tcW w:w="1665" w:type="pct"/>
            <w:tcBorders>
              <w:tl2br w:val="nil"/>
              <w:tr2bl w:val="nil"/>
            </w:tcBorders>
            <w:vAlign w:val="center"/>
          </w:tcPr>
          <w:p>
            <w:pPr>
              <w:spacing w:line="240" w:lineRule="auto"/>
              <w:jc w:val="center"/>
              <w:rPr>
                <w:rFonts w:hint="eastAsia" w:ascii="Times New Roman" w:hAnsi="Times New Roman" w:eastAsia="宋体" w:cs="Times New Roman"/>
                <w:b/>
                <w:bCs/>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69" w:type="pct"/>
            <w:tcBorders>
              <w:tl2br w:val="nil"/>
              <w:tr2bl w:val="nil"/>
            </w:tcBorders>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b/>
                <w:bCs/>
                <w:sz w:val="24"/>
                <w:lang w:val="en-US" w:eastAsia="zh-CN"/>
              </w:rPr>
              <w:t>兴宝一路</w:t>
            </w:r>
          </w:p>
        </w:tc>
        <w:tc>
          <w:tcPr>
            <w:tcW w:w="1665" w:type="pct"/>
            <w:tcBorders>
              <w:tl2br w:val="nil"/>
              <w:tr2bl w:val="nil"/>
            </w:tcBorders>
            <w:vAlign w:val="center"/>
          </w:tcPr>
          <w:p>
            <w:pPr>
              <w:spacing w:line="240" w:lineRule="auto"/>
              <w:jc w:val="center"/>
              <w:rPr>
                <w:rFonts w:hint="default" w:ascii="Times New Roman" w:hAnsi="Times New Roman" w:eastAsia="宋体" w:cs="Times New Roman"/>
                <w:b/>
                <w:bCs/>
                <w:sz w:val="24"/>
                <w:lang w:val="en-US" w:eastAsia="zh-CN"/>
              </w:rPr>
            </w:pPr>
          </w:p>
        </w:tc>
        <w:tc>
          <w:tcPr>
            <w:tcW w:w="1665" w:type="pct"/>
            <w:tcBorders>
              <w:tl2br w:val="nil"/>
              <w:tr2bl w:val="nil"/>
            </w:tcBorders>
            <w:vAlign w:val="center"/>
          </w:tcPr>
          <w:p>
            <w:pPr>
              <w:spacing w:line="240" w:lineRule="auto"/>
              <w:jc w:val="center"/>
              <w:rPr>
                <w:rFonts w:hint="eastAsia" w:cs="Times New Roman"/>
                <w:b/>
                <w:bCs/>
                <w:sz w:val="24"/>
                <w:lang w:val="en-US" w:eastAsia="zh-CN"/>
              </w:rPr>
            </w:pPr>
          </w:p>
        </w:tc>
      </w:tr>
    </w:tbl>
    <w:p>
      <w:pPr>
        <w:jc w:val="center"/>
        <w:outlineLvl w:val="0"/>
        <w:rPr>
          <w:rFonts w:hint="eastAsia"/>
          <w:b/>
          <w:bCs/>
          <w:sz w:val="28"/>
          <w:szCs w:val="28"/>
        </w:rPr>
        <w:sectPr>
          <w:pgSz w:w="16838" w:h="11906" w:orient="landscape"/>
          <w:pgMar w:top="1083" w:right="1440" w:bottom="1083" w:left="1440"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b/>
          <w:bCs/>
          <w:sz w:val="28"/>
          <w:szCs w:val="28"/>
        </w:rPr>
        <w:t>附图</w:t>
      </w:r>
      <w:r>
        <w:rPr>
          <w:rFonts w:hint="eastAsia"/>
          <w:b/>
          <w:bCs/>
          <w:sz w:val="28"/>
          <w:szCs w:val="28"/>
          <w:lang w:val="en-US" w:eastAsia="zh-CN"/>
        </w:rPr>
        <w:t>五</w:t>
      </w:r>
      <w:r>
        <w:rPr>
          <w:rFonts w:hint="eastAsia"/>
          <w:b/>
          <w:bCs/>
          <w:sz w:val="28"/>
          <w:szCs w:val="28"/>
        </w:rPr>
        <w:t xml:space="preserve"> 项目现状实景图</w:t>
      </w:r>
    </w:p>
    <w:p>
      <w:pPr>
        <w:pStyle w:val="3"/>
        <w:ind w:left="0" w:leftChars="0" w:firstLine="0" w:firstLineChars="0"/>
        <w:rPr>
          <w:rFonts w:hint="default"/>
          <w:lang w:val="en-US" w:eastAsia="zh-CN"/>
        </w:rPr>
      </w:pPr>
      <w:bookmarkStart w:id="5" w:name="_GoBack"/>
      <w:bookmarkEnd w:id="5"/>
    </w:p>
    <w:sectPr>
      <w:pgSz w:w="11906" w:h="16838"/>
      <w:pgMar w:top="1440" w:right="1083" w:bottom="1440" w:left="1083"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6F23D"/>
    <w:multiLevelType w:val="singleLevel"/>
    <w:tmpl w:val="8CD6F23D"/>
    <w:lvl w:ilvl="0" w:tentative="0">
      <w:start w:val="1"/>
      <w:numFmt w:val="decimal"/>
      <w:suff w:val="nothing"/>
      <w:lvlText w:val="（%1）"/>
      <w:lvlJc w:val="left"/>
    </w:lvl>
  </w:abstractNum>
  <w:abstractNum w:abstractNumId="1">
    <w:nsid w:val="98617E4A"/>
    <w:multiLevelType w:val="singleLevel"/>
    <w:tmpl w:val="98617E4A"/>
    <w:lvl w:ilvl="0" w:tentative="0">
      <w:start w:val="1"/>
      <w:numFmt w:val="bullet"/>
      <w:lvlText w:val=""/>
      <w:lvlJc w:val="left"/>
      <w:pPr>
        <w:ind w:left="420" w:hanging="420"/>
      </w:pPr>
      <w:rPr>
        <w:rFonts w:hint="default" w:ascii="Wingdings" w:hAnsi="Wingdings"/>
      </w:rPr>
    </w:lvl>
  </w:abstractNum>
  <w:abstractNum w:abstractNumId="2">
    <w:nsid w:val="9BD2A876"/>
    <w:multiLevelType w:val="singleLevel"/>
    <w:tmpl w:val="9BD2A876"/>
    <w:lvl w:ilvl="0" w:tentative="0">
      <w:start w:val="4"/>
      <w:numFmt w:val="decimal"/>
      <w:suff w:val="nothing"/>
      <w:lvlText w:val="（%1）"/>
      <w:lvlJc w:val="left"/>
    </w:lvl>
  </w:abstractNum>
  <w:abstractNum w:abstractNumId="3">
    <w:nsid w:val="9CC2DEB8"/>
    <w:multiLevelType w:val="singleLevel"/>
    <w:tmpl w:val="9CC2DEB8"/>
    <w:lvl w:ilvl="0" w:tentative="0">
      <w:start w:val="1"/>
      <w:numFmt w:val="decimal"/>
      <w:suff w:val="nothing"/>
      <w:lvlText w:val="%1、"/>
      <w:lvlJc w:val="left"/>
    </w:lvl>
  </w:abstractNum>
  <w:abstractNum w:abstractNumId="4">
    <w:nsid w:val="AE30629B"/>
    <w:multiLevelType w:val="singleLevel"/>
    <w:tmpl w:val="AE30629B"/>
    <w:lvl w:ilvl="0" w:tentative="0">
      <w:start w:val="2"/>
      <w:numFmt w:val="chineseCounting"/>
      <w:suff w:val="nothing"/>
      <w:lvlText w:val="%1、"/>
      <w:lvlJc w:val="left"/>
      <w:rPr>
        <w:rFonts w:hint="eastAsia"/>
      </w:rPr>
    </w:lvl>
  </w:abstractNum>
  <w:abstractNum w:abstractNumId="5">
    <w:nsid w:val="BE201DD2"/>
    <w:multiLevelType w:val="singleLevel"/>
    <w:tmpl w:val="BE201DD2"/>
    <w:lvl w:ilvl="0" w:tentative="0">
      <w:start w:val="1"/>
      <w:numFmt w:val="decimal"/>
      <w:suff w:val="nothing"/>
      <w:lvlText w:val="%1、"/>
      <w:lvlJc w:val="left"/>
    </w:lvl>
  </w:abstractNum>
  <w:abstractNum w:abstractNumId="6">
    <w:nsid w:val="BEC51761"/>
    <w:multiLevelType w:val="singleLevel"/>
    <w:tmpl w:val="BEC51761"/>
    <w:lvl w:ilvl="0" w:tentative="0">
      <w:start w:val="1"/>
      <w:numFmt w:val="bullet"/>
      <w:lvlText w:val=""/>
      <w:lvlJc w:val="left"/>
      <w:pPr>
        <w:ind w:left="420" w:hanging="420"/>
      </w:pPr>
      <w:rPr>
        <w:rFonts w:hint="default" w:ascii="Wingdings" w:hAnsi="Wingdings"/>
      </w:rPr>
    </w:lvl>
  </w:abstractNum>
  <w:abstractNum w:abstractNumId="7">
    <w:nsid w:val="F2FA59D8"/>
    <w:multiLevelType w:val="singleLevel"/>
    <w:tmpl w:val="F2FA59D8"/>
    <w:lvl w:ilvl="0" w:tentative="0">
      <w:start w:val="1"/>
      <w:numFmt w:val="bullet"/>
      <w:lvlText w:val=""/>
      <w:lvlJc w:val="left"/>
      <w:pPr>
        <w:ind w:left="420" w:hanging="420"/>
      </w:pPr>
      <w:rPr>
        <w:rFonts w:hint="default" w:ascii="Wingdings" w:hAnsi="Wingdings"/>
      </w:rPr>
    </w:lvl>
  </w:abstractNum>
  <w:abstractNum w:abstractNumId="8">
    <w:nsid w:val="F5EA08C6"/>
    <w:multiLevelType w:val="singleLevel"/>
    <w:tmpl w:val="F5EA08C6"/>
    <w:lvl w:ilvl="0" w:tentative="0">
      <w:start w:val="1"/>
      <w:numFmt w:val="bullet"/>
      <w:lvlText w:val=""/>
      <w:lvlJc w:val="left"/>
      <w:pPr>
        <w:ind w:left="420" w:hanging="420"/>
      </w:pPr>
      <w:rPr>
        <w:rFonts w:hint="default" w:ascii="Wingdings" w:hAnsi="Wingdings"/>
      </w:rPr>
    </w:lvl>
  </w:abstractNum>
  <w:abstractNum w:abstractNumId="9">
    <w:nsid w:val="FA1987FE"/>
    <w:multiLevelType w:val="singleLevel"/>
    <w:tmpl w:val="FA1987FE"/>
    <w:lvl w:ilvl="0" w:tentative="0">
      <w:start w:val="3"/>
      <w:numFmt w:val="decimal"/>
      <w:suff w:val="nothing"/>
      <w:lvlText w:val="%1、"/>
      <w:lvlJc w:val="left"/>
    </w:lvl>
  </w:abstractNum>
  <w:abstractNum w:abstractNumId="10">
    <w:nsid w:val="FCE68F94"/>
    <w:multiLevelType w:val="singleLevel"/>
    <w:tmpl w:val="FCE68F94"/>
    <w:lvl w:ilvl="0" w:tentative="0">
      <w:start w:val="1"/>
      <w:numFmt w:val="upperLetter"/>
      <w:suff w:val="nothing"/>
      <w:lvlText w:val="%1、"/>
      <w:lvlJc w:val="left"/>
    </w:lvl>
  </w:abstractNum>
  <w:abstractNum w:abstractNumId="11">
    <w:nsid w:val="26290551"/>
    <w:multiLevelType w:val="singleLevel"/>
    <w:tmpl w:val="26290551"/>
    <w:lvl w:ilvl="0" w:tentative="0">
      <w:start w:val="1"/>
      <w:numFmt w:val="bullet"/>
      <w:lvlText w:val=""/>
      <w:lvlJc w:val="left"/>
      <w:pPr>
        <w:ind w:left="420" w:hanging="420"/>
      </w:pPr>
      <w:rPr>
        <w:rFonts w:hint="default" w:ascii="Wingdings" w:hAnsi="Wingdings"/>
      </w:rPr>
    </w:lvl>
  </w:abstractNum>
  <w:abstractNum w:abstractNumId="12">
    <w:nsid w:val="28B6E63B"/>
    <w:multiLevelType w:val="singleLevel"/>
    <w:tmpl w:val="28B6E63B"/>
    <w:lvl w:ilvl="0" w:tentative="0">
      <w:start w:val="1"/>
      <w:numFmt w:val="bullet"/>
      <w:lvlText w:val=""/>
      <w:lvlJc w:val="left"/>
      <w:pPr>
        <w:ind w:left="420" w:hanging="420"/>
      </w:pPr>
      <w:rPr>
        <w:rFonts w:hint="default" w:ascii="Wingdings" w:hAnsi="Wingdings"/>
      </w:rPr>
    </w:lvl>
  </w:abstractNum>
  <w:abstractNum w:abstractNumId="13">
    <w:nsid w:val="62C939CE"/>
    <w:multiLevelType w:val="singleLevel"/>
    <w:tmpl w:val="62C939CE"/>
    <w:lvl w:ilvl="0" w:tentative="0">
      <w:start w:val="1"/>
      <w:numFmt w:val="decimal"/>
      <w:suff w:val="nothing"/>
      <w:lvlText w:val="%1、"/>
      <w:lvlJc w:val="left"/>
    </w:lvl>
  </w:abstractNum>
  <w:abstractNum w:abstractNumId="14">
    <w:nsid w:val="6B4F9A60"/>
    <w:multiLevelType w:val="singleLevel"/>
    <w:tmpl w:val="6B4F9A60"/>
    <w:lvl w:ilvl="0" w:tentative="0">
      <w:start w:val="1"/>
      <w:numFmt w:val="decimal"/>
      <w:suff w:val="nothing"/>
      <w:lvlText w:val="（%1）"/>
      <w:lvlJc w:val="left"/>
    </w:lvl>
  </w:abstractNum>
  <w:abstractNum w:abstractNumId="15">
    <w:nsid w:val="7503B911"/>
    <w:multiLevelType w:val="singleLevel"/>
    <w:tmpl w:val="7503B911"/>
    <w:lvl w:ilvl="0" w:tentative="0">
      <w:start w:val="1"/>
      <w:numFmt w:val="bullet"/>
      <w:lvlText w:val=""/>
      <w:lvlJc w:val="left"/>
      <w:pPr>
        <w:ind w:left="420" w:hanging="420"/>
      </w:pPr>
      <w:rPr>
        <w:rFonts w:hint="default" w:ascii="Wingdings" w:hAnsi="Wingdings"/>
      </w:rPr>
    </w:lvl>
  </w:abstractNum>
  <w:abstractNum w:abstractNumId="16">
    <w:nsid w:val="75973145"/>
    <w:multiLevelType w:val="singleLevel"/>
    <w:tmpl w:val="75973145"/>
    <w:lvl w:ilvl="0" w:tentative="0">
      <w:start w:val="1"/>
      <w:numFmt w:val="bullet"/>
      <w:lvlText w:val=""/>
      <w:lvlJc w:val="left"/>
      <w:pPr>
        <w:ind w:left="420" w:hanging="420"/>
      </w:pPr>
      <w:rPr>
        <w:rFonts w:hint="default" w:ascii="Wingdings" w:hAnsi="Wingdings"/>
      </w:rPr>
    </w:lvl>
  </w:abstractNum>
  <w:abstractNum w:abstractNumId="17">
    <w:nsid w:val="75B22ABA"/>
    <w:multiLevelType w:val="singleLevel"/>
    <w:tmpl w:val="75B22ABA"/>
    <w:lvl w:ilvl="0" w:tentative="0">
      <w:start w:val="2"/>
      <w:numFmt w:val="decimal"/>
      <w:suff w:val="nothing"/>
      <w:lvlText w:val="（%1）"/>
      <w:lvlJc w:val="left"/>
    </w:lvl>
  </w:abstractNum>
  <w:num w:numId="1">
    <w:abstractNumId w:val="2"/>
  </w:num>
  <w:num w:numId="2">
    <w:abstractNumId w:val="13"/>
  </w:num>
  <w:num w:numId="3">
    <w:abstractNumId w:val="3"/>
  </w:num>
  <w:num w:numId="4">
    <w:abstractNumId w:val="4"/>
  </w:num>
  <w:num w:numId="5">
    <w:abstractNumId w:val="17"/>
  </w:num>
  <w:num w:numId="6">
    <w:abstractNumId w:val="0"/>
  </w:num>
  <w:num w:numId="7">
    <w:abstractNumId w:val="8"/>
  </w:num>
  <w:num w:numId="8">
    <w:abstractNumId w:val="9"/>
  </w:num>
  <w:num w:numId="9">
    <w:abstractNumId w:val="5"/>
  </w:num>
  <w:num w:numId="10">
    <w:abstractNumId w:val="16"/>
  </w:num>
  <w:num w:numId="11">
    <w:abstractNumId w:val="1"/>
  </w:num>
  <w:num w:numId="12">
    <w:abstractNumId w:val="6"/>
  </w:num>
  <w:num w:numId="13">
    <w:abstractNumId w:val="12"/>
  </w:num>
  <w:num w:numId="14">
    <w:abstractNumId w:val="14"/>
  </w:num>
  <w:num w:numId="15">
    <w:abstractNumId w:val="7"/>
  </w:num>
  <w:num w:numId="16">
    <w:abstractNumId w:val="11"/>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19"/>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4ZGNiZTJjZTljMWJiMDNlYzIyZmMzOTBhMzg4YTYifQ=="/>
  </w:docVars>
  <w:rsids>
    <w:rsidRoot w:val="7B352473"/>
    <w:rsid w:val="00060C6A"/>
    <w:rsid w:val="000C617C"/>
    <w:rsid w:val="001058CA"/>
    <w:rsid w:val="001F6EFF"/>
    <w:rsid w:val="002F6A85"/>
    <w:rsid w:val="00462F37"/>
    <w:rsid w:val="005A6523"/>
    <w:rsid w:val="00691E5F"/>
    <w:rsid w:val="00873A12"/>
    <w:rsid w:val="00943609"/>
    <w:rsid w:val="00A232A0"/>
    <w:rsid w:val="00B20DF2"/>
    <w:rsid w:val="00B2683C"/>
    <w:rsid w:val="00F1191B"/>
    <w:rsid w:val="01034A70"/>
    <w:rsid w:val="010F585C"/>
    <w:rsid w:val="01105C85"/>
    <w:rsid w:val="011164C1"/>
    <w:rsid w:val="0122364D"/>
    <w:rsid w:val="012344F2"/>
    <w:rsid w:val="012E12A0"/>
    <w:rsid w:val="0144789F"/>
    <w:rsid w:val="014A5F72"/>
    <w:rsid w:val="014D1EEC"/>
    <w:rsid w:val="01695955"/>
    <w:rsid w:val="016C71F3"/>
    <w:rsid w:val="01831A44"/>
    <w:rsid w:val="018362EB"/>
    <w:rsid w:val="018E1FF8"/>
    <w:rsid w:val="01941722"/>
    <w:rsid w:val="01BB3CD7"/>
    <w:rsid w:val="01C97AF1"/>
    <w:rsid w:val="01D50BD5"/>
    <w:rsid w:val="01F4023E"/>
    <w:rsid w:val="02135161"/>
    <w:rsid w:val="021B4929"/>
    <w:rsid w:val="021F7DC1"/>
    <w:rsid w:val="02450C3A"/>
    <w:rsid w:val="0246375F"/>
    <w:rsid w:val="024D1A9A"/>
    <w:rsid w:val="024E06A7"/>
    <w:rsid w:val="02536AB5"/>
    <w:rsid w:val="02592604"/>
    <w:rsid w:val="02741561"/>
    <w:rsid w:val="02741D5B"/>
    <w:rsid w:val="027528EB"/>
    <w:rsid w:val="02781BC8"/>
    <w:rsid w:val="02A71A6B"/>
    <w:rsid w:val="02AF383B"/>
    <w:rsid w:val="02B32626"/>
    <w:rsid w:val="02B349AE"/>
    <w:rsid w:val="02B415C0"/>
    <w:rsid w:val="02D212D8"/>
    <w:rsid w:val="02D77736"/>
    <w:rsid w:val="02E334E5"/>
    <w:rsid w:val="02FE3E7B"/>
    <w:rsid w:val="03074C27"/>
    <w:rsid w:val="0315393B"/>
    <w:rsid w:val="03403750"/>
    <w:rsid w:val="034877EC"/>
    <w:rsid w:val="036252B1"/>
    <w:rsid w:val="03675F18"/>
    <w:rsid w:val="039256C8"/>
    <w:rsid w:val="03BC55EC"/>
    <w:rsid w:val="03D618A6"/>
    <w:rsid w:val="03DD1CE2"/>
    <w:rsid w:val="03DE446B"/>
    <w:rsid w:val="03DE5A5A"/>
    <w:rsid w:val="03E312C3"/>
    <w:rsid w:val="03E47515"/>
    <w:rsid w:val="03FD74A1"/>
    <w:rsid w:val="040743DA"/>
    <w:rsid w:val="041F2A5C"/>
    <w:rsid w:val="042C577E"/>
    <w:rsid w:val="04304C21"/>
    <w:rsid w:val="043B27E8"/>
    <w:rsid w:val="044E6E1E"/>
    <w:rsid w:val="0452144E"/>
    <w:rsid w:val="04872CE3"/>
    <w:rsid w:val="04893066"/>
    <w:rsid w:val="04931C01"/>
    <w:rsid w:val="04976040"/>
    <w:rsid w:val="04A71B2A"/>
    <w:rsid w:val="04A722F0"/>
    <w:rsid w:val="04BC1F2C"/>
    <w:rsid w:val="04C708E6"/>
    <w:rsid w:val="04D066E7"/>
    <w:rsid w:val="04DD3F64"/>
    <w:rsid w:val="050B2FD3"/>
    <w:rsid w:val="0513674D"/>
    <w:rsid w:val="052D4EEB"/>
    <w:rsid w:val="05305425"/>
    <w:rsid w:val="05311419"/>
    <w:rsid w:val="05495645"/>
    <w:rsid w:val="05622E1E"/>
    <w:rsid w:val="05642F40"/>
    <w:rsid w:val="05862977"/>
    <w:rsid w:val="05946929"/>
    <w:rsid w:val="059A106B"/>
    <w:rsid w:val="05A0289F"/>
    <w:rsid w:val="05A36F5B"/>
    <w:rsid w:val="05B2719F"/>
    <w:rsid w:val="05C22CB5"/>
    <w:rsid w:val="05C64E34"/>
    <w:rsid w:val="05D134E8"/>
    <w:rsid w:val="05D93824"/>
    <w:rsid w:val="05EF150D"/>
    <w:rsid w:val="06005A13"/>
    <w:rsid w:val="06007F0A"/>
    <w:rsid w:val="060B692C"/>
    <w:rsid w:val="06316315"/>
    <w:rsid w:val="0634109D"/>
    <w:rsid w:val="06373C53"/>
    <w:rsid w:val="063B53E6"/>
    <w:rsid w:val="0661744D"/>
    <w:rsid w:val="0667442D"/>
    <w:rsid w:val="069167D4"/>
    <w:rsid w:val="06A02AAA"/>
    <w:rsid w:val="06AE33F4"/>
    <w:rsid w:val="06BA4AFE"/>
    <w:rsid w:val="06C65CB3"/>
    <w:rsid w:val="06D04EAE"/>
    <w:rsid w:val="06DD190B"/>
    <w:rsid w:val="06E267C0"/>
    <w:rsid w:val="06E4603F"/>
    <w:rsid w:val="06FD08ED"/>
    <w:rsid w:val="072514A2"/>
    <w:rsid w:val="072D11D3"/>
    <w:rsid w:val="07300676"/>
    <w:rsid w:val="07337FA1"/>
    <w:rsid w:val="07481B68"/>
    <w:rsid w:val="07546909"/>
    <w:rsid w:val="075A7AEE"/>
    <w:rsid w:val="076A61FC"/>
    <w:rsid w:val="07852680"/>
    <w:rsid w:val="07953088"/>
    <w:rsid w:val="079B3B21"/>
    <w:rsid w:val="07B37C1F"/>
    <w:rsid w:val="07BD48A5"/>
    <w:rsid w:val="07C25ACA"/>
    <w:rsid w:val="07CF4A2A"/>
    <w:rsid w:val="07D93108"/>
    <w:rsid w:val="07F817E1"/>
    <w:rsid w:val="08005D58"/>
    <w:rsid w:val="08033CE1"/>
    <w:rsid w:val="080C528C"/>
    <w:rsid w:val="0814042B"/>
    <w:rsid w:val="081D2FF5"/>
    <w:rsid w:val="081E3453"/>
    <w:rsid w:val="081E5A2F"/>
    <w:rsid w:val="083B47AE"/>
    <w:rsid w:val="08420CAE"/>
    <w:rsid w:val="084541EE"/>
    <w:rsid w:val="08615753"/>
    <w:rsid w:val="08797E1E"/>
    <w:rsid w:val="08A05F2E"/>
    <w:rsid w:val="08A65589"/>
    <w:rsid w:val="08BD7590"/>
    <w:rsid w:val="08BE7902"/>
    <w:rsid w:val="08CE5BAE"/>
    <w:rsid w:val="08D21CBE"/>
    <w:rsid w:val="08E151E8"/>
    <w:rsid w:val="08FC1A71"/>
    <w:rsid w:val="092C4CF1"/>
    <w:rsid w:val="094C2332"/>
    <w:rsid w:val="095C2450"/>
    <w:rsid w:val="095D02B8"/>
    <w:rsid w:val="09637844"/>
    <w:rsid w:val="097B4C20"/>
    <w:rsid w:val="09874E1E"/>
    <w:rsid w:val="09944F2E"/>
    <w:rsid w:val="09975029"/>
    <w:rsid w:val="09CB082F"/>
    <w:rsid w:val="09CE33EE"/>
    <w:rsid w:val="09D83DD8"/>
    <w:rsid w:val="09DF755C"/>
    <w:rsid w:val="09E0077E"/>
    <w:rsid w:val="09F47D86"/>
    <w:rsid w:val="09F558AC"/>
    <w:rsid w:val="0A2D5046"/>
    <w:rsid w:val="0A344626"/>
    <w:rsid w:val="0A345525"/>
    <w:rsid w:val="0A5442A8"/>
    <w:rsid w:val="0A6A1E9D"/>
    <w:rsid w:val="0A6B6D3D"/>
    <w:rsid w:val="0A887251"/>
    <w:rsid w:val="0AB67731"/>
    <w:rsid w:val="0AD60AAD"/>
    <w:rsid w:val="0AE92A74"/>
    <w:rsid w:val="0AF642EC"/>
    <w:rsid w:val="0AFF2E86"/>
    <w:rsid w:val="0B5331D2"/>
    <w:rsid w:val="0B5C6778"/>
    <w:rsid w:val="0B60664D"/>
    <w:rsid w:val="0B70007C"/>
    <w:rsid w:val="0B707905"/>
    <w:rsid w:val="0B872693"/>
    <w:rsid w:val="0B996FFF"/>
    <w:rsid w:val="0BAD28E2"/>
    <w:rsid w:val="0BB47566"/>
    <w:rsid w:val="0BC1319E"/>
    <w:rsid w:val="0BD440B8"/>
    <w:rsid w:val="0BEF7A9F"/>
    <w:rsid w:val="0C0119E4"/>
    <w:rsid w:val="0C0B642A"/>
    <w:rsid w:val="0C1314E3"/>
    <w:rsid w:val="0C2C7C83"/>
    <w:rsid w:val="0C3469FA"/>
    <w:rsid w:val="0C3E29A4"/>
    <w:rsid w:val="0C4E5300"/>
    <w:rsid w:val="0C67635D"/>
    <w:rsid w:val="0C681E9F"/>
    <w:rsid w:val="0C6C4F7F"/>
    <w:rsid w:val="0C6E357B"/>
    <w:rsid w:val="0C7B29E0"/>
    <w:rsid w:val="0C990ADE"/>
    <w:rsid w:val="0C9C64B3"/>
    <w:rsid w:val="0C9D2956"/>
    <w:rsid w:val="0C9E222B"/>
    <w:rsid w:val="0D022820"/>
    <w:rsid w:val="0D063097"/>
    <w:rsid w:val="0D0C188A"/>
    <w:rsid w:val="0D4E2852"/>
    <w:rsid w:val="0D4E3C51"/>
    <w:rsid w:val="0D767325"/>
    <w:rsid w:val="0D875541"/>
    <w:rsid w:val="0D8D6B9F"/>
    <w:rsid w:val="0DA466A2"/>
    <w:rsid w:val="0DC46A03"/>
    <w:rsid w:val="0DC51506"/>
    <w:rsid w:val="0DD0126A"/>
    <w:rsid w:val="0DD31353"/>
    <w:rsid w:val="0DD36B79"/>
    <w:rsid w:val="0E4137B5"/>
    <w:rsid w:val="0E451A43"/>
    <w:rsid w:val="0E4F5ED2"/>
    <w:rsid w:val="0E5A4271"/>
    <w:rsid w:val="0E611762"/>
    <w:rsid w:val="0E6B6BF9"/>
    <w:rsid w:val="0EA929E2"/>
    <w:rsid w:val="0EAE415C"/>
    <w:rsid w:val="0EBF433E"/>
    <w:rsid w:val="0EC35F79"/>
    <w:rsid w:val="0EC42910"/>
    <w:rsid w:val="0EEE46F4"/>
    <w:rsid w:val="0EF40C0A"/>
    <w:rsid w:val="0EF56A7A"/>
    <w:rsid w:val="0EF6634E"/>
    <w:rsid w:val="0F117F6B"/>
    <w:rsid w:val="0F5D5A42"/>
    <w:rsid w:val="0F5F2145"/>
    <w:rsid w:val="0F664178"/>
    <w:rsid w:val="0F700D01"/>
    <w:rsid w:val="0F784FB5"/>
    <w:rsid w:val="0FA22205"/>
    <w:rsid w:val="0FA77648"/>
    <w:rsid w:val="0FA8775E"/>
    <w:rsid w:val="0FB62EDB"/>
    <w:rsid w:val="0FBA737B"/>
    <w:rsid w:val="0FBD6E6C"/>
    <w:rsid w:val="0FD442E6"/>
    <w:rsid w:val="0FDA67AF"/>
    <w:rsid w:val="0FDE67AE"/>
    <w:rsid w:val="100434CA"/>
    <w:rsid w:val="101C3B92"/>
    <w:rsid w:val="1034511B"/>
    <w:rsid w:val="10370023"/>
    <w:rsid w:val="103A1EC5"/>
    <w:rsid w:val="103B682F"/>
    <w:rsid w:val="103E694A"/>
    <w:rsid w:val="104E4A61"/>
    <w:rsid w:val="10502620"/>
    <w:rsid w:val="10523E8E"/>
    <w:rsid w:val="10581C25"/>
    <w:rsid w:val="105D4C73"/>
    <w:rsid w:val="10664D8D"/>
    <w:rsid w:val="106A2B50"/>
    <w:rsid w:val="108C7336"/>
    <w:rsid w:val="108D5B01"/>
    <w:rsid w:val="10914580"/>
    <w:rsid w:val="109167D7"/>
    <w:rsid w:val="10953945"/>
    <w:rsid w:val="10AE588D"/>
    <w:rsid w:val="10B6112D"/>
    <w:rsid w:val="10C36704"/>
    <w:rsid w:val="10D21AD4"/>
    <w:rsid w:val="10D66437"/>
    <w:rsid w:val="10D733CA"/>
    <w:rsid w:val="10D95F99"/>
    <w:rsid w:val="10E15F34"/>
    <w:rsid w:val="10ED13FA"/>
    <w:rsid w:val="10ED4953"/>
    <w:rsid w:val="1115008D"/>
    <w:rsid w:val="1118286D"/>
    <w:rsid w:val="111909B9"/>
    <w:rsid w:val="112076B2"/>
    <w:rsid w:val="112E2296"/>
    <w:rsid w:val="112E7567"/>
    <w:rsid w:val="113A0986"/>
    <w:rsid w:val="114A472F"/>
    <w:rsid w:val="11A71B81"/>
    <w:rsid w:val="11B5732A"/>
    <w:rsid w:val="11B645B7"/>
    <w:rsid w:val="11BE2DE2"/>
    <w:rsid w:val="11C826A1"/>
    <w:rsid w:val="11CC3396"/>
    <w:rsid w:val="11FF3CE1"/>
    <w:rsid w:val="120772F5"/>
    <w:rsid w:val="124949E7"/>
    <w:rsid w:val="125E0CD1"/>
    <w:rsid w:val="126E269F"/>
    <w:rsid w:val="1291044F"/>
    <w:rsid w:val="12AA6813"/>
    <w:rsid w:val="12F83F92"/>
    <w:rsid w:val="1318638F"/>
    <w:rsid w:val="134D45D7"/>
    <w:rsid w:val="13511DA5"/>
    <w:rsid w:val="1360023A"/>
    <w:rsid w:val="13710699"/>
    <w:rsid w:val="137A5CA7"/>
    <w:rsid w:val="137E3987"/>
    <w:rsid w:val="139A6783"/>
    <w:rsid w:val="13A6253A"/>
    <w:rsid w:val="13AE3921"/>
    <w:rsid w:val="13B05512"/>
    <w:rsid w:val="13DF23CC"/>
    <w:rsid w:val="13E42C19"/>
    <w:rsid w:val="13E7683E"/>
    <w:rsid w:val="13F015BE"/>
    <w:rsid w:val="140212F1"/>
    <w:rsid w:val="14071D85"/>
    <w:rsid w:val="1408655D"/>
    <w:rsid w:val="140C2BB9"/>
    <w:rsid w:val="14244699"/>
    <w:rsid w:val="142676D5"/>
    <w:rsid w:val="142D315A"/>
    <w:rsid w:val="14393190"/>
    <w:rsid w:val="1444190A"/>
    <w:rsid w:val="1454382F"/>
    <w:rsid w:val="14577AC6"/>
    <w:rsid w:val="14684678"/>
    <w:rsid w:val="1476752B"/>
    <w:rsid w:val="147A2651"/>
    <w:rsid w:val="148517E8"/>
    <w:rsid w:val="148F0E44"/>
    <w:rsid w:val="14A55E93"/>
    <w:rsid w:val="14B45368"/>
    <w:rsid w:val="14D02BBA"/>
    <w:rsid w:val="14D64013"/>
    <w:rsid w:val="14D72ADA"/>
    <w:rsid w:val="14EE7694"/>
    <w:rsid w:val="14F055ED"/>
    <w:rsid w:val="152945D9"/>
    <w:rsid w:val="153D03DC"/>
    <w:rsid w:val="154222ED"/>
    <w:rsid w:val="154361C8"/>
    <w:rsid w:val="1562473D"/>
    <w:rsid w:val="1571672E"/>
    <w:rsid w:val="15757437"/>
    <w:rsid w:val="1578577E"/>
    <w:rsid w:val="15791A87"/>
    <w:rsid w:val="157D548C"/>
    <w:rsid w:val="158D108E"/>
    <w:rsid w:val="159552F0"/>
    <w:rsid w:val="15A85EC8"/>
    <w:rsid w:val="15C960E4"/>
    <w:rsid w:val="15CA6DCF"/>
    <w:rsid w:val="15F641F9"/>
    <w:rsid w:val="160D59ED"/>
    <w:rsid w:val="160E21CF"/>
    <w:rsid w:val="162719D3"/>
    <w:rsid w:val="163276D2"/>
    <w:rsid w:val="16351C1C"/>
    <w:rsid w:val="1638372A"/>
    <w:rsid w:val="163F05DA"/>
    <w:rsid w:val="165556AF"/>
    <w:rsid w:val="165878EE"/>
    <w:rsid w:val="166C76D6"/>
    <w:rsid w:val="16752024"/>
    <w:rsid w:val="167C538B"/>
    <w:rsid w:val="16870F53"/>
    <w:rsid w:val="168E1562"/>
    <w:rsid w:val="168F319A"/>
    <w:rsid w:val="16A3500D"/>
    <w:rsid w:val="16A3587A"/>
    <w:rsid w:val="16AA639C"/>
    <w:rsid w:val="16C7529A"/>
    <w:rsid w:val="16CA07EC"/>
    <w:rsid w:val="16CA24DA"/>
    <w:rsid w:val="16CB617E"/>
    <w:rsid w:val="16E3365C"/>
    <w:rsid w:val="16E84621"/>
    <w:rsid w:val="16F245C5"/>
    <w:rsid w:val="16F56C5C"/>
    <w:rsid w:val="16F75761"/>
    <w:rsid w:val="16F86F13"/>
    <w:rsid w:val="16FD77F0"/>
    <w:rsid w:val="1708294D"/>
    <w:rsid w:val="171001C9"/>
    <w:rsid w:val="1752369D"/>
    <w:rsid w:val="176E1B03"/>
    <w:rsid w:val="177223D2"/>
    <w:rsid w:val="17761B4A"/>
    <w:rsid w:val="1783099B"/>
    <w:rsid w:val="178F10EE"/>
    <w:rsid w:val="179A0284"/>
    <w:rsid w:val="179C538F"/>
    <w:rsid w:val="179E27B9"/>
    <w:rsid w:val="17A50911"/>
    <w:rsid w:val="17AD7F3D"/>
    <w:rsid w:val="17C854A2"/>
    <w:rsid w:val="17CF1E32"/>
    <w:rsid w:val="17D20269"/>
    <w:rsid w:val="17E5229C"/>
    <w:rsid w:val="18012D90"/>
    <w:rsid w:val="181F7D2E"/>
    <w:rsid w:val="1838202B"/>
    <w:rsid w:val="18423B2F"/>
    <w:rsid w:val="185145F5"/>
    <w:rsid w:val="185B04CB"/>
    <w:rsid w:val="18695DE3"/>
    <w:rsid w:val="18702E37"/>
    <w:rsid w:val="187A4AA8"/>
    <w:rsid w:val="18867D10"/>
    <w:rsid w:val="18915DE9"/>
    <w:rsid w:val="18916A32"/>
    <w:rsid w:val="189270E7"/>
    <w:rsid w:val="189277FD"/>
    <w:rsid w:val="18970F8B"/>
    <w:rsid w:val="18AF7063"/>
    <w:rsid w:val="18B1382B"/>
    <w:rsid w:val="18B90B18"/>
    <w:rsid w:val="18CB22C0"/>
    <w:rsid w:val="18CD6371"/>
    <w:rsid w:val="18D360D8"/>
    <w:rsid w:val="19007DFE"/>
    <w:rsid w:val="19067429"/>
    <w:rsid w:val="19105640"/>
    <w:rsid w:val="191A70DD"/>
    <w:rsid w:val="192018D2"/>
    <w:rsid w:val="19274CCF"/>
    <w:rsid w:val="19307489"/>
    <w:rsid w:val="193D16D6"/>
    <w:rsid w:val="194B507F"/>
    <w:rsid w:val="194F6D87"/>
    <w:rsid w:val="196850C9"/>
    <w:rsid w:val="196F11D7"/>
    <w:rsid w:val="1977008B"/>
    <w:rsid w:val="198033E4"/>
    <w:rsid w:val="19854FE5"/>
    <w:rsid w:val="19A85F4D"/>
    <w:rsid w:val="19BD0194"/>
    <w:rsid w:val="19C534ED"/>
    <w:rsid w:val="19D0740C"/>
    <w:rsid w:val="19E5593D"/>
    <w:rsid w:val="19E716B5"/>
    <w:rsid w:val="19EC76AC"/>
    <w:rsid w:val="19F85670"/>
    <w:rsid w:val="1A0C3913"/>
    <w:rsid w:val="1A0C4C78"/>
    <w:rsid w:val="1A100A0D"/>
    <w:rsid w:val="1A2646F6"/>
    <w:rsid w:val="1A30063A"/>
    <w:rsid w:val="1A31156C"/>
    <w:rsid w:val="1A3B5FD7"/>
    <w:rsid w:val="1A461C65"/>
    <w:rsid w:val="1A582032"/>
    <w:rsid w:val="1A6F1757"/>
    <w:rsid w:val="1A7E355A"/>
    <w:rsid w:val="1A7E3C31"/>
    <w:rsid w:val="1AA650CC"/>
    <w:rsid w:val="1AA80E44"/>
    <w:rsid w:val="1ACA660A"/>
    <w:rsid w:val="1AE9320B"/>
    <w:rsid w:val="1AF26D6C"/>
    <w:rsid w:val="1AF424A5"/>
    <w:rsid w:val="1AF776D6"/>
    <w:rsid w:val="1AFD138A"/>
    <w:rsid w:val="1B03607B"/>
    <w:rsid w:val="1B171B26"/>
    <w:rsid w:val="1B1A1A74"/>
    <w:rsid w:val="1B1A7868"/>
    <w:rsid w:val="1B1D2B8C"/>
    <w:rsid w:val="1B325AE4"/>
    <w:rsid w:val="1B393673"/>
    <w:rsid w:val="1B3E5305"/>
    <w:rsid w:val="1B46065D"/>
    <w:rsid w:val="1B4B1A5B"/>
    <w:rsid w:val="1B4F3C37"/>
    <w:rsid w:val="1B7725C5"/>
    <w:rsid w:val="1B895F87"/>
    <w:rsid w:val="1B8D003A"/>
    <w:rsid w:val="1B8D3B96"/>
    <w:rsid w:val="1B8F2822"/>
    <w:rsid w:val="1B932FB9"/>
    <w:rsid w:val="1BB26287"/>
    <w:rsid w:val="1BC30577"/>
    <w:rsid w:val="1BCA4D64"/>
    <w:rsid w:val="1BE70553"/>
    <w:rsid w:val="1BFB52D4"/>
    <w:rsid w:val="1BFF7D06"/>
    <w:rsid w:val="1C0E117B"/>
    <w:rsid w:val="1C2A5B45"/>
    <w:rsid w:val="1C374107"/>
    <w:rsid w:val="1C484E01"/>
    <w:rsid w:val="1C5F731B"/>
    <w:rsid w:val="1C627F58"/>
    <w:rsid w:val="1C654B13"/>
    <w:rsid w:val="1C685FA7"/>
    <w:rsid w:val="1C6A5EEE"/>
    <w:rsid w:val="1C72324A"/>
    <w:rsid w:val="1C7B7604"/>
    <w:rsid w:val="1C860BBB"/>
    <w:rsid w:val="1C973083"/>
    <w:rsid w:val="1C9F1DD3"/>
    <w:rsid w:val="1CAC44F0"/>
    <w:rsid w:val="1CAF3722"/>
    <w:rsid w:val="1CB54A38"/>
    <w:rsid w:val="1CB76E59"/>
    <w:rsid w:val="1D5200DE"/>
    <w:rsid w:val="1D573933"/>
    <w:rsid w:val="1D60226C"/>
    <w:rsid w:val="1D6B33BC"/>
    <w:rsid w:val="1D772D50"/>
    <w:rsid w:val="1D7A639C"/>
    <w:rsid w:val="1D7B61DB"/>
    <w:rsid w:val="1D807281"/>
    <w:rsid w:val="1D864D41"/>
    <w:rsid w:val="1D905BC0"/>
    <w:rsid w:val="1DBE272D"/>
    <w:rsid w:val="1DC13F9D"/>
    <w:rsid w:val="1DD67A76"/>
    <w:rsid w:val="1DDF3A86"/>
    <w:rsid w:val="1DE70A99"/>
    <w:rsid w:val="1DF56E58"/>
    <w:rsid w:val="1DFB128B"/>
    <w:rsid w:val="1E0F5540"/>
    <w:rsid w:val="1E1711EB"/>
    <w:rsid w:val="1E1B22BE"/>
    <w:rsid w:val="1E203F56"/>
    <w:rsid w:val="1E2B5AF5"/>
    <w:rsid w:val="1E325F11"/>
    <w:rsid w:val="1E3B1FCF"/>
    <w:rsid w:val="1E524D56"/>
    <w:rsid w:val="1E5B2ED9"/>
    <w:rsid w:val="1E89755B"/>
    <w:rsid w:val="1E8A59C9"/>
    <w:rsid w:val="1E926084"/>
    <w:rsid w:val="1E990DE2"/>
    <w:rsid w:val="1EAD1AA0"/>
    <w:rsid w:val="1EAF15EC"/>
    <w:rsid w:val="1ED61CF8"/>
    <w:rsid w:val="1EDF0BAD"/>
    <w:rsid w:val="1EE57937"/>
    <w:rsid w:val="1EED5D6F"/>
    <w:rsid w:val="1EFA3C38"/>
    <w:rsid w:val="1F047E39"/>
    <w:rsid w:val="1F083275"/>
    <w:rsid w:val="1F0A3D6A"/>
    <w:rsid w:val="1F0F5319"/>
    <w:rsid w:val="1F341E4C"/>
    <w:rsid w:val="1F345854"/>
    <w:rsid w:val="1F35114D"/>
    <w:rsid w:val="1F3A5DE3"/>
    <w:rsid w:val="1F56287C"/>
    <w:rsid w:val="1F9956F1"/>
    <w:rsid w:val="1FA6791C"/>
    <w:rsid w:val="1FA83694"/>
    <w:rsid w:val="1FC44D4F"/>
    <w:rsid w:val="1FCD41B5"/>
    <w:rsid w:val="1FCF29CF"/>
    <w:rsid w:val="1FD051F2"/>
    <w:rsid w:val="1FD61FB0"/>
    <w:rsid w:val="1FD81BEF"/>
    <w:rsid w:val="1FE2318E"/>
    <w:rsid w:val="20104D96"/>
    <w:rsid w:val="2015367F"/>
    <w:rsid w:val="201D1F72"/>
    <w:rsid w:val="201D22DD"/>
    <w:rsid w:val="20234AC9"/>
    <w:rsid w:val="202F4BE7"/>
    <w:rsid w:val="203012DB"/>
    <w:rsid w:val="203E5DA7"/>
    <w:rsid w:val="204333BD"/>
    <w:rsid w:val="20464723"/>
    <w:rsid w:val="20490B43"/>
    <w:rsid w:val="205664B2"/>
    <w:rsid w:val="2080124B"/>
    <w:rsid w:val="208B227A"/>
    <w:rsid w:val="20930826"/>
    <w:rsid w:val="20A87E46"/>
    <w:rsid w:val="20AE6A88"/>
    <w:rsid w:val="20BB4809"/>
    <w:rsid w:val="20D74B79"/>
    <w:rsid w:val="20E31073"/>
    <w:rsid w:val="20E56222"/>
    <w:rsid w:val="20E93F65"/>
    <w:rsid w:val="20EA5156"/>
    <w:rsid w:val="20F411EC"/>
    <w:rsid w:val="20FE0F48"/>
    <w:rsid w:val="210466A8"/>
    <w:rsid w:val="21090163"/>
    <w:rsid w:val="21247AE2"/>
    <w:rsid w:val="212B3679"/>
    <w:rsid w:val="21463165"/>
    <w:rsid w:val="215616B4"/>
    <w:rsid w:val="215D6ED9"/>
    <w:rsid w:val="21760FC8"/>
    <w:rsid w:val="219300FB"/>
    <w:rsid w:val="21B715C3"/>
    <w:rsid w:val="21C81DCC"/>
    <w:rsid w:val="21CA203F"/>
    <w:rsid w:val="21E0738A"/>
    <w:rsid w:val="21EF28F2"/>
    <w:rsid w:val="21FF50C2"/>
    <w:rsid w:val="221052B2"/>
    <w:rsid w:val="22211B71"/>
    <w:rsid w:val="22242A10"/>
    <w:rsid w:val="222443D1"/>
    <w:rsid w:val="223034CD"/>
    <w:rsid w:val="22317971"/>
    <w:rsid w:val="2241392C"/>
    <w:rsid w:val="22452225"/>
    <w:rsid w:val="22474377"/>
    <w:rsid w:val="224B64FD"/>
    <w:rsid w:val="22595ABD"/>
    <w:rsid w:val="225A54FA"/>
    <w:rsid w:val="22857975"/>
    <w:rsid w:val="22910F9E"/>
    <w:rsid w:val="22966B6E"/>
    <w:rsid w:val="22A10BD0"/>
    <w:rsid w:val="22AD4B1E"/>
    <w:rsid w:val="22B30402"/>
    <w:rsid w:val="22C60F24"/>
    <w:rsid w:val="22CD4623"/>
    <w:rsid w:val="22D16A5E"/>
    <w:rsid w:val="22ED45A5"/>
    <w:rsid w:val="22EE1E2D"/>
    <w:rsid w:val="22FB3DFD"/>
    <w:rsid w:val="2318004D"/>
    <w:rsid w:val="231F3C6E"/>
    <w:rsid w:val="232626C7"/>
    <w:rsid w:val="23287C8F"/>
    <w:rsid w:val="233F40A4"/>
    <w:rsid w:val="23431AEA"/>
    <w:rsid w:val="234C7445"/>
    <w:rsid w:val="23650C6E"/>
    <w:rsid w:val="23671992"/>
    <w:rsid w:val="236C6787"/>
    <w:rsid w:val="237263C4"/>
    <w:rsid w:val="237A543E"/>
    <w:rsid w:val="23A71392"/>
    <w:rsid w:val="23DB0FD0"/>
    <w:rsid w:val="23DE60CA"/>
    <w:rsid w:val="23E63A5A"/>
    <w:rsid w:val="240B2444"/>
    <w:rsid w:val="24146CC3"/>
    <w:rsid w:val="2427242E"/>
    <w:rsid w:val="24292B31"/>
    <w:rsid w:val="24374FE7"/>
    <w:rsid w:val="24496CBE"/>
    <w:rsid w:val="24516FE0"/>
    <w:rsid w:val="245453A1"/>
    <w:rsid w:val="245C5446"/>
    <w:rsid w:val="246B3F01"/>
    <w:rsid w:val="246E34E4"/>
    <w:rsid w:val="24833D88"/>
    <w:rsid w:val="24925E82"/>
    <w:rsid w:val="24B76870"/>
    <w:rsid w:val="24BE4734"/>
    <w:rsid w:val="24C5153B"/>
    <w:rsid w:val="24DD56B0"/>
    <w:rsid w:val="24DF1B29"/>
    <w:rsid w:val="24E54A43"/>
    <w:rsid w:val="24F5112A"/>
    <w:rsid w:val="24F578C0"/>
    <w:rsid w:val="24F9488C"/>
    <w:rsid w:val="252235A1"/>
    <w:rsid w:val="252E63EA"/>
    <w:rsid w:val="25434AFA"/>
    <w:rsid w:val="25456927"/>
    <w:rsid w:val="2556149D"/>
    <w:rsid w:val="255B7FD4"/>
    <w:rsid w:val="256E33A2"/>
    <w:rsid w:val="257B2259"/>
    <w:rsid w:val="258807C1"/>
    <w:rsid w:val="258A2152"/>
    <w:rsid w:val="25950982"/>
    <w:rsid w:val="259F1096"/>
    <w:rsid w:val="25B7199B"/>
    <w:rsid w:val="25C24D84"/>
    <w:rsid w:val="25DC3C3F"/>
    <w:rsid w:val="25DD417F"/>
    <w:rsid w:val="25E940BF"/>
    <w:rsid w:val="25FB753C"/>
    <w:rsid w:val="260B7198"/>
    <w:rsid w:val="2621075A"/>
    <w:rsid w:val="26217CFD"/>
    <w:rsid w:val="262C6222"/>
    <w:rsid w:val="262D48F3"/>
    <w:rsid w:val="26324304"/>
    <w:rsid w:val="263E6899"/>
    <w:rsid w:val="265359DC"/>
    <w:rsid w:val="265C4314"/>
    <w:rsid w:val="26675200"/>
    <w:rsid w:val="26676DE2"/>
    <w:rsid w:val="267A3099"/>
    <w:rsid w:val="26801911"/>
    <w:rsid w:val="26867B60"/>
    <w:rsid w:val="26A3473C"/>
    <w:rsid w:val="26C76066"/>
    <w:rsid w:val="26E23520"/>
    <w:rsid w:val="26F8409C"/>
    <w:rsid w:val="26FD334B"/>
    <w:rsid w:val="270C275B"/>
    <w:rsid w:val="2725381D"/>
    <w:rsid w:val="272551B5"/>
    <w:rsid w:val="272C4BAB"/>
    <w:rsid w:val="27302409"/>
    <w:rsid w:val="27383550"/>
    <w:rsid w:val="273E043A"/>
    <w:rsid w:val="273F48DE"/>
    <w:rsid w:val="27443278"/>
    <w:rsid w:val="274E07D9"/>
    <w:rsid w:val="2755016C"/>
    <w:rsid w:val="276E1194"/>
    <w:rsid w:val="27765E90"/>
    <w:rsid w:val="278B00CC"/>
    <w:rsid w:val="2799066D"/>
    <w:rsid w:val="279A773D"/>
    <w:rsid w:val="279D7857"/>
    <w:rsid w:val="27A444AE"/>
    <w:rsid w:val="27A46C26"/>
    <w:rsid w:val="27A50D40"/>
    <w:rsid w:val="27AB12E0"/>
    <w:rsid w:val="27AC4366"/>
    <w:rsid w:val="27C274D6"/>
    <w:rsid w:val="27C51050"/>
    <w:rsid w:val="27ED090D"/>
    <w:rsid w:val="27EF4BD9"/>
    <w:rsid w:val="2812669E"/>
    <w:rsid w:val="28136142"/>
    <w:rsid w:val="28305BE1"/>
    <w:rsid w:val="28307B03"/>
    <w:rsid w:val="286C1E2D"/>
    <w:rsid w:val="28760EC1"/>
    <w:rsid w:val="289A5B44"/>
    <w:rsid w:val="28AB2CE1"/>
    <w:rsid w:val="28B1534A"/>
    <w:rsid w:val="28B36645"/>
    <w:rsid w:val="28B440D8"/>
    <w:rsid w:val="28C85FAF"/>
    <w:rsid w:val="28D01F1F"/>
    <w:rsid w:val="28EA7E34"/>
    <w:rsid w:val="28EB309B"/>
    <w:rsid w:val="28EF5A53"/>
    <w:rsid w:val="28F90FE5"/>
    <w:rsid w:val="29065C02"/>
    <w:rsid w:val="290B0522"/>
    <w:rsid w:val="290F292F"/>
    <w:rsid w:val="292766FC"/>
    <w:rsid w:val="292F44DF"/>
    <w:rsid w:val="29357A87"/>
    <w:rsid w:val="29480DD6"/>
    <w:rsid w:val="29554558"/>
    <w:rsid w:val="295A02AA"/>
    <w:rsid w:val="295C5E52"/>
    <w:rsid w:val="2964687E"/>
    <w:rsid w:val="29674854"/>
    <w:rsid w:val="29992AB1"/>
    <w:rsid w:val="29AE4426"/>
    <w:rsid w:val="29F06C58"/>
    <w:rsid w:val="29F86FC6"/>
    <w:rsid w:val="2A043BBD"/>
    <w:rsid w:val="2A27651A"/>
    <w:rsid w:val="2A321881"/>
    <w:rsid w:val="2A497822"/>
    <w:rsid w:val="2A542369"/>
    <w:rsid w:val="2A5F18AB"/>
    <w:rsid w:val="2A6D1762"/>
    <w:rsid w:val="2A6E415F"/>
    <w:rsid w:val="2A71698C"/>
    <w:rsid w:val="2A7A651D"/>
    <w:rsid w:val="2A8645D2"/>
    <w:rsid w:val="2AD74E2E"/>
    <w:rsid w:val="2AE65071"/>
    <w:rsid w:val="2AF754D0"/>
    <w:rsid w:val="2AF87E24"/>
    <w:rsid w:val="2AF929B6"/>
    <w:rsid w:val="2B064F5E"/>
    <w:rsid w:val="2B193769"/>
    <w:rsid w:val="2B2313F4"/>
    <w:rsid w:val="2B28217F"/>
    <w:rsid w:val="2B434DC0"/>
    <w:rsid w:val="2B480E67"/>
    <w:rsid w:val="2B536BAA"/>
    <w:rsid w:val="2B612D43"/>
    <w:rsid w:val="2B626DED"/>
    <w:rsid w:val="2B816C81"/>
    <w:rsid w:val="2B8E6048"/>
    <w:rsid w:val="2BD55811"/>
    <w:rsid w:val="2BD94D4B"/>
    <w:rsid w:val="2BEA1E17"/>
    <w:rsid w:val="2C232193"/>
    <w:rsid w:val="2C2959EE"/>
    <w:rsid w:val="2C3336BA"/>
    <w:rsid w:val="2C414955"/>
    <w:rsid w:val="2C424529"/>
    <w:rsid w:val="2C4D2575"/>
    <w:rsid w:val="2C5219A4"/>
    <w:rsid w:val="2C606A0C"/>
    <w:rsid w:val="2C6E0FCA"/>
    <w:rsid w:val="2C756E19"/>
    <w:rsid w:val="2C8822F5"/>
    <w:rsid w:val="2C8F3526"/>
    <w:rsid w:val="2C9249B6"/>
    <w:rsid w:val="2C947680"/>
    <w:rsid w:val="2C9C5940"/>
    <w:rsid w:val="2C9E20A7"/>
    <w:rsid w:val="2C9F2793"/>
    <w:rsid w:val="2CA84549"/>
    <w:rsid w:val="2CA90A4C"/>
    <w:rsid w:val="2CBA476B"/>
    <w:rsid w:val="2CBE44F7"/>
    <w:rsid w:val="2CC6523A"/>
    <w:rsid w:val="2CCD06BC"/>
    <w:rsid w:val="2D0451C7"/>
    <w:rsid w:val="2D075DD2"/>
    <w:rsid w:val="2D553E4F"/>
    <w:rsid w:val="2D77020B"/>
    <w:rsid w:val="2D7C1CBC"/>
    <w:rsid w:val="2D7D7F0E"/>
    <w:rsid w:val="2D85710D"/>
    <w:rsid w:val="2D8B5F7C"/>
    <w:rsid w:val="2D972FC0"/>
    <w:rsid w:val="2D986AF6"/>
    <w:rsid w:val="2DA51213"/>
    <w:rsid w:val="2DAA0AE3"/>
    <w:rsid w:val="2DB06383"/>
    <w:rsid w:val="2DB722A8"/>
    <w:rsid w:val="2DC21E30"/>
    <w:rsid w:val="2DC27374"/>
    <w:rsid w:val="2DCD7844"/>
    <w:rsid w:val="2DE03DC4"/>
    <w:rsid w:val="2DE675FC"/>
    <w:rsid w:val="2DF45CF7"/>
    <w:rsid w:val="2DF857E7"/>
    <w:rsid w:val="2DF9330D"/>
    <w:rsid w:val="2E0504E2"/>
    <w:rsid w:val="2E0A69B2"/>
    <w:rsid w:val="2E0E18A4"/>
    <w:rsid w:val="2E1D402E"/>
    <w:rsid w:val="2E283D2E"/>
    <w:rsid w:val="2E2C5491"/>
    <w:rsid w:val="2E383E35"/>
    <w:rsid w:val="2E3E46DB"/>
    <w:rsid w:val="2E4554CC"/>
    <w:rsid w:val="2E8452CD"/>
    <w:rsid w:val="2E855EC8"/>
    <w:rsid w:val="2E8B026B"/>
    <w:rsid w:val="2E8B0409"/>
    <w:rsid w:val="2E941601"/>
    <w:rsid w:val="2E9A689E"/>
    <w:rsid w:val="2EC22E4F"/>
    <w:rsid w:val="2F020D8A"/>
    <w:rsid w:val="2F034443"/>
    <w:rsid w:val="2F0974B6"/>
    <w:rsid w:val="2F125328"/>
    <w:rsid w:val="2F1B66AC"/>
    <w:rsid w:val="2F1D6D82"/>
    <w:rsid w:val="2F234AE5"/>
    <w:rsid w:val="2F3356E0"/>
    <w:rsid w:val="2F37233F"/>
    <w:rsid w:val="2F494525"/>
    <w:rsid w:val="2F4B2EEF"/>
    <w:rsid w:val="2F554889"/>
    <w:rsid w:val="2F592AA9"/>
    <w:rsid w:val="2F6F134B"/>
    <w:rsid w:val="2F7D7173"/>
    <w:rsid w:val="2F817A26"/>
    <w:rsid w:val="2F831B88"/>
    <w:rsid w:val="2F867D0B"/>
    <w:rsid w:val="2F8E13A4"/>
    <w:rsid w:val="2F8E1F35"/>
    <w:rsid w:val="2F9525CD"/>
    <w:rsid w:val="2FB12DAD"/>
    <w:rsid w:val="2FB76D39"/>
    <w:rsid w:val="2FC02334"/>
    <w:rsid w:val="2FD80B98"/>
    <w:rsid w:val="2FE31C96"/>
    <w:rsid w:val="2FE54716"/>
    <w:rsid w:val="2FE64173"/>
    <w:rsid w:val="2FE96D43"/>
    <w:rsid w:val="2FEE6FC0"/>
    <w:rsid w:val="2FFE656E"/>
    <w:rsid w:val="300551AF"/>
    <w:rsid w:val="3010670B"/>
    <w:rsid w:val="302C6DB4"/>
    <w:rsid w:val="30316D8E"/>
    <w:rsid w:val="30445D25"/>
    <w:rsid w:val="304A60A2"/>
    <w:rsid w:val="304C7364"/>
    <w:rsid w:val="304D7600"/>
    <w:rsid w:val="30532E99"/>
    <w:rsid w:val="30692ED6"/>
    <w:rsid w:val="30711263"/>
    <w:rsid w:val="308C69D2"/>
    <w:rsid w:val="309013EB"/>
    <w:rsid w:val="30AE18B5"/>
    <w:rsid w:val="30B643F6"/>
    <w:rsid w:val="30BA0ECE"/>
    <w:rsid w:val="30DD01BF"/>
    <w:rsid w:val="30FB6B39"/>
    <w:rsid w:val="31132938"/>
    <w:rsid w:val="31143D11"/>
    <w:rsid w:val="311E2E94"/>
    <w:rsid w:val="31220719"/>
    <w:rsid w:val="314C172B"/>
    <w:rsid w:val="315E1253"/>
    <w:rsid w:val="31647A1E"/>
    <w:rsid w:val="316E6796"/>
    <w:rsid w:val="317038E6"/>
    <w:rsid w:val="318D6041"/>
    <w:rsid w:val="31B71515"/>
    <w:rsid w:val="31BA4A62"/>
    <w:rsid w:val="31CC472B"/>
    <w:rsid w:val="31E51E01"/>
    <w:rsid w:val="31F82A70"/>
    <w:rsid w:val="31FD148B"/>
    <w:rsid w:val="31FD161E"/>
    <w:rsid w:val="3207249C"/>
    <w:rsid w:val="32096215"/>
    <w:rsid w:val="32192DA0"/>
    <w:rsid w:val="321F2339"/>
    <w:rsid w:val="32205719"/>
    <w:rsid w:val="32294F76"/>
    <w:rsid w:val="32537490"/>
    <w:rsid w:val="32735D0B"/>
    <w:rsid w:val="32756AED"/>
    <w:rsid w:val="327A02A2"/>
    <w:rsid w:val="32847020"/>
    <w:rsid w:val="328C128E"/>
    <w:rsid w:val="32960DA6"/>
    <w:rsid w:val="32B67A1F"/>
    <w:rsid w:val="32B866EB"/>
    <w:rsid w:val="32C9428A"/>
    <w:rsid w:val="32E80BDD"/>
    <w:rsid w:val="32ED5A55"/>
    <w:rsid w:val="32F04C70"/>
    <w:rsid w:val="32FA5B5D"/>
    <w:rsid w:val="32FB444D"/>
    <w:rsid w:val="3317670F"/>
    <w:rsid w:val="331D7A9E"/>
    <w:rsid w:val="333C7F24"/>
    <w:rsid w:val="334E52E0"/>
    <w:rsid w:val="3351443E"/>
    <w:rsid w:val="33535528"/>
    <w:rsid w:val="33775400"/>
    <w:rsid w:val="337E7D84"/>
    <w:rsid w:val="33811DDB"/>
    <w:rsid w:val="338A5133"/>
    <w:rsid w:val="338C5F2B"/>
    <w:rsid w:val="33D36C88"/>
    <w:rsid w:val="33D77605"/>
    <w:rsid w:val="33ED289E"/>
    <w:rsid w:val="33F367A4"/>
    <w:rsid w:val="33F46B2D"/>
    <w:rsid w:val="33F86EBE"/>
    <w:rsid w:val="34064A4B"/>
    <w:rsid w:val="340C0F9D"/>
    <w:rsid w:val="34245A91"/>
    <w:rsid w:val="343155AF"/>
    <w:rsid w:val="34371472"/>
    <w:rsid w:val="34372032"/>
    <w:rsid w:val="343F0A0B"/>
    <w:rsid w:val="34417ED9"/>
    <w:rsid w:val="34441786"/>
    <w:rsid w:val="34496D9C"/>
    <w:rsid w:val="345D2848"/>
    <w:rsid w:val="348953EB"/>
    <w:rsid w:val="349602B9"/>
    <w:rsid w:val="34963664"/>
    <w:rsid w:val="349813B2"/>
    <w:rsid w:val="349A2451"/>
    <w:rsid w:val="349E1E18"/>
    <w:rsid w:val="34AB35B3"/>
    <w:rsid w:val="34AE6BFF"/>
    <w:rsid w:val="34C06223"/>
    <w:rsid w:val="3509652C"/>
    <w:rsid w:val="352A7547"/>
    <w:rsid w:val="354E03E2"/>
    <w:rsid w:val="35555DA0"/>
    <w:rsid w:val="35585865"/>
    <w:rsid w:val="355D6A34"/>
    <w:rsid w:val="35697320"/>
    <w:rsid w:val="356B689E"/>
    <w:rsid w:val="35781820"/>
    <w:rsid w:val="358D0490"/>
    <w:rsid w:val="358F4C83"/>
    <w:rsid w:val="35917C0B"/>
    <w:rsid w:val="359F479A"/>
    <w:rsid w:val="35AA386B"/>
    <w:rsid w:val="35CA5862"/>
    <w:rsid w:val="35CA5CBB"/>
    <w:rsid w:val="35CC58DC"/>
    <w:rsid w:val="35D06CB9"/>
    <w:rsid w:val="35E127F3"/>
    <w:rsid w:val="35FD201D"/>
    <w:rsid w:val="3612225A"/>
    <w:rsid w:val="361E7DB5"/>
    <w:rsid w:val="361F77A5"/>
    <w:rsid w:val="362107C4"/>
    <w:rsid w:val="3629686E"/>
    <w:rsid w:val="362B7EB7"/>
    <w:rsid w:val="36314ACE"/>
    <w:rsid w:val="364A2958"/>
    <w:rsid w:val="364C52F8"/>
    <w:rsid w:val="3650615D"/>
    <w:rsid w:val="36525ECA"/>
    <w:rsid w:val="365B6030"/>
    <w:rsid w:val="3660393B"/>
    <w:rsid w:val="366E4712"/>
    <w:rsid w:val="3673599E"/>
    <w:rsid w:val="3676374D"/>
    <w:rsid w:val="36773296"/>
    <w:rsid w:val="368220F2"/>
    <w:rsid w:val="36894F05"/>
    <w:rsid w:val="36897924"/>
    <w:rsid w:val="368C7FAF"/>
    <w:rsid w:val="369011EB"/>
    <w:rsid w:val="36907BF8"/>
    <w:rsid w:val="36A422C5"/>
    <w:rsid w:val="36A52284"/>
    <w:rsid w:val="36AA33F6"/>
    <w:rsid w:val="36AC2EC9"/>
    <w:rsid w:val="36BB5604"/>
    <w:rsid w:val="36D111CC"/>
    <w:rsid w:val="36D91034"/>
    <w:rsid w:val="36DA1F9A"/>
    <w:rsid w:val="36E62819"/>
    <w:rsid w:val="36E837A2"/>
    <w:rsid w:val="36E94C81"/>
    <w:rsid w:val="36F45261"/>
    <w:rsid w:val="3709636F"/>
    <w:rsid w:val="370A20E7"/>
    <w:rsid w:val="370B2DE6"/>
    <w:rsid w:val="370D1A83"/>
    <w:rsid w:val="37117919"/>
    <w:rsid w:val="371D489F"/>
    <w:rsid w:val="372061CC"/>
    <w:rsid w:val="372A3E14"/>
    <w:rsid w:val="373B4B0B"/>
    <w:rsid w:val="373B6744"/>
    <w:rsid w:val="37401E7C"/>
    <w:rsid w:val="3744677F"/>
    <w:rsid w:val="374C0952"/>
    <w:rsid w:val="374E5E20"/>
    <w:rsid w:val="37543CF6"/>
    <w:rsid w:val="37553D3C"/>
    <w:rsid w:val="37661A13"/>
    <w:rsid w:val="37745E5D"/>
    <w:rsid w:val="378944E2"/>
    <w:rsid w:val="378E1ECC"/>
    <w:rsid w:val="378E2D18"/>
    <w:rsid w:val="37A115EB"/>
    <w:rsid w:val="37C56D30"/>
    <w:rsid w:val="37D55406"/>
    <w:rsid w:val="37DB3DC4"/>
    <w:rsid w:val="37DE137B"/>
    <w:rsid w:val="38044D88"/>
    <w:rsid w:val="38091B5B"/>
    <w:rsid w:val="382526BC"/>
    <w:rsid w:val="382D0783"/>
    <w:rsid w:val="3837515E"/>
    <w:rsid w:val="383A26CD"/>
    <w:rsid w:val="38434BA9"/>
    <w:rsid w:val="384715D5"/>
    <w:rsid w:val="384C0889"/>
    <w:rsid w:val="384F457A"/>
    <w:rsid w:val="3858499D"/>
    <w:rsid w:val="3864713B"/>
    <w:rsid w:val="386615D1"/>
    <w:rsid w:val="386D6DD1"/>
    <w:rsid w:val="38704C80"/>
    <w:rsid w:val="38A57FFE"/>
    <w:rsid w:val="38AC78FA"/>
    <w:rsid w:val="38AF1198"/>
    <w:rsid w:val="38B63734"/>
    <w:rsid w:val="38B86C6E"/>
    <w:rsid w:val="38DB1F8D"/>
    <w:rsid w:val="38DD3F57"/>
    <w:rsid w:val="38DE382B"/>
    <w:rsid w:val="38F65019"/>
    <w:rsid w:val="38F66BD4"/>
    <w:rsid w:val="38F82B3F"/>
    <w:rsid w:val="39030A9D"/>
    <w:rsid w:val="39227BBC"/>
    <w:rsid w:val="39292CF8"/>
    <w:rsid w:val="393A3157"/>
    <w:rsid w:val="394215D2"/>
    <w:rsid w:val="394E4794"/>
    <w:rsid w:val="39573C25"/>
    <w:rsid w:val="395835DE"/>
    <w:rsid w:val="395A55A8"/>
    <w:rsid w:val="39610843"/>
    <w:rsid w:val="39612E5F"/>
    <w:rsid w:val="39615ED1"/>
    <w:rsid w:val="39763A64"/>
    <w:rsid w:val="397A2FB3"/>
    <w:rsid w:val="397F7046"/>
    <w:rsid w:val="39921A14"/>
    <w:rsid w:val="399463DE"/>
    <w:rsid w:val="39A84565"/>
    <w:rsid w:val="39AE6531"/>
    <w:rsid w:val="39BD13B3"/>
    <w:rsid w:val="39BF25DA"/>
    <w:rsid w:val="39C24EFB"/>
    <w:rsid w:val="39E62997"/>
    <w:rsid w:val="39E92488"/>
    <w:rsid w:val="39F41589"/>
    <w:rsid w:val="39FC5ECC"/>
    <w:rsid w:val="39FE6141"/>
    <w:rsid w:val="3A0A0D7C"/>
    <w:rsid w:val="3A2D366D"/>
    <w:rsid w:val="3A330458"/>
    <w:rsid w:val="3A3B5CB6"/>
    <w:rsid w:val="3A3C6A5B"/>
    <w:rsid w:val="3A400DF9"/>
    <w:rsid w:val="3A5539DA"/>
    <w:rsid w:val="3A593A6E"/>
    <w:rsid w:val="3A5E6A0F"/>
    <w:rsid w:val="3A712027"/>
    <w:rsid w:val="3A7D01A4"/>
    <w:rsid w:val="3A7D77A0"/>
    <w:rsid w:val="3A8E6FB6"/>
    <w:rsid w:val="3AB86991"/>
    <w:rsid w:val="3ABA57EE"/>
    <w:rsid w:val="3AC468CE"/>
    <w:rsid w:val="3AEC0380"/>
    <w:rsid w:val="3B22040C"/>
    <w:rsid w:val="3B3378A9"/>
    <w:rsid w:val="3B432FC7"/>
    <w:rsid w:val="3B4419E7"/>
    <w:rsid w:val="3B46014E"/>
    <w:rsid w:val="3B472019"/>
    <w:rsid w:val="3B4C6B7D"/>
    <w:rsid w:val="3B4F4DBB"/>
    <w:rsid w:val="3B613937"/>
    <w:rsid w:val="3B661784"/>
    <w:rsid w:val="3B693836"/>
    <w:rsid w:val="3B6F6DC0"/>
    <w:rsid w:val="3B774D5F"/>
    <w:rsid w:val="3B781620"/>
    <w:rsid w:val="3B9528C7"/>
    <w:rsid w:val="3BA41025"/>
    <w:rsid w:val="3BA424F2"/>
    <w:rsid w:val="3BA555E0"/>
    <w:rsid w:val="3BB94821"/>
    <w:rsid w:val="3BC57EFE"/>
    <w:rsid w:val="3C104401"/>
    <w:rsid w:val="3C153D72"/>
    <w:rsid w:val="3C1D7C7E"/>
    <w:rsid w:val="3C21415B"/>
    <w:rsid w:val="3C351F26"/>
    <w:rsid w:val="3C4378D6"/>
    <w:rsid w:val="3C4A1903"/>
    <w:rsid w:val="3C5067EE"/>
    <w:rsid w:val="3C853F78"/>
    <w:rsid w:val="3C950F0C"/>
    <w:rsid w:val="3C9B277D"/>
    <w:rsid w:val="3CAA4150"/>
    <w:rsid w:val="3CBC20D5"/>
    <w:rsid w:val="3CBD7F35"/>
    <w:rsid w:val="3CC97ABC"/>
    <w:rsid w:val="3CD23667"/>
    <w:rsid w:val="3CD76F0F"/>
    <w:rsid w:val="3CDA0E88"/>
    <w:rsid w:val="3CE377FC"/>
    <w:rsid w:val="3CE753A4"/>
    <w:rsid w:val="3CEC29BB"/>
    <w:rsid w:val="3D013BF8"/>
    <w:rsid w:val="3D0719EB"/>
    <w:rsid w:val="3D254CC9"/>
    <w:rsid w:val="3D393C2B"/>
    <w:rsid w:val="3D532A3A"/>
    <w:rsid w:val="3D567E34"/>
    <w:rsid w:val="3D625F6D"/>
    <w:rsid w:val="3D7A6218"/>
    <w:rsid w:val="3D913562"/>
    <w:rsid w:val="3D9D1F07"/>
    <w:rsid w:val="3DCE0312"/>
    <w:rsid w:val="3DCE5248"/>
    <w:rsid w:val="3DD43653"/>
    <w:rsid w:val="3DD671C7"/>
    <w:rsid w:val="3DE2791A"/>
    <w:rsid w:val="3DE63595"/>
    <w:rsid w:val="3DE7232C"/>
    <w:rsid w:val="3DEE4511"/>
    <w:rsid w:val="3DEF62F6"/>
    <w:rsid w:val="3DF60D35"/>
    <w:rsid w:val="3E18333B"/>
    <w:rsid w:val="3E2F1D5D"/>
    <w:rsid w:val="3E55633E"/>
    <w:rsid w:val="3E674545"/>
    <w:rsid w:val="3E8F5093"/>
    <w:rsid w:val="3E90381A"/>
    <w:rsid w:val="3E9230EE"/>
    <w:rsid w:val="3E93652A"/>
    <w:rsid w:val="3E9A6446"/>
    <w:rsid w:val="3EAE228C"/>
    <w:rsid w:val="3EB72E05"/>
    <w:rsid w:val="3EC9271D"/>
    <w:rsid w:val="3ECB003C"/>
    <w:rsid w:val="3EDF0064"/>
    <w:rsid w:val="3EE03309"/>
    <w:rsid w:val="3EE939CC"/>
    <w:rsid w:val="3F040334"/>
    <w:rsid w:val="3F077531"/>
    <w:rsid w:val="3F0F28F0"/>
    <w:rsid w:val="3F152A8D"/>
    <w:rsid w:val="3F153163"/>
    <w:rsid w:val="3F491285"/>
    <w:rsid w:val="3F4E5AAA"/>
    <w:rsid w:val="3F682D95"/>
    <w:rsid w:val="3F6B1DB6"/>
    <w:rsid w:val="3F744EE9"/>
    <w:rsid w:val="3F7647BE"/>
    <w:rsid w:val="3F870779"/>
    <w:rsid w:val="3F8803AC"/>
    <w:rsid w:val="3F8F3BED"/>
    <w:rsid w:val="3F9470DC"/>
    <w:rsid w:val="3F9B06C8"/>
    <w:rsid w:val="3FA92AF9"/>
    <w:rsid w:val="3FB31002"/>
    <w:rsid w:val="3FB84DD6"/>
    <w:rsid w:val="3FC97621"/>
    <w:rsid w:val="3FCE11F8"/>
    <w:rsid w:val="3FFF2A05"/>
    <w:rsid w:val="40073ABE"/>
    <w:rsid w:val="400C5E08"/>
    <w:rsid w:val="401C35BF"/>
    <w:rsid w:val="401E3DBF"/>
    <w:rsid w:val="4024245C"/>
    <w:rsid w:val="40300E10"/>
    <w:rsid w:val="40395012"/>
    <w:rsid w:val="403A1C8F"/>
    <w:rsid w:val="40447665"/>
    <w:rsid w:val="404B2A10"/>
    <w:rsid w:val="40503261"/>
    <w:rsid w:val="40692574"/>
    <w:rsid w:val="40727025"/>
    <w:rsid w:val="407C5BDD"/>
    <w:rsid w:val="407E0A89"/>
    <w:rsid w:val="40874705"/>
    <w:rsid w:val="408D1DBF"/>
    <w:rsid w:val="40907423"/>
    <w:rsid w:val="40932528"/>
    <w:rsid w:val="409E04DF"/>
    <w:rsid w:val="40A71F44"/>
    <w:rsid w:val="40AD499E"/>
    <w:rsid w:val="40B72151"/>
    <w:rsid w:val="40D51E6A"/>
    <w:rsid w:val="40DD1BDA"/>
    <w:rsid w:val="40E04B80"/>
    <w:rsid w:val="40E545A2"/>
    <w:rsid w:val="40EB11DB"/>
    <w:rsid w:val="40EC3FE5"/>
    <w:rsid w:val="41083B3B"/>
    <w:rsid w:val="410A78B3"/>
    <w:rsid w:val="410D73A4"/>
    <w:rsid w:val="413D5D59"/>
    <w:rsid w:val="414D154E"/>
    <w:rsid w:val="416A00AE"/>
    <w:rsid w:val="41842591"/>
    <w:rsid w:val="41A27AEC"/>
    <w:rsid w:val="41A92B45"/>
    <w:rsid w:val="41CE317A"/>
    <w:rsid w:val="41D6025E"/>
    <w:rsid w:val="41E12575"/>
    <w:rsid w:val="41EA061B"/>
    <w:rsid w:val="42010326"/>
    <w:rsid w:val="42032F43"/>
    <w:rsid w:val="421950A8"/>
    <w:rsid w:val="422E75D1"/>
    <w:rsid w:val="42334FA6"/>
    <w:rsid w:val="423C5478"/>
    <w:rsid w:val="42701998"/>
    <w:rsid w:val="427226EA"/>
    <w:rsid w:val="427A2817"/>
    <w:rsid w:val="42832284"/>
    <w:rsid w:val="428D254A"/>
    <w:rsid w:val="4291080A"/>
    <w:rsid w:val="429A6724"/>
    <w:rsid w:val="429D3B32"/>
    <w:rsid w:val="42B62C93"/>
    <w:rsid w:val="42C438EF"/>
    <w:rsid w:val="42C83C1B"/>
    <w:rsid w:val="42D32903"/>
    <w:rsid w:val="42D45D72"/>
    <w:rsid w:val="42D70CA3"/>
    <w:rsid w:val="42D86FE8"/>
    <w:rsid w:val="42E11425"/>
    <w:rsid w:val="42E338B7"/>
    <w:rsid w:val="42E44134"/>
    <w:rsid w:val="42E4413B"/>
    <w:rsid w:val="42ED4847"/>
    <w:rsid w:val="42FE0D52"/>
    <w:rsid w:val="43025C75"/>
    <w:rsid w:val="433E3844"/>
    <w:rsid w:val="43471B93"/>
    <w:rsid w:val="43571519"/>
    <w:rsid w:val="43571FCE"/>
    <w:rsid w:val="435738CC"/>
    <w:rsid w:val="43793934"/>
    <w:rsid w:val="43923B90"/>
    <w:rsid w:val="43B34232"/>
    <w:rsid w:val="43C53F65"/>
    <w:rsid w:val="43C917F6"/>
    <w:rsid w:val="43CB4BD1"/>
    <w:rsid w:val="43DF62A7"/>
    <w:rsid w:val="43F73771"/>
    <w:rsid w:val="440E6E4B"/>
    <w:rsid w:val="44294F26"/>
    <w:rsid w:val="44314417"/>
    <w:rsid w:val="443609BF"/>
    <w:rsid w:val="443F1622"/>
    <w:rsid w:val="44420486"/>
    <w:rsid w:val="4453599E"/>
    <w:rsid w:val="446F04C1"/>
    <w:rsid w:val="44893BAC"/>
    <w:rsid w:val="449E0DD3"/>
    <w:rsid w:val="44AB315B"/>
    <w:rsid w:val="44B65387"/>
    <w:rsid w:val="44BB7383"/>
    <w:rsid w:val="44C32813"/>
    <w:rsid w:val="44C9538F"/>
    <w:rsid w:val="44D44F5B"/>
    <w:rsid w:val="44E126D9"/>
    <w:rsid w:val="44F71EFD"/>
    <w:rsid w:val="44FD4C93"/>
    <w:rsid w:val="45050119"/>
    <w:rsid w:val="45091446"/>
    <w:rsid w:val="451A51A3"/>
    <w:rsid w:val="452607A6"/>
    <w:rsid w:val="45383EA0"/>
    <w:rsid w:val="4548207E"/>
    <w:rsid w:val="45531E2B"/>
    <w:rsid w:val="456A4DC4"/>
    <w:rsid w:val="456D36DB"/>
    <w:rsid w:val="45835BC7"/>
    <w:rsid w:val="45860B7F"/>
    <w:rsid w:val="4588524B"/>
    <w:rsid w:val="459837A0"/>
    <w:rsid w:val="45991206"/>
    <w:rsid w:val="459B56C8"/>
    <w:rsid w:val="45A46D85"/>
    <w:rsid w:val="45BE5F15"/>
    <w:rsid w:val="45C87FCF"/>
    <w:rsid w:val="45CB55F1"/>
    <w:rsid w:val="45CE1495"/>
    <w:rsid w:val="45D1124A"/>
    <w:rsid w:val="45EA63FA"/>
    <w:rsid w:val="45F70E3F"/>
    <w:rsid w:val="460348D1"/>
    <w:rsid w:val="46080312"/>
    <w:rsid w:val="46162008"/>
    <w:rsid w:val="46191F15"/>
    <w:rsid w:val="467F664E"/>
    <w:rsid w:val="46A43561"/>
    <w:rsid w:val="46D5626E"/>
    <w:rsid w:val="46F030A7"/>
    <w:rsid w:val="46F23FFE"/>
    <w:rsid w:val="470D22B7"/>
    <w:rsid w:val="47367E54"/>
    <w:rsid w:val="475A6718"/>
    <w:rsid w:val="47615D53"/>
    <w:rsid w:val="476870E2"/>
    <w:rsid w:val="47694C08"/>
    <w:rsid w:val="477C0DDF"/>
    <w:rsid w:val="47903715"/>
    <w:rsid w:val="47B15F93"/>
    <w:rsid w:val="47B75973"/>
    <w:rsid w:val="47B77C55"/>
    <w:rsid w:val="47BC0824"/>
    <w:rsid w:val="47BC2AC1"/>
    <w:rsid w:val="47C307BC"/>
    <w:rsid w:val="47C84024"/>
    <w:rsid w:val="47DB2AA1"/>
    <w:rsid w:val="47E445B5"/>
    <w:rsid w:val="47E90E0C"/>
    <w:rsid w:val="480C3F11"/>
    <w:rsid w:val="48157707"/>
    <w:rsid w:val="481A3D02"/>
    <w:rsid w:val="482A32FF"/>
    <w:rsid w:val="483774A6"/>
    <w:rsid w:val="48522605"/>
    <w:rsid w:val="485D476D"/>
    <w:rsid w:val="486716D5"/>
    <w:rsid w:val="48821C61"/>
    <w:rsid w:val="489C400F"/>
    <w:rsid w:val="489D725F"/>
    <w:rsid w:val="48A45049"/>
    <w:rsid w:val="48B926CF"/>
    <w:rsid w:val="48C12F4D"/>
    <w:rsid w:val="48C92504"/>
    <w:rsid w:val="48CA685C"/>
    <w:rsid w:val="48D965B9"/>
    <w:rsid w:val="48DD3AD8"/>
    <w:rsid w:val="48DE4524"/>
    <w:rsid w:val="48DE452C"/>
    <w:rsid w:val="48DF10B0"/>
    <w:rsid w:val="49033733"/>
    <w:rsid w:val="491805EB"/>
    <w:rsid w:val="491D3EFC"/>
    <w:rsid w:val="491E7CEF"/>
    <w:rsid w:val="49282FCC"/>
    <w:rsid w:val="494B0845"/>
    <w:rsid w:val="495B7301"/>
    <w:rsid w:val="49787384"/>
    <w:rsid w:val="497E3239"/>
    <w:rsid w:val="497F0713"/>
    <w:rsid w:val="49922675"/>
    <w:rsid w:val="499E1B8B"/>
    <w:rsid w:val="49A40179"/>
    <w:rsid w:val="49A77509"/>
    <w:rsid w:val="49AD243B"/>
    <w:rsid w:val="49BB5BEF"/>
    <w:rsid w:val="49BD4449"/>
    <w:rsid w:val="49C34AA3"/>
    <w:rsid w:val="49C60923"/>
    <w:rsid w:val="4A0F756E"/>
    <w:rsid w:val="4A227A1C"/>
    <w:rsid w:val="4A2922EE"/>
    <w:rsid w:val="4A3F020E"/>
    <w:rsid w:val="4A412321"/>
    <w:rsid w:val="4A6C0C97"/>
    <w:rsid w:val="4A6F5702"/>
    <w:rsid w:val="4A7E67E2"/>
    <w:rsid w:val="4A8D74E5"/>
    <w:rsid w:val="4A973D1C"/>
    <w:rsid w:val="4A9D3546"/>
    <w:rsid w:val="4AA743C5"/>
    <w:rsid w:val="4AAC1761"/>
    <w:rsid w:val="4ABE12AD"/>
    <w:rsid w:val="4AD4683C"/>
    <w:rsid w:val="4AF3638E"/>
    <w:rsid w:val="4B1732F9"/>
    <w:rsid w:val="4B1F3F5B"/>
    <w:rsid w:val="4B443D36"/>
    <w:rsid w:val="4B4820C4"/>
    <w:rsid w:val="4B4B2FA2"/>
    <w:rsid w:val="4B5D4A84"/>
    <w:rsid w:val="4B6250C0"/>
    <w:rsid w:val="4B681E88"/>
    <w:rsid w:val="4B707BE9"/>
    <w:rsid w:val="4B7750CC"/>
    <w:rsid w:val="4B967F9F"/>
    <w:rsid w:val="4B9D5F87"/>
    <w:rsid w:val="4BA3565D"/>
    <w:rsid w:val="4BA973EB"/>
    <w:rsid w:val="4BAE6B09"/>
    <w:rsid w:val="4BAF1783"/>
    <w:rsid w:val="4BB1654A"/>
    <w:rsid w:val="4BC3138F"/>
    <w:rsid w:val="4BC92119"/>
    <w:rsid w:val="4BCD6750"/>
    <w:rsid w:val="4BD56D10"/>
    <w:rsid w:val="4BD9592A"/>
    <w:rsid w:val="4BEC7B31"/>
    <w:rsid w:val="4BED29FE"/>
    <w:rsid w:val="4BF25596"/>
    <w:rsid w:val="4BFE004E"/>
    <w:rsid w:val="4C0767FA"/>
    <w:rsid w:val="4C16799F"/>
    <w:rsid w:val="4C256FBE"/>
    <w:rsid w:val="4C263231"/>
    <w:rsid w:val="4C2A708C"/>
    <w:rsid w:val="4C2B6614"/>
    <w:rsid w:val="4C431ECB"/>
    <w:rsid w:val="4C4607BC"/>
    <w:rsid w:val="4C4D299F"/>
    <w:rsid w:val="4C5B4296"/>
    <w:rsid w:val="4C675BBA"/>
    <w:rsid w:val="4C7654AF"/>
    <w:rsid w:val="4C806C7C"/>
    <w:rsid w:val="4C891FD4"/>
    <w:rsid w:val="4C936572"/>
    <w:rsid w:val="4C96024D"/>
    <w:rsid w:val="4C991033"/>
    <w:rsid w:val="4CAB641A"/>
    <w:rsid w:val="4CD26EC1"/>
    <w:rsid w:val="4CD549C5"/>
    <w:rsid w:val="4CD86AB8"/>
    <w:rsid w:val="4CD9638C"/>
    <w:rsid w:val="4CE0596C"/>
    <w:rsid w:val="4CE47E68"/>
    <w:rsid w:val="4CEA1CD4"/>
    <w:rsid w:val="4CFA7A29"/>
    <w:rsid w:val="4D046BB8"/>
    <w:rsid w:val="4D1641BB"/>
    <w:rsid w:val="4D1E6D87"/>
    <w:rsid w:val="4D201717"/>
    <w:rsid w:val="4D245859"/>
    <w:rsid w:val="4D2E4D99"/>
    <w:rsid w:val="4D565C2E"/>
    <w:rsid w:val="4D5E399C"/>
    <w:rsid w:val="4D721A8D"/>
    <w:rsid w:val="4D7220BC"/>
    <w:rsid w:val="4D784790"/>
    <w:rsid w:val="4D8D5BCF"/>
    <w:rsid w:val="4D922EE6"/>
    <w:rsid w:val="4DA86A09"/>
    <w:rsid w:val="4DAC477B"/>
    <w:rsid w:val="4DC64B62"/>
    <w:rsid w:val="4DEE01EB"/>
    <w:rsid w:val="4DFD580D"/>
    <w:rsid w:val="4E00243B"/>
    <w:rsid w:val="4E0566F8"/>
    <w:rsid w:val="4E0F5B14"/>
    <w:rsid w:val="4E19322E"/>
    <w:rsid w:val="4E1B26D6"/>
    <w:rsid w:val="4E1E04DF"/>
    <w:rsid w:val="4E2147CA"/>
    <w:rsid w:val="4E232F99"/>
    <w:rsid w:val="4E2631B4"/>
    <w:rsid w:val="4E2B37E4"/>
    <w:rsid w:val="4E5B24FF"/>
    <w:rsid w:val="4E735312"/>
    <w:rsid w:val="4E8011B5"/>
    <w:rsid w:val="4EA8070C"/>
    <w:rsid w:val="4EAE175E"/>
    <w:rsid w:val="4EC56BC8"/>
    <w:rsid w:val="4EC650FB"/>
    <w:rsid w:val="4ED805EA"/>
    <w:rsid w:val="4EE30613"/>
    <w:rsid w:val="4EE70B97"/>
    <w:rsid w:val="4EE9093D"/>
    <w:rsid w:val="4EEA03AF"/>
    <w:rsid w:val="4EF33C09"/>
    <w:rsid w:val="4EF76DF7"/>
    <w:rsid w:val="4EFD090B"/>
    <w:rsid w:val="4F132029"/>
    <w:rsid w:val="4F1442F8"/>
    <w:rsid w:val="4F1E29C1"/>
    <w:rsid w:val="4F385F2F"/>
    <w:rsid w:val="4F42290E"/>
    <w:rsid w:val="4F4A1C9F"/>
    <w:rsid w:val="4F5015D8"/>
    <w:rsid w:val="4F5C770C"/>
    <w:rsid w:val="4F6665FD"/>
    <w:rsid w:val="4F683D5A"/>
    <w:rsid w:val="4F6B6FE4"/>
    <w:rsid w:val="4F781E8C"/>
    <w:rsid w:val="4F7A20A8"/>
    <w:rsid w:val="4F927917"/>
    <w:rsid w:val="4FA02037"/>
    <w:rsid w:val="4FB01626"/>
    <w:rsid w:val="4FC82E13"/>
    <w:rsid w:val="4FC926E8"/>
    <w:rsid w:val="4FCB6790"/>
    <w:rsid w:val="4FD3176E"/>
    <w:rsid w:val="4FD55567"/>
    <w:rsid w:val="4FE5334A"/>
    <w:rsid w:val="4FE73A6D"/>
    <w:rsid w:val="4FE84F8C"/>
    <w:rsid w:val="50056E77"/>
    <w:rsid w:val="50080605"/>
    <w:rsid w:val="50096F88"/>
    <w:rsid w:val="500C095A"/>
    <w:rsid w:val="502D757B"/>
    <w:rsid w:val="50303F01"/>
    <w:rsid w:val="503A5393"/>
    <w:rsid w:val="503D3A42"/>
    <w:rsid w:val="50426F02"/>
    <w:rsid w:val="50491828"/>
    <w:rsid w:val="505132CC"/>
    <w:rsid w:val="50616E69"/>
    <w:rsid w:val="50863F0E"/>
    <w:rsid w:val="509912E2"/>
    <w:rsid w:val="50B25872"/>
    <w:rsid w:val="50B67B96"/>
    <w:rsid w:val="50C41998"/>
    <w:rsid w:val="50CC248F"/>
    <w:rsid w:val="50D21A70"/>
    <w:rsid w:val="50D5678D"/>
    <w:rsid w:val="50FA6AD3"/>
    <w:rsid w:val="5100482F"/>
    <w:rsid w:val="51087240"/>
    <w:rsid w:val="511B035E"/>
    <w:rsid w:val="511E372D"/>
    <w:rsid w:val="512A6770"/>
    <w:rsid w:val="512C52E6"/>
    <w:rsid w:val="51307E0B"/>
    <w:rsid w:val="51705511"/>
    <w:rsid w:val="51864D66"/>
    <w:rsid w:val="51BD4039"/>
    <w:rsid w:val="51CB6BEB"/>
    <w:rsid w:val="51D32259"/>
    <w:rsid w:val="51DD3C56"/>
    <w:rsid w:val="51E15B4E"/>
    <w:rsid w:val="51FD3ECE"/>
    <w:rsid w:val="522221EE"/>
    <w:rsid w:val="52245C34"/>
    <w:rsid w:val="52253D45"/>
    <w:rsid w:val="522D5360"/>
    <w:rsid w:val="52360E1A"/>
    <w:rsid w:val="523650FF"/>
    <w:rsid w:val="5246001F"/>
    <w:rsid w:val="52461463"/>
    <w:rsid w:val="52485337"/>
    <w:rsid w:val="52530D64"/>
    <w:rsid w:val="525C3CE7"/>
    <w:rsid w:val="52707792"/>
    <w:rsid w:val="528154FB"/>
    <w:rsid w:val="52976990"/>
    <w:rsid w:val="529B7674"/>
    <w:rsid w:val="52A15B9E"/>
    <w:rsid w:val="52A87720"/>
    <w:rsid w:val="52BC29D7"/>
    <w:rsid w:val="52BE04FE"/>
    <w:rsid w:val="52D65847"/>
    <w:rsid w:val="52FB7FE8"/>
    <w:rsid w:val="53063186"/>
    <w:rsid w:val="53081779"/>
    <w:rsid w:val="5311310C"/>
    <w:rsid w:val="53127408"/>
    <w:rsid w:val="531D3476"/>
    <w:rsid w:val="531F7B76"/>
    <w:rsid w:val="532B3CE9"/>
    <w:rsid w:val="532D2B30"/>
    <w:rsid w:val="535B7AFB"/>
    <w:rsid w:val="535F16C7"/>
    <w:rsid w:val="536178EB"/>
    <w:rsid w:val="53901E9A"/>
    <w:rsid w:val="539248BA"/>
    <w:rsid w:val="53A476F3"/>
    <w:rsid w:val="53A6520D"/>
    <w:rsid w:val="53AA50E8"/>
    <w:rsid w:val="53B9049F"/>
    <w:rsid w:val="53D004E8"/>
    <w:rsid w:val="53DD3509"/>
    <w:rsid w:val="54071AEC"/>
    <w:rsid w:val="540B32CF"/>
    <w:rsid w:val="545311AD"/>
    <w:rsid w:val="5454111A"/>
    <w:rsid w:val="5488491F"/>
    <w:rsid w:val="548E3438"/>
    <w:rsid w:val="549E72CA"/>
    <w:rsid w:val="54A9622D"/>
    <w:rsid w:val="54B376CF"/>
    <w:rsid w:val="54B43966"/>
    <w:rsid w:val="54B90FC5"/>
    <w:rsid w:val="54C53DC5"/>
    <w:rsid w:val="54D264E2"/>
    <w:rsid w:val="54D77E2D"/>
    <w:rsid w:val="54F86ECE"/>
    <w:rsid w:val="550F3292"/>
    <w:rsid w:val="552F56E3"/>
    <w:rsid w:val="556968FF"/>
    <w:rsid w:val="556D23A9"/>
    <w:rsid w:val="5572737D"/>
    <w:rsid w:val="557E5D22"/>
    <w:rsid w:val="558021AD"/>
    <w:rsid w:val="559317CE"/>
    <w:rsid w:val="55963658"/>
    <w:rsid w:val="5597330F"/>
    <w:rsid w:val="55985036"/>
    <w:rsid w:val="55BB5F66"/>
    <w:rsid w:val="55C4407D"/>
    <w:rsid w:val="55CE2C05"/>
    <w:rsid w:val="55DE3B8A"/>
    <w:rsid w:val="560E70A6"/>
    <w:rsid w:val="56116B96"/>
    <w:rsid w:val="561F613F"/>
    <w:rsid w:val="56301712"/>
    <w:rsid w:val="563D7616"/>
    <w:rsid w:val="565233FB"/>
    <w:rsid w:val="565470EF"/>
    <w:rsid w:val="5656534A"/>
    <w:rsid w:val="56637082"/>
    <w:rsid w:val="56684D6E"/>
    <w:rsid w:val="566A1DA3"/>
    <w:rsid w:val="56786C15"/>
    <w:rsid w:val="567C0691"/>
    <w:rsid w:val="56B57E6A"/>
    <w:rsid w:val="56B934B6"/>
    <w:rsid w:val="56D0067D"/>
    <w:rsid w:val="56D11873"/>
    <w:rsid w:val="56E0543B"/>
    <w:rsid w:val="56E94058"/>
    <w:rsid w:val="56ED1D34"/>
    <w:rsid w:val="56EE70FD"/>
    <w:rsid w:val="570F757A"/>
    <w:rsid w:val="57201787"/>
    <w:rsid w:val="572349AF"/>
    <w:rsid w:val="57377B75"/>
    <w:rsid w:val="573F1776"/>
    <w:rsid w:val="574F3E1A"/>
    <w:rsid w:val="57552849"/>
    <w:rsid w:val="5755570C"/>
    <w:rsid w:val="57607DD5"/>
    <w:rsid w:val="576757A8"/>
    <w:rsid w:val="57715B3F"/>
    <w:rsid w:val="577235FA"/>
    <w:rsid w:val="577311F5"/>
    <w:rsid w:val="57A31CD7"/>
    <w:rsid w:val="57A858DC"/>
    <w:rsid w:val="57A90EE1"/>
    <w:rsid w:val="57A90FDB"/>
    <w:rsid w:val="57B123DF"/>
    <w:rsid w:val="57B158A0"/>
    <w:rsid w:val="57C05671"/>
    <w:rsid w:val="57CB7F13"/>
    <w:rsid w:val="57DA7B88"/>
    <w:rsid w:val="57E16CC1"/>
    <w:rsid w:val="58485A95"/>
    <w:rsid w:val="5854505F"/>
    <w:rsid w:val="585676D7"/>
    <w:rsid w:val="585E7D84"/>
    <w:rsid w:val="586C27AA"/>
    <w:rsid w:val="58743B71"/>
    <w:rsid w:val="588C4A82"/>
    <w:rsid w:val="58A471A8"/>
    <w:rsid w:val="58AB1524"/>
    <w:rsid w:val="58B41166"/>
    <w:rsid w:val="58B62DF4"/>
    <w:rsid w:val="58B64812"/>
    <w:rsid w:val="58E546F9"/>
    <w:rsid w:val="591B7ABE"/>
    <w:rsid w:val="59253609"/>
    <w:rsid w:val="592F4C26"/>
    <w:rsid w:val="593502DC"/>
    <w:rsid w:val="593B76C2"/>
    <w:rsid w:val="59444857"/>
    <w:rsid w:val="59466BC2"/>
    <w:rsid w:val="59563BE9"/>
    <w:rsid w:val="595C281E"/>
    <w:rsid w:val="596166AB"/>
    <w:rsid w:val="59631A3E"/>
    <w:rsid w:val="59703FD1"/>
    <w:rsid w:val="597A0F09"/>
    <w:rsid w:val="59835EA1"/>
    <w:rsid w:val="59902652"/>
    <w:rsid w:val="5999137D"/>
    <w:rsid w:val="599B3347"/>
    <w:rsid w:val="59A17F23"/>
    <w:rsid w:val="59E15C5E"/>
    <w:rsid w:val="59EF184B"/>
    <w:rsid w:val="59F44805"/>
    <w:rsid w:val="5A1D0200"/>
    <w:rsid w:val="5A4A06D1"/>
    <w:rsid w:val="5A5F25C6"/>
    <w:rsid w:val="5A5F6ACF"/>
    <w:rsid w:val="5A675B61"/>
    <w:rsid w:val="5A7C1E79"/>
    <w:rsid w:val="5A81078E"/>
    <w:rsid w:val="5A8A4758"/>
    <w:rsid w:val="5A936400"/>
    <w:rsid w:val="5A9C55A3"/>
    <w:rsid w:val="5A9F56BB"/>
    <w:rsid w:val="5AB34064"/>
    <w:rsid w:val="5ABA0D76"/>
    <w:rsid w:val="5AC6704D"/>
    <w:rsid w:val="5AC76616"/>
    <w:rsid w:val="5ACC10CC"/>
    <w:rsid w:val="5AEB3E5A"/>
    <w:rsid w:val="5AF04755"/>
    <w:rsid w:val="5AF20424"/>
    <w:rsid w:val="5AF50835"/>
    <w:rsid w:val="5AF95A79"/>
    <w:rsid w:val="5B156B43"/>
    <w:rsid w:val="5B631C42"/>
    <w:rsid w:val="5B6E00E1"/>
    <w:rsid w:val="5B6F28B0"/>
    <w:rsid w:val="5B740A28"/>
    <w:rsid w:val="5B750EEC"/>
    <w:rsid w:val="5B7B1FE3"/>
    <w:rsid w:val="5B8D2B5D"/>
    <w:rsid w:val="5B9462A0"/>
    <w:rsid w:val="5BA45064"/>
    <w:rsid w:val="5BD72DBD"/>
    <w:rsid w:val="5BE74621"/>
    <w:rsid w:val="5BEA2363"/>
    <w:rsid w:val="5BEF2E0C"/>
    <w:rsid w:val="5BF3746A"/>
    <w:rsid w:val="5BF61BDD"/>
    <w:rsid w:val="5BFE1BCC"/>
    <w:rsid w:val="5BFE2A26"/>
    <w:rsid w:val="5C014DFF"/>
    <w:rsid w:val="5C30218F"/>
    <w:rsid w:val="5C3F5F6B"/>
    <w:rsid w:val="5C7051A6"/>
    <w:rsid w:val="5C734107"/>
    <w:rsid w:val="5C852EDB"/>
    <w:rsid w:val="5C8811A5"/>
    <w:rsid w:val="5C8D0B6E"/>
    <w:rsid w:val="5C9730C0"/>
    <w:rsid w:val="5CB0535B"/>
    <w:rsid w:val="5CC33EEE"/>
    <w:rsid w:val="5CE81F53"/>
    <w:rsid w:val="5CFC1E1B"/>
    <w:rsid w:val="5D0526D3"/>
    <w:rsid w:val="5D052E31"/>
    <w:rsid w:val="5D0F466B"/>
    <w:rsid w:val="5D103348"/>
    <w:rsid w:val="5D36112C"/>
    <w:rsid w:val="5D3B6928"/>
    <w:rsid w:val="5D423AD9"/>
    <w:rsid w:val="5D511E44"/>
    <w:rsid w:val="5D515FF9"/>
    <w:rsid w:val="5D524066"/>
    <w:rsid w:val="5D752101"/>
    <w:rsid w:val="5D866851"/>
    <w:rsid w:val="5D907DCD"/>
    <w:rsid w:val="5D9F1BEE"/>
    <w:rsid w:val="5DC16954"/>
    <w:rsid w:val="5DC435EC"/>
    <w:rsid w:val="5DCF35BF"/>
    <w:rsid w:val="5DCF713E"/>
    <w:rsid w:val="5DE1112B"/>
    <w:rsid w:val="5DE86A07"/>
    <w:rsid w:val="5DE95D23"/>
    <w:rsid w:val="5E0019CA"/>
    <w:rsid w:val="5E164AF7"/>
    <w:rsid w:val="5E1B62FD"/>
    <w:rsid w:val="5E2F325F"/>
    <w:rsid w:val="5E373936"/>
    <w:rsid w:val="5E4044BD"/>
    <w:rsid w:val="5E421FE3"/>
    <w:rsid w:val="5E545103"/>
    <w:rsid w:val="5E6C3504"/>
    <w:rsid w:val="5E897C12"/>
    <w:rsid w:val="5E8C45C4"/>
    <w:rsid w:val="5EB629D1"/>
    <w:rsid w:val="5EC53D06"/>
    <w:rsid w:val="5EC62C14"/>
    <w:rsid w:val="5ED24B49"/>
    <w:rsid w:val="5EF62DCD"/>
    <w:rsid w:val="5F132131"/>
    <w:rsid w:val="5F1B6276"/>
    <w:rsid w:val="5F26219D"/>
    <w:rsid w:val="5F37703F"/>
    <w:rsid w:val="5F577D10"/>
    <w:rsid w:val="5F58183D"/>
    <w:rsid w:val="5F750926"/>
    <w:rsid w:val="5F7F1015"/>
    <w:rsid w:val="5F8A65D2"/>
    <w:rsid w:val="5F8B79B9"/>
    <w:rsid w:val="5F9E20C3"/>
    <w:rsid w:val="5FA26043"/>
    <w:rsid w:val="5FB337F3"/>
    <w:rsid w:val="5FE1320D"/>
    <w:rsid w:val="5FEA0B84"/>
    <w:rsid w:val="5FFD7474"/>
    <w:rsid w:val="60182CB2"/>
    <w:rsid w:val="601F07FF"/>
    <w:rsid w:val="602A31BC"/>
    <w:rsid w:val="60407720"/>
    <w:rsid w:val="60531D6C"/>
    <w:rsid w:val="606103C9"/>
    <w:rsid w:val="606334AB"/>
    <w:rsid w:val="607156AF"/>
    <w:rsid w:val="6082700E"/>
    <w:rsid w:val="60856FB6"/>
    <w:rsid w:val="6094289E"/>
    <w:rsid w:val="60A1250E"/>
    <w:rsid w:val="60AD3D26"/>
    <w:rsid w:val="60B1020B"/>
    <w:rsid w:val="60B62E5B"/>
    <w:rsid w:val="60C170FF"/>
    <w:rsid w:val="60C73D08"/>
    <w:rsid w:val="60C969EB"/>
    <w:rsid w:val="60D149FF"/>
    <w:rsid w:val="60EE7AB8"/>
    <w:rsid w:val="610726ED"/>
    <w:rsid w:val="611F0A9E"/>
    <w:rsid w:val="6129748A"/>
    <w:rsid w:val="614007DA"/>
    <w:rsid w:val="615A5895"/>
    <w:rsid w:val="615F612D"/>
    <w:rsid w:val="615F7EBF"/>
    <w:rsid w:val="616044A2"/>
    <w:rsid w:val="6180395C"/>
    <w:rsid w:val="61831D33"/>
    <w:rsid w:val="618714B9"/>
    <w:rsid w:val="61950331"/>
    <w:rsid w:val="619701D0"/>
    <w:rsid w:val="619C6236"/>
    <w:rsid w:val="61A744C9"/>
    <w:rsid w:val="61B96A60"/>
    <w:rsid w:val="61D34DF3"/>
    <w:rsid w:val="61D45A86"/>
    <w:rsid w:val="61E14CB0"/>
    <w:rsid w:val="61EA1CEC"/>
    <w:rsid w:val="61FD5E07"/>
    <w:rsid w:val="620E4DE2"/>
    <w:rsid w:val="621139A9"/>
    <w:rsid w:val="62193FD2"/>
    <w:rsid w:val="621A5B9D"/>
    <w:rsid w:val="62224E93"/>
    <w:rsid w:val="62281AEA"/>
    <w:rsid w:val="622D08D6"/>
    <w:rsid w:val="625B6732"/>
    <w:rsid w:val="625E57F0"/>
    <w:rsid w:val="62883E4D"/>
    <w:rsid w:val="62954207"/>
    <w:rsid w:val="629914B9"/>
    <w:rsid w:val="629E5C56"/>
    <w:rsid w:val="62A279D4"/>
    <w:rsid w:val="62A37466"/>
    <w:rsid w:val="62A87651"/>
    <w:rsid w:val="62B05199"/>
    <w:rsid w:val="62CA6A4B"/>
    <w:rsid w:val="62E55AC1"/>
    <w:rsid w:val="62ED49FD"/>
    <w:rsid w:val="62F13785"/>
    <w:rsid w:val="63130278"/>
    <w:rsid w:val="631E01B3"/>
    <w:rsid w:val="631F0B45"/>
    <w:rsid w:val="632F68AE"/>
    <w:rsid w:val="63331E75"/>
    <w:rsid w:val="63344F4A"/>
    <w:rsid w:val="633E4C9B"/>
    <w:rsid w:val="63414338"/>
    <w:rsid w:val="63436EC7"/>
    <w:rsid w:val="634522EF"/>
    <w:rsid w:val="63624347"/>
    <w:rsid w:val="63710904"/>
    <w:rsid w:val="63927568"/>
    <w:rsid w:val="6399570A"/>
    <w:rsid w:val="63AF3D1A"/>
    <w:rsid w:val="63B22466"/>
    <w:rsid w:val="63BC6393"/>
    <w:rsid w:val="63C377C3"/>
    <w:rsid w:val="63DF1A11"/>
    <w:rsid w:val="63E44F9C"/>
    <w:rsid w:val="63EF185D"/>
    <w:rsid w:val="63F374BD"/>
    <w:rsid w:val="63F633ED"/>
    <w:rsid w:val="63F85768"/>
    <w:rsid w:val="63FC4707"/>
    <w:rsid w:val="640A165E"/>
    <w:rsid w:val="640E26B5"/>
    <w:rsid w:val="64357593"/>
    <w:rsid w:val="64421C85"/>
    <w:rsid w:val="6454481E"/>
    <w:rsid w:val="64730CE7"/>
    <w:rsid w:val="648C048F"/>
    <w:rsid w:val="64A137DB"/>
    <w:rsid w:val="64B13A1E"/>
    <w:rsid w:val="64CC6389"/>
    <w:rsid w:val="64D21BE7"/>
    <w:rsid w:val="64DE2339"/>
    <w:rsid w:val="64EC4564"/>
    <w:rsid w:val="64FA7DE9"/>
    <w:rsid w:val="650224CC"/>
    <w:rsid w:val="65091AAC"/>
    <w:rsid w:val="65192388"/>
    <w:rsid w:val="65312DB1"/>
    <w:rsid w:val="65375E50"/>
    <w:rsid w:val="65534F31"/>
    <w:rsid w:val="655A5E64"/>
    <w:rsid w:val="65665E66"/>
    <w:rsid w:val="659B022A"/>
    <w:rsid w:val="65C21C5B"/>
    <w:rsid w:val="65C43C25"/>
    <w:rsid w:val="65D105EA"/>
    <w:rsid w:val="65ED0E8A"/>
    <w:rsid w:val="65F91B21"/>
    <w:rsid w:val="66152731"/>
    <w:rsid w:val="66181A0B"/>
    <w:rsid w:val="661930D2"/>
    <w:rsid w:val="66304E17"/>
    <w:rsid w:val="66313416"/>
    <w:rsid w:val="66321666"/>
    <w:rsid w:val="66433858"/>
    <w:rsid w:val="664743B2"/>
    <w:rsid w:val="66666353"/>
    <w:rsid w:val="66796187"/>
    <w:rsid w:val="667C4500"/>
    <w:rsid w:val="66817D3D"/>
    <w:rsid w:val="6691309A"/>
    <w:rsid w:val="669F7F7B"/>
    <w:rsid w:val="66DB1226"/>
    <w:rsid w:val="66EF33E9"/>
    <w:rsid w:val="670A1B0C"/>
    <w:rsid w:val="670E3897"/>
    <w:rsid w:val="670E4C40"/>
    <w:rsid w:val="67230CE6"/>
    <w:rsid w:val="67456B2E"/>
    <w:rsid w:val="674C1B17"/>
    <w:rsid w:val="675B2367"/>
    <w:rsid w:val="676612AE"/>
    <w:rsid w:val="679118E5"/>
    <w:rsid w:val="679B290D"/>
    <w:rsid w:val="67A376E5"/>
    <w:rsid w:val="67AB0BF9"/>
    <w:rsid w:val="67B41908"/>
    <w:rsid w:val="67C141AD"/>
    <w:rsid w:val="67CD5013"/>
    <w:rsid w:val="67CF5604"/>
    <w:rsid w:val="67D13CA2"/>
    <w:rsid w:val="67D21906"/>
    <w:rsid w:val="67D875B7"/>
    <w:rsid w:val="67DC5AC8"/>
    <w:rsid w:val="67E05F0B"/>
    <w:rsid w:val="67FD6F7B"/>
    <w:rsid w:val="68034F6A"/>
    <w:rsid w:val="680A64A2"/>
    <w:rsid w:val="6817003C"/>
    <w:rsid w:val="682924B3"/>
    <w:rsid w:val="6841330B"/>
    <w:rsid w:val="68456B60"/>
    <w:rsid w:val="684C1968"/>
    <w:rsid w:val="685A261F"/>
    <w:rsid w:val="685E03FF"/>
    <w:rsid w:val="685F7C35"/>
    <w:rsid w:val="68743C5A"/>
    <w:rsid w:val="68945B31"/>
    <w:rsid w:val="68965FEA"/>
    <w:rsid w:val="689C5636"/>
    <w:rsid w:val="68B0223F"/>
    <w:rsid w:val="68B71B96"/>
    <w:rsid w:val="68BC2D49"/>
    <w:rsid w:val="68BD4776"/>
    <w:rsid w:val="68EC2ACD"/>
    <w:rsid w:val="68EC3085"/>
    <w:rsid w:val="68F20AA9"/>
    <w:rsid w:val="68FD41BD"/>
    <w:rsid w:val="68FE10B1"/>
    <w:rsid w:val="69003D9D"/>
    <w:rsid w:val="690E5C85"/>
    <w:rsid w:val="690F1657"/>
    <w:rsid w:val="692F585A"/>
    <w:rsid w:val="692F7B9E"/>
    <w:rsid w:val="693B5FAC"/>
    <w:rsid w:val="694F5A9A"/>
    <w:rsid w:val="69527ED8"/>
    <w:rsid w:val="69631ADF"/>
    <w:rsid w:val="69654ADD"/>
    <w:rsid w:val="696803F0"/>
    <w:rsid w:val="6975655B"/>
    <w:rsid w:val="697B45FB"/>
    <w:rsid w:val="69861312"/>
    <w:rsid w:val="699A2E47"/>
    <w:rsid w:val="69AC65AC"/>
    <w:rsid w:val="69B00FCA"/>
    <w:rsid w:val="69BC0036"/>
    <w:rsid w:val="69D86DAF"/>
    <w:rsid w:val="69E25CD2"/>
    <w:rsid w:val="69FD1759"/>
    <w:rsid w:val="6A075C78"/>
    <w:rsid w:val="6A092788"/>
    <w:rsid w:val="6A154A4F"/>
    <w:rsid w:val="6A164324"/>
    <w:rsid w:val="6A222CC8"/>
    <w:rsid w:val="6A463FB3"/>
    <w:rsid w:val="6A8D6F7E"/>
    <w:rsid w:val="6A9040D6"/>
    <w:rsid w:val="6A916230"/>
    <w:rsid w:val="6A9C2F2D"/>
    <w:rsid w:val="6AA06A0F"/>
    <w:rsid w:val="6AA33E09"/>
    <w:rsid w:val="6ABB0BF8"/>
    <w:rsid w:val="6AD46C1B"/>
    <w:rsid w:val="6AE60518"/>
    <w:rsid w:val="6AE94020"/>
    <w:rsid w:val="6AE97DAC"/>
    <w:rsid w:val="6AF64B0B"/>
    <w:rsid w:val="6AF705F9"/>
    <w:rsid w:val="6B0A1475"/>
    <w:rsid w:val="6B150B00"/>
    <w:rsid w:val="6B1B35EB"/>
    <w:rsid w:val="6B2B67A2"/>
    <w:rsid w:val="6B333C8B"/>
    <w:rsid w:val="6B3D2F9D"/>
    <w:rsid w:val="6B3E5699"/>
    <w:rsid w:val="6B4277E6"/>
    <w:rsid w:val="6B4914B0"/>
    <w:rsid w:val="6B496097"/>
    <w:rsid w:val="6B4A5A45"/>
    <w:rsid w:val="6B570980"/>
    <w:rsid w:val="6B594E10"/>
    <w:rsid w:val="6B6C68F1"/>
    <w:rsid w:val="6B6D3FFA"/>
    <w:rsid w:val="6B7D13F5"/>
    <w:rsid w:val="6B89388F"/>
    <w:rsid w:val="6B8B1F7C"/>
    <w:rsid w:val="6B9132DB"/>
    <w:rsid w:val="6B9A16B0"/>
    <w:rsid w:val="6BB34D7C"/>
    <w:rsid w:val="6BBB5FAB"/>
    <w:rsid w:val="6BDF70C3"/>
    <w:rsid w:val="6BE0108D"/>
    <w:rsid w:val="6BE52E4B"/>
    <w:rsid w:val="6BE92761"/>
    <w:rsid w:val="6BEE02A6"/>
    <w:rsid w:val="6BFF152E"/>
    <w:rsid w:val="6C00712A"/>
    <w:rsid w:val="6C0C12C3"/>
    <w:rsid w:val="6C224577"/>
    <w:rsid w:val="6C2E3BA6"/>
    <w:rsid w:val="6C5C4BB7"/>
    <w:rsid w:val="6C6C686E"/>
    <w:rsid w:val="6C8639E2"/>
    <w:rsid w:val="6C870B72"/>
    <w:rsid w:val="6C8E2897"/>
    <w:rsid w:val="6CA43E69"/>
    <w:rsid w:val="6CA51568"/>
    <w:rsid w:val="6CA76415"/>
    <w:rsid w:val="6CA91F70"/>
    <w:rsid w:val="6CB654C5"/>
    <w:rsid w:val="6CC24944"/>
    <w:rsid w:val="6CD26C28"/>
    <w:rsid w:val="6CD32E63"/>
    <w:rsid w:val="6CDE6E55"/>
    <w:rsid w:val="6CE454B2"/>
    <w:rsid w:val="6CE93F71"/>
    <w:rsid w:val="6D1F7993"/>
    <w:rsid w:val="6D3424B7"/>
    <w:rsid w:val="6D394EF9"/>
    <w:rsid w:val="6D575970"/>
    <w:rsid w:val="6D5E0BEA"/>
    <w:rsid w:val="6D6B0BCD"/>
    <w:rsid w:val="6D733B49"/>
    <w:rsid w:val="6D836AE1"/>
    <w:rsid w:val="6DA63D4E"/>
    <w:rsid w:val="6DA93E2C"/>
    <w:rsid w:val="6DAE4ECF"/>
    <w:rsid w:val="6DB12CE1"/>
    <w:rsid w:val="6DB17A25"/>
    <w:rsid w:val="6DB71A89"/>
    <w:rsid w:val="6DBE71AC"/>
    <w:rsid w:val="6DC93F80"/>
    <w:rsid w:val="6DCC141A"/>
    <w:rsid w:val="6DD23F19"/>
    <w:rsid w:val="6DE253A0"/>
    <w:rsid w:val="6DE443F3"/>
    <w:rsid w:val="6DFF5B12"/>
    <w:rsid w:val="6E03019D"/>
    <w:rsid w:val="6E227207"/>
    <w:rsid w:val="6E2350EF"/>
    <w:rsid w:val="6E2B2A93"/>
    <w:rsid w:val="6E337B9A"/>
    <w:rsid w:val="6E366DB4"/>
    <w:rsid w:val="6E455F22"/>
    <w:rsid w:val="6E46167B"/>
    <w:rsid w:val="6E635D97"/>
    <w:rsid w:val="6E6637E5"/>
    <w:rsid w:val="6E693F43"/>
    <w:rsid w:val="6E7F3FF5"/>
    <w:rsid w:val="6E9248C1"/>
    <w:rsid w:val="6E970129"/>
    <w:rsid w:val="6EB011EB"/>
    <w:rsid w:val="6EBD36A6"/>
    <w:rsid w:val="6EC50C6B"/>
    <w:rsid w:val="6EC97D22"/>
    <w:rsid w:val="6ED22573"/>
    <w:rsid w:val="6EDC4A5C"/>
    <w:rsid w:val="6EE413ED"/>
    <w:rsid w:val="6EE60768"/>
    <w:rsid w:val="6EF015E7"/>
    <w:rsid w:val="6EF75C78"/>
    <w:rsid w:val="6EF9099F"/>
    <w:rsid w:val="6EFC4430"/>
    <w:rsid w:val="6F2A1462"/>
    <w:rsid w:val="6F6221E5"/>
    <w:rsid w:val="6F661135"/>
    <w:rsid w:val="6F6E053E"/>
    <w:rsid w:val="6F7044D6"/>
    <w:rsid w:val="6F89736B"/>
    <w:rsid w:val="6F903F85"/>
    <w:rsid w:val="6F990372"/>
    <w:rsid w:val="6FA50623"/>
    <w:rsid w:val="6FAE4DA5"/>
    <w:rsid w:val="6FB40867"/>
    <w:rsid w:val="6FB40D7F"/>
    <w:rsid w:val="6FB456F8"/>
    <w:rsid w:val="6FBB7E47"/>
    <w:rsid w:val="6FBD596D"/>
    <w:rsid w:val="6FCE432E"/>
    <w:rsid w:val="6FF13869"/>
    <w:rsid w:val="6FF26760"/>
    <w:rsid w:val="70223A22"/>
    <w:rsid w:val="7040472E"/>
    <w:rsid w:val="70603771"/>
    <w:rsid w:val="70673F6B"/>
    <w:rsid w:val="706F66E7"/>
    <w:rsid w:val="70724AF1"/>
    <w:rsid w:val="709356FA"/>
    <w:rsid w:val="70B20B4E"/>
    <w:rsid w:val="70B645F5"/>
    <w:rsid w:val="70B64B15"/>
    <w:rsid w:val="70BB7EBB"/>
    <w:rsid w:val="70C05A68"/>
    <w:rsid w:val="70C93198"/>
    <w:rsid w:val="70E05EE6"/>
    <w:rsid w:val="70F57389"/>
    <w:rsid w:val="7109133F"/>
    <w:rsid w:val="712B6906"/>
    <w:rsid w:val="714300F4"/>
    <w:rsid w:val="714D444F"/>
    <w:rsid w:val="71575369"/>
    <w:rsid w:val="717B58A5"/>
    <w:rsid w:val="71850E21"/>
    <w:rsid w:val="71930401"/>
    <w:rsid w:val="7199168E"/>
    <w:rsid w:val="71C6763E"/>
    <w:rsid w:val="71C8777A"/>
    <w:rsid w:val="71CE6FD3"/>
    <w:rsid w:val="71D77E1E"/>
    <w:rsid w:val="72014633"/>
    <w:rsid w:val="72233A82"/>
    <w:rsid w:val="722E2F9D"/>
    <w:rsid w:val="723733CC"/>
    <w:rsid w:val="723E2669"/>
    <w:rsid w:val="725974A3"/>
    <w:rsid w:val="72787EA1"/>
    <w:rsid w:val="727B4EBF"/>
    <w:rsid w:val="729E0259"/>
    <w:rsid w:val="72A2700D"/>
    <w:rsid w:val="72C30CB5"/>
    <w:rsid w:val="72C75056"/>
    <w:rsid w:val="72CC3F8A"/>
    <w:rsid w:val="72CC754C"/>
    <w:rsid w:val="72E56F8C"/>
    <w:rsid w:val="72F35B4A"/>
    <w:rsid w:val="72F654FA"/>
    <w:rsid w:val="72FA02C7"/>
    <w:rsid w:val="72FA5F35"/>
    <w:rsid w:val="72FD2525"/>
    <w:rsid w:val="7331768C"/>
    <w:rsid w:val="733F676D"/>
    <w:rsid w:val="734E2715"/>
    <w:rsid w:val="736A4853"/>
    <w:rsid w:val="73720C8C"/>
    <w:rsid w:val="73734595"/>
    <w:rsid w:val="737779B6"/>
    <w:rsid w:val="738549F4"/>
    <w:rsid w:val="73B94CE8"/>
    <w:rsid w:val="73C3551C"/>
    <w:rsid w:val="73E6120B"/>
    <w:rsid w:val="73E93DBF"/>
    <w:rsid w:val="73EA470F"/>
    <w:rsid w:val="73EC36F7"/>
    <w:rsid w:val="73F676A0"/>
    <w:rsid w:val="73FD2C54"/>
    <w:rsid w:val="73FE6554"/>
    <w:rsid w:val="742915A0"/>
    <w:rsid w:val="74297B7E"/>
    <w:rsid w:val="744B7916"/>
    <w:rsid w:val="744D3038"/>
    <w:rsid w:val="74647C6A"/>
    <w:rsid w:val="74725017"/>
    <w:rsid w:val="74781399"/>
    <w:rsid w:val="74784559"/>
    <w:rsid w:val="74842EFD"/>
    <w:rsid w:val="74A05963"/>
    <w:rsid w:val="74AE66C9"/>
    <w:rsid w:val="74D72CF9"/>
    <w:rsid w:val="74E03070"/>
    <w:rsid w:val="74F87447"/>
    <w:rsid w:val="75127817"/>
    <w:rsid w:val="75232716"/>
    <w:rsid w:val="75466405"/>
    <w:rsid w:val="75604355"/>
    <w:rsid w:val="75674EB3"/>
    <w:rsid w:val="75765189"/>
    <w:rsid w:val="75792134"/>
    <w:rsid w:val="75A15DF2"/>
    <w:rsid w:val="75B26193"/>
    <w:rsid w:val="75B27CA5"/>
    <w:rsid w:val="75EC4FB9"/>
    <w:rsid w:val="75EE277B"/>
    <w:rsid w:val="75F662E4"/>
    <w:rsid w:val="75F66D71"/>
    <w:rsid w:val="760140DA"/>
    <w:rsid w:val="76030D9A"/>
    <w:rsid w:val="761746C6"/>
    <w:rsid w:val="762C371E"/>
    <w:rsid w:val="762C6104"/>
    <w:rsid w:val="763224E5"/>
    <w:rsid w:val="763E10DA"/>
    <w:rsid w:val="763F1FF4"/>
    <w:rsid w:val="7644612B"/>
    <w:rsid w:val="7664419C"/>
    <w:rsid w:val="767E6546"/>
    <w:rsid w:val="76885C02"/>
    <w:rsid w:val="76A516A2"/>
    <w:rsid w:val="76AE4262"/>
    <w:rsid w:val="76BD0DA7"/>
    <w:rsid w:val="76E00193"/>
    <w:rsid w:val="76F87EBC"/>
    <w:rsid w:val="76FB4FCD"/>
    <w:rsid w:val="76FE242A"/>
    <w:rsid w:val="76FF25B6"/>
    <w:rsid w:val="77020109"/>
    <w:rsid w:val="77281687"/>
    <w:rsid w:val="77313DFE"/>
    <w:rsid w:val="773B361B"/>
    <w:rsid w:val="774D75F8"/>
    <w:rsid w:val="77660698"/>
    <w:rsid w:val="776B5854"/>
    <w:rsid w:val="776B6BD0"/>
    <w:rsid w:val="776C72F3"/>
    <w:rsid w:val="77796881"/>
    <w:rsid w:val="777A5F47"/>
    <w:rsid w:val="777C76A4"/>
    <w:rsid w:val="778356EE"/>
    <w:rsid w:val="77A84322"/>
    <w:rsid w:val="77A85155"/>
    <w:rsid w:val="77AF37C3"/>
    <w:rsid w:val="77B07DE2"/>
    <w:rsid w:val="77D53A70"/>
    <w:rsid w:val="77DA4BE2"/>
    <w:rsid w:val="77DE0B76"/>
    <w:rsid w:val="77DE3A9A"/>
    <w:rsid w:val="77E5503D"/>
    <w:rsid w:val="77ED700C"/>
    <w:rsid w:val="77F97523"/>
    <w:rsid w:val="78090360"/>
    <w:rsid w:val="78192568"/>
    <w:rsid w:val="782B4A13"/>
    <w:rsid w:val="78320EC2"/>
    <w:rsid w:val="78511348"/>
    <w:rsid w:val="7856278A"/>
    <w:rsid w:val="786B350B"/>
    <w:rsid w:val="789B0816"/>
    <w:rsid w:val="78A20D6F"/>
    <w:rsid w:val="78A22B31"/>
    <w:rsid w:val="78B039E4"/>
    <w:rsid w:val="78B251F2"/>
    <w:rsid w:val="78B83176"/>
    <w:rsid w:val="78C409E9"/>
    <w:rsid w:val="78CF34F0"/>
    <w:rsid w:val="78D72CDF"/>
    <w:rsid w:val="78DF4BA6"/>
    <w:rsid w:val="78F62113"/>
    <w:rsid w:val="78F80068"/>
    <w:rsid w:val="79003D12"/>
    <w:rsid w:val="79020895"/>
    <w:rsid w:val="79053EE1"/>
    <w:rsid w:val="79203646"/>
    <w:rsid w:val="7930196F"/>
    <w:rsid w:val="793A6280"/>
    <w:rsid w:val="79490272"/>
    <w:rsid w:val="794F33AE"/>
    <w:rsid w:val="795135CA"/>
    <w:rsid w:val="796A0CA1"/>
    <w:rsid w:val="799C08D2"/>
    <w:rsid w:val="79B672FA"/>
    <w:rsid w:val="79C7781F"/>
    <w:rsid w:val="79DA35C0"/>
    <w:rsid w:val="79DC01FD"/>
    <w:rsid w:val="79DC7A57"/>
    <w:rsid w:val="79ED2983"/>
    <w:rsid w:val="7A28432B"/>
    <w:rsid w:val="7A78797C"/>
    <w:rsid w:val="7A792D6F"/>
    <w:rsid w:val="7A973BC1"/>
    <w:rsid w:val="7A9D67A7"/>
    <w:rsid w:val="7A9D6AC7"/>
    <w:rsid w:val="7A9E345E"/>
    <w:rsid w:val="7AA61279"/>
    <w:rsid w:val="7AA87604"/>
    <w:rsid w:val="7AB1214E"/>
    <w:rsid w:val="7ACB3572"/>
    <w:rsid w:val="7AD81B0D"/>
    <w:rsid w:val="7AE069B4"/>
    <w:rsid w:val="7AF178B4"/>
    <w:rsid w:val="7AF27458"/>
    <w:rsid w:val="7AFD1314"/>
    <w:rsid w:val="7B073F40"/>
    <w:rsid w:val="7B352473"/>
    <w:rsid w:val="7B4F2352"/>
    <w:rsid w:val="7B5D0004"/>
    <w:rsid w:val="7B7F61CD"/>
    <w:rsid w:val="7B8B6739"/>
    <w:rsid w:val="7B8B6A97"/>
    <w:rsid w:val="7B8F7B65"/>
    <w:rsid w:val="7B9658A7"/>
    <w:rsid w:val="7B9D48A5"/>
    <w:rsid w:val="7BA12D04"/>
    <w:rsid w:val="7BA55308"/>
    <w:rsid w:val="7BAB467E"/>
    <w:rsid w:val="7BDD764C"/>
    <w:rsid w:val="7BE11EEB"/>
    <w:rsid w:val="7BE632F9"/>
    <w:rsid w:val="7C0551DB"/>
    <w:rsid w:val="7C0808C1"/>
    <w:rsid w:val="7C120DEF"/>
    <w:rsid w:val="7C131361"/>
    <w:rsid w:val="7C273CDA"/>
    <w:rsid w:val="7C2B3C5E"/>
    <w:rsid w:val="7C2E374F"/>
    <w:rsid w:val="7C3C3F08"/>
    <w:rsid w:val="7C3E749B"/>
    <w:rsid w:val="7C480CB4"/>
    <w:rsid w:val="7C4D0822"/>
    <w:rsid w:val="7C4D62CB"/>
    <w:rsid w:val="7C4F2043"/>
    <w:rsid w:val="7C5F125B"/>
    <w:rsid w:val="7C8768B4"/>
    <w:rsid w:val="7C947A56"/>
    <w:rsid w:val="7CB12FCA"/>
    <w:rsid w:val="7CB2612E"/>
    <w:rsid w:val="7CBA4CC6"/>
    <w:rsid w:val="7CBB76D8"/>
    <w:rsid w:val="7CC70725"/>
    <w:rsid w:val="7CCC223C"/>
    <w:rsid w:val="7CD40F68"/>
    <w:rsid w:val="7CE138C8"/>
    <w:rsid w:val="7CEE48EB"/>
    <w:rsid w:val="7CF16C56"/>
    <w:rsid w:val="7CF5335C"/>
    <w:rsid w:val="7D020A0A"/>
    <w:rsid w:val="7D126BCC"/>
    <w:rsid w:val="7D183614"/>
    <w:rsid w:val="7D225061"/>
    <w:rsid w:val="7D376633"/>
    <w:rsid w:val="7D3917C9"/>
    <w:rsid w:val="7D3B133A"/>
    <w:rsid w:val="7D444538"/>
    <w:rsid w:val="7D472FA7"/>
    <w:rsid w:val="7D5D078F"/>
    <w:rsid w:val="7D6364B6"/>
    <w:rsid w:val="7D641B1E"/>
    <w:rsid w:val="7D6A4C5A"/>
    <w:rsid w:val="7D732E16"/>
    <w:rsid w:val="7D830F78"/>
    <w:rsid w:val="7D911946"/>
    <w:rsid w:val="7DA57A41"/>
    <w:rsid w:val="7DA71D1F"/>
    <w:rsid w:val="7DAC5273"/>
    <w:rsid w:val="7DB561F2"/>
    <w:rsid w:val="7DC55BCC"/>
    <w:rsid w:val="7DDB1F42"/>
    <w:rsid w:val="7DE337D3"/>
    <w:rsid w:val="7DF7719D"/>
    <w:rsid w:val="7DF96F41"/>
    <w:rsid w:val="7E0D3F64"/>
    <w:rsid w:val="7E25092F"/>
    <w:rsid w:val="7E3429BD"/>
    <w:rsid w:val="7E407765"/>
    <w:rsid w:val="7E572EB7"/>
    <w:rsid w:val="7E5A4CCF"/>
    <w:rsid w:val="7E637B66"/>
    <w:rsid w:val="7E753176"/>
    <w:rsid w:val="7E7A711F"/>
    <w:rsid w:val="7E7F0292"/>
    <w:rsid w:val="7E847699"/>
    <w:rsid w:val="7E9C415E"/>
    <w:rsid w:val="7EC75C3E"/>
    <w:rsid w:val="7ECB272C"/>
    <w:rsid w:val="7ED21A34"/>
    <w:rsid w:val="7ED84755"/>
    <w:rsid w:val="7EEC427F"/>
    <w:rsid w:val="7EF173B3"/>
    <w:rsid w:val="7F01514B"/>
    <w:rsid w:val="7F0E4822"/>
    <w:rsid w:val="7F2F3506"/>
    <w:rsid w:val="7F32191D"/>
    <w:rsid w:val="7F3834E8"/>
    <w:rsid w:val="7F565D15"/>
    <w:rsid w:val="7F567244"/>
    <w:rsid w:val="7F5867C0"/>
    <w:rsid w:val="7F626284"/>
    <w:rsid w:val="7F791185"/>
    <w:rsid w:val="7F876EB4"/>
    <w:rsid w:val="7F9414E3"/>
    <w:rsid w:val="7F9B6F1C"/>
    <w:rsid w:val="7FC5201F"/>
    <w:rsid w:val="7FC62079"/>
    <w:rsid w:val="7FC85D5F"/>
    <w:rsid w:val="7FD92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7">
    <w:name w:val="heading 2"/>
    <w:basedOn w:val="1"/>
    <w:next w:val="1"/>
    <w:qFormat/>
    <w:uiPriority w:val="0"/>
    <w:pPr>
      <w:keepNext/>
      <w:keepLines/>
      <w:widowControl w:val="0"/>
      <w:spacing w:beforeLines="50" w:afterLines="50" w:line="520" w:lineRule="exact"/>
      <w:jc w:val="both"/>
      <w:outlineLvl w:val="1"/>
    </w:pPr>
    <w:rPr>
      <w:rFonts w:ascii="Times New Roman" w:hAnsi="Times New Roman" w:eastAsia="黑体" w:cs="Times New Roman"/>
      <w:kern w:val="2"/>
      <w:sz w:val="28"/>
      <w:szCs w:val="28"/>
    </w:rPr>
  </w:style>
  <w:style w:type="paragraph" w:styleId="8">
    <w:name w:val="heading 3"/>
    <w:basedOn w:val="9"/>
    <w:next w:val="1"/>
    <w:qFormat/>
    <w:uiPriority w:val="0"/>
    <w:pPr>
      <w:keepNext/>
      <w:keepLines/>
      <w:spacing w:before="260" w:after="260" w:line="416" w:lineRule="auto"/>
      <w:outlineLvl w:val="2"/>
    </w:pPr>
    <w:rPr>
      <w:sz w:val="32"/>
      <w:szCs w:val="32"/>
    </w:rPr>
  </w:style>
  <w:style w:type="paragraph" w:styleId="10">
    <w:name w:val="heading 4"/>
    <w:basedOn w:val="1"/>
    <w:next w:val="1"/>
    <w:qFormat/>
    <w:uiPriority w:val="0"/>
    <w:pPr>
      <w:keepNext/>
      <w:keepLines/>
      <w:spacing w:before="280" w:after="290" w:line="376" w:lineRule="auto"/>
      <w:outlineLvl w:val="3"/>
    </w:pPr>
    <w:rPr>
      <w:rFonts w:ascii="Cambria" w:hAnsi="Cambria"/>
      <w:b/>
      <w:bCs/>
      <w:kern w:val="0"/>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adjustRightInd/>
      <w:spacing w:after="120" w:line="240" w:lineRule="auto"/>
      <w:ind w:firstLine="420" w:firstLineChars="100"/>
      <w:textAlignment w:val="auto"/>
    </w:pPr>
    <w:rPr>
      <w:rFonts w:ascii="Times New Roman"/>
      <w:snapToGrid/>
      <w:spacing w:val="0"/>
      <w:kern w:val="2"/>
      <w:sz w:val="21"/>
    </w:rPr>
  </w:style>
  <w:style w:type="paragraph" w:styleId="3">
    <w:name w:val="Body Text"/>
    <w:basedOn w:val="1"/>
    <w:next w:val="4"/>
    <w:qFormat/>
    <w:uiPriority w:val="0"/>
    <w:pPr>
      <w:widowControl/>
      <w:snapToGrid w:val="0"/>
      <w:spacing w:line="360" w:lineRule="auto"/>
      <w:ind w:right="0" w:firstLine="720" w:firstLineChars="200"/>
    </w:pPr>
    <w:rPr>
      <w:rFonts w:ascii="Times New Roman" w:hAnsi="Times New Roman" w:eastAsia="宋体"/>
      <w:kern w:val="0"/>
      <w:sz w:val="24"/>
      <w:szCs w:val="20"/>
    </w:rPr>
  </w:style>
  <w:style w:type="paragraph" w:customStyle="1" w:styleId="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styleId="5">
    <w:name w:val="table of figures"/>
    <w:basedOn w:val="1"/>
    <w:next w:val="1"/>
    <w:qFormat/>
    <w:uiPriority w:val="0"/>
    <w:pPr>
      <w:spacing w:before="100" w:beforeAutospacing="1" w:after="100" w:afterAutospacing="1"/>
      <w:ind w:leftChars="200" w:hanging="200" w:hangingChars="200"/>
    </w:pPr>
  </w:style>
  <w:style w:type="paragraph" w:styleId="9">
    <w:name w:val="Title"/>
    <w:basedOn w:val="1"/>
    <w:next w:val="1"/>
    <w:qFormat/>
    <w:uiPriority w:val="99"/>
    <w:pPr>
      <w:spacing w:before="240" w:after="60"/>
      <w:jc w:val="center"/>
      <w:outlineLvl w:val="0"/>
    </w:pPr>
    <w:rPr>
      <w:rFonts w:ascii="Cambria" w:hAnsi="Cambria" w:eastAsia="宋体" w:cs="Times New Roman"/>
      <w:b/>
      <w:bCs/>
      <w:sz w:val="32"/>
      <w:szCs w:val="32"/>
    </w:rPr>
  </w:style>
  <w:style w:type="paragraph" w:styleId="11">
    <w:name w:val="Normal Indent"/>
    <w:basedOn w:val="1"/>
    <w:next w:val="1"/>
    <w:qFormat/>
    <w:uiPriority w:val="0"/>
    <w:pPr>
      <w:adjustRightInd w:val="0"/>
      <w:snapToGrid w:val="0"/>
      <w:spacing w:line="360" w:lineRule="auto"/>
    </w:pPr>
    <w:rPr>
      <w:snapToGrid w:val="0"/>
      <w:kern w:val="0"/>
      <w:sz w:val="24"/>
      <w:szCs w:val="20"/>
    </w:rPr>
  </w:style>
  <w:style w:type="paragraph" w:styleId="12">
    <w:name w:val="caption"/>
    <w:basedOn w:val="1"/>
    <w:next w:val="1"/>
    <w:qFormat/>
    <w:uiPriority w:val="0"/>
    <w:rPr>
      <w:rFonts w:ascii="Cambria" w:hAnsi="Cambria" w:eastAsia="黑体" w:cs="Times New Roman"/>
      <w:sz w:val="20"/>
      <w:szCs w:val="20"/>
    </w:rPr>
  </w:style>
  <w:style w:type="paragraph" w:styleId="13">
    <w:name w:val="annotation text"/>
    <w:basedOn w:val="1"/>
    <w:semiHidden/>
    <w:qFormat/>
    <w:uiPriority w:val="0"/>
    <w:pPr>
      <w:jc w:val="left"/>
    </w:pPr>
    <w:rPr>
      <w:kern w:val="0"/>
      <w:sz w:val="24"/>
      <w:szCs w:val="20"/>
    </w:rPr>
  </w:style>
  <w:style w:type="paragraph" w:styleId="14">
    <w:name w:val="Body Text Indent"/>
    <w:basedOn w:val="1"/>
    <w:next w:val="3"/>
    <w:qFormat/>
    <w:uiPriority w:val="99"/>
    <w:pPr>
      <w:spacing w:after="120"/>
      <w:ind w:left="420" w:leftChars="200"/>
    </w:pPr>
  </w:style>
  <w:style w:type="paragraph" w:styleId="15">
    <w:name w:val="Block Text"/>
    <w:basedOn w:val="1"/>
    <w:next w:val="1"/>
    <w:qFormat/>
    <w:uiPriority w:val="0"/>
    <w:pPr>
      <w:ind w:left="420" w:right="-175" w:rightChars="-73"/>
    </w:pPr>
    <w:rPr>
      <w:rFonts w:ascii="宋体" w:hAnsi="Arial"/>
      <w:sz w:val="24"/>
      <w:szCs w:val="20"/>
    </w:rPr>
  </w:style>
  <w:style w:type="paragraph" w:styleId="16">
    <w:name w:val="Plain Text"/>
    <w:basedOn w:val="1"/>
    <w:qFormat/>
    <w:uiPriority w:val="0"/>
    <w:pPr>
      <w:spacing w:line="420" w:lineRule="exact"/>
      <w:ind w:firstLine="200" w:firstLineChars="200"/>
    </w:pPr>
    <w:rPr>
      <w:rFonts w:ascii="宋体" w:hAnsi="Courier New" w:cs="Courier New"/>
      <w:szCs w:val="21"/>
    </w:rPr>
  </w:style>
  <w:style w:type="paragraph" w:styleId="17">
    <w:name w:val="Body Text Indent 2"/>
    <w:basedOn w:val="1"/>
    <w:qFormat/>
    <w:uiPriority w:val="0"/>
    <w:pPr>
      <w:spacing w:line="360" w:lineRule="auto"/>
      <w:ind w:firstLine="480" w:firstLineChars="200"/>
    </w:pPr>
    <w:rPr>
      <w:sz w:val="24"/>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List"/>
    <w:basedOn w:val="1"/>
    <w:qFormat/>
    <w:uiPriority w:val="0"/>
    <w:pPr>
      <w:adjustRightInd w:val="0"/>
      <w:snapToGrid w:val="0"/>
      <w:jc w:val="center"/>
    </w:pPr>
    <w:rPr>
      <w:sz w:val="24"/>
      <w:szCs w:val="20"/>
    </w:rPr>
  </w:style>
  <w:style w:type="paragraph" w:styleId="21">
    <w:name w:val="Body Text 2"/>
    <w:basedOn w:val="1"/>
    <w:qFormat/>
    <w:uiPriority w:val="0"/>
    <w:pPr>
      <w:spacing w:beforeLines="50" w:after="100" w:afterAutospacing="1" w:line="336" w:lineRule="auto"/>
    </w:pPr>
    <w:rPr>
      <w:rFonts w:ascii="Times New Roman" w:hAnsi="Times New Roman" w:eastAsia="仿宋_GB2312"/>
      <w:kern w:val="0"/>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Body Text First Indent 2"/>
    <w:basedOn w:val="14"/>
    <w:next w:val="1"/>
    <w:qFormat/>
    <w:uiPriority w:val="99"/>
    <w:pPr>
      <w:ind w:firstLine="420" w:firstLineChars="200"/>
    </w:pPr>
    <w:rPr>
      <w:lang w:val="en-US" w:eastAsia="zh-CN"/>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uiPriority w:val="0"/>
  </w:style>
  <w:style w:type="character" w:styleId="28">
    <w:name w:val="FollowedHyperlink"/>
    <w:basedOn w:val="26"/>
    <w:qFormat/>
    <w:uiPriority w:val="0"/>
    <w:rPr>
      <w:color w:val="007ACC"/>
      <w:u w:val="single"/>
    </w:rPr>
  </w:style>
  <w:style w:type="character" w:styleId="29">
    <w:name w:val="Hyperlink"/>
    <w:basedOn w:val="26"/>
    <w:qFormat/>
    <w:uiPriority w:val="0"/>
    <w:rPr>
      <w:color w:val="007ACC"/>
      <w:u w:val="single"/>
    </w:rPr>
  </w:style>
  <w:style w:type="character" w:styleId="30">
    <w:name w:val="annotation reference"/>
    <w:qFormat/>
    <w:uiPriority w:val="0"/>
    <w:rPr>
      <w:sz w:val="21"/>
      <w:szCs w:val="21"/>
    </w:rPr>
  </w:style>
  <w:style w:type="paragraph" w:customStyle="1" w:styleId="31">
    <w:name w:val="Default"/>
    <w:basedOn w:val="32"/>
    <w:next w:val="3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2">
    <w:name w:val="纯文本1"/>
    <w:basedOn w:val="1"/>
    <w:qFormat/>
    <w:uiPriority w:val="0"/>
    <w:pPr>
      <w:adjustRightInd w:val="0"/>
      <w:jc w:val="center"/>
      <w:textAlignment w:val="baseline"/>
    </w:pPr>
    <w:rPr>
      <w:rFonts w:ascii="宋体" w:hAnsi="Courier New"/>
      <w:sz w:val="24"/>
    </w:rPr>
  </w:style>
  <w:style w:type="paragraph" w:customStyle="1" w:styleId="33">
    <w:name w:val="样式35"/>
    <w:basedOn w:val="1"/>
    <w:next w:val="1"/>
    <w:qFormat/>
    <w:uiPriority w:val="0"/>
    <w:pPr>
      <w:spacing w:line="312" w:lineRule="auto"/>
      <w:ind w:firstLine="567"/>
    </w:pPr>
    <w:rPr>
      <w:rFonts w:ascii="宋体"/>
      <w:sz w:val="28"/>
    </w:rPr>
  </w:style>
  <w:style w:type="paragraph" w:customStyle="1" w:styleId="34">
    <w:name w:val="Body Text 2_050de59c-084d-4175-9105-ef8c1c28e700"/>
    <w:basedOn w:val="1"/>
    <w:qFormat/>
    <w:uiPriority w:val="0"/>
    <w:pPr>
      <w:spacing w:after="120" w:line="480" w:lineRule="auto"/>
    </w:pPr>
  </w:style>
  <w:style w:type="paragraph" w:customStyle="1" w:styleId="3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6">
    <w:name w:val="Table Paragraph"/>
    <w:basedOn w:val="1"/>
    <w:qFormat/>
    <w:uiPriority w:val="0"/>
    <w:rPr>
      <w:rFonts w:ascii="宋体" w:hAnsi="宋体" w:eastAsia="宋体" w:cs="宋体"/>
      <w:lang w:val="zh-CN" w:eastAsia="zh-CN" w:bidi="zh-CN"/>
    </w:rPr>
  </w:style>
  <w:style w:type="paragraph" w:customStyle="1" w:styleId="37">
    <w:name w:val="3"/>
    <w:basedOn w:val="1"/>
    <w:next w:val="17"/>
    <w:qFormat/>
    <w:uiPriority w:val="0"/>
    <w:pPr>
      <w:tabs>
        <w:tab w:val="left" w:pos="6855"/>
      </w:tabs>
      <w:ind w:firstLine="560" w:firstLineChars="200"/>
    </w:pPr>
    <w:rPr>
      <w:rFonts w:eastAsia="仿宋_GB2312"/>
      <w:sz w:val="28"/>
    </w:rPr>
  </w:style>
  <w:style w:type="paragraph" w:customStyle="1" w:styleId="38">
    <w:name w:val="表格"/>
    <w:basedOn w:val="20"/>
    <w:next w:val="1"/>
    <w:qFormat/>
    <w:uiPriority w:val="0"/>
    <w:pPr>
      <w:adjustRightInd w:val="0"/>
      <w:snapToGrid w:val="0"/>
      <w:spacing w:beforeLines="10" w:afterLines="10" w:line="259" w:lineRule="auto"/>
      <w:jc w:val="center"/>
    </w:pPr>
    <w:rPr>
      <w:rFonts w:ascii="宋体"/>
      <w:kern w:val="0"/>
      <w:szCs w:val="20"/>
    </w:rPr>
  </w:style>
  <w:style w:type="paragraph" w:customStyle="1" w:styleId="39">
    <w:name w:val="00"/>
    <w:basedOn w:val="1"/>
    <w:qFormat/>
    <w:uiPriority w:val="0"/>
    <w:pPr>
      <w:spacing w:line="520" w:lineRule="exact"/>
      <w:ind w:firstLine="200" w:firstLineChars="200"/>
    </w:pPr>
    <w:rPr>
      <w:rFonts w:ascii="宋体" w:hAnsi="宋体" w:cs="宋体"/>
      <w:sz w:val="24"/>
      <w:szCs w:val="20"/>
    </w:rPr>
  </w:style>
  <w:style w:type="paragraph" w:customStyle="1" w:styleId="40">
    <w:name w:val="中文报告书样式"/>
    <w:basedOn w:val="1"/>
    <w:qFormat/>
    <w:uiPriority w:val="0"/>
    <w:pPr>
      <w:adjustRightInd w:val="0"/>
      <w:spacing w:line="480" w:lineRule="atLeast"/>
      <w:ind w:firstLine="482"/>
      <w:textAlignment w:val="baseline"/>
    </w:pPr>
    <w:rPr>
      <w:kern w:val="24"/>
      <w:sz w:val="24"/>
    </w:rPr>
  </w:style>
  <w:style w:type="paragraph" w:customStyle="1" w:styleId="41">
    <w:name w:val="表题注"/>
    <w:basedOn w:val="12"/>
    <w:qFormat/>
    <w:uiPriority w:val="0"/>
    <w:pPr>
      <w:keepNext/>
      <w:spacing w:before="50" w:beforeLines="50" w:line="480" w:lineRule="exact"/>
      <w:jc w:val="center"/>
    </w:pPr>
    <w:rPr>
      <w:rFonts w:ascii="Arial" w:hAnsi="Arial"/>
      <w:sz w:val="21"/>
    </w:rPr>
  </w:style>
  <w:style w:type="paragraph" w:customStyle="1" w:styleId="42">
    <w:name w:val="正文小四 1.75"/>
    <w:basedOn w:val="1"/>
    <w:qFormat/>
    <w:uiPriority w:val="0"/>
    <w:pPr>
      <w:spacing w:line="420" w:lineRule="auto"/>
      <w:ind w:firstLine="480" w:firstLineChars="200"/>
    </w:pPr>
    <w:rPr>
      <w:sz w:val="24"/>
    </w:rPr>
  </w:style>
  <w:style w:type="paragraph" w:customStyle="1" w:styleId="43">
    <w:name w:val="00000"/>
    <w:basedOn w:val="1"/>
    <w:qFormat/>
    <w:uiPriority w:val="0"/>
    <w:pPr>
      <w:spacing w:line="520" w:lineRule="exact"/>
      <w:ind w:firstLine="200" w:firstLineChars="200"/>
    </w:pPr>
    <w:rPr>
      <w:rFonts w:ascii="宋体" w:hAnsi="宋体" w:eastAsia="宋体" w:cs="Times New Roman"/>
      <w:sz w:val="24"/>
    </w:rPr>
  </w:style>
  <w:style w:type="paragraph" w:customStyle="1" w:styleId="44">
    <w:name w:val="Default1"/>
    <w:basedOn w:val="45"/>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5">
    <w:name w:val="Normal_14_0"/>
    <w:qFormat/>
    <w:uiPriority w:val="0"/>
    <w:pPr>
      <w:spacing w:before="120" w:after="240"/>
      <w:jc w:val="both"/>
    </w:pPr>
    <w:rPr>
      <w:rFonts w:ascii="Calibri" w:hAnsi="Calibri" w:eastAsia="Calibri" w:cs="Times New Roman"/>
      <w:sz w:val="22"/>
      <w:szCs w:val="22"/>
      <w:lang w:val="ru-RU" w:eastAsia="en-US" w:bidi="ar-SA"/>
    </w:rPr>
  </w:style>
  <w:style w:type="character" w:customStyle="1" w:styleId="46">
    <w:name w:val="font01"/>
    <w:qFormat/>
    <w:uiPriority w:val="0"/>
    <w:rPr>
      <w:rFonts w:hint="default" w:ascii="Times New Roman" w:hAnsi="Times New Roman" w:cs="Times New Roman"/>
      <w:color w:val="000000"/>
      <w:sz w:val="18"/>
      <w:szCs w:val="18"/>
      <w:u w:val="none"/>
      <w:vertAlign w:val="subscript"/>
    </w:rPr>
  </w:style>
  <w:style w:type="paragraph" w:customStyle="1" w:styleId="47">
    <w:name w:val="05F凡式正文"/>
    <w:basedOn w:val="1"/>
    <w:qFormat/>
    <w:uiPriority w:val="0"/>
    <w:pPr>
      <w:spacing w:line="360" w:lineRule="auto"/>
      <w:ind w:firstLine="720" w:firstLineChars="200"/>
    </w:pPr>
    <w:rPr>
      <w:rFonts w:ascii="Times New Roman" w:hAnsi="Times New Roman" w:eastAsia="宋体"/>
      <w:sz w:val="24"/>
    </w:rPr>
  </w:style>
  <w:style w:type="paragraph" w:customStyle="1" w:styleId="48">
    <w:name w:val="样式 小四 行距: 固定值 24 磅"/>
    <w:basedOn w:val="1"/>
    <w:qFormat/>
    <w:uiPriority w:val="0"/>
    <w:pPr>
      <w:adjustRightInd w:val="0"/>
      <w:snapToGrid w:val="0"/>
      <w:spacing w:line="360" w:lineRule="auto"/>
      <w:ind w:firstLine="200" w:firstLineChars="200"/>
    </w:pPr>
    <w:rPr>
      <w:rFonts w:cs="宋体"/>
      <w:sz w:val="24"/>
    </w:rPr>
  </w:style>
  <w:style w:type="paragraph" w:customStyle="1" w:styleId="49">
    <w:name w:val="表内 定"/>
    <w:basedOn w:val="1"/>
    <w:qFormat/>
    <w:uiPriority w:val="0"/>
    <w:rPr>
      <w:rFonts w:cs="Times New Roman"/>
      <w:color w:val="000000"/>
    </w:rPr>
  </w:style>
  <w:style w:type="paragraph" w:customStyle="1" w:styleId="50">
    <w:name w:val="固定表格"/>
    <w:basedOn w:val="1"/>
    <w:qFormat/>
    <w:uiPriority w:val="0"/>
    <w:pPr>
      <w:spacing w:line="360" w:lineRule="exact"/>
      <w:jc w:val="center"/>
    </w:pPr>
    <w:rPr>
      <w:rFonts w:eastAsia="宋体" w:cs="Times New Roman"/>
      <w:sz w:val="21"/>
      <w:szCs w:val="20"/>
    </w:rPr>
  </w:style>
  <w:style w:type="character" w:customStyle="1" w:styleId="51">
    <w:name w:val="NormalCharacter"/>
    <w:qFormat/>
    <w:uiPriority w:val="0"/>
    <w:rPr>
      <w:color w:val="000000"/>
      <w:kern w:val="2"/>
      <w:sz w:val="21"/>
      <w:szCs w:val="22"/>
      <w:lang w:val="en-US" w:eastAsia="zh-CN" w:bidi="ar-SA"/>
    </w:rPr>
  </w:style>
  <w:style w:type="paragraph" w:customStyle="1" w:styleId="52">
    <w:name w:val="表格-龙飞"/>
    <w:basedOn w:val="1"/>
    <w:qFormat/>
    <w:uiPriority w:val="0"/>
    <w:pPr>
      <w:jc w:val="center"/>
    </w:pPr>
  </w:style>
  <w:style w:type="character" w:customStyle="1" w:styleId="53">
    <w:name w:val="样式 四号"/>
    <w:qFormat/>
    <w:uiPriority w:val="0"/>
    <w:rPr>
      <w:sz w:val="28"/>
    </w:rPr>
  </w:style>
  <w:style w:type="paragraph" w:customStyle="1" w:styleId="54">
    <w:name w:val="正文1"/>
    <w:basedOn w:val="1"/>
    <w:qFormat/>
    <w:uiPriority w:val="0"/>
    <w:pPr>
      <w:adjustRightInd w:val="0"/>
      <w:snapToGrid w:val="0"/>
      <w:spacing w:before="60" w:line="460" w:lineRule="exact"/>
      <w:ind w:firstLine="200" w:firstLineChars="200"/>
    </w:pPr>
    <w:rPr>
      <w:szCs w:val="20"/>
    </w:rPr>
  </w:style>
  <w:style w:type="paragraph" w:customStyle="1" w:styleId="55">
    <w:name w:val="图表"/>
    <w:basedOn w:val="1"/>
    <w:qFormat/>
    <w:uiPriority w:val="0"/>
    <w:pPr>
      <w:adjustRightInd w:val="0"/>
      <w:snapToGrid w:val="0"/>
      <w:spacing w:line="440" w:lineRule="exact"/>
      <w:ind w:firstLine="480" w:firstLineChars="200"/>
    </w:pPr>
    <w:rPr>
      <w:rFonts w:ascii="宋体" w:eastAsia="宋体" w:cs="Times New Roman"/>
      <w:sz w:val="21"/>
      <w:szCs w:val="20"/>
    </w:rPr>
  </w:style>
  <w:style w:type="paragraph" w:customStyle="1" w:styleId="56">
    <w:name w:val="列表段落1"/>
    <w:basedOn w:val="1"/>
    <w:qFormat/>
    <w:uiPriority w:val="0"/>
    <w:pPr>
      <w:ind w:firstLine="420" w:firstLineChars="200"/>
    </w:pPr>
  </w:style>
  <w:style w:type="paragraph" w:customStyle="1" w:styleId="57">
    <w:name w:val="样式2"/>
    <w:basedOn w:val="11"/>
    <w:qFormat/>
    <w:uiPriority w:val="0"/>
    <w:pPr>
      <w:spacing w:beforeLines="50" w:afterLines="50" w:line="520" w:lineRule="exact"/>
    </w:pPr>
    <w:rPr>
      <w:rFonts w:eastAsia="黑体"/>
      <w:sz w:val="28"/>
      <w:szCs w:val="28"/>
    </w:rPr>
  </w:style>
  <w:style w:type="paragraph" w:customStyle="1" w:styleId="58">
    <w:name w:val="样式4"/>
    <w:basedOn w:val="7"/>
    <w:qFormat/>
    <w:uiPriority w:val="0"/>
  </w:style>
  <w:style w:type="paragraph" w:customStyle="1" w:styleId="59">
    <w:name w:val="样式3"/>
    <w:basedOn w:val="57"/>
    <w:qFormat/>
    <w:uiPriority w:val="0"/>
    <w:pPr>
      <w:spacing w:beforeLines="50" w:afterLines="50" w:line="360" w:lineRule="auto"/>
    </w:pPr>
    <w:rPr>
      <w:rFonts w:ascii="黑体" w:hAnsi="黑体" w:eastAsia="黑体" w:cs="Times New Roman"/>
      <w:sz w:val="24"/>
      <w:szCs w:val="24"/>
    </w:rPr>
  </w:style>
  <w:style w:type="paragraph" w:customStyle="1" w:styleId="60">
    <w:name w:val="p16"/>
    <w:basedOn w:val="1"/>
    <w:qFormat/>
    <w:uiPriority w:val="0"/>
    <w:pPr>
      <w:widowControl/>
      <w:snapToGrid w:val="0"/>
      <w:jc w:val="center"/>
    </w:pPr>
    <w:rPr>
      <w:rFonts w:ascii="宋体" w:hAnsi="宋体" w:cs="宋体"/>
      <w:color w:val="000000"/>
      <w:kern w:val="0"/>
      <w:sz w:val="18"/>
      <w:szCs w:val="18"/>
    </w:rPr>
  </w:style>
  <w:style w:type="paragraph" w:customStyle="1" w:styleId="61">
    <w:name w:val="样式1"/>
    <w:basedOn w:val="1"/>
    <w:qFormat/>
    <w:uiPriority w:val="0"/>
    <w:rPr>
      <w:szCs w:val="20"/>
      <w:shd w:val="clear" w:color="auto" w:fill="FFFFFF"/>
    </w:rPr>
  </w:style>
  <w:style w:type="paragraph" w:customStyle="1" w:styleId="62">
    <w:name w:val="表格标题"/>
    <w:next w:val="1"/>
    <w:qFormat/>
    <w:uiPriority w:val="0"/>
    <w:pPr>
      <w:spacing w:line="360" w:lineRule="auto"/>
      <w:jc w:val="center"/>
    </w:pPr>
    <w:rPr>
      <w:rFonts w:ascii="Times New Roman" w:hAnsi="Times New Roman" w:eastAsia="黑体" w:cs="Times New Roman"/>
      <w:sz w:val="24"/>
      <w:lang w:val="en-US" w:eastAsia="zh-CN" w:bidi="ar-SA"/>
    </w:rPr>
  </w:style>
  <w:style w:type="paragraph" w:customStyle="1" w:styleId="63">
    <w:name w:val="正文文本的"/>
    <w:basedOn w:val="1"/>
    <w:qFormat/>
    <w:uiPriority w:val="0"/>
    <w:pPr>
      <w:spacing w:line="360" w:lineRule="auto"/>
      <w:ind w:firstLine="480" w:firstLineChars="200"/>
    </w:pPr>
    <w:rPr>
      <w:rFonts w:cs="宋体"/>
      <w:sz w:val="24"/>
      <w:szCs w:val="20"/>
    </w:rPr>
  </w:style>
  <w:style w:type="paragraph" w:styleId="64">
    <w:name w:val="List Paragraph"/>
    <w:basedOn w:val="1"/>
    <w:qFormat/>
    <w:uiPriority w:val="1"/>
    <w:pPr>
      <w:spacing w:before="160"/>
      <w:ind w:left="0" w:firstLine="0"/>
      <w:jc w:val="both"/>
    </w:pPr>
    <w:rPr>
      <w:rFonts w:ascii="Times New Roman" w:hAnsi="Times New Roman" w:eastAsia="宋体" w:cs="Times New Roman"/>
      <w:sz w:val="22"/>
    </w:rPr>
  </w:style>
  <w:style w:type="paragraph" w:customStyle="1" w:styleId="65">
    <w:name w:val="表格正文"/>
    <w:basedOn w:val="35"/>
    <w:next w:val="1"/>
    <w:qFormat/>
    <w:uiPriority w:val="0"/>
    <w:pPr>
      <w:snapToGrid w:val="0"/>
      <w:spacing w:line="240" w:lineRule="auto"/>
      <w:jc w:val="center"/>
    </w:pPr>
    <w:rPr>
      <w:rFonts w:ascii="宋体"/>
      <w:snapToGrid w:val="0"/>
      <w:spacing w:val="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oleObject" Target="embeddings/oleObject6.bin"/><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emf"/><Relationship Id="rId24" Type="http://schemas.openxmlformats.org/officeDocument/2006/relationships/oleObject" Target="embeddings/oleObject5.bin"/><Relationship Id="rId23" Type="http://schemas.openxmlformats.org/officeDocument/2006/relationships/image" Target="media/image4.emf"/><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76934</Words>
  <Characters>84156</Characters>
  <Lines>1</Lines>
  <Paragraphs>1</Paragraphs>
  <TotalTime>52</TotalTime>
  <ScaleCrop>false</ScaleCrop>
  <LinksUpToDate>false</LinksUpToDate>
  <CharactersWithSpaces>84320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2021-03-22T01:38:00Z</dcterms:created>
  <dc:creator>嗑瓜子的向日葵</dc:creator>
  <cp:lastModifiedBy>Administrator</cp:lastModifiedBy>
  <cp:lastPrinted>2023-01-12T02:52:00Z</cp:lastPrinted>
  <dcterms:modified xsi:type="dcterms:W3CDTF">2023-03-28T06:39:31Z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014DDEB152C7457D886BCDEB394531C5</vt:lpwstr>
  </property>
</Properties>
</file>