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_GBK" w:hAnsi="文星标宋" w:eastAsia="方正小标宋_GBK"/>
          <w:spacing w:val="-4"/>
          <w:sz w:val="40"/>
          <w:szCs w:val="40"/>
        </w:rPr>
      </w:pPr>
      <w:r>
        <w:rPr>
          <w:rFonts w:hint="eastAsia" w:ascii="方正小标宋_GBK" w:hAnsi="文星标宋" w:eastAsia="方正小标宋_GBK"/>
          <w:spacing w:val="-4"/>
          <w:sz w:val="40"/>
          <w:szCs w:val="40"/>
        </w:rPr>
        <w:t>县（市、区）政府政务公开工作考核评分细则</w:t>
      </w:r>
    </w:p>
    <w:tbl>
      <w:tblPr>
        <w:tblStyle w:val="2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09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考核项目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考  评 细  项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机构建设情况（20分）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政府领导重视，明确班子成员专人分管。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明确工作机构，落实工作人员。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保障必要的工作经费。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建立较为健全的工作网络。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制度建设和执行情况（18分）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建立较为完善的政务公开制度并落实到位。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有效开展对各部门和乡镇（街道）的政府信息公开工作指导、协调和检查监督。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组织开展政务公开年度考核工作。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组织开展政务公开工作年度社会评议活动。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信息公开载体建设情况（16分）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在档案馆、图书馆、行政审批服务中心等设立政府信息查阅点，有统一标识、有工作制度、有必要的设施、有专门的服务工作人员。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设立基层村级政府信息查阅点。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充分利用政府门户网站、新闻发布会、信息公告栏等方式公开政府信息。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SimSun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SimSun"/>
                <w:color w:val="000000"/>
                <w:sz w:val="28"/>
                <w:szCs w:val="28"/>
              </w:rPr>
              <w:t>在政府门户网站设立信息公开专题栏目，及时准确公开政府信息。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SimSun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SimSun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主动公开政府信息情况（20分）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信息公开的全面性：按统一规范编制政府信息公开指南和政府信息公开目录，目录内容涵盖所有属于主动公开范围的政府信息。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信息公开的及时性：自信息形成或变更之日起20个工作日内予以公开。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信息公开的规范性：发布的信息内容完整、分类清晰、格式规范，便于公众查询、阅读。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依申请公开政府信息情况（15分）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设立政府信息依申请公开集中受理点，明确工作人员和办理流程。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及时妥善处理公众提出的政府信息公开申请，资料完整归档。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保密审查情况（6分）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严格按照有关保密法律、法规要求，对拟公开的政府信息进行保密审查；在政府信息公开工作中发生泄密事件被查实的，每次扣3分。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举报、投诉</w:t>
            </w:r>
            <w:r>
              <w:rPr>
                <w:rFonts w:hint="eastAsia" w:ascii="FangSong_GB2312" w:hAnsi="SimSun"/>
                <w:spacing w:val="-4"/>
                <w:sz w:val="28"/>
                <w:szCs w:val="28"/>
              </w:rPr>
              <w:t>、行政复议和行政诉讼</w:t>
            </w:r>
            <w:r>
              <w:rPr>
                <w:rFonts w:hint="eastAsia" w:ascii="FangSong_GB2312" w:hAnsi="SimSun"/>
                <w:sz w:val="28"/>
                <w:szCs w:val="28"/>
              </w:rPr>
              <w:t>处理情况（5分）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公开本级监察机关和政务信息公开工作主管部门受理举报、投诉的联系方式，及时妥善地处理、答复公众的举报投诉。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加分和扣分（加分后超过100分的，按100分处理）</w:t>
            </w:r>
          </w:p>
        </w:tc>
        <w:tc>
          <w:tcPr>
            <w:tcW w:w="7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政务信息公开工作获得市政府表彰的，加5分。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7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政务信息公开工作获得省政府表彰的，加5分；获得国务院表彰的，加10分。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FangSong_GB2312" w:hAnsi="SimSun"/>
                <w:sz w:val="28"/>
                <w:szCs w:val="28"/>
              </w:rPr>
            </w:pPr>
          </w:p>
        </w:tc>
        <w:tc>
          <w:tcPr>
            <w:tcW w:w="7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FangSong_GB2312" w:hAnsi="SimSun"/>
                <w:sz w:val="28"/>
                <w:szCs w:val="28"/>
              </w:rPr>
            </w:pPr>
            <w:r>
              <w:rPr>
                <w:rFonts w:hint="eastAsia" w:ascii="FangSong_GB2312" w:hAnsi="SimSun"/>
                <w:sz w:val="28"/>
                <w:szCs w:val="28"/>
              </w:rPr>
              <w:t>在政务信息公开工作中发生行政复议、行政诉讼，行政机关败诉的，一次扣10分。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Microsoft YaHei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4A01"/>
    <w:rsid w:val="7A8C4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2019-06-11T07:57:00Z</dcterms:created>
  <dc:creator>江南风</dc:creator>
  <cp:lastModifiedBy>江南风</cp:lastModifiedBy>
  <dcterms:modified xsi:type="dcterms:W3CDTF">2019-06-11T07:57:31Z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