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_GBK" w:hAnsi="文星标宋" w:eastAsia="方正小标宋_GBK"/>
          <w:sz w:val="40"/>
          <w:szCs w:val="40"/>
        </w:rPr>
      </w:pPr>
      <w:r>
        <w:rPr>
          <w:rFonts w:hint="eastAsia" w:ascii="方正小标宋_GBK" w:hAnsi="文星标宋" w:eastAsia="方正小标宋_GBK"/>
          <w:sz w:val="40"/>
          <w:szCs w:val="40"/>
        </w:rPr>
        <w:t>市政府各部门、有关单位政务公开工作</w:t>
      </w:r>
    </w:p>
    <w:p>
      <w:pPr>
        <w:spacing w:line="700" w:lineRule="exact"/>
        <w:jc w:val="center"/>
        <w:rPr>
          <w:rFonts w:hint="eastAsia" w:ascii="方正小标宋_GBK" w:hAnsi="文星标宋" w:eastAsia="方正小标宋_GBK"/>
          <w:sz w:val="40"/>
          <w:szCs w:val="40"/>
        </w:rPr>
      </w:pPr>
      <w:r>
        <w:rPr>
          <w:rFonts w:hint="eastAsia" w:ascii="方正小标宋_GBK" w:hAnsi="文星标宋" w:eastAsia="方正小标宋_GBK"/>
          <w:sz w:val="40"/>
          <w:szCs w:val="40"/>
        </w:rPr>
        <w:t>考核评分细则</w:t>
      </w:r>
    </w:p>
    <w:p>
      <w:pPr>
        <w:spacing w:line="700" w:lineRule="exact"/>
        <w:jc w:val="center"/>
        <w:rPr>
          <w:rFonts w:hint="eastAsia" w:ascii="方正小标宋_GBK" w:hAnsi="文星标宋" w:eastAsia="方正小标宋_GBK"/>
          <w:sz w:val="40"/>
          <w:szCs w:val="40"/>
        </w:rPr>
      </w:pPr>
      <w:bookmarkStart w:id="0" w:name="_GoBack"/>
      <w:bookmarkEnd w:id="0"/>
    </w:p>
    <w:tbl>
      <w:tblPr>
        <w:tblStyle w:val="3"/>
        <w:tblW w:w="892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6390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考核项目</w:t>
            </w:r>
          </w:p>
        </w:tc>
        <w:tc>
          <w:tcPr>
            <w:tcW w:w="6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考评细项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机构建设情况（10分）</w:t>
            </w:r>
          </w:p>
        </w:tc>
        <w:tc>
          <w:tcPr>
            <w:tcW w:w="6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 xml:space="preserve">领导重视，有正式文件明确班子成员专人分管。 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FangSong_GB2312" w:hAnsi="SimSun"/>
                <w:sz w:val="28"/>
                <w:szCs w:val="28"/>
              </w:rPr>
            </w:pPr>
          </w:p>
        </w:tc>
        <w:tc>
          <w:tcPr>
            <w:tcW w:w="6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工作机构明确，有相对稳定的工作人员。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制度建设和执行情况（20分）</w:t>
            </w:r>
          </w:p>
        </w:tc>
        <w:tc>
          <w:tcPr>
            <w:tcW w:w="6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认真落实市里布置的各项工作任务，参加市里举办的会议、培训等。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FangSong_GB2312" w:hAnsi="SimSun"/>
                <w:sz w:val="28"/>
                <w:szCs w:val="28"/>
              </w:rPr>
            </w:pPr>
          </w:p>
        </w:tc>
        <w:tc>
          <w:tcPr>
            <w:tcW w:w="6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认真执行市里制定的各项工作制度，并能根据本部门的特点，制定相关制度。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FangSong_GB2312" w:hAnsi="SimSun"/>
                <w:sz w:val="28"/>
                <w:szCs w:val="28"/>
              </w:rPr>
            </w:pPr>
          </w:p>
        </w:tc>
        <w:tc>
          <w:tcPr>
            <w:tcW w:w="6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在本部门公文制发时注明主动公开、依申请公开或不公开。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FangSong_GB2312" w:hAnsi="SimSun"/>
                <w:sz w:val="28"/>
                <w:szCs w:val="28"/>
              </w:rPr>
            </w:pPr>
          </w:p>
        </w:tc>
        <w:tc>
          <w:tcPr>
            <w:tcW w:w="6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 xml:space="preserve">采取有效措施推进本部门的政务信息公开工作，发现问题能及时进行整改；对下属单位的工作指导和监督有力。 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FangSong_GB2312" w:hAnsi="SimSun"/>
                <w:sz w:val="28"/>
                <w:szCs w:val="28"/>
              </w:rPr>
            </w:pPr>
          </w:p>
        </w:tc>
        <w:tc>
          <w:tcPr>
            <w:tcW w:w="6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按要求及时上报相关材料和统计信息。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信息公开载体建设情况（5分）</w:t>
            </w:r>
          </w:p>
        </w:tc>
        <w:tc>
          <w:tcPr>
            <w:tcW w:w="6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 xml:space="preserve">充分利用政府网站、信息公告栏等方式公开政务信息。 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FangSong_GB2312" w:hAnsi="SimSun"/>
                <w:sz w:val="28"/>
                <w:szCs w:val="28"/>
              </w:rPr>
            </w:pPr>
          </w:p>
        </w:tc>
        <w:tc>
          <w:tcPr>
            <w:tcW w:w="6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在本部门网站首页设置本部门信息公开目录和指南的链接。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主动公开政务信息情况（35分）</w:t>
            </w:r>
          </w:p>
        </w:tc>
        <w:tc>
          <w:tcPr>
            <w:tcW w:w="6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按统一规范编制政府信息公开指南和政府信息公开目录，目录内容涵盖所有属于主动公开范围的政务信息。圆满完成对市政府门户网站内容保障任务。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FangSong_GB2312" w:hAnsi="SimSun"/>
                <w:sz w:val="28"/>
                <w:szCs w:val="28"/>
              </w:rPr>
            </w:pPr>
          </w:p>
        </w:tc>
        <w:tc>
          <w:tcPr>
            <w:tcW w:w="6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自信息形成或变更之日起20个工作日内予以公开；时效性强的信息能及时发布。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FangSong_GB2312" w:hAnsi="SimSun"/>
                <w:sz w:val="28"/>
                <w:szCs w:val="28"/>
              </w:rPr>
            </w:pPr>
          </w:p>
        </w:tc>
        <w:tc>
          <w:tcPr>
            <w:tcW w:w="6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发布的信息内容完整、生成时间准确、分类正确、格式规范，便于公众查询、阅读。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依申请公开政府信息情况（12分）</w:t>
            </w:r>
          </w:p>
        </w:tc>
        <w:tc>
          <w:tcPr>
            <w:tcW w:w="6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确定本部门依申请公开受理机构并公布联系方式。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FangSong_GB2312" w:hAnsi="SimSun"/>
                <w:sz w:val="28"/>
                <w:szCs w:val="28"/>
              </w:rPr>
            </w:pPr>
          </w:p>
        </w:tc>
        <w:tc>
          <w:tcPr>
            <w:tcW w:w="6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及时妥善地处理公众直接向本部门提出的政府信息公开申请，资料完整归档。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保密审查情况（8分）</w:t>
            </w:r>
          </w:p>
        </w:tc>
        <w:tc>
          <w:tcPr>
            <w:tcW w:w="6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严格按照有关保密法律、法规要求，对拟公开的政务信息进行保密审查；在本年度公开工作中发生泄密事件被查实的，本项得0分。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社会评议结果（10分）</w:t>
            </w:r>
          </w:p>
        </w:tc>
        <w:tc>
          <w:tcPr>
            <w:tcW w:w="6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在社会评议活动中，群众对本部门公开工作的满意程度。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加分和扣分（加分后出现超过100分的，按100分处理）</w:t>
            </w:r>
          </w:p>
        </w:tc>
        <w:tc>
          <w:tcPr>
            <w:tcW w:w="7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政府信息公开工作获得市政府表彰的，加5分。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FangSong_GB2312" w:hAnsi="SimSun"/>
                <w:sz w:val="28"/>
                <w:szCs w:val="28"/>
              </w:rPr>
            </w:pPr>
          </w:p>
        </w:tc>
        <w:tc>
          <w:tcPr>
            <w:tcW w:w="7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政府信息公开工作获得省级及以上政府表彰的，加10分。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FangSong_GB2312" w:hAnsi="SimSun"/>
                <w:sz w:val="28"/>
                <w:szCs w:val="28"/>
              </w:rPr>
            </w:pPr>
          </w:p>
        </w:tc>
        <w:tc>
          <w:tcPr>
            <w:tcW w:w="7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在政府信息公开工作中受到举报、投诉经查实的，一次扣5分。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FangSong_GB2312" w:hAnsi="SimSun"/>
                <w:sz w:val="28"/>
                <w:szCs w:val="28"/>
              </w:rPr>
            </w:pPr>
          </w:p>
        </w:tc>
        <w:tc>
          <w:tcPr>
            <w:tcW w:w="7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FangSong_GB2312" w:hAnsi="SimSun"/>
                <w:spacing w:val="-4"/>
                <w:sz w:val="28"/>
                <w:szCs w:val="28"/>
              </w:rPr>
            </w:pPr>
            <w:r>
              <w:rPr>
                <w:rFonts w:hint="eastAsia" w:ascii="FangSong_GB2312" w:hAnsi="SimSun"/>
                <w:spacing w:val="-4"/>
                <w:sz w:val="28"/>
                <w:szCs w:val="28"/>
              </w:rPr>
              <w:t>在政府信息公开工作中发生行政复议、行政诉讼，行政机关败诉的，一次扣10分。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Times New Roman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Microsoft YaHe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文星标宋">
    <w:altName w:val="Microsoft YaHei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55341"/>
    <w:rsid w:val="4D0C19E7"/>
    <w:rsid w:val="690553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FangSong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2019-06-11T07:58:00Z</dcterms:created>
  <dc:creator>江南风</dc:creator>
  <cp:lastModifiedBy>江南风</cp:lastModifiedBy>
  <dcterms:modified xsi:type="dcterms:W3CDTF">2019-06-11T07:58:48Z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