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DB4C">
      <w:pPr>
        <w:spacing w:before="307" w:line="205" w:lineRule="auto"/>
        <w:ind w:left="3491"/>
        <w:outlineLvl w:val="0"/>
        <w:rPr>
          <w:rFonts w:ascii="方正小标宋简体" w:hAnsi="方正小标宋简体" w:eastAsia="方正小标宋简体" w:cs="方正小标宋简体"/>
          <w:sz w:val="41"/>
          <w:szCs w:val="41"/>
        </w:rPr>
      </w:pPr>
      <w:r>
        <w:rPr>
          <w:rFonts w:hint="eastAsia" w:ascii="方正小标宋简体" w:hAnsi="方正小标宋简体" w:eastAsia="方正小标宋简体" w:cs="方正小标宋简体"/>
          <w:spacing w:val="-1"/>
          <w:sz w:val="41"/>
          <w:szCs w:val="41"/>
          <w:lang w:val="en-US" w:eastAsia="zh-CN"/>
        </w:rPr>
        <w:t>宝丰县城市管理局</w:t>
      </w:r>
      <w:r>
        <w:rPr>
          <w:rFonts w:ascii="方正小标宋简体" w:hAnsi="方正小标宋简体" w:eastAsia="方正小标宋简体" w:cs="方正小标宋简体"/>
          <w:spacing w:val="-1"/>
          <w:sz w:val="41"/>
          <w:szCs w:val="41"/>
        </w:rPr>
        <w:t>涉企行政检查事项和依据</w:t>
      </w:r>
    </w:p>
    <w:p w14:paraId="1AD3ECB3">
      <w:pPr>
        <w:spacing w:line="88" w:lineRule="exact"/>
      </w:pPr>
    </w:p>
    <w:tbl>
      <w:tblPr>
        <w:tblStyle w:val="5"/>
        <w:tblW w:w="150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2682"/>
        <w:gridCol w:w="2386"/>
        <w:gridCol w:w="8328"/>
        <w:gridCol w:w="915"/>
      </w:tblGrid>
      <w:tr w14:paraId="67549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00" w:type="dxa"/>
            <w:vAlign w:val="top"/>
          </w:tcPr>
          <w:p w14:paraId="540F22FF">
            <w:pPr>
              <w:spacing w:before="192" w:line="208" w:lineRule="auto"/>
              <w:ind w:left="122"/>
              <w:rPr>
                <w:rFonts w:ascii="微软雅黑" w:hAnsi="微软雅黑" w:eastAsia="微软雅黑" w:cs="微软雅黑"/>
                <w:sz w:val="22"/>
                <w:szCs w:val="22"/>
              </w:rPr>
            </w:pPr>
            <w:r>
              <w:rPr>
                <w:rFonts w:ascii="微软雅黑" w:hAnsi="微软雅黑" w:eastAsia="微软雅黑" w:cs="微软雅黑"/>
                <w:b/>
                <w:bCs/>
                <w:spacing w:val="4"/>
                <w:sz w:val="22"/>
                <w:szCs w:val="22"/>
              </w:rPr>
              <w:t>序号</w:t>
            </w:r>
          </w:p>
        </w:tc>
        <w:tc>
          <w:tcPr>
            <w:tcW w:w="2682" w:type="dxa"/>
            <w:vAlign w:val="top"/>
          </w:tcPr>
          <w:p w14:paraId="5EA1D154">
            <w:pPr>
              <w:spacing w:before="192" w:line="208" w:lineRule="auto"/>
              <w:ind w:left="882"/>
              <w:rPr>
                <w:rFonts w:ascii="微软雅黑" w:hAnsi="微软雅黑" w:eastAsia="微软雅黑" w:cs="微软雅黑"/>
                <w:sz w:val="22"/>
                <w:szCs w:val="22"/>
              </w:rPr>
            </w:pPr>
            <w:r>
              <w:rPr>
                <w:rFonts w:ascii="微软雅黑" w:hAnsi="微软雅黑" w:eastAsia="微软雅黑" w:cs="微软雅黑"/>
                <w:b/>
                <w:bCs/>
                <w:spacing w:val="7"/>
                <w:sz w:val="22"/>
                <w:szCs w:val="22"/>
              </w:rPr>
              <w:t>检查主体</w:t>
            </w:r>
          </w:p>
        </w:tc>
        <w:tc>
          <w:tcPr>
            <w:tcW w:w="2386" w:type="dxa"/>
            <w:vAlign w:val="top"/>
          </w:tcPr>
          <w:p w14:paraId="6BD3B1D1">
            <w:pPr>
              <w:spacing w:before="192" w:line="207" w:lineRule="auto"/>
              <w:ind w:left="274"/>
              <w:rPr>
                <w:rFonts w:ascii="微软雅黑" w:hAnsi="微软雅黑" w:eastAsia="微软雅黑" w:cs="微软雅黑"/>
                <w:sz w:val="22"/>
                <w:szCs w:val="22"/>
              </w:rPr>
            </w:pPr>
            <w:r>
              <w:rPr>
                <w:rFonts w:ascii="微软雅黑" w:hAnsi="微软雅黑" w:eastAsia="微软雅黑" w:cs="微软雅黑"/>
                <w:b/>
                <w:bCs/>
                <w:spacing w:val="8"/>
                <w:sz w:val="22"/>
                <w:szCs w:val="22"/>
              </w:rPr>
              <w:t>行政检查事项名称</w:t>
            </w:r>
          </w:p>
        </w:tc>
        <w:tc>
          <w:tcPr>
            <w:tcW w:w="8328" w:type="dxa"/>
            <w:vAlign w:val="top"/>
          </w:tcPr>
          <w:p w14:paraId="542B51BE">
            <w:pPr>
              <w:spacing w:before="192" w:line="208" w:lineRule="auto"/>
              <w:ind w:left="3950"/>
              <w:rPr>
                <w:rFonts w:ascii="微软雅黑" w:hAnsi="微软雅黑" w:eastAsia="微软雅黑" w:cs="微软雅黑"/>
                <w:sz w:val="22"/>
                <w:szCs w:val="22"/>
              </w:rPr>
            </w:pPr>
            <w:r>
              <w:rPr>
                <w:rFonts w:ascii="微软雅黑" w:hAnsi="微软雅黑" w:eastAsia="微软雅黑" w:cs="微软雅黑"/>
                <w:b/>
                <w:bCs/>
                <w:spacing w:val="4"/>
                <w:sz w:val="22"/>
                <w:szCs w:val="22"/>
              </w:rPr>
              <w:t>依据</w:t>
            </w:r>
          </w:p>
        </w:tc>
        <w:tc>
          <w:tcPr>
            <w:tcW w:w="915" w:type="dxa"/>
            <w:vAlign w:val="top"/>
          </w:tcPr>
          <w:p w14:paraId="193D2ADC">
            <w:pPr>
              <w:spacing w:before="191" w:line="209" w:lineRule="auto"/>
              <w:ind w:left="242"/>
              <w:rPr>
                <w:rFonts w:ascii="微软雅黑" w:hAnsi="微软雅黑" w:eastAsia="微软雅黑" w:cs="微软雅黑"/>
                <w:sz w:val="22"/>
                <w:szCs w:val="22"/>
              </w:rPr>
            </w:pPr>
            <w:r>
              <w:rPr>
                <w:rFonts w:ascii="微软雅黑" w:hAnsi="微软雅黑" w:eastAsia="微软雅黑" w:cs="微软雅黑"/>
                <w:b/>
                <w:bCs/>
                <w:spacing w:val="2"/>
                <w:sz w:val="22"/>
                <w:szCs w:val="22"/>
              </w:rPr>
              <w:t>备注</w:t>
            </w:r>
          </w:p>
        </w:tc>
      </w:tr>
      <w:tr w14:paraId="0D5D1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700" w:type="dxa"/>
            <w:vAlign w:val="center"/>
          </w:tcPr>
          <w:p w14:paraId="676CED80">
            <w:pPr>
              <w:spacing w:before="63" w:line="296" w:lineRule="exact"/>
              <w:jc w:val="center"/>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2682" w:type="dxa"/>
            <w:vAlign w:val="center"/>
          </w:tcPr>
          <w:p w14:paraId="7023ABAD">
            <w:pPr>
              <w:pStyle w:val="6"/>
              <w:spacing w:before="82" w:line="239" w:lineRule="auto"/>
              <w:jc w:val="both"/>
              <w:rPr>
                <w:rFonts w:hint="default" w:eastAsia="方正书宋_GBK"/>
                <w:lang w:val="en-US" w:eastAsia="zh-CN"/>
              </w:rPr>
            </w:pPr>
            <w:r>
              <w:rPr>
                <w:rFonts w:hint="eastAsia"/>
                <w:spacing w:val="4"/>
                <w:lang w:val="en-US" w:eastAsia="zh-CN"/>
              </w:rPr>
              <w:t>宝丰县城市管理局</w:t>
            </w:r>
          </w:p>
        </w:tc>
        <w:tc>
          <w:tcPr>
            <w:tcW w:w="2386" w:type="dxa"/>
            <w:vAlign w:val="center"/>
          </w:tcPr>
          <w:p w14:paraId="5465279E">
            <w:pPr>
              <w:pStyle w:val="6"/>
              <w:spacing w:before="82" w:line="235" w:lineRule="auto"/>
              <w:ind w:right="66"/>
              <w:jc w:val="both"/>
            </w:pPr>
            <w:r>
              <w:rPr>
                <w:rFonts w:hint="eastAsia"/>
                <w:spacing w:val="8"/>
                <w:lang w:val="en-US" w:eastAsia="zh-CN"/>
              </w:rPr>
              <w:t>燃气企业</w:t>
            </w:r>
            <w:r>
              <w:rPr>
                <w:rFonts w:hint="eastAsia"/>
                <w:spacing w:val="3"/>
                <w:lang w:val="en-US" w:eastAsia="zh-CN"/>
              </w:rPr>
              <w:t>监督</w:t>
            </w:r>
            <w:r>
              <w:rPr>
                <w:spacing w:val="3"/>
              </w:rPr>
              <w:t>检查</w:t>
            </w:r>
          </w:p>
        </w:tc>
        <w:tc>
          <w:tcPr>
            <w:tcW w:w="8328" w:type="dxa"/>
            <w:vAlign w:val="top"/>
          </w:tcPr>
          <w:p w14:paraId="0FCC5F67">
            <w:pPr>
              <w:spacing w:line="255" w:lineRule="auto"/>
              <w:rPr>
                <w:rFonts w:ascii="Arial"/>
                <w:sz w:val="21"/>
              </w:rPr>
            </w:pPr>
          </w:p>
          <w:p w14:paraId="48B1DE61">
            <w:pPr>
              <w:pStyle w:val="6"/>
              <w:spacing w:before="3" w:line="228" w:lineRule="auto"/>
              <w:ind w:left="35" w:right="37" w:firstLine="4"/>
              <w:rPr>
                <w:rFonts w:hint="default"/>
                <w:lang w:val="en-US" w:eastAsia="zh-CN"/>
              </w:rPr>
            </w:pPr>
            <w:r>
              <w:rPr>
                <w:rFonts w:hint="eastAsia"/>
                <w:lang w:val="en-US" w:eastAsia="zh-CN"/>
              </w:rPr>
              <w:t>《城镇燃气管理条例》（国务院令第583号）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1185EB04">
            <w:pPr>
              <w:pStyle w:val="6"/>
              <w:spacing w:before="3" w:line="228" w:lineRule="auto"/>
              <w:ind w:left="35" w:right="37" w:firstLine="4"/>
              <w:rPr>
                <w:rFonts w:hint="default"/>
                <w:lang w:val="en-US" w:eastAsia="zh-CN"/>
              </w:rPr>
            </w:pPr>
            <w:r>
              <w:rPr>
                <w:rFonts w:hint="eastAsia"/>
                <w:lang w:val="en-US" w:eastAsia="zh-CN"/>
              </w:rPr>
              <w:t>《河南省城镇燃气管理办法》（省政府令第158号）第三十一条： 燃气主管部门、应急管理部门、市场监督管理部门、消防救援机构等部门和单位应当根据各自职责,对燃气经营活动进行安全监督检查,发现燃气安全事故隐患的,应当立即组织人员查明情况,及时通知有关单位和个人排除燃气安全事故隐患。有关单位和个人应当予以配合。</w:t>
            </w:r>
          </w:p>
        </w:tc>
        <w:tc>
          <w:tcPr>
            <w:tcW w:w="915" w:type="dxa"/>
            <w:vAlign w:val="top"/>
          </w:tcPr>
          <w:p w14:paraId="5329E331">
            <w:pPr>
              <w:rPr>
                <w:rFonts w:ascii="Arial"/>
                <w:sz w:val="21"/>
              </w:rPr>
            </w:pPr>
          </w:p>
        </w:tc>
      </w:tr>
      <w:tr w14:paraId="36D3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4" w:hRule="atLeast"/>
        </w:trPr>
        <w:tc>
          <w:tcPr>
            <w:tcW w:w="700" w:type="dxa"/>
            <w:vAlign w:val="center"/>
          </w:tcPr>
          <w:p w14:paraId="52C887B6">
            <w:pPr>
              <w:spacing w:before="63" w:line="296" w:lineRule="exact"/>
              <w:jc w:val="center"/>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2682" w:type="dxa"/>
            <w:vAlign w:val="center"/>
          </w:tcPr>
          <w:p w14:paraId="5EA3AFBA">
            <w:pPr>
              <w:pStyle w:val="6"/>
              <w:spacing w:before="82" w:line="235" w:lineRule="auto"/>
              <w:ind w:right="66"/>
              <w:jc w:val="both"/>
              <w:rPr>
                <w:rFonts w:hint="eastAsia"/>
                <w:spacing w:val="8"/>
                <w:lang w:val="en-US" w:eastAsia="zh-CN"/>
              </w:rPr>
            </w:pPr>
            <w:r>
              <w:rPr>
                <w:rFonts w:hint="eastAsia"/>
                <w:spacing w:val="8"/>
                <w:lang w:val="en-US" w:eastAsia="zh-CN"/>
              </w:rPr>
              <w:t>宝丰县城市管理局</w:t>
            </w:r>
          </w:p>
        </w:tc>
        <w:tc>
          <w:tcPr>
            <w:tcW w:w="2386" w:type="dxa"/>
            <w:vAlign w:val="center"/>
          </w:tcPr>
          <w:p w14:paraId="49430CED">
            <w:pPr>
              <w:pStyle w:val="6"/>
              <w:spacing w:before="82" w:line="235" w:lineRule="auto"/>
              <w:ind w:right="66"/>
              <w:jc w:val="both"/>
              <w:rPr>
                <w:rFonts w:hint="default"/>
                <w:spacing w:val="8"/>
                <w:lang w:val="en-US" w:eastAsia="zh-CN"/>
              </w:rPr>
            </w:pPr>
            <w:r>
              <w:rPr>
                <w:rFonts w:hint="eastAsia"/>
                <w:spacing w:val="8"/>
                <w:lang w:val="en-US" w:eastAsia="zh-CN"/>
              </w:rPr>
              <w:t>城市供水监督检查</w:t>
            </w:r>
          </w:p>
        </w:tc>
        <w:tc>
          <w:tcPr>
            <w:tcW w:w="8328" w:type="dxa"/>
            <w:vAlign w:val="top"/>
          </w:tcPr>
          <w:p w14:paraId="25664EA2">
            <w:pPr>
              <w:pStyle w:val="6"/>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both"/>
              <w:textAlignment w:val="baseline"/>
              <w:rPr>
                <w:rFonts w:hint="eastAsia"/>
                <w:lang w:val="en-US" w:eastAsia="zh-CN"/>
              </w:rPr>
            </w:pPr>
            <w:r>
              <w:rPr>
                <w:rFonts w:hint="eastAsia"/>
                <w:lang w:eastAsia="zh-CN"/>
              </w:rPr>
              <w:t>《</w:t>
            </w:r>
            <w:r>
              <w:rPr>
                <w:rFonts w:hint="eastAsia"/>
                <w:lang w:val="en-US" w:eastAsia="zh-CN"/>
              </w:rPr>
              <w:t>城市供水水质管理规定》（建设部令第156号）第十五条：国务院建设主管部门，省、自治区建设主管部门以及直辖市、市、县人民政府城市供水主管部门 [以下简称建设（城市供水）主管部门]应当建立健全城市供水水质检查和督察制度，对本规定的执行情况进行监督检查。第十六条：建设（城市供水）主管部门实施监督检查时，可以采取以下措施：（一）进入现场实施检查；（二）对供水水质进行抽样检测；（三）查阅、复制相关报表、数据、原始记录等文件和资料；（四）要求被检查的单位就有关问题做出说明；（五）纠正违反有关法律、法规和本办法规定的行为。</w:t>
            </w:r>
          </w:p>
          <w:p w14:paraId="20497AC3">
            <w:pPr>
              <w:pStyle w:val="6"/>
              <w:keepNext w:val="0"/>
              <w:keepLines w:val="0"/>
              <w:pageBreakBefore w:val="0"/>
              <w:widowControl/>
              <w:kinsoku w:val="0"/>
              <w:wordWrap/>
              <w:overflowPunct/>
              <w:topLinePunct w:val="0"/>
              <w:autoSpaceDE w:val="0"/>
              <w:autoSpaceDN w:val="0"/>
              <w:bidi w:val="0"/>
              <w:adjustRightInd w:val="0"/>
              <w:snapToGrid w:val="0"/>
              <w:spacing w:line="221" w:lineRule="auto"/>
              <w:ind w:left="0" w:right="0" w:hanging="20"/>
              <w:jc w:val="both"/>
              <w:textAlignment w:val="baseline"/>
              <w:rPr>
                <w:rFonts w:hint="default"/>
                <w:lang w:val="en-US" w:eastAsia="zh-CN"/>
              </w:rPr>
            </w:pPr>
            <w:r>
              <w:rPr>
                <w:rFonts w:hint="eastAsia"/>
                <w:lang w:val="en-US" w:eastAsia="zh-CN"/>
              </w:rPr>
              <w:t>《河南省城市供水管理办法》（省政府令第194号）第三十二条：城市供水行政主管部门应当对供水企业服务质量、安全运营情况进行监督检查，受理用户对城市供水服务的投诉，监督供水企业提高服务质量。</w:t>
            </w:r>
          </w:p>
        </w:tc>
        <w:tc>
          <w:tcPr>
            <w:tcW w:w="915" w:type="dxa"/>
            <w:vAlign w:val="top"/>
          </w:tcPr>
          <w:p w14:paraId="2C0346EF">
            <w:pPr>
              <w:rPr>
                <w:rFonts w:ascii="Arial"/>
                <w:sz w:val="21"/>
              </w:rPr>
            </w:pPr>
          </w:p>
        </w:tc>
      </w:tr>
      <w:tr w14:paraId="3D143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700" w:type="dxa"/>
            <w:vAlign w:val="center"/>
          </w:tcPr>
          <w:p w14:paraId="76CE67EF">
            <w:pPr>
              <w:spacing w:before="63" w:line="296" w:lineRule="exact"/>
              <w:ind w:left="292"/>
              <w:jc w:val="both"/>
              <w:rPr>
                <w:rFonts w:hint="eastAsia" w:ascii="Times New Roman" w:hAnsi="Times New Roman" w:eastAsia="宋体" w:cs="Times New Roman"/>
                <w:position w:val="1"/>
                <w:sz w:val="22"/>
                <w:szCs w:val="22"/>
                <w:lang w:val="en-US" w:eastAsia="zh-CN"/>
              </w:rPr>
            </w:pPr>
            <w:r>
              <w:rPr>
                <w:rFonts w:hint="eastAsia" w:ascii="Times New Roman" w:hAnsi="Times New Roman" w:eastAsia="宋体" w:cs="Times New Roman"/>
                <w:position w:val="1"/>
                <w:sz w:val="22"/>
                <w:szCs w:val="22"/>
                <w:lang w:val="en-US" w:eastAsia="zh-CN"/>
              </w:rPr>
              <w:t>3</w:t>
            </w:r>
          </w:p>
        </w:tc>
        <w:tc>
          <w:tcPr>
            <w:tcW w:w="2682" w:type="dxa"/>
            <w:vAlign w:val="center"/>
          </w:tcPr>
          <w:p w14:paraId="6E6909C2">
            <w:pPr>
              <w:pStyle w:val="6"/>
              <w:spacing w:before="82" w:line="235" w:lineRule="auto"/>
              <w:ind w:right="66"/>
              <w:jc w:val="both"/>
              <w:rPr>
                <w:rFonts w:hint="eastAsia"/>
                <w:spacing w:val="8"/>
                <w:lang w:val="en-US" w:eastAsia="zh-CN"/>
              </w:rPr>
            </w:pPr>
            <w:r>
              <w:rPr>
                <w:rFonts w:hint="eastAsia"/>
                <w:spacing w:val="8"/>
                <w:lang w:val="en-US" w:eastAsia="zh-CN"/>
              </w:rPr>
              <w:t>宝丰县城市管理局</w:t>
            </w:r>
          </w:p>
        </w:tc>
        <w:tc>
          <w:tcPr>
            <w:tcW w:w="2386" w:type="dxa"/>
            <w:vAlign w:val="center"/>
          </w:tcPr>
          <w:p w14:paraId="0FCC7131">
            <w:pPr>
              <w:pStyle w:val="6"/>
              <w:spacing w:before="82" w:line="235" w:lineRule="auto"/>
              <w:ind w:right="66"/>
              <w:jc w:val="both"/>
              <w:rPr>
                <w:rFonts w:hint="default"/>
                <w:spacing w:val="8"/>
                <w:lang w:val="en-US" w:eastAsia="zh-CN"/>
              </w:rPr>
            </w:pPr>
            <w:r>
              <w:rPr>
                <w:rFonts w:hint="eastAsia"/>
                <w:spacing w:val="8"/>
                <w:lang w:val="en-US" w:eastAsia="zh-CN"/>
              </w:rPr>
              <w:t>城镇排水和污水处理设施监督检查</w:t>
            </w:r>
          </w:p>
        </w:tc>
        <w:tc>
          <w:tcPr>
            <w:tcW w:w="8328" w:type="dxa"/>
            <w:vAlign w:val="top"/>
          </w:tcPr>
          <w:p w14:paraId="7900E713">
            <w:pPr>
              <w:pStyle w:val="6"/>
              <w:keepNext w:val="0"/>
              <w:keepLines w:val="0"/>
              <w:pageBreakBefore w:val="0"/>
              <w:widowControl/>
              <w:kinsoku w:val="0"/>
              <w:wordWrap/>
              <w:overflowPunct/>
              <w:topLinePunct w:val="0"/>
              <w:autoSpaceDE w:val="0"/>
              <w:autoSpaceDN w:val="0"/>
              <w:bidi w:val="0"/>
              <w:adjustRightInd w:val="0"/>
              <w:snapToGrid w:val="0"/>
              <w:spacing w:line="221" w:lineRule="auto"/>
              <w:ind w:left="23" w:right="0" w:hanging="23"/>
              <w:jc w:val="both"/>
              <w:textAlignment w:val="baseline"/>
              <w:rPr>
                <w:rFonts w:hint="eastAsia"/>
                <w:lang w:val="en-US" w:eastAsia="zh-CN"/>
              </w:rPr>
            </w:pPr>
            <w:r>
              <w:rPr>
                <w:rFonts w:hint="eastAsia"/>
                <w:lang w:val="en-US" w:eastAsia="zh-CN"/>
              </w:rPr>
              <w:t>《中华人民共和国水污染防治法》第三十条：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14:paraId="75FBAEAB">
            <w:pPr>
              <w:pStyle w:val="6"/>
              <w:keepNext w:val="0"/>
              <w:keepLines w:val="0"/>
              <w:pageBreakBefore w:val="0"/>
              <w:widowControl/>
              <w:kinsoku w:val="0"/>
              <w:wordWrap/>
              <w:overflowPunct/>
              <w:topLinePunct w:val="0"/>
              <w:autoSpaceDE w:val="0"/>
              <w:autoSpaceDN w:val="0"/>
              <w:bidi w:val="0"/>
              <w:adjustRightInd w:val="0"/>
              <w:snapToGrid w:val="0"/>
              <w:spacing w:line="221" w:lineRule="auto"/>
              <w:ind w:left="23" w:right="0" w:hanging="23"/>
              <w:jc w:val="both"/>
              <w:textAlignment w:val="baseline"/>
              <w:rPr>
                <w:rFonts w:hint="default"/>
                <w:lang w:val="en-US" w:eastAsia="zh-CN"/>
              </w:rPr>
            </w:pPr>
            <w:r>
              <w:rPr>
                <w:rFonts w:hint="eastAsia"/>
                <w:lang w:val="en-US" w:eastAsia="zh-CN"/>
              </w:rPr>
              <w:t>《城镇排水与污水处理条例》（</w:t>
            </w:r>
            <w:bookmarkStart w:id="0" w:name="_GoBack"/>
            <w:bookmarkEnd w:id="0"/>
            <w:r>
              <w:rPr>
                <w:rFonts w:hint="eastAsia"/>
                <w:lang w:val="en-US" w:eastAsia="zh-CN"/>
              </w:rPr>
              <w:t>国务院令第641号）《城镇排水与污水处理条例》第三十四条：城镇排水主管部门应当对城镇污水处理设施运营情况进行监督和考核，并将监督考核情况向社会公布。有关单位和个人应当予以配合。第四十四条：县级以上人民政府城镇排水主管部门应当会同有关部门，加强对城镇排水与污水处理设施运行维护和保护情况的监督检查，并将检查情况及结果向社会公开。</w:t>
            </w:r>
          </w:p>
        </w:tc>
        <w:tc>
          <w:tcPr>
            <w:tcW w:w="915" w:type="dxa"/>
            <w:vAlign w:val="top"/>
          </w:tcPr>
          <w:p w14:paraId="55E0396B">
            <w:pPr>
              <w:rPr>
                <w:rFonts w:ascii="Arial"/>
                <w:sz w:val="21"/>
              </w:rPr>
            </w:pPr>
          </w:p>
        </w:tc>
      </w:tr>
    </w:tbl>
    <w:p w14:paraId="6EB381A9"/>
    <w:sectPr>
      <w:pgSz w:w="16838" w:h="11906" w:orient="landscape"/>
      <w:pgMar w:top="567" w:right="873" w:bottom="567" w:left="87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20604"/>
    <w:rsid w:val="27636CAC"/>
    <w:rsid w:val="4A190B67"/>
    <w:rsid w:val="51D35A9F"/>
    <w:rsid w:val="73B2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书宋_GBK" w:hAnsi="方正书宋_GBK" w:eastAsia="方正书宋_GBK" w:cs="方正书宋_GBK"/>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2025-07-14T01:31:00Z</dcterms:created>
  <dc:creator>我是李选正</dc:creator>
  <cp:lastModifiedBy>我是李选正</cp:lastModifiedBy>
  <dcterms:modified xsi:type="dcterms:W3CDTF">2025-07-14T04:17:05Z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AB30087ADC5C452CBDE34E978EF25530_11</vt:lpwstr>
  </property>
  <property fmtid="{D5CDD505-2E9C-101B-9397-08002B2CF9AE}" pid="4" name="KSOTemplateDocerSaveRecord">
    <vt:lpwstr>eyJoZGlkIjoiMzEzMmNjMzE2MzhiYzc3ZWZmZmUzZjBlMzAwYjM5NGYiLCJ1c2VySWQiOiIyNDE3Mjk1MDIifQ==</vt:lpwstr>
  </property>
</Properties>
</file>