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3D3AC">
      <w:pPr>
        <w:rPr>
          <w:rFonts w:eastAsia="仿宋_GB2312"/>
          <w:color w:val="EE0000"/>
          <w:sz w:val="36"/>
          <w:szCs w:val="36"/>
        </w:rPr>
      </w:pPr>
    </w:p>
    <w:p w14:paraId="3FAC418E">
      <w:pPr>
        <w:rPr>
          <w:rFonts w:eastAsia="仿宋_GB2312"/>
          <w:color w:val="EE0000"/>
          <w:sz w:val="36"/>
          <w:szCs w:val="36"/>
        </w:rPr>
      </w:pPr>
    </w:p>
    <w:p w14:paraId="4E5BB6C8">
      <w:pPr>
        <w:rPr>
          <w:rFonts w:eastAsia="仿宋_GB2312"/>
          <w:color w:val="EE0000"/>
          <w:sz w:val="36"/>
          <w:szCs w:val="36"/>
        </w:rPr>
      </w:pPr>
    </w:p>
    <w:p w14:paraId="2F7FFA76">
      <w:pPr>
        <w:rPr>
          <w:rFonts w:eastAsia="仿宋_GB2312"/>
          <w:color w:val="EE0000"/>
          <w:sz w:val="36"/>
          <w:szCs w:val="36"/>
        </w:rPr>
      </w:pPr>
    </w:p>
    <w:p w14:paraId="5BB8589B">
      <w:pPr>
        <w:adjustRightInd w:val="0"/>
        <w:snapToGrid w:val="0"/>
        <w:jc w:val="center"/>
        <w:outlineLvl w:val="0"/>
        <w:rPr>
          <w:rFonts w:eastAsia="方正小标宋_GBK"/>
          <w:bCs/>
          <w:sz w:val="72"/>
          <w:szCs w:val="72"/>
        </w:rPr>
      </w:pPr>
      <w:bookmarkStart w:id="0" w:name="_Toc217711378"/>
      <w:r>
        <w:rPr>
          <w:rFonts w:eastAsia="方正小标宋_GBK"/>
          <w:bCs/>
          <w:sz w:val="72"/>
          <w:szCs w:val="72"/>
        </w:rPr>
        <w:t>建设项目环境影响报告表</w:t>
      </w:r>
      <w:bookmarkEnd w:id="0"/>
    </w:p>
    <w:p w14:paraId="4A2C270C">
      <w:pPr>
        <w:adjustRightInd w:val="0"/>
        <w:snapToGrid w:val="0"/>
        <w:spacing w:before="192" w:beforeLines="80"/>
        <w:jc w:val="center"/>
        <w:rPr>
          <w:rFonts w:eastAsia="楷体_GB2312"/>
          <w:bCs/>
          <w:sz w:val="48"/>
          <w:szCs w:val="48"/>
        </w:rPr>
      </w:pPr>
      <w:r>
        <w:rPr>
          <w:rFonts w:eastAsia="楷体_GB2312"/>
          <w:bCs/>
          <w:sz w:val="48"/>
          <w:szCs w:val="48"/>
        </w:rPr>
        <w:t>（污染影响类）</w:t>
      </w:r>
    </w:p>
    <w:p w14:paraId="1AE2D10D">
      <w:pPr>
        <w:adjustRightInd w:val="0"/>
        <w:snapToGrid w:val="0"/>
        <w:spacing w:line="288" w:lineRule="auto"/>
        <w:jc w:val="center"/>
        <w:outlineLvl w:val="0"/>
        <w:rPr>
          <w:rFonts w:eastAsia="华文仿宋"/>
          <w:kern w:val="44"/>
          <w:sz w:val="44"/>
          <w:szCs w:val="44"/>
        </w:rPr>
      </w:pPr>
    </w:p>
    <w:p w14:paraId="0A7AA376">
      <w:pPr>
        <w:jc w:val="center"/>
        <w:rPr>
          <w:rFonts w:eastAsia="仿宋"/>
          <w:sz w:val="52"/>
          <w:szCs w:val="52"/>
        </w:rPr>
      </w:pPr>
    </w:p>
    <w:p w14:paraId="1DDDA123">
      <w:pPr>
        <w:ind w:firstLine="1040"/>
        <w:rPr>
          <w:rFonts w:eastAsia="仿宋"/>
          <w:sz w:val="44"/>
          <w:szCs w:val="44"/>
        </w:rPr>
      </w:pPr>
    </w:p>
    <w:p w14:paraId="5A7B8930">
      <w:pPr>
        <w:ind w:firstLine="1040"/>
        <w:rPr>
          <w:rFonts w:eastAsia="仿宋"/>
          <w:sz w:val="44"/>
          <w:szCs w:val="44"/>
        </w:rPr>
      </w:pPr>
    </w:p>
    <w:p w14:paraId="504AEF99">
      <w:pPr>
        <w:ind w:firstLine="1040"/>
        <w:rPr>
          <w:rFonts w:eastAsia="仿宋"/>
          <w:sz w:val="44"/>
          <w:szCs w:val="44"/>
        </w:rPr>
      </w:pPr>
    </w:p>
    <w:p w14:paraId="65D68F68">
      <w:pPr>
        <w:ind w:firstLine="1040"/>
        <w:rPr>
          <w:rFonts w:eastAsia="仿宋"/>
          <w:sz w:val="44"/>
          <w:szCs w:val="44"/>
        </w:rPr>
      </w:pPr>
    </w:p>
    <w:p w14:paraId="7BEC6E4C">
      <w:pPr>
        <w:ind w:firstLine="1040"/>
        <w:rPr>
          <w:rFonts w:eastAsia="仿宋"/>
          <w:sz w:val="44"/>
          <w:szCs w:val="44"/>
        </w:rPr>
      </w:pPr>
    </w:p>
    <w:p w14:paraId="734865EA">
      <w:pPr>
        <w:adjustRightInd w:val="0"/>
        <w:snapToGrid w:val="0"/>
        <w:spacing w:line="288" w:lineRule="auto"/>
        <w:ind w:left="2398" w:leftChars="304" w:right="-315" w:rightChars="-150" w:hanging="1760" w:hangingChars="550"/>
        <w:rPr>
          <w:rFonts w:eastAsia="仿宋_GB2312"/>
          <w:sz w:val="32"/>
          <w:szCs w:val="36"/>
          <w:u w:val="single"/>
        </w:rPr>
      </w:pPr>
      <w:r>
        <w:rPr>
          <w:rFonts w:eastAsia="仿宋_GB2312"/>
          <w:sz w:val="32"/>
          <w:szCs w:val="36"/>
        </w:rPr>
        <w:t>项目名称：</w:t>
      </w:r>
      <w:r>
        <w:rPr>
          <w:rFonts w:eastAsia="仿宋_GB2312"/>
          <w:sz w:val="32"/>
          <w:szCs w:val="36"/>
          <w:u w:val="single"/>
        </w:rPr>
        <w:t>宝丰三兴新型建材有限公司整合升级技改项目</w:t>
      </w:r>
    </w:p>
    <w:p w14:paraId="3B7AB9BE">
      <w:pPr>
        <w:adjustRightInd w:val="0"/>
        <w:snapToGrid w:val="0"/>
        <w:spacing w:line="288" w:lineRule="auto"/>
        <w:ind w:firstLine="640" w:firstLineChars="200"/>
        <w:rPr>
          <w:rFonts w:eastAsia="仿宋_GB2312"/>
          <w:sz w:val="32"/>
          <w:szCs w:val="36"/>
          <w:u w:val="single"/>
        </w:rPr>
      </w:pPr>
      <w:r>
        <w:rPr>
          <w:rFonts w:eastAsia="仿宋_GB2312"/>
          <w:sz w:val="32"/>
          <w:szCs w:val="36"/>
        </w:rPr>
        <w:t>建设单位（盖章）：</w:t>
      </w:r>
      <w:r>
        <w:rPr>
          <w:rFonts w:eastAsia="仿宋_GB2312"/>
          <w:sz w:val="32"/>
          <w:szCs w:val="36"/>
          <w:u w:val="single"/>
        </w:rPr>
        <w:t>宝丰三兴新型建材有限公司</w:t>
      </w:r>
    </w:p>
    <w:p w14:paraId="6E34920D">
      <w:pPr>
        <w:adjustRightInd w:val="0"/>
        <w:snapToGrid w:val="0"/>
        <w:spacing w:line="288" w:lineRule="auto"/>
        <w:ind w:firstLine="640" w:firstLineChars="200"/>
        <w:rPr>
          <w:rFonts w:eastAsia="仿宋_GB2312"/>
          <w:sz w:val="36"/>
          <w:szCs w:val="36"/>
          <w:u w:val="single"/>
        </w:rPr>
      </w:pPr>
      <w:r>
        <w:rPr>
          <w:rFonts w:eastAsia="仿宋_GB2312"/>
          <w:sz w:val="32"/>
          <w:szCs w:val="36"/>
        </w:rPr>
        <w:t>编制日期：</w:t>
      </w:r>
      <w:r>
        <w:rPr>
          <w:rFonts w:eastAsia="仿宋_GB2312"/>
          <w:sz w:val="32"/>
          <w:szCs w:val="36"/>
          <w:u w:val="single"/>
        </w:rPr>
        <w:t>2026年1月</w:t>
      </w:r>
    </w:p>
    <w:p w14:paraId="71D3E95E">
      <w:pPr>
        <w:adjustRightInd w:val="0"/>
        <w:snapToGrid w:val="0"/>
        <w:spacing w:line="288" w:lineRule="auto"/>
        <w:ind w:firstLine="1040"/>
        <w:rPr>
          <w:rFonts w:eastAsia="仿宋_GB2312"/>
          <w:sz w:val="36"/>
          <w:szCs w:val="36"/>
          <w:u w:val="single"/>
        </w:rPr>
      </w:pPr>
      <w:bookmarkStart w:id="1" w:name="_Hlk57884087"/>
    </w:p>
    <w:p w14:paraId="69ACA3AC">
      <w:pPr>
        <w:adjustRightInd w:val="0"/>
        <w:snapToGrid w:val="0"/>
        <w:spacing w:line="288" w:lineRule="auto"/>
        <w:ind w:firstLine="1040"/>
        <w:rPr>
          <w:rFonts w:eastAsia="仿宋_GB2312"/>
          <w:sz w:val="36"/>
          <w:szCs w:val="36"/>
        </w:rPr>
      </w:pPr>
    </w:p>
    <w:p w14:paraId="1F0FE650">
      <w:pPr>
        <w:adjustRightInd w:val="0"/>
        <w:snapToGrid w:val="0"/>
        <w:spacing w:line="288" w:lineRule="auto"/>
        <w:ind w:firstLine="1040"/>
        <w:rPr>
          <w:rFonts w:eastAsia="仿宋_GB2312"/>
          <w:sz w:val="36"/>
          <w:szCs w:val="36"/>
        </w:rPr>
      </w:pPr>
    </w:p>
    <w:p w14:paraId="400342F6">
      <w:pPr>
        <w:adjustRightInd w:val="0"/>
        <w:snapToGrid w:val="0"/>
        <w:spacing w:line="288" w:lineRule="auto"/>
        <w:ind w:firstLine="1040"/>
        <w:rPr>
          <w:rFonts w:eastAsia="仿宋_GB2312"/>
          <w:sz w:val="36"/>
          <w:szCs w:val="36"/>
        </w:rPr>
      </w:pPr>
    </w:p>
    <w:bookmarkEnd w:id="1"/>
    <w:p w14:paraId="582C9E2C">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14:paraId="42BCF0C6">
      <w:pPr>
        <w:adjustRightInd w:val="0"/>
        <w:snapToGrid w:val="0"/>
        <w:spacing w:line="288" w:lineRule="auto"/>
        <w:ind w:firstLine="1040"/>
        <w:rPr>
          <w:rFonts w:eastAsia="仿宋_GB2312"/>
          <w:sz w:val="36"/>
          <w:szCs w:val="36"/>
        </w:rPr>
      </w:pPr>
    </w:p>
    <w:p w14:paraId="656DC042">
      <w:pPr>
        <w:adjustRightInd w:val="0"/>
        <w:snapToGrid w:val="0"/>
        <w:spacing w:line="288" w:lineRule="auto"/>
        <w:ind w:firstLine="1040"/>
        <w:rPr>
          <w:rFonts w:eastAsia="仿宋_GB2312"/>
          <w:color w:val="EE0000"/>
          <w:sz w:val="36"/>
          <w:szCs w:val="36"/>
        </w:rPr>
      </w:pPr>
    </w:p>
    <w:p w14:paraId="63802DF1">
      <w:pPr>
        <w:adjustRightInd w:val="0"/>
        <w:snapToGrid w:val="0"/>
        <w:spacing w:line="288" w:lineRule="auto"/>
        <w:ind w:firstLine="1040"/>
        <w:rPr>
          <w:rFonts w:eastAsia="仿宋_GB2312"/>
          <w:color w:val="EE0000"/>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sdt>
      <w:sdtPr>
        <w:rPr>
          <w:rFonts w:ascii="Times New Roman" w:hAnsi="Times New Roman" w:eastAsia="宋体" w:cs="Times New Roman"/>
          <w:color w:val="auto"/>
          <w:kern w:val="2"/>
          <w:sz w:val="21"/>
          <w:szCs w:val="24"/>
          <w:lang w:val="zh-CN"/>
        </w:rPr>
        <w:id w:val="-1313713370"/>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63ABF93A">
          <w:pPr>
            <w:pStyle w:val="272"/>
            <w:jc w:val="center"/>
            <w:rPr>
              <w:rFonts w:ascii="Times New Roman" w:hAnsi="Times New Roman" w:eastAsia="黑体" w:cs="Times New Roman"/>
              <w:b/>
              <w:bCs/>
              <w:color w:val="auto"/>
            </w:rPr>
          </w:pPr>
          <w:r>
            <w:rPr>
              <w:rFonts w:ascii="Times New Roman" w:hAnsi="Times New Roman" w:eastAsia="黑体" w:cs="Times New Roman"/>
              <w:b/>
              <w:bCs/>
              <w:color w:val="auto"/>
              <w:lang w:val="zh-CN"/>
            </w:rPr>
            <w:t>目   录</w:t>
          </w:r>
        </w:p>
        <w:p w14:paraId="2183663E">
          <w:pPr>
            <w:pStyle w:val="28"/>
            <w:tabs>
              <w:tab w:val="right" w:leader="dot" w:pos="8834"/>
            </w:tabs>
          </w:pPr>
          <w:r>
            <w:fldChar w:fldCharType="begin"/>
          </w:r>
          <w:r>
            <w:instrText xml:space="preserve"> TOC \o "1-3" \h \z \u </w:instrText>
          </w:r>
          <w:r>
            <w:fldChar w:fldCharType="separate"/>
          </w:r>
        </w:p>
        <w:p w14:paraId="48F62BC5">
          <w:pPr>
            <w:pStyle w:val="28"/>
            <w:tabs>
              <w:tab w:val="right" w:leader="dot" w:pos="8834"/>
            </w:tabs>
            <w:spacing w:line="520" w:lineRule="exact"/>
            <w:rPr>
              <w:b/>
              <w:bCs/>
              <w:sz w:val="24"/>
            </w:rPr>
          </w:pPr>
          <w:r>
            <w:fldChar w:fldCharType="begin"/>
          </w:r>
          <w:r>
            <w:instrText xml:space="preserve"> HYPERLINK \l "_Toc217711379" </w:instrText>
          </w:r>
          <w:r>
            <w:fldChar w:fldCharType="separate"/>
          </w:r>
          <w:r>
            <w:rPr>
              <w:rStyle w:val="44"/>
              <w:rFonts w:eastAsia="黑体"/>
              <w:b/>
              <w:bCs/>
              <w:snapToGrid w:val="0"/>
              <w:sz w:val="24"/>
            </w:rPr>
            <w:t>一、建设项目基本情况</w:t>
          </w:r>
          <w:r>
            <w:rPr>
              <w:b/>
              <w:bCs/>
              <w:sz w:val="24"/>
            </w:rPr>
            <w:tab/>
          </w:r>
          <w:r>
            <w:rPr>
              <w:b/>
              <w:bCs/>
              <w:sz w:val="24"/>
            </w:rPr>
            <w:fldChar w:fldCharType="begin"/>
          </w:r>
          <w:r>
            <w:rPr>
              <w:b/>
              <w:bCs/>
              <w:sz w:val="24"/>
            </w:rPr>
            <w:instrText xml:space="preserve"> PAGEREF _Toc217711379 \h </w:instrText>
          </w:r>
          <w:r>
            <w:rPr>
              <w:b/>
              <w:bCs/>
              <w:sz w:val="24"/>
            </w:rPr>
            <w:fldChar w:fldCharType="separate"/>
          </w:r>
          <w:r>
            <w:rPr>
              <w:b/>
              <w:bCs/>
              <w:sz w:val="24"/>
            </w:rPr>
            <w:t>1</w:t>
          </w:r>
          <w:r>
            <w:rPr>
              <w:b/>
              <w:bCs/>
              <w:sz w:val="24"/>
            </w:rPr>
            <w:fldChar w:fldCharType="end"/>
          </w:r>
          <w:r>
            <w:rPr>
              <w:b/>
              <w:bCs/>
              <w:sz w:val="24"/>
            </w:rPr>
            <w:fldChar w:fldCharType="end"/>
          </w:r>
        </w:p>
        <w:p w14:paraId="5E7F5A83">
          <w:pPr>
            <w:pStyle w:val="28"/>
            <w:tabs>
              <w:tab w:val="right" w:leader="dot" w:pos="8834"/>
            </w:tabs>
            <w:spacing w:line="520" w:lineRule="exact"/>
            <w:rPr>
              <w:b/>
              <w:bCs/>
              <w:sz w:val="24"/>
            </w:rPr>
          </w:pPr>
          <w:r>
            <w:fldChar w:fldCharType="begin"/>
          </w:r>
          <w:r>
            <w:instrText xml:space="preserve"> HYPERLINK \l "_Toc217711381" </w:instrText>
          </w:r>
          <w:r>
            <w:fldChar w:fldCharType="separate"/>
          </w:r>
          <w:r>
            <w:rPr>
              <w:rStyle w:val="44"/>
              <w:rFonts w:eastAsia="黑体"/>
              <w:b/>
              <w:bCs/>
              <w:snapToGrid w:val="0"/>
              <w:sz w:val="24"/>
            </w:rPr>
            <w:t>二、建设项目工程分析</w:t>
          </w:r>
          <w:r>
            <w:rPr>
              <w:b/>
              <w:bCs/>
              <w:sz w:val="24"/>
            </w:rPr>
            <w:tab/>
          </w:r>
          <w:r>
            <w:rPr>
              <w:b/>
              <w:bCs/>
              <w:sz w:val="24"/>
            </w:rPr>
            <w:fldChar w:fldCharType="begin"/>
          </w:r>
          <w:r>
            <w:rPr>
              <w:b/>
              <w:bCs/>
              <w:sz w:val="24"/>
            </w:rPr>
            <w:instrText xml:space="preserve"> PAGEREF _Toc217711381 \h </w:instrText>
          </w:r>
          <w:r>
            <w:rPr>
              <w:b/>
              <w:bCs/>
              <w:sz w:val="24"/>
            </w:rPr>
            <w:fldChar w:fldCharType="separate"/>
          </w:r>
          <w:r>
            <w:rPr>
              <w:b/>
              <w:bCs/>
              <w:sz w:val="24"/>
            </w:rPr>
            <w:t>23</w:t>
          </w:r>
          <w:r>
            <w:rPr>
              <w:b/>
              <w:bCs/>
              <w:sz w:val="24"/>
            </w:rPr>
            <w:fldChar w:fldCharType="end"/>
          </w:r>
          <w:r>
            <w:rPr>
              <w:b/>
              <w:bCs/>
              <w:sz w:val="24"/>
            </w:rPr>
            <w:fldChar w:fldCharType="end"/>
          </w:r>
        </w:p>
        <w:p w14:paraId="56C04D92">
          <w:pPr>
            <w:pStyle w:val="28"/>
            <w:tabs>
              <w:tab w:val="right" w:leader="dot" w:pos="8834"/>
            </w:tabs>
            <w:spacing w:line="520" w:lineRule="exact"/>
            <w:rPr>
              <w:b/>
              <w:bCs/>
              <w:sz w:val="24"/>
            </w:rPr>
          </w:pPr>
          <w:r>
            <w:fldChar w:fldCharType="begin"/>
          </w:r>
          <w:r>
            <w:instrText xml:space="preserve"> HYPERLINK \l "_Toc217711382" </w:instrText>
          </w:r>
          <w:r>
            <w:fldChar w:fldCharType="separate"/>
          </w:r>
          <w:r>
            <w:rPr>
              <w:rStyle w:val="44"/>
              <w:rFonts w:eastAsia="黑体"/>
              <w:b/>
              <w:bCs/>
              <w:snapToGrid w:val="0"/>
              <w:sz w:val="24"/>
            </w:rPr>
            <w:t>三、区域环境质量现状、环境保护目标及评价标准</w:t>
          </w:r>
          <w:r>
            <w:rPr>
              <w:b/>
              <w:bCs/>
              <w:sz w:val="24"/>
            </w:rPr>
            <w:tab/>
          </w:r>
          <w:r>
            <w:rPr>
              <w:b/>
              <w:bCs/>
              <w:sz w:val="24"/>
            </w:rPr>
            <w:fldChar w:fldCharType="begin"/>
          </w:r>
          <w:r>
            <w:rPr>
              <w:b/>
              <w:bCs/>
              <w:sz w:val="24"/>
            </w:rPr>
            <w:instrText xml:space="preserve"> PAGEREF _Toc217711382 \h </w:instrText>
          </w:r>
          <w:r>
            <w:rPr>
              <w:b/>
              <w:bCs/>
              <w:sz w:val="24"/>
            </w:rPr>
            <w:fldChar w:fldCharType="separate"/>
          </w:r>
          <w:r>
            <w:rPr>
              <w:b/>
              <w:bCs/>
              <w:sz w:val="24"/>
            </w:rPr>
            <w:t>52</w:t>
          </w:r>
          <w:r>
            <w:rPr>
              <w:b/>
              <w:bCs/>
              <w:sz w:val="24"/>
            </w:rPr>
            <w:fldChar w:fldCharType="end"/>
          </w:r>
          <w:r>
            <w:rPr>
              <w:b/>
              <w:bCs/>
              <w:sz w:val="24"/>
            </w:rPr>
            <w:fldChar w:fldCharType="end"/>
          </w:r>
        </w:p>
        <w:p w14:paraId="2A6CCF27">
          <w:pPr>
            <w:pStyle w:val="28"/>
            <w:tabs>
              <w:tab w:val="right" w:leader="dot" w:pos="8834"/>
            </w:tabs>
            <w:spacing w:line="520" w:lineRule="exact"/>
            <w:rPr>
              <w:b/>
              <w:bCs/>
              <w:sz w:val="24"/>
            </w:rPr>
          </w:pPr>
          <w:r>
            <w:fldChar w:fldCharType="begin"/>
          </w:r>
          <w:r>
            <w:instrText xml:space="preserve"> HYPERLINK \l "_Toc217711383" </w:instrText>
          </w:r>
          <w:r>
            <w:fldChar w:fldCharType="separate"/>
          </w:r>
          <w:r>
            <w:rPr>
              <w:rStyle w:val="44"/>
              <w:rFonts w:eastAsia="黑体"/>
              <w:b/>
              <w:bCs/>
              <w:snapToGrid w:val="0"/>
              <w:sz w:val="24"/>
            </w:rPr>
            <w:t>四、主要环境影响和保护措施</w:t>
          </w:r>
          <w:r>
            <w:rPr>
              <w:b/>
              <w:bCs/>
              <w:sz w:val="24"/>
            </w:rPr>
            <w:tab/>
          </w:r>
          <w:r>
            <w:rPr>
              <w:b/>
              <w:bCs/>
              <w:sz w:val="24"/>
            </w:rPr>
            <w:fldChar w:fldCharType="begin"/>
          </w:r>
          <w:r>
            <w:rPr>
              <w:b/>
              <w:bCs/>
              <w:sz w:val="24"/>
            </w:rPr>
            <w:instrText xml:space="preserve"> PAGEREF _Toc217711383 \h </w:instrText>
          </w:r>
          <w:r>
            <w:rPr>
              <w:b/>
              <w:bCs/>
              <w:sz w:val="24"/>
            </w:rPr>
            <w:fldChar w:fldCharType="separate"/>
          </w:r>
          <w:r>
            <w:rPr>
              <w:b/>
              <w:bCs/>
              <w:sz w:val="24"/>
            </w:rPr>
            <w:t>62</w:t>
          </w:r>
          <w:r>
            <w:rPr>
              <w:b/>
              <w:bCs/>
              <w:sz w:val="24"/>
            </w:rPr>
            <w:fldChar w:fldCharType="end"/>
          </w:r>
          <w:r>
            <w:rPr>
              <w:b/>
              <w:bCs/>
              <w:sz w:val="24"/>
            </w:rPr>
            <w:fldChar w:fldCharType="end"/>
          </w:r>
        </w:p>
        <w:p w14:paraId="2B53E156">
          <w:pPr>
            <w:pStyle w:val="28"/>
            <w:tabs>
              <w:tab w:val="right" w:leader="dot" w:pos="8834"/>
            </w:tabs>
            <w:spacing w:line="520" w:lineRule="exact"/>
            <w:rPr>
              <w:b/>
              <w:bCs/>
              <w:sz w:val="24"/>
            </w:rPr>
          </w:pPr>
          <w:r>
            <w:fldChar w:fldCharType="begin"/>
          </w:r>
          <w:r>
            <w:instrText xml:space="preserve"> HYPERLINK \l "_Toc217711384" </w:instrText>
          </w:r>
          <w:r>
            <w:fldChar w:fldCharType="separate"/>
          </w:r>
          <w:r>
            <w:rPr>
              <w:rStyle w:val="44"/>
              <w:rFonts w:eastAsia="黑体"/>
              <w:b/>
              <w:bCs/>
              <w:snapToGrid w:val="0"/>
              <w:sz w:val="24"/>
            </w:rPr>
            <w:t>五、 环境保护措施监督检查清单</w:t>
          </w:r>
          <w:r>
            <w:rPr>
              <w:b/>
              <w:bCs/>
              <w:sz w:val="24"/>
            </w:rPr>
            <w:tab/>
          </w:r>
          <w:r>
            <w:rPr>
              <w:b/>
              <w:bCs/>
              <w:sz w:val="24"/>
            </w:rPr>
            <w:fldChar w:fldCharType="begin"/>
          </w:r>
          <w:r>
            <w:rPr>
              <w:b/>
              <w:bCs/>
              <w:sz w:val="24"/>
            </w:rPr>
            <w:instrText xml:space="preserve"> PAGEREF _Toc217711384 \h </w:instrText>
          </w:r>
          <w:r>
            <w:rPr>
              <w:b/>
              <w:bCs/>
              <w:sz w:val="24"/>
            </w:rPr>
            <w:fldChar w:fldCharType="separate"/>
          </w:r>
          <w:r>
            <w:rPr>
              <w:b/>
              <w:bCs/>
              <w:sz w:val="24"/>
            </w:rPr>
            <w:t>106</w:t>
          </w:r>
          <w:r>
            <w:rPr>
              <w:b/>
              <w:bCs/>
              <w:sz w:val="24"/>
            </w:rPr>
            <w:fldChar w:fldCharType="end"/>
          </w:r>
          <w:r>
            <w:rPr>
              <w:b/>
              <w:bCs/>
              <w:sz w:val="24"/>
            </w:rPr>
            <w:fldChar w:fldCharType="end"/>
          </w:r>
        </w:p>
        <w:p w14:paraId="4BF875BC">
          <w:pPr>
            <w:pStyle w:val="28"/>
            <w:tabs>
              <w:tab w:val="right" w:leader="dot" w:pos="8834"/>
            </w:tabs>
            <w:spacing w:line="520" w:lineRule="exact"/>
            <w:rPr>
              <w:b/>
              <w:bCs/>
              <w:sz w:val="24"/>
            </w:rPr>
          </w:pPr>
          <w:r>
            <w:fldChar w:fldCharType="begin"/>
          </w:r>
          <w:r>
            <w:instrText xml:space="preserve"> HYPERLINK \l "_Toc217711385" </w:instrText>
          </w:r>
          <w:r>
            <w:fldChar w:fldCharType="separate"/>
          </w:r>
          <w:r>
            <w:rPr>
              <w:rStyle w:val="44"/>
              <w:rFonts w:eastAsia="黑体"/>
              <w:b/>
              <w:bCs/>
              <w:snapToGrid w:val="0"/>
              <w:sz w:val="24"/>
            </w:rPr>
            <w:t>六、结论</w:t>
          </w:r>
          <w:r>
            <w:rPr>
              <w:b/>
              <w:bCs/>
              <w:sz w:val="24"/>
            </w:rPr>
            <w:tab/>
          </w:r>
          <w:r>
            <w:rPr>
              <w:b/>
              <w:bCs/>
              <w:sz w:val="24"/>
            </w:rPr>
            <w:fldChar w:fldCharType="begin"/>
          </w:r>
          <w:r>
            <w:rPr>
              <w:b/>
              <w:bCs/>
              <w:sz w:val="24"/>
            </w:rPr>
            <w:instrText xml:space="preserve"> PAGEREF _Toc217711385 \h </w:instrText>
          </w:r>
          <w:r>
            <w:rPr>
              <w:b/>
              <w:bCs/>
              <w:sz w:val="24"/>
            </w:rPr>
            <w:fldChar w:fldCharType="separate"/>
          </w:r>
          <w:r>
            <w:rPr>
              <w:b/>
              <w:bCs/>
              <w:sz w:val="24"/>
            </w:rPr>
            <w:t>109</w:t>
          </w:r>
          <w:r>
            <w:rPr>
              <w:b/>
              <w:bCs/>
              <w:sz w:val="24"/>
            </w:rPr>
            <w:fldChar w:fldCharType="end"/>
          </w:r>
          <w:r>
            <w:rPr>
              <w:b/>
              <w:bCs/>
              <w:sz w:val="24"/>
            </w:rPr>
            <w:fldChar w:fldCharType="end"/>
          </w:r>
        </w:p>
        <w:p w14:paraId="15C990CE">
          <w:pPr>
            <w:pStyle w:val="28"/>
            <w:tabs>
              <w:tab w:val="right" w:leader="dot" w:pos="8834"/>
            </w:tabs>
            <w:spacing w:line="520" w:lineRule="exact"/>
            <w:rPr>
              <w:b/>
              <w:bCs/>
              <w:sz w:val="24"/>
            </w:rPr>
          </w:pPr>
          <w:r>
            <w:fldChar w:fldCharType="begin"/>
          </w:r>
          <w:r>
            <w:instrText xml:space="preserve"> HYPERLINK \l "_Toc217711386" </w:instrText>
          </w:r>
          <w:r>
            <w:fldChar w:fldCharType="separate"/>
          </w:r>
          <w:r>
            <w:rPr>
              <w:rStyle w:val="44"/>
              <w:rFonts w:eastAsia="黑体"/>
              <w:b/>
              <w:bCs/>
              <w:snapToGrid w:val="0"/>
              <w:sz w:val="24"/>
            </w:rPr>
            <w:t>附表</w:t>
          </w:r>
          <w:r>
            <w:rPr>
              <w:b/>
              <w:bCs/>
              <w:sz w:val="24"/>
            </w:rPr>
            <w:tab/>
          </w:r>
          <w:r>
            <w:rPr>
              <w:b/>
              <w:bCs/>
              <w:sz w:val="24"/>
            </w:rPr>
            <w:fldChar w:fldCharType="begin"/>
          </w:r>
          <w:r>
            <w:rPr>
              <w:b/>
              <w:bCs/>
              <w:sz w:val="24"/>
            </w:rPr>
            <w:instrText xml:space="preserve"> PAGEREF _Toc217711386 \h </w:instrText>
          </w:r>
          <w:r>
            <w:rPr>
              <w:b/>
              <w:bCs/>
              <w:sz w:val="24"/>
            </w:rPr>
            <w:fldChar w:fldCharType="separate"/>
          </w:r>
          <w:r>
            <w:rPr>
              <w:b/>
              <w:bCs/>
              <w:sz w:val="24"/>
            </w:rPr>
            <w:t>110</w:t>
          </w:r>
          <w:r>
            <w:rPr>
              <w:b/>
              <w:bCs/>
              <w:sz w:val="24"/>
            </w:rPr>
            <w:fldChar w:fldCharType="end"/>
          </w:r>
          <w:r>
            <w:rPr>
              <w:b/>
              <w:bCs/>
              <w:sz w:val="24"/>
            </w:rPr>
            <w:fldChar w:fldCharType="end"/>
          </w:r>
        </w:p>
        <w:p w14:paraId="70C4EAB3">
          <w:pPr>
            <w:pStyle w:val="28"/>
            <w:tabs>
              <w:tab w:val="right" w:leader="dot" w:pos="8834"/>
            </w:tabs>
            <w:spacing w:line="520" w:lineRule="exact"/>
            <w:rPr>
              <w:b/>
              <w:bCs/>
              <w:sz w:val="24"/>
            </w:rPr>
          </w:pPr>
          <w:r>
            <w:fldChar w:fldCharType="begin"/>
          </w:r>
          <w:r>
            <w:instrText xml:space="preserve"> HYPERLINK \l "_Toc217711387" </w:instrText>
          </w:r>
          <w:r>
            <w:fldChar w:fldCharType="separate"/>
          </w:r>
          <w:r>
            <w:rPr>
              <w:rStyle w:val="44"/>
              <w:rFonts w:eastAsia="方正小标宋_GBK"/>
              <w:b/>
              <w:bCs/>
              <w:snapToGrid w:val="0"/>
              <w:sz w:val="24"/>
            </w:rPr>
            <w:t>建设项目污染物排放量汇总表</w:t>
          </w:r>
          <w:r>
            <w:rPr>
              <w:b/>
              <w:bCs/>
              <w:sz w:val="24"/>
            </w:rPr>
            <w:tab/>
          </w:r>
          <w:r>
            <w:rPr>
              <w:b/>
              <w:bCs/>
              <w:sz w:val="24"/>
            </w:rPr>
            <w:fldChar w:fldCharType="begin"/>
          </w:r>
          <w:r>
            <w:rPr>
              <w:b/>
              <w:bCs/>
              <w:sz w:val="24"/>
            </w:rPr>
            <w:instrText xml:space="preserve"> PAGEREF _Toc217711387 \h </w:instrText>
          </w:r>
          <w:r>
            <w:rPr>
              <w:b/>
              <w:bCs/>
              <w:sz w:val="24"/>
            </w:rPr>
            <w:fldChar w:fldCharType="separate"/>
          </w:r>
          <w:r>
            <w:rPr>
              <w:b/>
              <w:bCs/>
              <w:sz w:val="24"/>
            </w:rPr>
            <w:t>110</w:t>
          </w:r>
          <w:r>
            <w:rPr>
              <w:b/>
              <w:bCs/>
              <w:sz w:val="24"/>
            </w:rPr>
            <w:fldChar w:fldCharType="end"/>
          </w:r>
          <w:r>
            <w:rPr>
              <w:b/>
              <w:bCs/>
              <w:sz w:val="24"/>
            </w:rPr>
            <w:fldChar w:fldCharType="end"/>
          </w:r>
        </w:p>
        <w:p w14:paraId="5785144A">
          <w:r>
            <w:rPr>
              <w:b/>
              <w:bCs/>
              <w:lang w:val="zh-CN"/>
            </w:rPr>
            <w:fldChar w:fldCharType="end"/>
          </w:r>
        </w:p>
      </w:sdtContent>
    </w:sdt>
    <w:p w14:paraId="6664F98E">
      <w:pPr>
        <w:adjustRightInd w:val="0"/>
        <w:snapToGrid w:val="0"/>
        <w:spacing w:line="288" w:lineRule="auto"/>
        <w:rPr>
          <w:rFonts w:eastAsia="黑体"/>
          <w:b/>
          <w:bCs/>
          <w:sz w:val="24"/>
        </w:rPr>
      </w:pPr>
    </w:p>
    <w:p w14:paraId="4165AFAC">
      <w:pPr>
        <w:adjustRightInd w:val="0"/>
        <w:snapToGrid w:val="0"/>
        <w:spacing w:line="288" w:lineRule="auto"/>
        <w:rPr>
          <w:rFonts w:eastAsia="黑体"/>
          <w:b/>
          <w:bCs/>
          <w:sz w:val="24"/>
        </w:rPr>
      </w:pPr>
    </w:p>
    <w:p w14:paraId="3140CED7">
      <w:pPr>
        <w:adjustRightInd w:val="0"/>
        <w:snapToGrid w:val="0"/>
        <w:spacing w:line="288" w:lineRule="auto"/>
        <w:rPr>
          <w:rFonts w:eastAsia="黑体"/>
          <w:color w:val="EE0000"/>
          <w:sz w:val="24"/>
        </w:rPr>
      </w:pPr>
    </w:p>
    <w:p w14:paraId="366EFE29">
      <w:pPr>
        <w:adjustRightInd w:val="0"/>
        <w:snapToGrid w:val="0"/>
        <w:spacing w:line="288" w:lineRule="auto"/>
        <w:rPr>
          <w:rFonts w:eastAsia="黑体"/>
          <w:color w:val="EE0000"/>
          <w:sz w:val="24"/>
        </w:rPr>
      </w:pPr>
      <w:bookmarkStart w:id="61" w:name="_GoBack"/>
      <w:bookmarkEnd w:id="61"/>
    </w:p>
    <w:p w14:paraId="3E758622">
      <w:pPr>
        <w:adjustRightInd w:val="0"/>
        <w:snapToGrid w:val="0"/>
        <w:spacing w:line="288" w:lineRule="auto"/>
        <w:rPr>
          <w:rFonts w:eastAsia="黑体"/>
          <w:color w:val="EE0000"/>
          <w:sz w:val="24"/>
        </w:rPr>
        <w:sectPr>
          <w:pgSz w:w="11906" w:h="16838"/>
          <w:pgMar w:top="1701" w:right="1531" w:bottom="1701" w:left="1531" w:header="851" w:footer="1077" w:gutter="0"/>
          <w:pgNumType w:start="3"/>
          <w:cols w:space="720" w:num="1"/>
          <w:docGrid w:linePitch="312" w:charSpace="0"/>
        </w:sectPr>
      </w:pPr>
    </w:p>
    <w:p w14:paraId="3DA79E3E">
      <w:pPr>
        <w:pStyle w:val="32"/>
        <w:jc w:val="center"/>
        <w:outlineLvl w:val="0"/>
        <w:rPr>
          <w:rFonts w:ascii="Times New Roman" w:hAnsi="Times New Roman" w:eastAsia="黑体"/>
          <w:snapToGrid w:val="0"/>
          <w:sz w:val="30"/>
          <w:szCs w:val="30"/>
        </w:rPr>
      </w:pPr>
      <w:bookmarkStart w:id="2" w:name="_Toc217711379"/>
      <w:r>
        <w:rPr>
          <w:rFonts w:ascii="Times New Roman" w:hAnsi="Times New Roman" w:eastAsia="黑体"/>
          <w:snapToGrid w:val="0"/>
          <w:sz w:val="30"/>
          <w:szCs w:val="30"/>
        </w:rPr>
        <w:t>一、建设项目基本情况</w:t>
      </w:r>
      <w:bookmarkEnd w:id="2"/>
    </w:p>
    <w:tbl>
      <w:tblPr>
        <w:tblStyle w:val="37"/>
        <w:tblW w:w="88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23"/>
        <w:gridCol w:w="992"/>
        <w:gridCol w:w="2197"/>
        <w:gridCol w:w="1452"/>
        <w:gridCol w:w="3507"/>
      </w:tblGrid>
      <w:tr w14:paraId="7E3C7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5" w:type="dxa"/>
            <w:gridSpan w:val="2"/>
            <w:tcMar>
              <w:top w:w="16" w:type="dxa"/>
              <w:left w:w="16" w:type="dxa"/>
              <w:right w:w="16" w:type="dxa"/>
            </w:tcMar>
            <w:vAlign w:val="center"/>
          </w:tcPr>
          <w:p w14:paraId="626E8CD5">
            <w:pPr>
              <w:adjustRightInd w:val="0"/>
              <w:snapToGrid w:val="0"/>
              <w:jc w:val="center"/>
              <w:rPr>
                <w:sz w:val="24"/>
              </w:rPr>
            </w:pPr>
            <w:r>
              <w:rPr>
                <w:sz w:val="24"/>
              </w:rPr>
              <w:t>建设项目名称</w:t>
            </w:r>
          </w:p>
        </w:tc>
        <w:tc>
          <w:tcPr>
            <w:tcW w:w="7156" w:type="dxa"/>
            <w:gridSpan w:val="3"/>
            <w:vAlign w:val="center"/>
          </w:tcPr>
          <w:p w14:paraId="461DBF30">
            <w:pPr>
              <w:adjustRightInd w:val="0"/>
              <w:snapToGrid w:val="0"/>
              <w:jc w:val="center"/>
              <w:rPr>
                <w:sz w:val="24"/>
              </w:rPr>
            </w:pPr>
            <w:bookmarkStart w:id="3" w:name="_Hlk217657203"/>
            <w:r>
              <w:rPr>
                <w:sz w:val="24"/>
              </w:rPr>
              <w:t>宝丰三兴新型建材有限公司整合升级技改项目</w:t>
            </w:r>
            <w:bookmarkEnd w:id="3"/>
          </w:p>
        </w:tc>
      </w:tr>
      <w:tr w14:paraId="28B5D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5" w:type="dxa"/>
            <w:gridSpan w:val="2"/>
            <w:tcMar>
              <w:top w:w="16" w:type="dxa"/>
              <w:left w:w="16" w:type="dxa"/>
              <w:right w:w="16" w:type="dxa"/>
            </w:tcMar>
            <w:vAlign w:val="center"/>
          </w:tcPr>
          <w:p w14:paraId="71EBEE1B">
            <w:pPr>
              <w:adjustRightInd w:val="0"/>
              <w:snapToGrid w:val="0"/>
              <w:jc w:val="center"/>
              <w:rPr>
                <w:sz w:val="24"/>
              </w:rPr>
            </w:pPr>
            <w:r>
              <w:rPr>
                <w:sz w:val="24"/>
              </w:rPr>
              <w:t>项目代码</w:t>
            </w:r>
          </w:p>
        </w:tc>
        <w:tc>
          <w:tcPr>
            <w:tcW w:w="7156" w:type="dxa"/>
            <w:gridSpan w:val="3"/>
            <w:vAlign w:val="center"/>
          </w:tcPr>
          <w:p w14:paraId="031A72E1">
            <w:pPr>
              <w:adjustRightInd w:val="0"/>
              <w:snapToGrid w:val="0"/>
              <w:jc w:val="center"/>
              <w:rPr>
                <w:sz w:val="24"/>
              </w:rPr>
            </w:pPr>
            <w:r>
              <w:rPr>
                <w:sz w:val="24"/>
              </w:rPr>
              <w:t>2512-410421-04-02-999609</w:t>
            </w:r>
          </w:p>
        </w:tc>
      </w:tr>
      <w:tr w14:paraId="1125F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5" w:type="dxa"/>
            <w:gridSpan w:val="2"/>
            <w:tcMar>
              <w:top w:w="16" w:type="dxa"/>
              <w:left w:w="16" w:type="dxa"/>
              <w:right w:w="16" w:type="dxa"/>
            </w:tcMar>
            <w:vAlign w:val="center"/>
          </w:tcPr>
          <w:p w14:paraId="63512A30">
            <w:pPr>
              <w:adjustRightInd w:val="0"/>
              <w:snapToGrid w:val="0"/>
              <w:jc w:val="center"/>
              <w:rPr>
                <w:sz w:val="24"/>
              </w:rPr>
            </w:pPr>
            <w:r>
              <w:rPr>
                <w:sz w:val="24"/>
              </w:rPr>
              <w:t>建设单位联系人</w:t>
            </w:r>
          </w:p>
        </w:tc>
        <w:tc>
          <w:tcPr>
            <w:tcW w:w="2197" w:type="dxa"/>
            <w:vAlign w:val="center"/>
          </w:tcPr>
          <w:p w14:paraId="3BCC5598">
            <w:pPr>
              <w:adjustRightInd w:val="0"/>
              <w:snapToGrid w:val="0"/>
              <w:jc w:val="center"/>
              <w:rPr>
                <w:sz w:val="24"/>
              </w:rPr>
            </w:pPr>
            <w:r>
              <w:rPr>
                <w:sz w:val="24"/>
              </w:rPr>
              <w:t>窦士翔</w:t>
            </w:r>
          </w:p>
        </w:tc>
        <w:tc>
          <w:tcPr>
            <w:tcW w:w="1452" w:type="dxa"/>
            <w:vAlign w:val="center"/>
          </w:tcPr>
          <w:p w14:paraId="28FC801D">
            <w:pPr>
              <w:adjustRightInd w:val="0"/>
              <w:snapToGrid w:val="0"/>
              <w:jc w:val="center"/>
              <w:rPr>
                <w:sz w:val="24"/>
              </w:rPr>
            </w:pPr>
            <w:r>
              <w:rPr>
                <w:sz w:val="24"/>
              </w:rPr>
              <w:t>联系方式</w:t>
            </w:r>
          </w:p>
        </w:tc>
        <w:tc>
          <w:tcPr>
            <w:tcW w:w="3507" w:type="dxa"/>
            <w:vAlign w:val="center"/>
          </w:tcPr>
          <w:p w14:paraId="79CB8E7B">
            <w:pPr>
              <w:adjustRightInd w:val="0"/>
              <w:snapToGrid w:val="0"/>
              <w:jc w:val="center"/>
              <w:rPr>
                <w:sz w:val="24"/>
              </w:rPr>
            </w:pPr>
            <w:r>
              <w:rPr>
                <w:sz w:val="24"/>
              </w:rPr>
              <w:t>13937565268</w:t>
            </w:r>
          </w:p>
        </w:tc>
      </w:tr>
      <w:tr w14:paraId="07B8F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5" w:type="dxa"/>
            <w:gridSpan w:val="2"/>
            <w:tcMar>
              <w:top w:w="16" w:type="dxa"/>
              <w:left w:w="16" w:type="dxa"/>
              <w:right w:w="16" w:type="dxa"/>
            </w:tcMar>
            <w:vAlign w:val="center"/>
          </w:tcPr>
          <w:p w14:paraId="795458B1">
            <w:pPr>
              <w:adjustRightInd w:val="0"/>
              <w:snapToGrid w:val="0"/>
              <w:jc w:val="center"/>
              <w:rPr>
                <w:sz w:val="24"/>
              </w:rPr>
            </w:pPr>
            <w:r>
              <w:rPr>
                <w:sz w:val="24"/>
              </w:rPr>
              <w:t>建设地点</w:t>
            </w:r>
          </w:p>
        </w:tc>
        <w:tc>
          <w:tcPr>
            <w:tcW w:w="7156" w:type="dxa"/>
            <w:gridSpan w:val="3"/>
            <w:vAlign w:val="center"/>
          </w:tcPr>
          <w:p w14:paraId="33DB8639">
            <w:pPr>
              <w:adjustRightInd w:val="0"/>
              <w:snapToGrid w:val="0"/>
              <w:jc w:val="center"/>
              <w:rPr>
                <w:sz w:val="24"/>
              </w:rPr>
            </w:pPr>
            <w:r>
              <w:rPr>
                <w:sz w:val="24"/>
              </w:rPr>
              <w:t>平顶山市宝丰县闹店镇闹店村</w:t>
            </w:r>
          </w:p>
        </w:tc>
      </w:tr>
      <w:tr w14:paraId="205BC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5" w:type="dxa"/>
            <w:gridSpan w:val="2"/>
            <w:tcMar>
              <w:top w:w="16" w:type="dxa"/>
              <w:left w:w="16" w:type="dxa"/>
              <w:right w:w="16" w:type="dxa"/>
            </w:tcMar>
            <w:vAlign w:val="center"/>
          </w:tcPr>
          <w:p w14:paraId="5F2977A3">
            <w:pPr>
              <w:adjustRightInd w:val="0"/>
              <w:snapToGrid w:val="0"/>
              <w:jc w:val="center"/>
              <w:rPr>
                <w:sz w:val="24"/>
              </w:rPr>
            </w:pPr>
            <w:r>
              <w:rPr>
                <w:sz w:val="24"/>
              </w:rPr>
              <w:t>地理坐标</w:t>
            </w:r>
          </w:p>
        </w:tc>
        <w:tc>
          <w:tcPr>
            <w:tcW w:w="7156" w:type="dxa"/>
            <w:gridSpan w:val="3"/>
            <w:vAlign w:val="center"/>
          </w:tcPr>
          <w:p w14:paraId="54DF94C9">
            <w:pPr>
              <w:jc w:val="center"/>
              <w:rPr>
                <w:kern w:val="21"/>
                <w:sz w:val="24"/>
              </w:rPr>
            </w:pPr>
            <w:r>
              <w:rPr>
                <w:kern w:val="21"/>
                <w:sz w:val="24"/>
              </w:rPr>
              <w:t>东经</w:t>
            </w:r>
            <w:r>
              <w:rPr>
                <w:kern w:val="21"/>
                <w:sz w:val="24"/>
                <w:u w:val="single"/>
              </w:rPr>
              <w:t>113</w:t>
            </w:r>
            <w:r>
              <w:rPr>
                <w:kern w:val="21"/>
                <w:sz w:val="24"/>
              </w:rPr>
              <w:t>度</w:t>
            </w:r>
            <w:r>
              <w:rPr>
                <w:kern w:val="21"/>
                <w:sz w:val="24"/>
                <w:u w:val="single"/>
              </w:rPr>
              <w:t>13</w:t>
            </w:r>
            <w:r>
              <w:rPr>
                <w:kern w:val="21"/>
                <w:sz w:val="24"/>
              </w:rPr>
              <w:t>分</w:t>
            </w:r>
            <w:r>
              <w:rPr>
                <w:kern w:val="21"/>
                <w:sz w:val="24"/>
                <w:u w:val="single"/>
              </w:rPr>
              <w:t>39.662</w:t>
            </w:r>
            <w:r>
              <w:rPr>
                <w:kern w:val="21"/>
                <w:sz w:val="24"/>
              </w:rPr>
              <w:t>秒，北纬</w:t>
            </w:r>
            <w:r>
              <w:rPr>
                <w:kern w:val="21"/>
                <w:sz w:val="24"/>
                <w:u w:val="single"/>
              </w:rPr>
              <w:t>33</w:t>
            </w:r>
            <w:r>
              <w:rPr>
                <w:kern w:val="21"/>
                <w:sz w:val="24"/>
              </w:rPr>
              <w:t>度</w:t>
            </w:r>
            <w:r>
              <w:rPr>
                <w:kern w:val="21"/>
                <w:sz w:val="24"/>
                <w:u w:val="single"/>
              </w:rPr>
              <w:t>51</w:t>
            </w:r>
            <w:r>
              <w:rPr>
                <w:kern w:val="21"/>
                <w:sz w:val="24"/>
              </w:rPr>
              <w:t>分</w:t>
            </w:r>
            <w:r>
              <w:rPr>
                <w:kern w:val="21"/>
                <w:sz w:val="24"/>
                <w:u w:val="single"/>
              </w:rPr>
              <w:t>14.633</w:t>
            </w:r>
            <w:r>
              <w:rPr>
                <w:kern w:val="21"/>
                <w:sz w:val="24"/>
              </w:rPr>
              <w:t>秒</w:t>
            </w:r>
          </w:p>
        </w:tc>
      </w:tr>
      <w:tr w14:paraId="252F7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715" w:type="dxa"/>
            <w:gridSpan w:val="2"/>
            <w:tcMar>
              <w:top w:w="16" w:type="dxa"/>
              <w:left w:w="16" w:type="dxa"/>
              <w:right w:w="16" w:type="dxa"/>
            </w:tcMar>
            <w:vAlign w:val="center"/>
          </w:tcPr>
          <w:p w14:paraId="7B8B6887">
            <w:pPr>
              <w:adjustRightInd w:val="0"/>
              <w:snapToGrid w:val="0"/>
              <w:jc w:val="center"/>
              <w:rPr>
                <w:sz w:val="24"/>
              </w:rPr>
            </w:pPr>
            <w:r>
              <w:rPr>
                <w:sz w:val="24"/>
              </w:rPr>
              <w:t>国民经济</w:t>
            </w:r>
          </w:p>
          <w:p w14:paraId="2E360891">
            <w:pPr>
              <w:adjustRightInd w:val="0"/>
              <w:snapToGrid w:val="0"/>
              <w:jc w:val="center"/>
              <w:rPr>
                <w:sz w:val="24"/>
              </w:rPr>
            </w:pPr>
            <w:r>
              <w:rPr>
                <w:sz w:val="24"/>
              </w:rPr>
              <w:t>行业类别</w:t>
            </w:r>
          </w:p>
        </w:tc>
        <w:tc>
          <w:tcPr>
            <w:tcW w:w="2197" w:type="dxa"/>
            <w:vAlign w:val="center"/>
          </w:tcPr>
          <w:p w14:paraId="69F37086">
            <w:pPr>
              <w:adjustRightInd w:val="0"/>
              <w:snapToGrid w:val="0"/>
              <w:jc w:val="left"/>
              <w:rPr>
                <w:sz w:val="24"/>
              </w:rPr>
            </w:pPr>
            <w:r>
              <w:rPr>
                <w:sz w:val="24"/>
              </w:rPr>
              <w:t>C3031粘土砖瓦及建筑砌块制造</w:t>
            </w:r>
          </w:p>
        </w:tc>
        <w:tc>
          <w:tcPr>
            <w:tcW w:w="1452" w:type="dxa"/>
            <w:vAlign w:val="center"/>
          </w:tcPr>
          <w:p w14:paraId="3B30BA51">
            <w:pPr>
              <w:adjustRightInd w:val="0"/>
              <w:snapToGrid w:val="0"/>
              <w:jc w:val="center"/>
              <w:rPr>
                <w:sz w:val="24"/>
              </w:rPr>
            </w:pPr>
            <w:bookmarkStart w:id="4" w:name="_Hlk49843745"/>
            <w:r>
              <w:rPr>
                <w:sz w:val="24"/>
              </w:rPr>
              <w:t>建设项目</w:t>
            </w:r>
          </w:p>
          <w:p w14:paraId="57689602">
            <w:pPr>
              <w:adjustRightInd w:val="0"/>
              <w:snapToGrid w:val="0"/>
              <w:jc w:val="center"/>
              <w:rPr>
                <w:sz w:val="24"/>
              </w:rPr>
            </w:pPr>
            <w:r>
              <w:rPr>
                <w:sz w:val="24"/>
              </w:rPr>
              <w:t>行业类别</w:t>
            </w:r>
            <w:bookmarkEnd w:id="4"/>
          </w:p>
        </w:tc>
        <w:tc>
          <w:tcPr>
            <w:tcW w:w="3507" w:type="dxa"/>
            <w:vAlign w:val="center"/>
          </w:tcPr>
          <w:p w14:paraId="624FA9BC">
            <w:pPr>
              <w:adjustRightInd w:val="0"/>
              <w:snapToGrid w:val="0"/>
              <w:jc w:val="left"/>
              <w:rPr>
                <w:sz w:val="24"/>
              </w:rPr>
            </w:pPr>
            <w:r>
              <w:rPr>
                <w:sz w:val="24"/>
              </w:rPr>
              <w:t>二十七、非金属矿物制品业30—56、砖瓦、石材等建筑材料制造303；</w:t>
            </w:r>
          </w:p>
        </w:tc>
      </w:tr>
      <w:tr w14:paraId="441F2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15" w:type="dxa"/>
            <w:gridSpan w:val="2"/>
            <w:tcMar>
              <w:top w:w="16" w:type="dxa"/>
              <w:left w:w="16" w:type="dxa"/>
              <w:right w:w="16" w:type="dxa"/>
            </w:tcMar>
            <w:vAlign w:val="center"/>
          </w:tcPr>
          <w:p w14:paraId="29055A2E">
            <w:pPr>
              <w:adjustRightInd w:val="0"/>
              <w:snapToGrid w:val="0"/>
              <w:jc w:val="center"/>
              <w:rPr>
                <w:sz w:val="24"/>
              </w:rPr>
            </w:pPr>
            <w:r>
              <w:rPr>
                <w:sz w:val="24"/>
              </w:rPr>
              <w:t>建设性质</w:t>
            </w:r>
          </w:p>
        </w:tc>
        <w:tc>
          <w:tcPr>
            <w:tcW w:w="2197" w:type="dxa"/>
            <w:vAlign w:val="center"/>
          </w:tcPr>
          <w:p w14:paraId="4D61586C">
            <w:pPr>
              <w:jc w:val="left"/>
              <w:rPr>
                <w:sz w:val="24"/>
              </w:rPr>
            </w:pPr>
            <w:r>
              <w:rPr>
                <w:sz w:val="24"/>
              </w:rPr>
              <w:t>□新建（迁建）</w:t>
            </w:r>
          </w:p>
          <w:p w14:paraId="2A8A0C8A">
            <w:pPr>
              <w:jc w:val="left"/>
              <w:rPr>
                <w:sz w:val="24"/>
              </w:rPr>
            </w:pPr>
            <w:r>
              <w:rPr>
                <w:sz w:val="24"/>
              </w:rPr>
              <w:t>□技改</w:t>
            </w:r>
          </w:p>
          <w:p w14:paraId="0D0FD3CA">
            <w:pPr>
              <w:jc w:val="left"/>
              <w:rPr>
                <w:sz w:val="24"/>
              </w:rPr>
            </w:pPr>
            <w:r>
              <w:rPr>
                <w:sz w:val="24"/>
              </w:rPr>
              <w:t>□扩建</w:t>
            </w:r>
          </w:p>
          <w:p w14:paraId="333CB510">
            <w:pPr>
              <w:jc w:val="left"/>
              <w:rPr>
                <w:sz w:val="24"/>
              </w:rPr>
            </w:pPr>
            <w:r>
              <w:rPr>
                <w:rFonts w:ascii="Segoe UI Symbol" w:hAnsi="Segoe UI Symbol" w:eastAsia="MS Mincho" w:cs="Segoe UI Symbol"/>
                <w:sz w:val="24"/>
              </w:rPr>
              <w:t>☑</w:t>
            </w:r>
            <w:r>
              <w:rPr>
                <w:sz w:val="24"/>
              </w:rPr>
              <w:t>技术改造</w:t>
            </w:r>
          </w:p>
        </w:tc>
        <w:tc>
          <w:tcPr>
            <w:tcW w:w="1452" w:type="dxa"/>
            <w:vAlign w:val="center"/>
          </w:tcPr>
          <w:p w14:paraId="3AFB07FF">
            <w:pPr>
              <w:adjustRightInd w:val="0"/>
              <w:snapToGrid w:val="0"/>
              <w:jc w:val="center"/>
              <w:rPr>
                <w:sz w:val="24"/>
              </w:rPr>
            </w:pPr>
            <w:r>
              <w:rPr>
                <w:sz w:val="24"/>
              </w:rPr>
              <w:t>建设项目</w:t>
            </w:r>
          </w:p>
          <w:p w14:paraId="4B6E8BAA">
            <w:pPr>
              <w:adjustRightInd w:val="0"/>
              <w:snapToGrid w:val="0"/>
              <w:jc w:val="center"/>
              <w:rPr>
                <w:sz w:val="24"/>
              </w:rPr>
            </w:pPr>
            <w:r>
              <w:rPr>
                <w:sz w:val="24"/>
              </w:rPr>
              <w:t>申报情形</w:t>
            </w:r>
          </w:p>
        </w:tc>
        <w:tc>
          <w:tcPr>
            <w:tcW w:w="3507" w:type="dxa"/>
            <w:vAlign w:val="center"/>
          </w:tcPr>
          <w:p w14:paraId="6AF0E447">
            <w:pPr>
              <w:jc w:val="left"/>
              <w:rPr>
                <w:sz w:val="24"/>
              </w:rPr>
            </w:pPr>
            <w:r>
              <w:rPr>
                <w:sz w:val="24"/>
              </w:rPr>
              <w:sym w:font="Wingdings 2" w:char="0052"/>
            </w:r>
            <w:r>
              <w:rPr>
                <w:sz w:val="24"/>
              </w:rPr>
              <w:t>首次申报项目</w:t>
            </w:r>
          </w:p>
          <w:p w14:paraId="36726ABC">
            <w:pPr>
              <w:jc w:val="left"/>
              <w:rPr>
                <w:sz w:val="24"/>
              </w:rPr>
            </w:pPr>
            <w:r>
              <w:rPr>
                <w:sz w:val="24"/>
              </w:rPr>
              <w:sym w:font="Wingdings 2" w:char="00A3"/>
            </w:r>
            <w:r>
              <w:rPr>
                <w:sz w:val="24"/>
              </w:rPr>
              <w:t>不予批准后再次申报项目</w:t>
            </w:r>
          </w:p>
          <w:p w14:paraId="5E757A59">
            <w:pPr>
              <w:jc w:val="left"/>
              <w:rPr>
                <w:sz w:val="24"/>
              </w:rPr>
            </w:pPr>
            <w:r>
              <w:rPr>
                <w:sz w:val="24"/>
              </w:rPr>
              <w:t>□超五年重新审核项目</w:t>
            </w:r>
          </w:p>
          <w:p w14:paraId="5BE3902E">
            <w:pPr>
              <w:jc w:val="left"/>
              <w:rPr>
                <w:sz w:val="24"/>
              </w:rPr>
            </w:pPr>
            <w:r>
              <w:rPr>
                <w:sz w:val="24"/>
              </w:rPr>
              <w:t>□重大变动重新报批项目</w:t>
            </w:r>
          </w:p>
        </w:tc>
      </w:tr>
      <w:tr w14:paraId="12851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715" w:type="dxa"/>
            <w:gridSpan w:val="2"/>
            <w:tcMar>
              <w:top w:w="16" w:type="dxa"/>
              <w:left w:w="16" w:type="dxa"/>
              <w:right w:w="16" w:type="dxa"/>
            </w:tcMar>
            <w:vAlign w:val="center"/>
          </w:tcPr>
          <w:p w14:paraId="7AD396F9">
            <w:pPr>
              <w:adjustRightInd w:val="0"/>
              <w:snapToGrid w:val="0"/>
              <w:jc w:val="center"/>
              <w:rPr>
                <w:sz w:val="24"/>
              </w:rPr>
            </w:pPr>
            <w:r>
              <w:rPr>
                <w:sz w:val="24"/>
              </w:rPr>
              <w:t>项目审批（核准/备案）部门（选填）</w:t>
            </w:r>
          </w:p>
        </w:tc>
        <w:tc>
          <w:tcPr>
            <w:tcW w:w="2197" w:type="dxa"/>
            <w:vAlign w:val="center"/>
          </w:tcPr>
          <w:p w14:paraId="2253BC61">
            <w:pPr>
              <w:adjustRightInd w:val="0"/>
              <w:snapToGrid w:val="0"/>
              <w:jc w:val="center"/>
              <w:rPr>
                <w:bCs/>
                <w:sz w:val="24"/>
              </w:rPr>
            </w:pPr>
            <w:r>
              <w:rPr>
                <w:bCs/>
                <w:sz w:val="24"/>
              </w:rPr>
              <w:t>宝丰县发展和改革</w:t>
            </w:r>
          </w:p>
          <w:p w14:paraId="016E9AB3">
            <w:pPr>
              <w:adjustRightInd w:val="0"/>
              <w:snapToGrid w:val="0"/>
              <w:jc w:val="center"/>
              <w:rPr>
                <w:bCs/>
                <w:sz w:val="24"/>
              </w:rPr>
            </w:pPr>
            <w:r>
              <w:rPr>
                <w:bCs/>
                <w:sz w:val="24"/>
              </w:rPr>
              <w:t>委员会</w:t>
            </w:r>
          </w:p>
        </w:tc>
        <w:tc>
          <w:tcPr>
            <w:tcW w:w="1452" w:type="dxa"/>
            <w:vAlign w:val="center"/>
          </w:tcPr>
          <w:p w14:paraId="0B31871E">
            <w:pPr>
              <w:adjustRightInd w:val="0"/>
              <w:snapToGrid w:val="0"/>
              <w:jc w:val="center"/>
              <w:rPr>
                <w:sz w:val="24"/>
              </w:rPr>
            </w:pPr>
            <w:r>
              <w:rPr>
                <w:sz w:val="24"/>
              </w:rPr>
              <w:t>项目审批（核准/备案）文号（选填）</w:t>
            </w:r>
          </w:p>
        </w:tc>
        <w:tc>
          <w:tcPr>
            <w:tcW w:w="3507" w:type="dxa"/>
            <w:vAlign w:val="center"/>
          </w:tcPr>
          <w:p w14:paraId="06194552">
            <w:pPr>
              <w:adjustRightInd w:val="0"/>
              <w:snapToGrid w:val="0"/>
              <w:jc w:val="center"/>
              <w:rPr>
                <w:sz w:val="24"/>
              </w:rPr>
            </w:pPr>
            <w:r>
              <w:rPr>
                <w:sz w:val="24"/>
              </w:rPr>
              <w:t>2512-410421-04-02-999609</w:t>
            </w:r>
          </w:p>
        </w:tc>
      </w:tr>
      <w:tr w14:paraId="08F22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5" w:type="dxa"/>
            <w:gridSpan w:val="2"/>
            <w:tcMar>
              <w:top w:w="16" w:type="dxa"/>
              <w:left w:w="16" w:type="dxa"/>
              <w:right w:w="16" w:type="dxa"/>
            </w:tcMar>
            <w:vAlign w:val="center"/>
          </w:tcPr>
          <w:p w14:paraId="1776B1CF">
            <w:pPr>
              <w:adjustRightInd w:val="0"/>
              <w:snapToGrid w:val="0"/>
              <w:jc w:val="center"/>
              <w:rPr>
                <w:sz w:val="24"/>
              </w:rPr>
            </w:pPr>
            <w:r>
              <w:rPr>
                <w:sz w:val="24"/>
              </w:rPr>
              <w:t>总投资（万元）</w:t>
            </w:r>
          </w:p>
        </w:tc>
        <w:tc>
          <w:tcPr>
            <w:tcW w:w="2197" w:type="dxa"/>
            <w:vAlign w:val="center"/>
          </w:tcPr>
          <w:p w14:paraId="3F90222F">
            <w:pPr>
              <w:adjustRightInd w:val="0"/>
              <w:snapToGrid w:val="0"/>
              <w:jc w:val="center"/>
              <w:rPr>
                <w:sz w:val="24"/>
              </w:rPr>
            </w:pPr>
            <w:r>
              <w:rPr>
                <w:sz w:val="24"/>
              </w:rPr>
              <w:t>3600</w:t>
            </w:r>
          </w:p>
        </w:tc>
        <w:tc>
          <w:tcPr>
            <w:tcW w:w="1452" w:type="dxa"/>
            <w:tcMar>
              <w:top w:w="16" w:type="dxa"/>
              <w:left w:w="16" w:type="dxa"/>
              <w:right w:w="16" w:type="dxa"/>
            </w:tcMar>
            <w:vAlign w:val="center"/>
          </w:tcPr>
          <w:p w14:paraId="177C4E50">
            <w:pPr>
              <w:adjustRightInd w:val="0"/>
              <w:snapToGrid w:val="0"/>
              <w:jc w:val="center"/>
              <w:rPr>
                <w:sz w:val="24"/>
              </w:rPr>
            </w:pPr>
            <w:r>
              <w:rPr>
                <w:sz w:val="24"/>
              </w:rPr>
              <w:t>环保投资（万元）</w:t>
            </w:r>
          </w:p>
        </w:tc>
        <w:tc>
          <w:tcPr>
            <w:tcW w:w="3507" w:type="dxa"/>
            <w:vAlign w:val="center"/>
          </w:tcPr>
          <w:p w14:paraId="16D51E25">
            <w:pPr>
              <w:adjustRightInd w:val="0"/>
              <w:snapToGrid w:val="0"/>
              <w:jc w:val="center"/>
              <w:rPr>
                <w:sz w:val="24"/>
              </w:rPr>
            </w:pPr>
            <w:r>
              <w:rPr>
                <w:rFonts w:hint="eastAsia"/>
                <w:sz w:val="24"/>
              </w:rPr>
              <w:t>235</w:t>
            </w:r>
          </w:p>
        </w:tc>
      </w:tr>
      <w:tr w14:paraId="4C2B3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5" w:type="dxa"/>
            <w:gridSpan w:val="2"/>
            <w:tcMar>
              <w:top w:w="16" w:type="dxa"/>
              <w:left w:w="16" w:type="dxa"/>
              <w:right w:w="16" w:type="dxa"/>
            </w:tcMar>
            <w:vAlign w:val="center"/>
          </w:tcPr>
          <w:p w14:paraId="4C84DCC9">
            <w:pPr>
              <w:adjustRightInd w:val="0"/>
              <w:snapToGrid w:val="0"/>
              <w:jc w:val="center"/>
              <w:rPr>
                <w:sz w:val="24"/>
              </w:rPr>
            </w:pPr>
            <w:r>
              <w:rPr>
                <w:sz w:val="24"/>
              </w:rPr>
              <w:t>环保投资占比（%）</w:t>
            </w:r>
          </w:p>
        </w:tc>
        <w:tc>
          <w:tcPr>
            <w:tcW w:w="2197" w:type="dxa"/>
            <w:vAlign w:val="center"/>
          </w:tcPr>
          <w:p w14:paraId="2016DC2B">
            <w:pPr>
              <w:adjustRightInd w:val="0"/>
              <w:snapToGrid w:val="0"/>
              <w:jc w:val="center"/>
              <w:rPr>
                <w:sz w:val="24"/>
              </w:rPr>
            </w:pPr>
            <w:r>
              <w:rPr>
                <w:rFonts w:hint="eastAsia"/>
                <w:sz w:val="24"/>
              </w:rPr>
              <w:t>6.53</w:t>
            </w:r>
          </w:p>
        </w:tc>
        <w:tc>
          <w:tcPr>
            <w:tcW w:w="1452" w:type="dxa"/>
            <w:tcMar>
              <w:top w:w="16" w:type="dxa"/>
              <w:left w:w="16" w:type="dxa"/>
              <w:right w:w="16" w:type="dxa"/>
            </w:tcMar>
            <w:vAlign w:val="center"/>
          </w:tcPr>
          <w:p w14:paraId="28092C99">
            <w:pPr>
              <w:adjustRightInd w:val="0"/>
              <w:snapToGrid w:val="0"/>
              <w:jc w:val="center"/>
              <w:rPr>
                <w:sz w:val="24"/>
              </w:rPr>
            </w:pPr>
            <w:r>
              <w:rPr>
                <w:sz w:val="24"/>
              </w:rPr>
              <w:t>施工工期</w:t>
            </w:r>
          </w:p>
        </w:tc>
        <w:tc>
          <w:tcPr>
            <w:tcW w:w="3507" w:type="dxa"/>
            <w:vAlign w:val="center"/>
          </w:tcPr>
          <w:p w14:paraId="0300AE4C">
            <w:pPr>
              <w:adjustRightInd w:val="0"/>
              <w:snapToGrid w:val="0"/>
              <w:jc w:val="center"/>
              <w:rPr>
                <w:sz w:val="24"/>
              </w:rPr>
            </w:pPr>
            <w:r>
              <w:rPr>
                <w:sz w:val="24"/>
              </w:rPr>
              <w:t>3个月</w:t>
            </w:r>
          </w:p>
        </w:tc>
      </w:tr>
      <w:tr w14:paraId="7747A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1715" w:type="dxa"/>
            <w:gridSpan w:val="2"/>
            <w:tcMar>
              <w:top w:w="16" w:type="dxa"/>
              <w:left w:w="16" w:type="dxa"/>
              <w:right w:w="16" w:type="dxa"/>
            </w:tcMar>
            <w:vAlign w:val="center"/>
          </w:tcPr>
          <w:p w14:paraId="31B81382">
            <w:pPr>
              <w:adjustRightInd w:val="0"/>
              <w:snapToGrid w:val="0"/>
              <w:jc w:val="center"/>
              <w:rPr>
                <w:sz w:val="24"/>
              </w:rPr>
            </w:pPr>
            <w:r>
              <w:rPr>
                <w:sz w:val="24"/>
              </w:rPr>
              <w:t>是否开工建设</w:t>
            </w:r>
          </w:p>
        </w:tc>
        <w:tc>
          <w:tcPr>
            <w:tcW w:w="2197" w:type="dxa"/>
            <w:vAlign w:val="center"/>
          </w:tcPr>
          <w:p w14:paraId="7DD12A87">
            <w:pPr>
              <w:adjustRightInd w:val="0"/>
              <w:snapToGrid w:val="0"/>
              <w:rPr>
                <w:sz w:val="24"/>
              </w:rPr>
            </w:pPr>
            <w:r>
              <w:rPr>
                <w:rFonts w:ascii="Segoe UI Symbol" w:hAnsi="Segoe UI Symbol" w:cs="Segoe UI Symbol"/>
                <w:sz w:val="24"/>
              </w:rPr>
              <w:t>☑</w:t>
            </w:r>
            <w:r>
              <w:rPr>
                <w:sz w:val="24"/>
              </w:rPr>
              <w:t>否</w:t>
            </w:r>
          </w:p>
          <w:p w14:paraId="5C59881C">
            <w:pPr>
              <w:adjustRightInd w:val="0"/>
              <w:snapToGrid w:val="0"/>
              <w:rPr>
                <w:sz w:val="24"/>
              </w:rPr>
            </w:pPr>
            <w:r>
              <w:rPr>
                <w:sz w:val="24"/>
              </w:rPr>
              <w:t>□是：</w:t>
            </w:r>
          </w:p>
        </w:tc>
        <w:tc>
          <w:tcPr>
            <w:tcW w:w="1452" w:type="dxa"/>
            <w:tcMar>
              <w:top w:w="16" w:type="dxa"/>
              <w:left w:w="16" w:type="dxa"/>
              <w:right w:w="16" w:type="dxa"/>
            </w:tcMar>
            <w:vAlign w:val="center"/>
          </w:tcPr>
          <w:p w14:paraId="71C778CE">
            <w:pPr>
              <w:adjustRightInd w:val="0"/>
              <w:snapToGrid w:val="0"/>
              <w:jc w:val="center"/>
              <w:rPr>
                <w:spacing w:val="-6"/>
                <w:sz w:val="24"/>
              </w:rPr>
            </w:pPr>
            <w:r>
              <w:rPr>
                <w:spacing w:val="-6"/>
                <w:sz w:val="24"/>
              </w:rPr>
              <w:t>用地（用海）</w:t>
            </w:r>
          </w:p>
          <w:p w14:paraId="0C72607D">
            <w:pPr>
              <w:adjustRightInd w:val="0"/>
              <w:snapToGrid w:val="0"/>
              <w:jc w:val="center"/>
              <w:rPr>
                <w:sz w:val="24"/>
              </w:rPr>
            </w:pPr>
            <w:r>
              <w:rPr>
                <w:spacing w:val="-6"/>
                <w:sz w:val="24"/>
              </w:rPr>
              <w:t>面积（m</w:t>
            </w:r>
            <w:r>
              <w:rPr>
                <w:spacing w:val="-6"/>
                <w:sz w:val="24"/>
                <w:vertAlign w:val="superscript"/>
              </w:rPr>
              <w:t>2</w:t>
            </w:r>
            <w:r>
              <w:rPr>
                <w:spacing w:val="-6"/>
                <w:sz w:val="24"/>
              </w:rPr>
              <w:t>）</w:t>
            </w:r>
          </w:p>
        </w:tc>
        <w:tc>
          <w:tcPr>
            <w:tcW w:w="3507" w:type="dxa"/>
            <w:vAlign w:val="center"/>
          </w:tcPr>
          <w:p w14:paraId="1AEC5362">
            <w:pPr>
              <w:adjustRightInd w:val="0"/>
              <w:snapToGrid w:val="0"/>
              <w:jc w:val="center"/>
              <w:rPr>
                <w:sz w:val="24"/>
              </w:rPr>
            </w:pPr>
            <w:r>
              <w:rPr>
                <w:bCs/>
                <w:sz w:val="24"/>
              </w:rPr>
              <w:t>45855.72m</w:t>
            </w:r>
            <w:r>
              <w:rPr>
                <w:bCs/>
                <w:sz w:val="24"/>
                <w:vertAlign w:val="superscript"/>
              </w:rPr>
              <w:t>2</w:t>
            </w:r>
            <w:r>
              <w:rPr>
                <w:sz w:val="24"/>
              </w:rPr>
              <w:t>（现有厂区内建设，无新增用地）</w:t>
            </w:r>
          </w:p>
        </w:tc>
      </w:tr>
      <w:tr w14:paraId="17C8F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23" w:type="dxa"/>
            <w:vAlign w:val="center"/>
          </w:tcPr>
          <w:p w14:paraId="1279E58C">
            <w:pPr>
              <w:autoSpaceDE w:val="0"/>
              <w:autoSpaceDN w:val="0"/>
              <w:adjustRightInd w:val="0"/>
              <w:snapToGrid w:val="0"/>
              <w:jc w:val="center"/>
              <w:rPr>
                <w:kern w:val="0"/>
                <w:sz w:val="24"/>
              </w:rPr>
            </w:pPr>
            <w:r>
              <w:rPr>
                <w:kern w:val="0"/>
                <w:sz w:val="24"/>
              </w:rPr>
              <w:t>专项评价设置情况</w:t>
            </w:r>
          </w:p>
        </w:tc>
        <w:tc>
          <w:tcPr>
            <w:tcW w:w="8148" w:type="dxa"/>
            <w:gridSpan w:val="4"/>
            <w:vAlign w:val="center"/>
          </w:tcPr>
          <w:p w14:paraId="6967EA46">
            <w:pPr>
              <w:adjustRightInd w:val="0"/>
              <w:snapToGrid w:val="0"/>
              <w:spacing w:line="520" w:lineRule="exact"/>
              <w:ind w:firstLine="480" w:firstLineChars="200"/>
              <w:rPr>
                <w:sz w:val="24"/>
              </w:rPr>
            </w:pPr>
            <w:r>
              <w:rPr>
                <w:sz w:val="24"/>
              </w:rPr>
              <w:t>根据《建设项目环境影响报告表编制技术指南（污染影响类）（试行）》相关要求，本项目专项评价设置情况见下表：</w:t>
            </w:r>
          </w:p>
          <w:p w14:paraId="52936508">
            <w:pPr>
              <w:adjustRightInd w:val="0"/>
              <w:snapToGrid w:val="0"/>
              <w:spacing w:line="520" w:lineRule="exact"/>
              <w:jc w:val="center"/>
              <w:rPr>
                <w:rFonts w:eastAsia="黑体"/>
                <w:bCs/>
                <w:sz w:val="24"/>
              </w:rPr>
            </w:pPr>
            <w:r>
              <w:rPr>
                <w:rFonts w:eastAsia="黑体"/>
                <w:bCs/>
                <w:sz w:val="24"/>
              </w:rPr>
              <w:t>表1-1      专项评价设置情况表</w:t>
            </w:r>
          </w:p>
          <w:tbl>
            <w:tblPr>
              <w:tblStyle w:val="37"/>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725"/>
              <w:gridCol w:w="3299"/>
              <w:gridCol w:w="840"/>
            </w:tblGrid>
            <w:tr w14:paraId="7A7E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8" w:type="pct"/>
                  <w:tcMar>
                    <w:left w:w="28" w:type="dxa"/>
                    <w:right w:w="28" w:type="dxa"/>
                  </w:tcMar>
                  <w:vAlign w:val="center"/>
                </w:tcPr>
                <w:p w14:paraId="7B97C96E">
                  <w:pPr>
                    <w:jc w:val="center"/>
                  </w:pPr>
                  <w:r>
                    <w:t>专项评价的类别</w:t>
                  </w:r>
                </w:p>
              </w:tc>
              <w:tc>
                <w:tcPr>
                  <w:tcW w:w="1720" w:type="pct"/>
                  <w:tcMar>
                    <w:left w:w="28" w:type="dxa"/>
                    <w:right w:w="28" w:type="dxa"/>
                  </w:tcMar>
                  <w:vAlign w:val="center"/>
                </w:tcPr>
                <w:p w14:paraId="091785E3">
                  <w:pPr>
                    <w:jc w:val="center"/>
                  </w:pPr>
                  <w:r>
                    <w:t>设置原则</w:t>
                  </w:r>
                </w:p>
              </w:tc>
              <w:tc>
                <w:tcPr>
                  <w:tcW w:w="2082" w:type="pct"/>
                  <w:vAlign w:val="center"/>
                </w:tcPr>
                <w:p w14:paraId="667811EE">
                  <w:pPr>
                    <w:jc w:val="center"/>
                  </w:pPr>
                  <w:r>
                    <w:t>本项目情况</w:t>
                  </w:r>
                </w:p>
              </w:tc>
              <w:tc>
                <w:tcPr>
                  <w:tcW w:w="530" w:type="pct"/>
                  <w:tcMar>
                    <w:left w:w="28" w:type="dxa"/>
                    <w:right w:w="28" w:type="dxa"/>
                  </w:tcMar>
                  <w:vAlign w:val="center"/>
                </w:tcPr>
                <w:p w14:paraId="2754C7B5">
                  <w:pPr>
                    <w:jc w:val="center"/>
                  </w:pPr>
                  <w:r>
                    <w:t>专项设置情况</w:t>
                  </w:r>
                </w:p>
              </w:tc>
            </w:tr>
            <w:tr w14:paraId="0D64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8" w:type="pct"/>
                  <w:tcMar>
                    <w:left w:w="28" w:type="dxa"/>
                    <w:right w:w="28" w:type="dxa"/>
                  </w:tcMar>
                  <w:vAlign w:val="center"/>
                </w:tcPr>
                <w:p w14:paraId="53EA48A3">
                  <w:pPr>
                    <w:jc w:val="center"/>
                  </w:pPr>
                  <w:r>
                    <w:t>大气</w:t>
                  </w:r>
                </w:p>
              </w:tc>
              <w:tc>
                <w:tcPr>
                  <w:tcW w:w="1720" w:type="pct"/>
                  <w:tcMar>
                    <w:left w:w="28" w:type="dxa"/>
                    <w:right w:w="28" w:type="dxa"/>
                  </w:tcMar>
                  <w:vAlign w:val="center"/>
                </w:tcPr>
                <w:p w14:paraId="5DF186BB">
                  <w:r>
                    <w:t>排放废气含有毒有害污染物</w:t>
                  </w:r>
                  <w:r>
                    <w:rPr>
                      <w:vertAlign w:val="superscript"/>
                    </w:rPr>
                    <w:t>1</w:t>
                  </w:r>
                  <w:r>
                    <w:t>、二噁英、苯并[a]芘、氰化物、氯气且厂界外500米范围内有环境空气保护目标</w:t>
                  </w:r>
                  <w:r>
                    <w:rPr>
                      <w:vertAlign w:val="superscript"/>
                    </w:rPr>
                    <w:t>2</w:t>
                  </w:r>
                  <w:r>
                    <w:t>的建设项目</w:t>
                  </w:r>
                </w:p>
              </w:tc>
              <w:tc>
                <w:tcPr>
                  <w:tcW w:w="2082" w:type="pct"/>
                  <w:vAlign w:val="center"/>
                </w:tcPr>
                <w:p w14:paraId="15CA94E5">
                  <w:pPr>
                    <w:jc w:val="center"/>
                  </w:pPr>
                  <w:r>
                    <w:t>项目排放废气涉及二噁英且厂界外500米范围内有环境空气保护目标</w:t>
                  </w:r>
                </w:p>
              </w:tc>
              <w:tc>
                <w:tcPr>
                  <w:tcW w:w="530" w:type="pct"/>
                  <w:tcMar>
                    <w:left w:w="28" w:type="dxa"/>
                    <w:right w:w="28" w:type="dxa"/>
                  </w:tcMar>
                  <w:vAlign w:val="center"/>
                </w:tcPr>
                <w:p w14:paraId="17BECA51">
                  <w:pPr>
                    <w:jc w:val="center"/>
                  </w:pPr>
                  <w:r>
                    <w:t>设置大气专项评价</w:t>
                  </w:r>
                </w:p>
              </w:tc>
            </w:tr>
            <w:tr w14:paraId="191F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8" w:type="pct"/>
                  <w:tcMar>
                    <w:left w:w="28" w:type="dxa"/>
                    <w:right w:w="28" w:type="dxa"/>
                  </w:tcMar>
                  <w:vAlign w:val="center"/>
                </w:tcPr>
                <w:p w14:paraId="5D6873BB">
                  <w:pPr>
                    <w:jc w:val="center"/>
                  </w:pPr>
                  <w:r>
                    <w:t>地表水</w:t>
                  </w:r>
                </w:p>
              </w:tc>
              <w:tc>
                <w:tcPr>
                  <w:tcW w:w="1720" w:type="pct"/>
                  <w:tcMar>
                    <w:left w:w="28" w:type="dxa"/>
                    <w:right w:w="28" w:type="dxa"/>
                  </w:tcMar>
                  <w:vAlign w:val="center"/>
                </w:tcPr>
                <w:p w14:paraId="0B2CA368">
                  <w:r>
                    <w:t>新增工业废水直排建设项目（槽罐车外送污水处理厂的除外）；新增废水直排的污水集中处理厂</w:t>
                  </w:r>
                </w:p>
              </w:tc>
              <w:tc>
                <w:tcPr>
                  <w:tcW w:w="2082" w:type="pct"/>
                  <w:vAlign w:val="center"/>
                </w:tcPr>
                <w:p w14:paraId="4A85716C">
                  <w:pPr>
                    <w:jc w:val="center"/>
                  </w:pPr>
                  <w:r>
                    <w:t>不涉及工业废水直排</w:t>
                  </w:r>
                </w:p>
              </w:tc>
              <w:tc>
                <w:tcPr>
                  <w:tcW w:w="530" w:type="pct"/>
                  <w:tcMar>
                    <w:left w:w="28" w:type="dxa"/>
                    <w:right w:w="28" w:type="dxa"/>
                  </w:tcMar>
                  <w:vAlign w:val="center"/>
                </w:tcPr>
                <w:p w14:paraId="7C5D0F40">
                  <w:pPr>
                    <w:jc w:val="center"/>
                  </w:pPr>
                  <w:r>
                    <w:t>不设置</w:t>
                  </w:r>
                </w:p>
              </w:tc>
            </w:tr>
            <w:tr w14:paraId="54F9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8" w:type="pct"/>
                  <w:tcMar>
                    <w:left w:w="28" w:type="dxa"/>
                    <w:right w:w="28" w:type="dxa"/>
                  </w:tcMar>
                  <w:vAlign w:val="center"/>
                </w:tcPr>
                <w:p w14:paraId="585C44D1">
                  <w:pPr>
                    <w:jc w:val="center"/>
                  </w:pPr>
                  <w:r>
                    <w:t>环境风险</w:t>
                  </w:r>
                </w:p>
              </w:tc>
              <w:tc>
                <w:tcPr>
                  <w:tcW w:w="1720" w:type="pct"/>
                  <w:tcMar>
                    <w:left w:w="28" w:type="dxa"/>
                    <w:right w:w="28" w:type="dxa"/>
                  </w:tcMar>
                  <w:vAlign w:val="center"/>
                </w:tcPr>
                <w:p w14:paraId="66C8DF63">
                  <w:r>
                    <w:t>有毒有害和易燃易爆危险物质存储量超过临界量</w:t>
                  </w:r>
                  <w:r>
                    <w:rPr>
                      <w:vertAlign w:val="superscript"/>
                    </w:rPr>
                    <w:t>3</w:t>
                  </w:r>
                  <w:r>
                    <w:t>的建设项目</w:t>
                  </w:r>
                </w:p>
              </w:tc>
              <w:tc>
                <w:tcPr>
                  <w:tcW w:w="2082" w:type="pct"/>
                  <w:vAlign w:val="center"/>
                </w:tcPr>
                <w:p w14:paraId="432ED486">
                  <w:pPr>
                    <w:jc w:val="center"/>
                  </w:pPr>
                  <w:r>
                    <w:t>危险物质存储量未超过临界量</w:t>
                  </w:r>
                </w:p>
              </w:tc>
              <w:tc>
                <w:tcPr>
                  <w:tcW w:w="530" w:type="pct"/>
                  <w:tcMar>
                    <w:left w:w="28" w:type="dxa"/>
                    <w:right w:w="28" w:type="dxa"/>
                  </w:tcMar>
                  <w:vAlign w:val="center"/>
                </w:tcPr>
                <w:p w14:paraId="769BE04F">
                  <w:pPr>
                    <w:jc w:val="center"/>
                  </w:pPr>
                  <w:r>
                    <w:t>不设置</w:t>
                  </w:r>
                </w:p>
              </w:tc>
            </w:tr>
            <w:tr w14:paraId="7FB0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8" w:type="pct"/>
                  <w:tcMar>
                    <w:left w:w="28" w:type="dxa"/>
                    <w:right w:w="28" w:type="dxa"/>
                  </w:tcMar>
                  <w:vAlign w:val="center"/>
                </w:tcPr>
                <w:p w14:paraId="75B6A4F1">
                  <w:pPr>
                    <w:jc w:val="center"/>
                  </w:pPr>
                  <w:r>
                    <w:t>生态</w:t>
                  </w:r>
                </w:p>
              </w:tc>
              <w:tc>
                <w:tcPr>
                  <w:tcW w:w="1720" w:type="pct"/>
                  <w:tcMar>
                    <w:left w:w="28" w:type="dxa"/>
                    <w:right w:w="28" w:type="dxa"/>
                  </w:tcMar>
                  <w:vAlign w:val="center"/>
                </w:tcPr>
                <w:p w14:paraId="7AE29ECB">
                  <w:r>
                    <w:t>取水口下游500米范围内有重要水生生物的自然产卵场、索饵场、越冬场和洄游通道的新增河道取水的污染类建设项目</w:t>
                  </w:r>
                </w:p>
              </w:tc>
              <w:tc>
                <w:tcPr>
                  <w:tcW w:w="2082" w:type="pct"/>
                  <w:vAlign w:val="center"/>
                </w:tcPr>
                <w:p w14:paraId="62F2CBA7">
                  <w:pPr>
                    <w:jc w:val="center"/>
                  </w:pPr>
                  <w:r>
                    <w:t>不涉及</w:t>
                  </w:r>
                </w:p>
              </w:tc>
              <w:tc>
                <w:tcPr>
                  <w:tcW w:w="530" w:type="pct"/>
                  <w:tcMar>
                    <w:left w:w="28" w:type="dxa"/>
                    <w:right w:w="28" w:type="dxa"/>
                  </w:tcMar>
                  <w:vAlign w:val="center"/>
                </w:tcPr>
                <w:p w14:paraId="177BB3E4">
                  <w:pPr>
                    <w:jc w:val="center"/>
                  </w:pPr>
                  <w:r>
                    <w:t>不设置</w:t>
                  </w:r>
                </w:p>
              </w:tc>
            </w:tr>
            <w:tr w14:paraId="2861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8" w:type="pct"/>
                  <w:tcMar>
                    <w:left w:w="28" w:type="dxa"/>
                    <w:right w:w="28" w:type="dxa"/>
                  </w:tcMar>
                  <w:vAlign w:val="center"/>
                </w:tcPr>
                <w:p w14:paraId="41764634">
                  <w:pPr>
                    <w:jc w:val="center"/>
                  </w:pPr>
                  <w:r>
                    <w:t>海洋</w:t>
                  </w:r>
                </w:p>
              </w:tc>
              <w:tc>
                <w:tcPr>
                  <w:tcW w:w="1720" w:type="pct"/>
                  <w:tcMar>
                    <w:left w:w="28" w:type="dxa"/>
                    <w:right w:w="28" w:type="dxa"/>
                  </w:tcMar>
                  <w:vAlign w:val="center"/>
                </w:tcPr>
                <w:p w14:paraId="7170205D">
                  <w:r>
                    <w:t>直接向海排放污染物的海洋工程建设项目</w:t>
                  </w:r>
                </w:p>
              </w:tc>
              <w:tc>
                <w:tcPr>
                  <w:tcW w:w="2082" w:type="pct"/>
                  <w:vAlign w:val="center"/>
                </w:tcPr>
                <w:p w14:paraId="75968A11">
                  <w:pPr>
                    <w:jc w:val="center"/>
                  </w:pPr>
                  <w:r>
                    <w:t>不涉及</w:t>
                  </w:r>
                </w:p>
              </w:tc>
              <w:tc>
                <w:tcPr>
                  <w:tcW w:w="530" w:type="pct"/>
                  <w:tcMar>
                    <w:left w:w="28" w:type="dxa"/>
                    <w:right w:w="28" w:type="dxa"/>
                  </w:tcMar>
                  <w:vAlign w:val="center"/>
                </w:tcPr>
                <w:p w14:paraId="2B3B98CD">
                  <w:pPr>
                    <w:jc w:val="center"/>
                  </w:pPr>
                  <w:r>
                    <w:t>不设置</w:t>
                  </w:r>
                </w:p>
              </w:tc>
            </w:tr>
          </w:tbl>
          <w:p w14:paraId="4798D365">
            <w:pPr>
              <w:autoSpaceDE w:val="0"/>
              <w:autoSpaceDN w:val="0"/>
              <w:adjustRightInd w:val="0"/>
              <w:snapToGrid w:val="0"/>
              <w:ind w:firstLine="420" w:firstLineChars="200"/>
            </w:pPr>
            <w:r>
              <w:t>注：1.废气中有毒有害污染物指纳入《有毒有害大气污染物名录》的污染物（不包括无排放标准的污染物）。</w:t>
            </w:r>
          </w:p>
          <w:p w14:paraId="4CF29AFD">
            <w:pPr>
              <w:autoSpaceDE w:val="0"/>
              <w:autoSpaceDN w:val="0"/>
              <w:adjustRightInd w:val="0"/>
              <w:snapToGrid w:val="0"/>
              <w:ind w:firstLine="420" w:firstLineChars="200"/>
            </w:pPr>
            <w:r>
              <w:t>2.环境空气保护目标指自然保护区、风景名胜区、居住区、文化区和农村地区中人群较集中的区域。</w:t>
            </w:r>
          </w:p>
          <w:p w14:paraId="1230B8D3">
            <w:pPr>
              <w:autoSpaceDE w:val="0"/>
              <w:autoSpaceDN w:val="0"/>
              <w:adjustRightInd w:val="0"/>
              <w:snapToGrid w:val="0"/>
              <w:ind w:firstLine="420" w:firstLineChars="200"/>
            </w:pPr>
            <w:r>
              <w:t>3.临界量及其计算方法可参考《建设项目环境风险评价技术导则》（HJ169）附录B、附录C。</w:t>
            </w:r>
          </w:p>
          <w:p w14:paraId="722F331E">
            <w:pPr>
              <w:autoSpaceDE w:val="0"/>
              <w:autoSpaceDN w:val="0"/>
              <w:adjustRightInd w:val="0"/>
              <w:snapToGrid w:val="0"/>
              <w:spacing w:line="520" w:lineRule="exact"/>
              <w:ind w:firstLine="480" w:firstLineChars="200"/>
              <w:jc w:val="left"/>
              <w:rPr>
                <w:color w:val="EE0000"/>
                <w:kern w:val="0"/>
                <w:sz w:val="24"/>
              </w:rPr>
            </w:pPr>
            <w:r>
              <w:rPr>
                <w:sz w:val="24"/>
              </w:rPr>
              <w:t>由上表可知，本项目不需要开展专项评价。</w:t>
            </w:r>
          </w:p>
        </w:tc>
      </w:tr>
      <w:tr w14:paraId="2FEC2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23" w:type="dxa"/>
            <w:vAlign w:val="center"/>
          </w:tcPr>
          <w:p w14:paraId="1397A0D1">
            <w:pPr>
              <w:autoSpaceDE w:val="0"/>
              <w:autoSpaceDN w:val="0"/>
              <w:adjustRightInd w:val="0"/>
              <w:snapToGrid w:val="0"/>
              <w:jc w:val="center"/>
              <w:rPr>
                <w:sz w:val="24"/>
              </w:rPr>
            </w:pPr>
            <w:r>
              <w:rPr>
                <w:sz w:val="24"/>
              </w:rPr>
              <w:t>规划</w:t>
            </w:r>
          </w:p>
          <w:p w14:paraId="3B012E52">
            <w:pPr>
              <w:autoSpaceDE w:val="0"/>
              <w:autoSpaceDN w:val="0"/>
              <w:adjustRightInd w:val="0"/>
              <w:snapToGrid w:val="0"/>
              <w:jc w:val="center"/>
              <w:rPr>
                <w:sz w:val="24"/>
              </w:rPr>
            </w:pPr>
            <w:r>
              <w:rPr>
                <w:sz w:val="24"/>
              </w:rPr>
              <w:t>情况</w:t>
            </w:r>
          </w:p>
        </w:tc>
        <w:tc>
          <w:tcPr>
            <w:tcW w:w="8148" w:type="dxa"/>
            <w:gridSpan w:val="4"/>
            <w:vAlign w:val="center"/>
          </w:tcPr>
          <w:p w14:paraId="375AC2B3">
            <w:pPr>
              <w:autoSpaceDE w:val="0"/>
              <w:autoSpaceDN w:val="0"/>
              <w:adjustRightInd w:val="0"/>
              <w:snapToGrid w:val="0"/>
              <w:jc w:val="center"/>
              <w:rPr>
                <w:sz w:val="24"/>
              </w:rPr>
            </w:pPr>
            <w:r>
              <w:rPr>
                <w:bCs/>
                <w:sz w:val="24"/>
              </w:rPr>
              <w:t>无</w:t>
            </w:r>
          </w:p>
        </w:tc>
      </w:tr>
      <w:tr w14:paraId="0F6E5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723" w:type="dxa"/>
            <w:vAlign w:val="center"/>
          </w:tcPr>
          <w:p w14:paraId="12C9B6BF">
            <w:pPr>
              <w:adjustRightInd w:val="0"/>
              <w:snapToGrid w:val="0"/>
              <w:jc w:val="center"/>
              <w:rPr>
                <w:kern w:val="0"/>
                <w:sz w:val="24"/>
              </w:rPr>
            </w:pPr>
            <w:r>
              <w:rPr>
                <w:sz w:val="24"/>
              </w:rPr>
              <w:t>规划环境影响评价情况</w:t>
            </w:r>
          </w:p>
        </w:tc>
        <w:tc>
          <w:tcPr>
            <w:tcW w:w="8148" w:type="dxa"/>
            <w:gridSpan w:val="4"/>
            <w:vAlign w:val="center"/>
          </w:tcPr>
          <w:p w14:paraId="5F7465B2">
            <w:pPr>
              <w:autoSpaceDE w:val="0"/>
              <w:autoSpaceDN w:val="0"/>
              <w:adjustRightInd w:val="0"/>
              <w:snapToGrid w:val="0"/>
              <w:jc w:val="center"/>
              <w:rPr>
                <w:kern w:val="0"/>
                <w:sz w:val="24"/>
              </w:rPr>
            </w:pPr>
            <w:r>
              <w:rPr>
                <w:bCs/>
                <w:sz w:val="24"/>
              </w:rPr>
              <w:t>无</w:t>
            </w:r>
          </w:p>
        </w:tc>
      </w:tr>
      <w:tr w14:paraId="4E500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6" w:hRule="atLeast"/>
          <w:jc w:val="center"/>
        </w:trPr>
        <w:tc>
          <w:tcPr>
            <w:tcW w:w="723" w:type="dxa"/>
            <w:vAlign w:val="center"/>
          </w:tcPr>
          <w:p w14:paraId="167BB1B0">
            <w:pPr>
              <w:autoSpaceDE w:val="0"/>
              <w:autoSpaceDN w:val="0"/>
              <w:adjustRightInd w:val="0"/>
              <w:snapToGrid w:val="0"/>
              <w:jc w:val="center"/>
              <w:rPr>
                <w:kern w:val="0"/>
                <w:sz w:val="24"/>
              </w:rPr>
            </w:pPr>
            <w:r>
              <w:rPr>
                <w:kern w:val="0"/>
                <w:sz w:val="24"/>
              </w:rPr>
              <w:t>规划及规划环境影响评价符合性分析</w:t>
            </w:r>
          </w:p>
        </w:tc>
        <w:tc>
          <w:tcPr>
            <w:tcW w:w="8148" w:type="dxa"/>
            <w:gridSpan w:val="4"/>
            <w:vAlign w:val="center"/>
          </w:tcPr>
          <w:p w14:paraId="225C69B5">
            <w:pPr>
              <w:autoSpaceDE w:val="0"/>
              <w:autoSpaceDN w:val="0"/>
              <w:adjustRightInd w:val="0"/>
              <w:snapToGrid w:val="0"/>
              <w:spacing w:line="360" w:lineRule="auto"/>
              <w:jc w:val="center"/>
              <w:rPr>
                <w:sz w:val="24"/>
              </w:rPr>
            </w:pPr>
            <w:r>
              <w:rPr>
                <w:bCs/>
                <w:sz w:val="24"/>
              </w:rPr>
              <w:t>无</w:t>
            </w:r>
          </w:p>
        </w:tc>
      </w:tr>
    </w:tbl>
    <w:p w14:paraId="6EBBCC8A">
      <w:pPr>
        <w:autoSpaceDE w:val="0"/>
        <w:autoSpaceDN w:val="0"/>
        <w:adjustRightInd w:val="0"/>
        <w:snapToGrid w:val="0"/>
        <w:jc w:val="center"/>
        <w:rPr>
          <w:color w:val="EE0000"/>
          <w:kern w:val="0"/>
          <w:sz w:val="24"/>
        </w:rPr>
        <w:sectPr>
          <w:footerReference r:id="rId5" w:type="default"/>
          <w:pgSz w:w="11906" w:h="16838"/>
          <w:pgMar w:top="1701" w:right="1531" w:bottom="1701" w:left="1531" w:header="851" w:footer="1077" w:gutter="0"/>
          <w:pgNumType w:start="1"/>
          <w:cols w:space="720" w:num="1"/>
          <w:docGrid w:linePitch="312" w:charSpace="0"/>
        </w:sectPr>
      </w:pPr>
    </w:p>
    <w:tbl>
      <w:tblPr>
        <w:tblStyle w:val="37"/>
        <w:tblW w:w="88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8100"/>
      </w:tblGrid>
      <w:tr w14:paraId="52A32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dxa"/>
            <w:vAlign w:val="center"/>
          </w:tcPr>
          <w:p w14:paraId="35A2C6D0">
            <w:pPr>
              <w:autoSpaceDE w:val="0"/>
              <w:autoSpaceDN w:val="0"/>
              <w:adjustRightInd w:val="0"/>
              <w:snapToGrid w:val="0"/>
              <w:jc w:val="center"/>
              <w:rPr>
                <w:color w:val="000000" w:themeColor="text1"/>
                <w:kern w:val="0"/>
                <w:sz w:val="24"/>
              </w:rPr>
            </w:pPr>
            <w:r>
              <w:rPr>
                <w:color w:val="000000" w:themeColor="text1"/>
                <w:kern w:val="0"/>
                <w:sz w:val="24"/>
              </w:rPr>
              <w:t>其他符合性分析</w:t>
            </w:r>
          </w:p>
        </w:tc>
        <w:tc>
          <w:tcPr>
            <w:tcW w:w="8100" w:type="dxa"/>
            <w:vAlign w:val="center"/>
          </w:tcPr>
          <w:p w14:paraId="40B1FCFE">
            <w:pPr>
              <w:adjustRightInd w:val="0"/>
              <w:snapToGrid w:val="0"/>
              <w:spacing w:line="520" w:lineRule="exact"/>
              <w:rPr>
                <w:rFonts w:eastAsia="黑体"/>
                <w:bCs/>
                <w:color w:val="000000" w:themeColor="text1"/>
                <w:sz w:val="24"/>
              </w:rPr>
            </w:pPr>
            <w:r>
              <w:rPr>
                <w:rFonts w:eastAsia="黑体"/>
                <w:bCs/>
                <w:color w:val="000000" w:themeColor="text1"/>
                <w:sz w:val="24"/>
              </w:rPr>
              <w:t>1、产业政策相符性分析</w:t>
            </w:r>
          </w:p>
          <w:p w14:paraId="0743778A">
            <w:pPr>
              <w:adjustRightInd w:val="0"/>
              <w:snapToGrid w:val="0"/>
              <w:spacing w:line="520" w:lineRule="exact"/>
              <w:ind w:firstLine="480" w:firstLineChars="200"/>
              <w:jc w:val="left"/>
              <w:rPr>
                <w:bCs/>
                <w:color w:val="000000" w:themeColor="text1"/>
                <w:sz w:val="24"/>
              </w:rPr>
            </w:pPr>
            <w:r>
              <w:rPr>
                <w:color w:val="000000" w:themeColor="text1"/>
                <w:sz w:val="24"/>
              </w:rPr>
              <w:t>本项目为宝丰三兴新型建材有限公司整合升级技改项目，由</w:t>
            </w:r>
            <w:r>
              <w:rPr>
                <w:bCs/>
                <w:color w:val="000000" w:themeColor="text1"/>
                <w:sz w:val="24"/>
              </w:rPr>
              <w:t>宝丰三兴新型建材有限公司（三兴建材）和宝丰县六和新型建材有限公司（以下简称“六和建材”）</w:t>
            </w:r>
            <w:r>
              <w:rPr>
                <w:color w:val="000000" w:themeColor="text1"/>
                <w:sz w:val="24"/>
              </w:rPr>
              <w:t>进行合并重组，项目以工业固废煤矸石为主要原料生产煤矸石烧结砖，建设规模为年产1.2亿块标砖，不新增产能，年运行330天，日产能约为36.4万块标砖。对比《产业结构调整指导目录（2024年本），本项目属于鼓励类第十二项“建材”中第9款“不低于20 万块/日（含）新型烧结砖瓦生产线协同处置大宗废弃物工艺技术及产品的研发与应用；……”，且项目已在</w:t>
            </w:r>
            <w:r>
              <w:rPr>
                <w:bCs/>
                <w:color w:val="000000" w:themeColor="text1"/>
                <w:sz w:val="24"/>
              </w:rPr>
              <w:t>宝丰县发展和改革委员会备案</w:t>
            </w:r>
            <w:r>
              <w:rPr>
                <w:color w:val="000000" w:themeColor="text1"/>
                <w:sz w:val="24"/>
              </w:rPr>
              <w:t>，项目代码为：2512-410421-04-02-999609。因此项目符合国家产业政策的要求。</w:t>
            </w:r>
          </w:p>
          <w:p w14:paraId="424DA5C0">
            <w:pPr>
              <w:adjustRightInd w:val="0"/>
              <w:snapToGrid w:val="0"/>
              <w:spacing w:line="520" w:lineRule="exact"/>
              <w:jc w:val="center"/>
              <w:rPr>
                <w:rFonts w:eastAsia="黑体"/>
                <w:bCs/>
                <w:color w:val="000000" w:themeColor="text1"/>
                <w:sz w:val="24"/>
              </w:rPr>
            </w:pPr>
            <w:r>
              <w:rPr>
                <w:rFonts w:eastAsia="黑体"/>
                <w:bCs/>
                <w:color w:val="000000" w:themeColor="text1"/>
                <w:sz w:val="24"/>
              </w:rPr>
              <w:t>表1-2      本项目与备案相符性分析一览表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3022"/>
              <w:gridCol w:w="2873"/>
              <w:gridCol w:w="1243"/>
            </w:tblGrid>
            <w:tr w14:paraId="4CFC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14:paraId="37DC8E91">
                  <w:pPr>
                    <w:jc w:val="center"/>
                    <w:rPr>
                      <w:color w:val="000000" w:themeColor="text1"/>
                      <w:szCs w:val="21"/>
                    </w:rPr>
                  </w:pPr>
                  <w:r>
                    <w:rPr>
                      <w:color w:val="000000" w:themeColor="text1"/>
                      <w:szCs w:val="21"/>
                    </w:rPr>
                    <w:t>内容</w:t>
                  </w:r>
                </w:p>
              </w:tc>
              <w:tc>
                <w:tcPr>
                  <w:tcW w:w="3022" w:type="dxa"/>
                  <w:vAlign w:val="center"/>
                </w:tcPr>
                <w:p w14:paraId="23562605">
                  <w:pPr>
                    <w:jc w:val="center"/>
                    <w:rPr>
                      <w:color w:val="000000" w:themeColor="text1"/>
                      <w:szCs w:val="21"/>
                    </w:rPr>
                  </w:pPr>
                  <w:r>
                    <w:rPr>
                      <w:color w:val="000000" w:themeColor="text1"/>
                      <w:szCs w:val="21"/>
                    </w:rPr>
                    <w:t>备案内容</w:t>
                  </w:r>
                </w:p>
              </w:tc>
              <w:tc>
                <w:tcPr>
                  <w:tcW w:w="2873" w:type="dxa"/>
                  <w:vAlign w:val="center"/>
                </w:tcPr>
                <w:p w14:paraId="3AFD6363">
                  <w:pPr>
                    <w:jc w:val="center"/>
                    <w:rPr>
                      <w:color w:val="000000" w:themeColor="text1"/>
                      <w:szCs w:val="21"/>
                    </w:rPr>
                  </w:pPr>
                  <w:r>
                    <w:rPr>
                      <w:color w:val="000000" w:themeColor="text1"/>
                      <w:szCs w:val="21"/>
                    </w:rPr>
                    <w:t>本项目拟建设情况</w:t>
                  </w:r>
                </w:p>
              </w:tc>
              <w:tc>
                <w:tcPr>
                  <w:tcW w:w="1243" w:type="dxa"/>
                  <w:vAlign w:val="center"/>
                </w:tcPr>
                <w:p w14:paraId="25DA9114">
                  <w:pPr>
                    <w:jc w:val="center"/>
                    <w:rPr>
                      <w:color w:val="000000" w:themeColor="text1"/>
                      <w:szCs w:val="21"/>
                    </w:rPr>
                  </w:pPr>
                  <w:r>
                    <w:rPr>
                      <w:color w:val="000000" w:themeColor="text1"/>
                      <w:szCs w:val="21"/>
                    </w:rPr>
                    <w:t>一致性</w:t>
                  </w:r>
                </w:p>
              </w:tc>
            </w:tr>
            <w:tr w14:paraId="6939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14:paraId="0995A654">
                  <w:pPr>
                    <w:jc w:val="center"/>
                    <w:rPr>
                      <w:color w:val="000000" w:themeColor="text1"/>
                      <w:szCs w:val="21"/>
                    </w:rPr>
                  </w:pPr>
                  <w:r>
                    <w:rPr>
                      <w:color w:val="000000" w:themeColor="text1"/>
                      <w:szCs w:val="21"/>
                    </w:rPr>
                    <w:t>项目名称</w:t>
                  </w:r>
                </w:p>
              </w:tc>
              <w:tc>
                <w:tcPr>
                  <w:tcW w:w="3022" w:type="dxa"/>
                  <w:vAlign w:val="center"/>
                </w:tcPr>
                <w:p w14:paraId="4D1A92D2">
                  <w:pPr>
                    <w:jc w:val="center"/>
                    <w:rPr>
                      <w:color w:val="000000" w:themeColor="text1"/>
                      <w:szCs w:val="21"/>
                    </w:rPr>
                  </w:pPr>
                  <w:r>
                    <w:rPr>
                      <w:color w:val="000000" w:themeColor="text1"/>
                      <w:szCs w:val="21"/>
                    </w:rPr>
                    <w:t>宝丰三兴新型建材有限公司整合升级技改项目</w:t>
                  </w:r>
                </w:p>
              </w:tc>
              <w:tc>
                <w:tcPr>
                  <w:tcW w:w="2873" w:type="dxa"/>
                  <w:vAlign w:val="center"/>
                </w:tcPr>
                <w:p w14:paraId="0F7F65DF">
                  <w:pPr>
                    <w:jc w:val="center"/>
                    <w:rPr>
                      <w:color w:val="000000" w:themeColor="text1"/>
                      <w:szCs w:val="21"/>
                    </w:rPr>
                  </w:pPr>
                  <w:r>
                    <w:rPr>
                      <w:color w:val="000000" w:themeColor="text1"/>
                      <w:szCs w:val="21"/>
                    </w:rPr>
                    <w:t>宝丰三兴新型建材有限公司整合升级技改项目</w:t>
                  </w:r>
                </w:p>
              </w:tc>
              <w:tc>
                <w:tcPr>
                  <w:tcW w:w="1243" w:type="dxa"/>
                  <w:vAlign w:val="center"/>
                </w:tcPr>
                <w:p w14:paraId="2573DEDA">
                  <w:pPr>
                    <w:jc w:val="center"/>
                    <w:rPr>
                      <w:color w:val="000000" w:themeColor="text1"/>
                      <w:szCs w:val="21"/>
                    </w:rPr>
                  </w:pPr>
                  <w:r>
                    <w:rPr>
                      <w:color w:val="000000" w:themeColor="text1"/>
                      <w:szCs w:val="21"/>
                    </w:rPr>
                    <w:t>一致</w:t>
                  </w:r>
                </w:p>
              </w:tc>
            </w:tr>
            <w:tr w14:paraId="6446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14:paraId="4B978A9B">
                  <w:pPr>
                    <w:jc w:val="center"/>
                    <w:rPr>
                      <w:color w:val="000000" w:themeColor="text1"/>
                      <w:szCs w:val="21"/>
                    </w:rPr>
                  </w:pPr>
                  <w:r>
                    <w:rPr>
                      <w:color w:val="000000" w:themeColor="text1"/>
                      <w:szCs w:val="21"/>
                    </w:rPr>
                    <w:t>建设地点</w:t>
                  </w:r>
                </w:p>
              </w:tc>
              <w:tc>
                <w:tcPr>
                  <w:tcW w:w="3022" w:type="dxa"/>
                  <w:vAlign w:val="center"/>
                </w:tcPr>
                <w:p w14:paraId="0FAD2A9D">
                  <w:pPr>
                    <w:jc w:val="center"/>
                    <w:rPr>
                      <w:color w:val="000000" w:themeColor="text1"/>
                      <w:szCs w:val="21"/>
                    </w:rPr>
                  </w:pPr>
                  <w:r>
                    <w:rPr>
                      <w:color w:val="000000" w:themeColor="text1"/>
                      <w:szCs w:val="21"/>
                    </w:rPr>
                    <w:t>平顶山市宝丰县闹店镇闹店村</w:t>
                  </w:r>
                </w:p>
              </w:tc>
              <w:tc>
                <w:tcPr>
                  <w:tcW w:w="2873" w:type="dxa"/>
                  <w:vAlign w:val="center"/>
                </w:tcPr>
                <w:p w14:paraId="01487566">
                  <w:pPr>
                    <w:jc w:val="center"/>
                    <w:rPr>
                      <w:color w:val="000000" w:themeColor="text1"/>
                      <w:szCs w:val="21"/>
                    </w:rPr>
                  </w:pPr>
                  <w:r>
                    <w:rPr>
                      <w:color w:val="000000" w:themeColor="text1"/>
                      <w:szCs w:val="21"/>
                    </w:rPr>
                    <w:t>平顶山市宝丰县闹店镇闹店村现有厂区内</w:t>
                  </w:r>
                </w:p>
              </w:tc>
              <w:tc>
                <w:tcPr>
                  <w:tcW w:w="1243" w:type="dxa"/>
                  <w:vAlign w:val="center"/>
                </w:tcPr>
                <w:p w14:paraId="53CC6B8C">
                  <w:pPr>
                    <w:jc w:val="center"/>
                    <w:rPr>
                      <w:color w:val="000000" w:themeColor="text1"/>
                      <w:szCs w:val="21"/>
                    </w:rPr>
                  </w:pPr>
                  <w:r>
                    <w:rPr>
                      <w:color w:val="000000" w:themeColor="text1"/>
                      <w:szCs w:val="21"/>
                    </w:rPr>
                    <w:t>一致</w:t>
                  </w:r>
                </w:p>
              </w:tc>
            </w:tr>
            <w:tr w14:paraId="5639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14:paraId="08C2304E">
                  <w:pPr>
                    <w:jc w:val="center"/>
                    <w:rPr>
                      <w:color w:val="000000" w:themeColor="text1"/>
                      <w:szCs w:val="21"/>
                    </w:rPr>
                  </w:pPr>
                  <w:r>
                    <w:rPr>
                      <w:color w:val="000000" w:themeColor="text1"/>
                      <w:szCs w:val="21"/>
                    </w:rPr>
                    <w:t>建设性质</w:t>
                  </w:r>
                </w:p>
              </w:tc>
              <w:tc>
                <w:tcPr>
                  <w:tcW w:w="3022" w:type="dxa"/>
                  <w:vAlign w:val="center"/>
                </w:tcPr>
                <w:p w14:paraId="1CC3D769">
                  <w:pPr>
                    <w:jc w:val="center"/>
                    <w:rPr>
                      <w:color w:val="000000" w:themeColor="text1"/>
                      <w:szCs w:val="21"/>
                    </w:rPr>
                  </w:pPr>
                  <w:r>
                    <w:rPr>
                      <w:color w:val="000000" w:themeColor="text1"/>
                      <w:szCs w:val="21"/>
                    </w:rPr>
                    <w:t>技改</w:t>
                  </w:r>
                </w:p>
              </w:tc>
              <w:tc>
                <w:tcPr>
                  <w:tcW w:w="2873" w:type="dxa"/>
                  <w:vAlign w:val="center"/>
                </w:tcPr>
                <w:p w14:paraId="202B9E07">
                  <w:pPr>
                    <w:jc w:val="center"/>
                    <w:rPr>
                      <w:color w:val="000000" w:themeColor="text1"/>
                      <w:szCs w:val="21"/>
                    </w:rPr>
                  </w:pPr>
                  <w:r>
                    <w:rPr>
                      <w:color w:val="000000" w:themeColor="text1"/>
                      <w:szCs w:val="21"/>
                    </w:rPr>
                    <w:t>技术改造</w:t>
                  </w:r>
                </w:p>
              </w:tc>
              <w:tc>
                <w:tcPr>
                  <w:tcW w:w="1243" w:type="dxa"/>
                  <w:vAlign w:val="center"/>
                </w:tcPr>
                <w:p w14:paraId="445A45F0">
                  <w:pPr>
                    <w:jc w:val="center"/>
                    <w:rPr>
                      <w:color w:val="000000" w:themeColor="text1"/>
                      <w:szCs w:val="21"/>
                    </w:rPr>
                  </w:pPr>
                  <w:r>
                    <w:rPr>
                      <w:color w:val="000000" w:themeColor="text1"/>
                      <w:szCs w:val="21"/>
                    </w:rPr>
                    <w:t>一致</w:t>
                  </w:r>
                </w:p>
              </w:tc>
            </w:tr>
            <w:tr w14:paraId="2B1E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14:paraId="08854A5D">
                  <w:pPr>
                    <w:jc w:val="center"/>
                    <w:rPr>
                      <w:color w:val="000000" w:themeColor="text1"/>
                      <w:szCs w:val="21"/>
                    </w:rPr>
                  </w:pPr>
                  <w:r>
                    <w:rPr>
                      <w:color w:val="000000" w:themeColor="text1"/>
                      <w:szCs w:val="21"/>
                    </w:rPr>
                    <w:t>建设规模</w:t>
                  </w:r>
                </w:p>
              </w:tc>
              <w:tc>
                <w:tcPr>
                  <w:tcW w:w="3022" w:type="dxa"/>
                  <w:vAlign w:val="center"/>
                </w:tcPr>
                <w:p w14:paraId="7C828ACD">
                  <w:pPr>
                    <w:jc w:val="center"/>
                    <w:rPr>
                      <w:color w:val="000000" w:themeColor="text1"/>
                      <w:szCs w:val="21"/>
                    </w:rPr>
                  </w:pPr>
                  <w:r>
                    <w:rPr>
                      <w:color w:val="000000" w:themeColor="text1"/>
                      <w:szCs w:val="21"/>
                    </w:rPr>
                    <w:t>宝丰三兴新型建材有限公司与宝丰县六和新型建材有限公司进行合并重组，合并后产能为年产1.2亿标砖。拟在原宝丰三兴新型建材有限公司院内建设1条隧道窑，单条产能为1.2亿标砖。配备自动控温系统,同时对厂区内环保设施及生产设施进行升级改造，改造完成后可满足烧结砖瓦制品企业绩效分级A级指标要求。</w:t>
                  </w:r>
                </w:p>
              </w:tc>
              <w:tc>
                <w:tcPr>
                  <w:tcW w:w="2873" w:type="dxa"/>
                  <w:vAlign w:val="center"/>
                </w:tcPr>
                <w:p w14:paraId="3713E371">
                  <w:pPr>
                    <w:jc w:val="center"/>
                    <w:rPr>
                      <w:color w:val="000000" w:themeColor="text1"/>
                      <w:szCs w:val="21"/>
                    </w:rPr>
                  </w:pPr>
                  <w:bookmarkStart w:id="5" w:name="_Hlk217657390"/>
                  <w:r>
                    <w:rPr>
                      <w:color w:val="000000" w:themeColor="text1"/>
                      <w:szCs w:val="21"/>
                    </w:rPr>
                    <w:t>宝丰三兴新型建材有限公司与宝丰县六和新型建材有限公司进行合并重组，合并后产能为年产1.2亿标砖。拟在原宝丰三兴新型建材有限公司院内建设1条隧道窑，单条产能为1.2亿标砖。配备自动控温系统，同时对厂区内环保设施及生产设施进行升级改造，改造完成后可满足烧结砖瓦制品企业绩效分级A级指标要求</w:t>
                  </w:r>
                  <w:bookmarkEnd w:id="5"/>
                  <w:r>
                    <w:rPr>
                      <w:color w:val="000000" w:themeColor="text1"/>
                      <w:szCs w:val="21"/>
                    </w:rPr>
                    <w:t>。</w:t>
                  </w:r>
                </w:p>
              </w:tc>
              <w:tc>
                <w:tcPr>
                  <w:tcW w:w="1243" w:type="dxa"/>
                  <w:vAlign w:val="center"/>
                </w:tcPr>
                <w:p w14:paraId="11094164">
                  <w:pPr>
                    <w:jc w:val="center"/>
                    <w:rPr>
                      <w:color w:val="000000" w:themeColor="text1"/>
                      <w:szCs w:val="21"/>
                    </w:rPr>
                  </w:pPr>
                  <w:r>
                    <w:rPr>
                      <w:color w:val="000000" w:themeColor="text1"/>
                      <w:szCs w:val="21"/>
                    </w:rPr>
                    <w:t>一致</w:t>
                  </w:r>
                </w:p>
              </w:tc>
            </w:tr>
            <w:tr w14:paraId="3BFD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14:paraId="1AAB5573">
                  <w:pPr>
                    <w:jc w:val="center"/>
                    <w:rPr>
                      <w:color w:val="000000" w:themeColor="text1"/>
                      <w:szCs w:val="21"/>
                    </w:rPr>
                  </w:pPr>
                  <w:r>
                    <w:rPr>
                      <w:color w:val="000000" w:themeColor="text1"/>
                      <w:szCs w:val="21"/>
                    </w:rPr>
                    <w:t>总投资</w:t>
                  </w:r>
                </w:p>
              </w:tc>
              <w:tc>
                <w:tcPr>
                  <w:tcW w:w="3022" w:type="dxa"/>
                  <w:vAlign w:val="center"/>
                </w:tcPr>
                <w:p w14:paraId="39F9C9E3">
                  <w:pPr>
                    <w:jc w:val="center"/>
                    <w:rPr>
                      <w:color w:val="000000" w:themeColor="text1"/>
                      <w:szCs w:val="21"/>
                    </w:rPr>
                  </w:pPr>
                  <w:r>
                    <w:rPr>
                      <w:color w:val="000000" w:themeColor="text1"/>
                      <w:szCs w:val="21"/>
                    </w:rPr>
                    <w:t>3600万元</w:t>
                  </w:r>
                </w:p>
              </w:tc>
              <w:tc>
                <w:tcPr>
                  <w:tcW w:w="2873" w:type="dxa"/>
                  <w:vAlign w:val="center"/>
                </w:tcPr>
                <w:p w14:paraId="3EC2CA47">
                  <w:pPr>
                    <w:jc w:val="center"/>
                    <w:rPr>
                      <w:color w:val="000000" w:themeColor="text1"/>
                      <w:szCs w:val="21"/>
                    </w:rPr>
                  </w:pPr>
                  <w:r>
                    <w:rPr>
                      <w:color w:val="000000" w:themeColor="text1"/>
                      <w:szCs w:val="21"/>
                    </w:rPr>
                    <w:t>3600万元</w:t>
                  </w:r>
                </w:p>
              </w:tc>
              <w:tc>
                <w:tcPr>
                  <w:tcW w:w="1243" w:type="dxa"/>
                  <w:vAlign w:val="center"/>
                </w:tcPr>
                <w:p w14:paraId="51D6E434">
                  <w:pPr>
                    <w:jc w:val="center"/>
                    <w:rPr>
                      <w:color w:val="000000" w:themeColor="text1"/>
                      <w:szCs w:val="21"/>
                    </w:rPr>
                  </w:pPr>
                  <w:r>
                    <w:rPr>
                      <w:color w:val="000000" w:themeColor="text1"/>
                      <w:szCs w:val="21"/>
                    </w:rPr>
                    <w:t>一致</w:t>
                  </w:r>
                </w:p>
              </w:tc>
            </w:tr>
          </w:tbl>
          <w:p w14:paraId="5447BE94">
            <w:pPr>
              <w:autoSpaceDE w:val="0"/>
              <w:autoSpaceDN w:val="0"/>
              <w:adjustRightInd w:val="0"/>
              <w:snapToGrid w:val="0"/>
              <w:spacing w:line="520" w:lineRule="exact"/>
              <w:ind w:firstLine="480" w:firstLineChars="200"/>
              <w:rPr>
                <w:color w:val="000000" w:themeColor="text1"/>
                <w:sz w:val="24"/>
              </w:rPr>
            </w:pPr>
            <w:r>
              <w:rPr>
                <w:color w:val="000000" w:themeColor="text1"/>
                <w:sz w:val="24"/>
              </w:rPr>
              <w:t>由以上分析可知，本项目建设内容与发改委备案内容一致。</w:t>
            </w:r>
          </w:p>
          <w:p w14:paraId="4483A16F">
            <w:pPr>
              <w:autoSpaceDE w:val="0"/>
              <w:autoSpaceDN w:val="0"/>
              <w:adjustRightInd w:val="0"/>
              <w:snapToGrid w:val="0"/>
              <w:spacing w:line="520" w:lineRule="exact"/>
              <w:rPr>
                <w:rFonts w:eastAsia="黑体"/>
                <w:bCs/>
                <w:color w:val="000000" w:themeColor="text1"/>
                <w:kern w:val="0"/>
                <w:sz w:val="24"/>
              </w:rPr>
            </w:pPr>
            <w:r>
              <w:rPr>
                <w:rFonts w:eastAsia="黑体"/>
                <w:bCs/>
                <w:color w:val="000000" w:themeColor="text1"/>
                <w:kern w:val="0"/>
                <w:sz w:val="24"/>
              </w:rPr>
              <w:t>2、项目选址可行性分析</w:t>
            </w:r>
          </w:p>
          <w:p w14:paraId="43B66988">
            <w:pPr>
              <w:adjustRightInd w:val="0"/>
              <w:snapToGrid w:val="0"/>
              <w:spacing w:line="520" w:lineRule="exact"/>
              <w:ind w:firstLine="480" w:firstLineChars="200"/>
              <w:rPr>
                <w:color w:val="000000" w:themeColor="text1"/>
                <w:sz w:val="24"/>
              </w:rPr>
            </w:pPr>
            <w:r>
              <w:rPr>
                <w:color w:val="000000" w:themeColor="text1"/>
                <w:sz w:val="24"/>
              </w:rPr>
              <w:t>项目位于宝丰县闹店镇闹店村三兴建材现有厂区内，现有厂区占地面积45855.72m</w:t>
            </w:r>
            <w:r>
              <w:rPr>
                <w:color w:val="000000" w:themeColor="text1"/>
                <w:sz w:val="24"/>
                <w:vertAlign w:val="superscript"/>
              </w:rPr>
              <w:t>2</w:t>
            </w:r>
            <w:r>
              <w:rPr>
                <w:color w:val="000000" w:themeColor="text1"/>
                <w:sz w:val="24"/>
              </w:rPr>
              <w:t>，本次整合升级技改在三兴建材现有厂区内进行建设，不新增用地，根据原宝丰县国土资源局出具的地类认定证明，项目占地属于工业用地，项目建设符合闹店镇土地利用规划，选址可行。</w:t>
            </w:r>
          </w:p>
          <w:p w14:paraId="3E6F048E">
            <w:pPr>
              <w:autoSpaceDE w:val="0"/>
              <w:autoSpaceDN w:val="0"/>
              <w:adjustRightInd w:val="0"/>
              <w:snapToGrid w:val="0"/>
              <w:spacing w:line="520" w:lineRule="exact"/>
              <w:rPr>
                <w:rFonts w:eastAsia="黑体"/>
                <w:bCs/>
                <w:color w:val="000000" w:themeColor="text1"/>
                <w:kern w:val="0"/>
                <w:sz w:val="24"/>
              </w:rPr>
            </w:pPr>
            <w:r>
              <w:rPr>
                <w:rFonts w:eastAsia="黑体"/>
                <w:bCs/>
                <w:color w:val="000000" w:themeColor="text1"/>
                <w:kern w:val="0"/>
                <w:sz w:val="24"/>
              </w:rPr>
              <w:t>3、与“三线一单”相符性分析</w:t>
            </w:r>
          </w:p>
          <w:p w14:paraId="440E908E">
            <w:pPr>
              <w:adjustRightInd w:val="0"/>
              <w:snapToGrid w:val="0"/>
              <w:spacing w:line="520" w:lineRule="exact"/>
              <w:ind w:firstLine="480" w:firstLineChars="200"/>
              <w:rPr>
                <w:rFonts w:eastAsiaTheme="minorEastAsia"/>
                <w:color w:val="000000" w:themeColor="text1"/>
                <w:sz w:val="24"/>
              </w:rPr>
            </w:pPr>
            <w:r>
              <w:rPr>
                <w:rFonts w:eastAsiaTheme="minorEastAsia"/>
                <w:color w:val="000000" w:themeColor="text1"/>
                <w:sz w:val="24"/>
              </w:rPr>
              <w:t>（1）生态保护红线</w:t>
            </w:r>
          </w:p>
          <w:p w14:paraId="71D029E0">
            <w:pPr>
              <w:adjustRightInd w:val="0"/>
              <w:snapToGrid w:val="0"/>
              <w:spacing w:line="520" w:lineRule="exact"/>
              <w:ind w:firstLine="480" w:firstLineChars="200"/>
              <w:rPr>
                <w:color w:val="000000" w:themeColor="text1"/>
              </w:rPr>
            </w:pPr>
            <w:r>
              <w:rPr>
                <w:rFonts w:eastAsiaTheme="minorEastAsia"/>
                <w:color w:val="000000" w:themeColor="text1"/>
                <w:sz w:val="24"/>
              </w:rPr>
              <w:t>本项目选址位于平顶山市宝丰县闹店镇闹店村，三兴建材现有厂区内，不新增用地，</w:t>
            </w:r>
            <w:r>
              <w:rPr>
                <w:color w:val="000000" w:themeColor="text1"/>
                <w:sz w:val="24"/>
              </w:rPr>
              <w:t>通过河南省“三线一单”成果查询系统查询结果可知，项目周边10km范围内无生态保护红线、水源地、森林公园、风景名胜区、湿地公园、自然保护区等。本项目建设符合平顶山市宝丰县生态保护红线要求。</w:t>
            </w:r>
          </w:p>
          <w:p w14:paraId="270B7591">
            <w:pPr>
              <w:adjustRightInd w:val="0"/>
              <w:snapToGrid w:val="0"/>
              <w:spacing w:line="520" w:lineRule="exact"/>
              <w:ind w:firstLine="480" w:firstLineChars="200"/>
              <w:rPr>
                <w:rFonts w:eastAsiaTheme="minorEastAsia"/>
                <w:sz w:val="24"/>
              </w:rPr>
            </w:pPr>
            <w:r>
              <w:rPr>
                <w:sz w:val="24"/>
              </w:rPr>
              <w:t>（2）</w:t>
            </w:r>
            <w:r>
              <w:rPr>
                <w:rFonts w:eastAsiaTheme="minorEastAsia"/>
                <w:sz w:val="24"/>
              </w:rPr>
              <w:t>环境质量底线</w:t>
            </w:r>
          </w:p>
          <w:p w14:paraId="7DA9F18C">
            <w:pPr>
              <w:adjustRightInd w:val="0"/>
              <w:snapToGrid w:val="0"/>
              <w:spacing w:line="520" w:lineRule="exact"/>
              <w:ind w:firstLine="480" w:firstLineChars="200"/>
              <w:rPr>
                <w:sz w:val="24"/>
              </w:rPr>
            </w:pPr>
            <w:r>
              <w:rPr>
                <w:sz w:val="24"/>
              </w:rPr>
              <w:t>本项目所在区域的环境质量底线为：环境空气质量目标为《环境空气质量标准》（GB3095-2012）二级及修改单标准；声环境质量目标为《声环境质量标准》（GB096-2008）2类标准要求；地表水环境质量目标为《地表水环境质量标准》（GB3838-2002）中Ⅲ类水质标准要求。</w:t>
            </w:r>
          </w:p>
          <w:p w14:paraId="7BA478B3">
            <w:pPr>
              <w:adjustRightInd w:val="0"/>
              <w:snapToGrid w:val="0"/>
              <w:spacing w:line="520" w:lineRule="exact"/>
              <w:ind w:firstLine="480" w:firstLineChars="200"/>
              <w:rPr>
                <w:sz w:val="24"/>
              </w:rPr>
            </w:pPr>
            <w:r>
              <w:rPr>
                <w:sz w:val="24"/>
              </w:rPr>
              <w:t>本项目附近地表水环境、声环境能够满足相应的标准要求，环境空气部分因子超标，随着《平顶山市2025年蓝天保卫战实施方案》的实施，通过实施一系列大气污染防治措施，可有效改善当地区域环境空气质量。本项目运营期各项污染物配套完善的污染防治措施，废气污染物达标排放，废水综合利用，固体废物综合利用或合理处置，不会改变区域环境质量等级，符合环境质量底线要求。</w:t>
            </w:r>
          </w:p>
          <w:p w14:paraId="6FB75A25">
            <w:pPr>
              <w:adjustRightInd w:val="0"/>
              <w:snapToGrid w:val="0"/>
              <w:spacing w:line="520" w:lineRule="exact"/>
              <w:ind w:firstLine="480" w:firstLineChars="200"/>
              <w:rPr>
                <w:color w:val="000000" w:themeColor="text1"/>
                <w:sz w:val="24"/>
              </w:rPr>
            </w:pPr>
            <w:r>
              <w:rPr>
                <w:color w:val="000000" w:themeColor="text1"/>
                <w:sz w:val="24"/>
              </w:rPr>
              <w:t>（3）资源利用上线</w:t>
            </w:r>
          </w:p>
          <w:p w14:paraId="4179F0C3">
            <w:pPr>
              <w:adjustRightInd w:val="0"/>
              <w:snapToGrid w:val="0"/>
              <w:spacing w:line="520" w:lineRule="exact"/>
              <w:ind w:firstLine="480" w:firstLineChars="200"/>
              <w:rPr>
                <w:color w:val="000000" w:themeColor="text1"/>
                <w:sz w:val="24"/>
              </w:rPr>
            </w:pPr>
            <w:r>
              <w:rPr>
                <w:color w:val="000000" w:themeColor="text1"/>
                <w:sz w:val="24"/>
              </w:rPr>
              <w:t>本项目为技改项目，在现有厂区内建设，不新增用地，项目用地属于工业用地，不会突破土地资源利用上线。</w:t>
            </w:r>
          </w:p>
          <w:p w14:paraId="747B4748">
            <w:pPr>
              <w:adjustRightInd w:val="0"/>
              <w:snapToGrid w:val="0"/>
              <w:spacing w:line="520" w:lineRule="exact"/>
              <w:ind w:firstLine="480" w:firstLineChars="200"/>
              <w:rPr>
                <w:color w:val="000000" w:themeColor="text1"/>
                <w:sz w:val="24"/>
              </w:rPr>
            </w:pPr>
            <w:r>
              <w:rPr>
                <w:color w:val="000000" w:themeColor="text1"/>
                <w:sz w:val="24"/>
              </w:rPr>
              <w:t>根据宝丰县发展和改革委员会、平顶山市生态环境局宝丰分局、宝丰县工业和信息化局出具的《</w:t>
            </w:r>
            <w:bookmarkStart w:id="6" w:name="_Hlk217892092"/>
            <w:r>
              <w:rPr>
                <w:color w:val="000000" w:themeColor="text1"/>
                <w:sz w:val="24"/>
              </w:rPr>
              <w:t>宝丰县新改扩建烧结砖瓦项目整合升级会商联审意见表</w:t>
            </w:r>
            <w:bookmarkEnd w:id="6"/>
            <w:r>
              <w:rPr>
                <w:color w:val="000000" w:themeColor="text1"/>
                <w:sz w:val="24"/>
              </w:rPr>
              <w:t>》，项目年综合能源消费量为1327吨标准煤（当量值）、3240吨标准煤（等价值），综合能耗小于10000吨标准煤（等价值），不属于《河南省“两高”项目管理目录（2023年修订）》版中的高污染、高耗能项目，项目建设符合资源利用上线要求。</w:t>
            </w:r>
          </w:p>
          <w:p w14:paraId="386A80D4">
            <w:pPr>
              <w:adjustRightInd w:val="0"/>
              <w:snapToGrid w:val="0"/>
              <w:spacing w:line="520" w:lineRule="exact"/>
              <w:ind w:firstLine="480" w:firstLineChars="200"/>
              <w:rPr>
                <w:sz w:val="24"/>
              </w:rPr>
            </w:pPr>
            <w:r>
              <w:rPr>
                <w:sz w:val="24"/>
              </w:rPr>
              <w:t>（4）生态环境准入清单</w:t>
            </w:r>
          </w:p>
          <w:p w14:paraId="68DD1F9A">
            <w:pPr>
              <w:spacing w:line="520" w:lineRule="exact"/>
              <w:ind w:firstLine="480" w:firstLineChars="200"/>
              <w:rPr>
                <w:sz w:val="24"/>
              </w:rPr>
            </w:pPr>
            <w:r>
              <w:rPr>
                <w:sz w:val="24"/>
              </w:rPr>
              <w:t>根据河南省“三线一单”成果查询系统查询结果，经比对，项目涉及1个河南省环境管控单元，其中优先保护单元0个，重点管控单元1个，为宝丰县大气重点单元，一般管控单元0 个，详见下表：</w:t>
            </w:r>
          </w:p>
          <w:p w14:paraId="061247F1">
            <w:pPr>
              <w:pStyle w:val="13"/>
              <w:adjustRightInd w:val="0"/>
              <w:snapToGrid w:val="0"/>
              <w:spacing w:line="520" w:lineRule="exact"/>
              <w:jc w:val="center"/>
              <w:rPr>
                <w:rFonts w:ascii="Times New Roman" w:hAnsi="Times New Roman" w:cs="Times New Roman"/>
                <w:kern w:val="0"/>
                <w:sz w:val="24"/>
                <w:szCs w:val="24"/>
              </w:rPr>
            </w:pPr>
            <w:r>
              <w:rPr>
                <w:rFonts w:ascii="Times New Roman" w:hAnsi="Times New Roman" w:cs="Times New Roman"/>
                <w:kern w:val="0"/>
                <w:sz w:val="24"/>
                <w:szCs w:val="24"/>
              </w:rPr>
              <w:t>表1-3      项目与河南省环境管控单元要求的相符性</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664"/>
              <w:gridCol w:w="561"/>
              <w:gridCol w:w="504"/>
              <w:gridCol w:w="617"/>
              <w:gridCol w:w="403"/>
              <w:gridCol w:w="3046"/>
              <w:gridCol w:w="1636"/>
              <w:gridCol w:w="443"/>
            </w:tblGrid>
            <w:tr w14:paraId="6154FA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9" w:hRule="atLeast"/>
                <w:jc w:val="center"/>
              </w:trPr>
              <w:tc>
                <w:tcPr>
                  <w:tcW w:w="422" w:type="pct"/>
                  <w:vAlign w:val="center"/>
                </w:tcPr>
                <w:p w14:paraId="065E98BC">
                  <w:pPr>
                    <w:jc w:val="center"/>
                    <w:rPr>
                      <w:szCs w:val="21"/>
                    </w:rPr>
                  </w:pPr>
                  <w:r>
                    <w:rPr>
                      <w:szCs w:val="21"/>
                    </w:rPr>
                    <w:t>环境管控单元编码</w:t>
                  </w:r>
                </w:p>
              </w:tc>
              <w:tc>
                <w:tcPr>
                  <w:tcW w:w="356" w:type="pct"/>
                  <w:tcMar>
                    <w:left w:w="28" w:type="dxa"/>
                    <w:right w:w="28" w:type="dxa"/>
                  </w:tcMar>
                  <w:vAlign w:val="center"/>
                </w:tcPr>
                <w:p w14:paraId="76160FE7">
                  <w:pPr>
                    <w:autoSpaceDE w:val="0"/>
                    <w:autoSpaceDN w:val="0"/>
                    <w:adjustRightInd w:val="0"/>
                    <w:jc w:val="center"/>
                    <w:rPr>
                      <w:szCs w:val="21"/>
                    </w:rPr>
                  </w:pPr>
                  <w:r>
                    <w:rPr>
                      <w:szCs w:val="21"/>
                    </w:rPr>
                    <w:t>环境管控单元名称</w:t>
                  </w:r>
                </w:p>
              </w:tc>
              <w:tc>
                <w:tcPr>
                  <w:tcW w:w="320" w:type="pct"/>
                  <w:tcMar>
                    <w:left w:w="28" w:type="dxa"/>
                    <w:right w:w="28" w:type="dxa"/>
                  </w:tcMar>
                  <w:vAlign w:val="center"/>
                </w:tcPr>
                <w:p w14:paraId="3C92F6E4">
                  <w:pPr>
                    <w:autoSpaceDE w:val="0"/>
                    <w:autoSpaceDN w:val="0"/>
                    <w:adjustRightInd w:val="0"/>
                    <w:jc w:val="center"/>
                    <w:rPr>
                      <w:szCs w:val="21"/>
                    </w:rPr>
                  </w:pPr>
                  <w:r>
                    <w:rPr>
                      <w:szCs w:val="21"/>
                    </w:rPr>
                    <w:t>所属区县</w:t>
                  </w:r>
                </w:p>
              </w:tc>
              <w:tc>
                <w:tcPr>
                  <w:tcW w:w="392" w:type="pct"/>
                  <w:tcMar>
                    <w:left w:w="28" w:type="dxa"/>
                    <w:right w:w="28" w:type="dxa"/>
                  </w:tcMar>
                  <w:vAlign w:val="center"/>
                </w:tcPr>
                <w:p w14:paraId="6D165D0C">
                  <w:pPr>
                    <w:autoSpaceDE w:val="0"/>
                    <w:autoSpaceDN w:val="0"/>
                    <w:adjustRightInd w:val="0"/>
                    <w:jc w:val="center"/>
                    <w:rPr>
                      <w:szCs w:val="21"/>
                    </w:rPr>
                  </w:pPr>
                  <w:r>
                    <w:rPr>
                      <w:szCs w:val="21"/>
                    </w:rPr>
                    <w:t>管控分类</w:t>
                  </w:r>
                </w:p>
              </w:tc>
              <w:tc>
                <w:tcPr>
                  <w:tcW w:w="2189" w:type="pct"/>
                  <w:gridSpan w:val="2"/>
                  <w:tcMar>
                    <w:left w:w="28" w:type="dxa"/>
                    <w:right w:w="28" w:type="dxa"/>
                  </w:tcMar>
                  <w:vAlign w:val="center"/>
                </w:tcPr>
                <w:p w14:paraId="29343E6A">
                  <w:pPr>
                    <w:autoSpaceDE w:val="0"/>
                    <w:autoSpaceDN w:val="0"/>
                    <w:adjustRightInd w:val="0"/>
                    <w:jc w:val="center"/>
                    <w:rPr>
                      <w:szCs w:val="21"/>
                    </w:rPr>
                  </w:pPr>
                  <w:r>
                    <w:rPr>
                      <w:szCs w:val="21"/>
                    </w:rPr>
                    <w:t>管控要求</w:t>
                  </w:r>
                </w:p>
              </w:tc>
              <w:tc>
                <w:tcPr>
                  <w:tcW w:w="1321" w:type="pct"/>
                  <w:gridSpan w:val="2"/>
                  <w:tcMar>
                    <w:left w:w="28" w:type="dxa"/>
                    <w:right w:w="28" w:type="dxa"/>
                  </w:tcMar>
                  <w:vAlign w:val="center"/>
                </w:tcPr>
                <w:p w14:paraId="544B219A">
                  <w:pPr>
                    <w:jc w:val="center"/>
                    <w:rPr>
                      <w:szCs w:val="21"/>
                    </w:rPr>
                  </w:pPr>
                  <w:r>
                    <w:rPr>
                      <w:szCs w:val="21"/>
                    </w:rPr>
                    <w:t>本项目与其相符分析</w:t>
                  </w:r>
                </w:p>
              </w:tc>
            </w:tr>
            <w:tr w14:paraId="55FA3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69" w:hRule="atLeast"/>
                <w:jc w:val="center"/>
              </w:trPr>
              <w:tc>
                <w:tcPr>
                  <w:tcW w:w="422" w:type="pct"/>
                  <w:vMerge w:val="restart"/>
                  <w:vAlign w:val="center"/>
                </w:tcPr>
                <w:p w14:paraId="226B29A9">
                  <w:pPr>
                    <w:jc w:val="center"/>
                    <w:rPr>
                      <w:szCs w:val="21"/>
                    </w:rPr>
                  </w:pPr>
                  <w:r>
                    <w:rPr>
                      <w:szCs w:val="21"/>
                    </w:rPr>
                    <w:t>ZH410</w:t>
                  </w:r>
                </w:p>
                <w:p w14:paraId="042A0E44">
                  <w:pPr>
                    <w:jc w:val="center"/>
                    <w:rPr>
                      <w:szCs w:val="21"/>
                    </w:rPr>
                  </w:pPr>
                  <w:r>
                    <w:rPr>
                      <w:szCs w:val="21"/>
                    </w:rPr>
                    <w:t>4212</w:t>
                  </w:r>
                </w:p>
                <w:p w14:paraId="5C720052">
                  <w:pPr>
                    <w:jc w:val="center"/>
                    <w:rPr>
                      <w:szCs w:val="21"/>
                    </w:rPr>
                  </w:pPr>
                  <w:r>
                    <w:rPr>
                      <w:szCs w:val="21"/>
                    </w:rPr>
                    <w:t>0003</w:t>
                  </w:r>
                </w:p>
              </w:tc>
              <w:tc>
                <w:tcPr>
                  <w:tcW w:w="356" w:type="pct"/>
                  <w:vMerge w:val="restart"/>
                  <w:tcMar>
                    <w:left w:w="28" w:type="dxa"/>
                    <w:right w:w="28" w:type="dxa"/>
                  </w:tcMar>
                  <w:vAlign w:val="center"/>
                </w:tcPr>
                <w:p w14:paraId="1C833DC8">
                  <w:pPr>
                    <w:autoSpaceDE w:val="0"/>
                    <w:autoSpaceDN w:val="0"/>
                    <w:adjustRightInd w:val="0"/>
                    <w:jc w:val="center"/>
                    <w:rPr>
                      <w:szCs w:val="21"/>
                    </w:rPr>
                  </w:pPr>
                  <w:r>
                    <w:rPr>
                      <w:szCs w:val="21"/>
                    </w:rPr>
                    <w:t>宝丰县大气重点单元</w:t>
                  </w:r>
                </w:p>
              </w:tc>
              <w:tc>
                <w:tcPr>
                  <w:tcW w:w="320" w:type="pct"/>
                  <w:vMerge w:val="restart"/>
                  <w:tcMar>
                    <w:left w:w="28" w:type="dxa"/>
                    <w:right w:w="28" w:type="dxa"/>
                  </w:tcMar>
                  <w:vAlign w:val="center"/>
                </w:tcPr>
                <w:p w14:paraId="1A36BF21">
                  <w:pPr>
                    <w:autoSpaceDE w:val="0"/>
                    <w:autoSpaceDN w:val="0"/>
                    <w:adjustRightInd w:val="0"/>
                    <w:jc w:val="center"/>
                    <w:rPr>
                      <w:szCs w:val="21"/>
                    </w:rPr>
                  </w:pPr>
                  <w:r>
                    <w:rPr>
                      <w:szCs w:val="21"/>
                    </w:rPr>
                    <w:t>平顶山市宝丰县</w:t>
                  </w:r>
                </w:p>
              </w:tc>
              <w:tc>
                <w:tcPr>
                  <w:tcW w:w="392" w:type="pct"/>
                  <w:vMerge w:val="restart"/>
                  <w:tcMar>
                    <w:left w:w="28" w:type="dxa"/>
                    <w:right w:w="28" w:type="dxa"/>
                  </w:tcMar>
                  <w:vAlign w:val="center"/>
                </w:tcPr>
                <w:p w14:paraId="414F0CA9">
                  <w:pPr>
                    <w:autoSpaceDE w:val="0"/>
                    <w:autoSpaceDN w:val="0"/>
                    <w:adjustRightInd w:val="0"/>
                    <w:jc w:val="center"/>
                    <w:rPr>
                      <w:szCs w:val="21"/>
                    </w:rPr>
                  </w:pPr>
                  <w:r>
                    <w:rPr>
                      <w:szCs w:val="21"/>
                    </w:rPr>
                    <w:t>重点</w:t>
                  </w:r>
                </w:p>
              </w:tc>
              <w:tc>
                <w:tcPr>
                  <w:tcW w:w="256" w:type="pct"/>
                  <w:tcMar>
                    <w:left w:w="28" w:type="dxa"/>
                    <w:right w:w="28" w:type="dxa"/>
                  </w:tcMar>
                  <w:vAlign w:val="center"/>
                </w:tcPr>
                <w:p w14:paraId="3952372F">
                  <w:pPr>
                    <w:autoSpaceDE w:val="0"/>
                    <w:autoSpaceDN w:val="0"/>
                    <w:adjustRightInd w:val="0"/>
                    <w:jc w:val="center"/>
                    <w:rPr>
                      <w:szCs w:val="21"/>
                    </w:rPr>
                  </w:pPr>
                  <w:r>
                    <w:rPr>
                      <w:szCs w:val="21"/>
                    </w:rPr>
                    <w:t>空间布局约束</w:t>
                  </w:r>
                </w:p>
              </w:tc>
              <w:tc>
                <w:tcPr>
                  <w:tcW w:w="1934" w:type="pct"/>
                  <w:tcMar>
                    <w:left w:w="28" w:type="dxa"/>
                    <w:right w:w="28" w:type="dxa"/>
                  </w:tcMar>
                  <w:vAlign w:val="center"/>
                </w:tcPr>
                <w:p w14:paraId="777399DA">
                  <w:pPr>
                    <w:autoSpaceDE w:val="0"/>
                    <w:autoSpaceDN w:val="0"/>
                    <w:adjustRightInd w:val="0"/>
                    <w:jc w:val="left"/>
                    <w:rPr>
                      <w:snapToGrid w:val="0"/>
                      <w:kern w:val="0"/>
                      <w:szCs w:val="21"/>
                    </w:rPr>
                  </w:pPr>
                  <w:r>
                    <w:rPr>
                      <w:snapToGrid w:val="0"/>
                      <w:kern w:val="0"/>
                      <w:szCs w:val="21"/>
                    </w:rPr>
                    <w:t>1、加强柴油车污染治理，全面实施重型车国六排放标准、非道路柴油移动机械第四阶段排放标准，2025年年底前淘汰国三及以下排放标准的柴油和燃气货车(含场内作业车辆)，基本消除未登记或冒黑烟工程机械。加快大宗货物和中长途货物运输"公转铁""公转水"，推进铁路专用线进企入园。</w:t>
                  </w:r>
                </w:p>
                <w:p w14:paraId="08B992CE">
                  <w:pPr>
                    <w:autoSpaceDE w:val="0"/>
                    <w:autoSpaceDN w:val="0"/>
                    <w:adjustRightInd w:val="0"/>
                    <w:jc w:val="left"/>
                    <w:rPr>
                      <w:snapToGrid w:val="0"/>
                      <w:kern w:val="0"/>
                      <w:szCs w:val="21"/>
                    </w:rPr>
                  </w:pPr>
                  <w:r>
                    <w:rPr>
                      <w:snapToGrid w:val="0"/>
                      <w:kern w:val="0"/>
                      <w:szCs w:val="21"/>
                    </w:rPr>
                    <w:t>2、严格建设项目环境准入，新建、扩建、技改涉工业炉窑的建设项目配套建设高效环保治理设施。</w:t>
                  </w:r>
                </w:p>
                <w:p w14:paraId="3B610BDD">
                  <w:pPr>
                    <w:autoSpaceDE w:val="0"/>
                    <w:autoSpaceDN w:val="0"/>
                    <w:adjustRightInd w:val="0"/>
                    <w:jc w:val="left"/>
                    <w:rPr>
                      <w:snapToGrid w:val="0"/>
                      <w:kern w:val="0"/>
                      <w:szCs w:val="21"/>
                    </w:rPr>
                  </w:pPr>
                  <w:r>
                    <w:rPr>
                      <w:snapToGrid w:val="0"/>
                      <w:kern w:val="0"/>
                      <w:szCs w:val="21"/>
                    </w:rPr>
                    <w:t>3、持续组织开展"散乱污"企业排查整治专项行动，按省定要求完成淘汰落后产能目标任务，对于落后产能和"散乱污"企业，持续保持"动态清零"，坚决杜绝"散乱污"企业死灰复燃、异地转移。</w:t>
                  </w:r>
                </w:p>
                <w:p w14:paraId="2BFED1EF">
                  <w:pPr>
                    <w:autoSpaceDE w:val="0"/>
                    <w:autoSpaceDN w:val="0"/>
                    <w:adjustRightInd w:val="0"/>
                    <w:jc w:val="left"/>
                    <w:rPr>
                      <w:szCs w:val="21"/>
                    </w:rPr>
                  </w:pPr>
                  <w:r>
                    <w:rPr>
                      <w:snapToGrid w:val="0"/>
                      <w:kern w:val="0"/>
                      <w:szCs w:val="21"/>
                    </w:rPr>
                    <w:t>4、园内新建项目排污量减量替代，实现区域增产减污，产业转型升级。</w:t>
                  </w:r>
                </w:p>
              </w:tc>
              <w:tc>
                <w:tcPr>
                  <w:tcW w:w="1039" w:type="pct"/>
                  <w:tcMar>
                    <w:left w:w="28" w:type="dxa"/>
                    <w:right w:w="28" w:type="dxa"/>
                  </w:tcMar>
                  <w:vAlign w:val="center"/>
                </w:tcPr>
                <w:p w14:paraId="1F5E99D4">
                  <w:pPr>
                    <w:rPr>
                      <w:bCs/>
                      <w:szCs w:val="21"/>
                    </w:rPr>
                  </w:pPr>
                  <w:r>
                    <w:rPr>
                      <w:bCs/>
                      <w:szCs w:val="21"/>
                    </w:rPr>
                    <w:t>1、本项目原料、成品砖等公路运输全部采用国五及以上排放标准重型载货车辆(含燃气)或新能源车辆；厂区内非道路移动机械采用国三以上排放标准机械。</w:t>
                  </w:r>
                </w:p>
                <w:p w14:paraId="0C00A5F0">
                  <w:pPr>
                    <w:rPr>
                      <w:szCs w:val="21"/>
                    </w:rPr>
                  </w:pPr>
                  <w:r>
                    <w:rPr>
                      <w:bCs/>
                      <w:szCs w:val="21"/>
                    </w:rPr>
                    <w:t>2、本项目属于整合升级技改项目，按照</w:t>
                  </w:r>
                  <w:r>
                    <w:rPr>
                      <w:szCs w:val="21"/>
                    </w:rPr>
                    <w:t>A级企业要求配套建设高效环保治理设施；</w:t>
                  </w:r>
                </w:p>
                <w:p w14:paraId="26DD22A5">
                  <w:pPr>
                    <w:rPr>
                      <w:szCs w:val="21"/>
                    </w:rPr>
                  </w:pPr>
                  <w:r>
                    <w:rPr>
                      <w:szCs w:val="21"/>
                    </w:rPr>
                    <w:t>3、项目环保手续齐全，不属于“散乱污”企业；</w:t>
                  </w:r>
                </w:p>
                <w:p w14:paraId="5E94C3F1">
                  <w:pPr>
                    <w:rPr>
                      <w:bCs/>
                      <w:color w:val="EE0000"/>
                      <w:szCs w:val="21"/>
                    </w:rPr>
                  </w:pPr>
                  <w:r>
                    <w:rPr>
                      <w:szCs w:val="21"/>
                    </w:rPr>
                    <w:t>4、项目属于</w:t>
                  </w:r>
                  <w:r>
                    <w:rPr>
                      <w:bCs/>
                      <w:szCs w:val="21"/>
                    </w:rPr>
                    <w:t>整合升级技改项目</w:t>
                  </w:r>
                  <w:r>
                    <w:rPr>
                      <w:szCs w:val="21"/>
                    </w:rPr>
                    <w:t>，技改后污染物排放量减少。</w:t>
                  </w:r>
                </w:p>
              </w:tc>
              <w:tc>
                <w:tcPr>
                  <w:tcW w:w="282" w:type="pct"/>
                  <w:vAlign w:val="center"/>
                </w:tcPr>
                <w:p w14:paraId="0C2DD968">
                  <w:pPr>
                    <w:autoSpaceDE w:val="0"/>
                    <w:autoSpaceDN w:val="0"/>
                    <w:adjustRightInd w:val="0"/>
                    <w:jc w:val="center"/>
                    <w:rPr>
                      <w:szCs w:val="21"/>
                    </w:rPr>
                  </w:pPr>
                  <w:r>
                    <w:rPr>
                      <w:szCs w:val="21"/>
                    </w:rPr>
                    <w:t>相符</w:t>
                  </w:r>
                </w:p>
              </w:tc>
            </w:tr>
            <w:tr w14:paraId="03806B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422" w:type="pct"/>
                  <w:vMerge w:val="continue"/>
                  <w:vAlign w:val="center"/>
                </w:tcPr>
                <w:p w14:paraId="7A363B50">
                  <w:pPr>
                    <w:jc w:val="center"/>
                    <w:rPr>
                      <w:color w:val="EE0000"/>
                      <w:szCs w:val="21"/>
                    </w:rPr>
                  </w:pPr>
                </w:p>
              </w:tc>
              <w:tc>
                <w:tcPr>
                  <w:tcW w:w="356" w:type="pct"/>
                  <w:vMerge w:val="continue"/>
                  <w:tcMar>
                    <w:left w:w="28" w:type="dxa"/>
                    <w:right w:w="28" w:type="dxa"/>
                  </w:tcMar>
                  <w:vAlign w:val="center"/>
                </w:tcPr>
                <w:p w14:paraId="0D8E715D">
                  <w:pPr>
                    <w:autoSpaceDE w:val="0"/>
                    <w:autoSpaceDN w:val="0"/>
                    <w:adjustRightInd w:val="0"/>
                    <w:jc w:val="center"/>
                    <w:rPr>
                      <w:color w:val="EE0000"/>
                      <w:szCs w:val="21"/>
                    </w:rPr>
                  </w:pPr>
                </w:p>
              </w:tc>
              <w:tc>
                <w:tcPr>
                  <w:tcW w:w="320" w:type="pct"/>
                  <w:vMerge w:val="continue"/>
                  <w:tcMar>
                    <w:left w:w="28" w:type="dxa"/>
                    <w:right w:w="28" w:type="dxa"/>
                  </w:tcMar>
                  <w:vAlign w:val="center"/>
                </w:tcPr>
                <w:p w14:paraId="0608C2B4">
                  <w:pPr>
                    <w:autoSpaceDE w:val="0"/>
                    <w:autoSpaceDN w:val="0"/>
                    <w:adjustRightInd w:val="0"/>
                    <w:jc w:val="center"/>
                    <w:rPr>
                      <w:color w:val="EE0000"/>
                      <w:szCs w:val="21"/>
                    </w:rPr>
                  </w:pPr>
                </w:p>
              </w:tc>
              <w:tc>
                <w:tcPr>
                  <w:tcW w:w="392" w:type="pct"/>
                  <w:vMerge w:val="continue"/>
                  <w:tcMar>
                    <w:left w:w="28" w:type="dxa"/>
                    <w:right w:w="28" w:type="dxa"/>
                  </w:tcMar>
                  <w:vAlign w:val="center"/>
                </w:tcPr>
                <w:p w14:paraId="1922309C">
                  <w:pPr>
                    <w:autoSpaceDE w:val="0"/>
                    <w:autoSpaceDN w:val="0"/>
                    <w:adjustRightInd w:val="0"/>
                    <w:jc w:val="center"/>
                    <w:rPr>
                      <w:color w:val="EE0000"/>
                      <w:szCs w:val="21"/>
                    </w:rPr>
                  </w:pPr>
                </w:p>
              </w:tc>
              <w:tc>
                <w:tcPr>
                  <w:tcW w:w="256" w:type="pct"/>
                  <w:tcMar>
                    <w:left w:w="28" w:type="dxa"/>
                    <w:right w:w="28" w:type="dxa"/>
                  </w:tcMar>
                  <w:vAlign w:val="center"/>
                </w:tcPr>
                <w:p w14:paraId="1DBABCF8">
                  <w:pPr>
                    <w:autoSpaceDE w:val="0"/>
                    <w:autoSpaceDN w:val="0"/>
                    <w:adjustRightInd w:val="0"/>
                    <w:jc w:val="center"/>
                    <w:rPr>
                      <w:szCs w:val="21"/>
                    </w:rPr>
                  </w:pPr>
                  <w:r>
                    <w:rPr>
                      <w:szCs w:val="21"/>
                    </w:rPr>
                    <w:t>污染物排放管控</w:t>
                  </w:r>
                </w:p>
              </w:tc>
              <w:tc>
                <w:tcPr>
                  <w:tcW w:w="1934" w:type="pct"/>
                  <w:tcMar>
                    <w:left w:w="28" w:type="dxa"/>
                    <w:right w:w="28" w:type="dxa"/>
                  </w:tcMar>
                  <w:vAlign w:val="center"/>
                </w:tcPr>
                <w:p w14:paraId="431E9DD2">
                  <w:pPr>
                    <w:pStyle w:val="249"/>
                    <w:rPr>
                      <w:rFonts w:eastAsia="宋体"/>
                      <w:color w:val="auto"/>
                      <w:sz w:val="21"/>
                      <w:szCs w:val="21"/>
                    </w:rPr>
                  </w:pPr>
                  <w:r>
                    <w:rPr>
                      <w:rFonts w:eastAsia="宋体"/>
                      <w:color w:val="auto"/>
                      <w:sz w:val="21"/>
                      <w:szCs w:val="21"/>
                    </w:rPr>
                    <w:t>1、重点行业二氧化硫、氮氧化物、颗粒物、VOCs全面执行大气污染物特别排放限值。</w:t>
                  </w:r>
                </w:p>
                <w:p w14:paraId="2774C768">
                  <w:pPr>
                    <w:pStyle w:val="249"/>
                    <w:rPr>
                      <w:rFonts w:eastAsia="宋体"/>
                      <w:color w:val="auto"/>
                      <w:sz w:val="21"/>
                      <w:szCs w:val="21"/>
                    </w:rPr>
                  </w:pPr>
                  <w:r>
                    <w:rPr>
                      <w:rFonts w:eastAsia="宋体"/>
                      <w:color w:val="auto"/>
                      <w:sz w:val="21"/>
                      <w:szCs w:val="21"/>
                    </w:rPr>
                    <w:t>2、电镀项目应符合园区规划及规划环评要求，同时满足《河南省电镀建设项目环境影响评价文件审查审批原则》要求。</w:t>
                  </w:r>
                </w:p>
                <w:p w14:paraId="799CC800">
                  <w:pPr>
                    <w:pStyle w:val="249"/>
                    <w:rPr>
                      <w:rFonts w:eastAsia="宋体"/>
                      <w:color w:val="auto"/>
                      <w:sz w:val="21"/>
                      <w:szCs w:val="21"/>
                    </w:rPr>
                  </w:pPr>
                  <w:r>
                    <w:rPr>
                      <w:rFonts w:eastAsia="宋体"/>
                      <w:color w:val="auto"/>
                      <w:sz w:val="21"/>
                      <w:szCs w:val="21"/>
                    </w:rPr>
                    <w:t>3、宝丰县煤炭循环经济产业园废水全部回用，不外排。</w:t>
                  </w:r>
                </w:p>
              </w:tc>
              <w:tc>
                <w:tcPr>
                  <w:tcW w:w="1039" w:type="pct"/>
                  <w:tcMar>
                    <w:left w:w="28" w:type="dxa"/>
                    <w:right w:w="28" w:type="dxa"/>
                  </w:tcMar>
                  <w:vAlign w:val="center"/>
                </w:tcPr>
                <w:p w14:paraId="5171A450">
                  <w:pPr>
                    <w:pStyle w:val="249"/>
                    <w:rPr>
                      <w:rFonts w:eastAsia="宋体"/>
                      <w:color w:val="auto"/>
                      <w:sz w:val="21"/>
                      <w:szCs w:val="21"/>
                    </w:rPr>
                  </w:pPr>
                  <w:r>
                    <w:rPr>
                      <w:rFonts w:eastAsia="宋体"/>
                      <w:color w:val="auto"/>
                      <w:sz w:val="21"/>
                      <w:szCs w:val="21"/>
                    </w:rPr>
                    <w:t>1、本项目技改后二氧化硫、氮氧化物、颗粒物、等排放浓度满足A级企业浓度限值要求。</w:t>
                  </w:r>
                </w:p>
                <w:p w14:paraId="0FB97CE3">
                  <w:pPr>
                    <w:pStyle w:val="249"/>
                    <w:rPr>
                      <w:rFonts w:eastAsia="宋体"/>
                      <w:color w:val="auto"/>
                      <w:sz w:val="21"/>
                      <w:szCs w:val="21"/>
                    </w:rPr>
                  </w:pPr>
                  <w:r>
                    <w:rPr>
                      <w:rFonts w:eastAsia="宋体"/>
                      <w:color w:val="auto"/>
                      <w:sz w:val="21"/>
                      <w:szCs w:val="21"/>
                    </w:rPr>
                    <w:t>2、不涉及。</w:t>
                  </w:r>
                </w:p>
                <w:p w14:paraId="20F9FC79">
                  <w:pPr>
                    <w:autoSpaceDE w:val="0"/>
                    <w:autoSpaceDN w:val="0"/>
                    <w:adjustRightInd w:val="0"/>
                    <w:jc w:val="left"/>
                    <w:rPr>
                      <w:szCs w:val="21"/>
                    </w:rPr>
                  </w:pPr>
                  <w:r>
                    <w:rPr>
                      <w:szCs w:val="21"/>
                    </w:rPr>
                    <w:t>3、项目不在宝丰县煤炭循环经济产业园，废水全部回用，不外排。</w:t>
                  </w:r>
                </w:p>
              </w:tc>
              <w:tc>
                <w:tcPr>
                  <w:tcW w:w="282" w:type="pct"/>
                  <w:vAlign w:val="center"/>
                </w:tcPr>
                <w:p w14:paraId="31577717">
                  <w:pPr>
                    <w:autoSpaceDE w:val="0"/>
                    <w:autoSpaceDN w:val="0"/>
                    <w:adjustRightInd w:val="0"/>
                    <w:jc w:val="center"/>
                    <w:rPr>
                      <w:szCs w:val="21"/>
                    </w:rPr>
                  </w:pPr>
                  <w:r>
                    <w:rPr>
                      <w:szCs w:val="21"/>
                    </w:rPr>
                    <w:t>相符</w:t>
                  </w:r>
                </w:p>
              </w:tc>
            </w:tr>
            <w:tr w14:paraId="3FC65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422" w:type="pct"/>
                  <w:vMerge w:val="continue"/>
                  <w:vAlign w:val="center"/>
                </w:tcPr>
                <w:p w14:paraId="3E3B7679">
                  <w:pPr>
                    <w:jc w:val="center"/>
                    <w:rPr>
                      <w:color w:val="EE0000"/>
                      <w:szCs w:val="21"/>
                    </w:rPr>
                  </w:pPr>
                </w:p>
              </w:tc>
              <w:tc>
                <w:tcPr>
                  <w:tcW w:w="356" w:type="pct"/>
                  <w:vMerge w:val="continue"/>
                  <w:tcMar>
                    <w:left w:w="28" w:type="dxa"/>
                    <w:right w:w="28" w:type="dxa"/>
                  </w:tcMar>
                  <w:vAlign w:val="center"/>
                </w:tcPr>
                <w:p w14:paraId="0A3CE809">
                  <w:pPr>
                    <w:autoSpaceDE w:val="0"/>
                    <w:autoSpaceDN w:val="0"/>
                    <w:adjustRightInd w:val="0"/>
                    <w:jc w:val="center"/>
                    <w:rPr>
                      <w:color w:val="EE0000"/>
                      <w:szCs w:val="21"/>
                    </w:rPr>
                  </w:pPr>
                </w:p>
              </w:tc>
              <w:tc>
                <w:tcPr>
                  <w:tcW w:w="320" w:type="pct"/>
                  <w:vMerge w:val="continue"/>
                  <w:tcMar>
                    <w:left w:w="28" w:type="dxa"/>
                    <w:right w:w="28" w:type="dxa"/>
                  </w:tcMar>
                  <w:vAlign w:val="center"/>
                </w:tcPr>
                <w:p w14:paraId="5D9E6035">
                  <w:pPr>
                    <w:autoSpaceDE w:val="0"/>
                    <w:autoSpaceDN w:val="0"/>
                    <w:adjustRightInd w:val="0"/>
                    <w:jc w:val="center"/>
                    <w:rPr>
                      <w:color w:val="EE0000"/>
                      <w:szCs w:val="21"/>
                    </w:rPr>
                  </w:pPr>
                </w:p>
              </w:tc>
              <w:tc>
                <w:tcPr>
                  <w:tcW w:w="392" w:type="pct"/>
                  <w:vMerge w:val="continue"/>
                  <w:tcMar>
                    <w:left w:w="28" w:type="dxa"/>
                    <w:right w:w="28" w:type="dxa"/>
                  </w:tcMar>
                  <w:vAlign w:val="center"/>
                </w:tcPr>
                <w:p w14:paraId="1FDDC146">
                  <w:pPr>
                    <w:autoSpaceDE w:val="0"/>
                    <w:autoSpaceDN w:val="0"/>
                    <w:adjustRightInd w:val="0"/>
                    <w:jc w:val="center"/>
                    <w:rPr>
                      <w:color w:val="EE0000"/>
                      <w:szCs w:val="21"/>
                    </w:rPr>
                  </w:pPr>
                </w:p>
              </w:tc>
              <w:tc>
                <w:tcPr>
                  <w:tcW w:w="256" w:type="pct"/>
                  <w:tcMar>
                    <w:left w:w="28" w:type="dxa"/>
                    <w:right w:w="28" w:type="dxa"/>
                  </w:tcMar>
                  <w:vAlign w:val="center"/>
                </w:tcPr>
                <w:p w14:paraId="194C631D">
                  <w:pPr>
                    <w:autoSpaceDE w:val="0"/>
                    <w:autoSpaceDN w:val="0"/>
                    <w:adjustRightInd w:val="0"/>
                    <w:jc w:val="center"/>
                    <w:rPr>
                      <w:szCs w:val="21"/>
                    </w:rPr>
                  </w:pPr>
                  <w:r>
                    <w:rPr>
                      <w:szCs w:val="21"/>
                    </w:rPr>
                    <w:t>环境风险防控</w:t>
                  </w:r>
                </w:p>
              </w:tc>
              <w:tc>
                <w:tcPr>
                  <w:tcW w:w="1934" w:type="pct"/>
                  <w:tcMar>
                    <w:left w:w="28" w:type="dxa"/>
                    <w:right w:w="28" w:type="dxa"/>
                  </w:tcMar>
                  <w:vAlign w:val="center"/>
                </w:tcPr>
                <w:p w14:paraId="22830A5B">
                  <w:pPr>
                    <w:pStyle w:val="249"/>
                    <w:rPr>
                      <w:rFonts w:eastAsia="宋体"/>
                      <w:color w:val="auto"/>
                      <w:sz w:val="21"/>
                      <w:szCs w:val="21"/>
                    </w:rPr>
                  </w:pPr>
                  <w:r>
                    <w:rPr>
                      <w:rFonts w:eastAsia="宋体"/>
                      <w:color w:val="auto"/>
                      <w:sz w:val="21"/>
                      <w:szCs w:val="21"/>
                    </w:rPr>
                    <w:t>宝丰县煤炭循环经济产业园按照《化工园区建设标准和认定管理办法》(试行)建设标准、园区管理要求，做好园区风险防范设施建设、入园企业管理，全面提升园区风险防控和事故应急处置能力。</w:t>
                  </w:r>
                </w:p>
              </w:tc>
              <w:tc>
                <w:tcPr>
                  <w:tcW w:w="1039" w:type="pct"/>
                  <w:tcMar>
                    <w:left w:w="28" w:type="dxa"/>
                    <w:right w:w="28" w:type="dxa"/>
                  </w:tcMar>
                  <w:vAlign w:val="center"/>
                </w:tcPr>
                <w:p w14:paraId="18310F17">
                  <w:pPr>
                    <w:autoSpaceDE w:val="0"/>
                    <w:autoSpaceDN w:val="0"/>
                    <w:adjustRightInd w:val="0"/>
                    <w:jc w:val="left"/>
                    <w:rPr>
                      <w:szCs w:val="21"/>
                    </w:rPr>
                  </w:pPr>
                  <w:r>
                    <w:rPr>
                      <w:szCs w:val="21"/>
                    </w:rPr>
                    <w:t>企业不在宝丰县煤炭循环经济产业园，已按照要求制定突发环境事件应急预案</w:t>
                  </w:r>
                </w:p>
              </w:tc>
              <w:tc>
                <w:tcPr>
                  <w:tcW w:w="282" w:type="pct"/>
                  <w:vAlign w:val="center"/>
                </w:tcPr>
                <w:p w14:paraId="2D1CAA84">
                  <w:pPr>
                    <w:autoSpaceDE w:val="0"/>
                    <w:autoSpaceDN w:val="0"/>
                    <w:adjustRightInd w:val="0"/>
                    <w:jc w:val="center"/>
                    <w:rPr>
                      <w:szCs w:val="21"/>
                    </w:rPr>
                  </w:pPr>
                  <w:r>
                    <w:rPr>
                      <w:szCs w:val="21"/>
                    </w:rPr>
                    <w:t>相符</w:t>
                  </w:r>
                </w:p>
              </w:tc>
            </w:tr>
          </w:tbl>
          <w:p w14:paraId="048ECAD0">
            <w:pPr>
              <w:adjustRightInd w:val="0"/>
              <w:snapToGrid w:val="0"/>
              <w:spacing w:line="520" w:lineRule="exact"/>
              <w:ind w:firstLine="480" w:firstLineChars="200"/>
              <w:jc w:val="left"/>
              <w:rPr>
                <w:kern w:val="0"/>
                <w:sz w:val="24"/>
              </w:rPr>
            </w:pPr>
            <w:r>
              <w:rPr>
                <w:kern w:val="0"/>
                <w:sz w:val="24"/>
              </w:rPr>
              <w:t>经比对，项目涉及1个河南省水环境管控分区，其中水环境优先保护区0个，工业污染重点管控区0个,城镇生活污染重点管控区0个，农业污染重点管控区0个,水环境一般管控区1个，为北汝河平顶山市襄县鲁渡控制单元，详见下表：</w:t>
            </w:r>
          </w:p>
          <w:p w14:paraId="2ACBC307">
            <w:pPr>
              <w:pStyle w:val="13"/>
              <w:adjustRightInd w:val="0"/>
              <w:snapToGrid w:val="0"/>
              <w:spacing w:line="520" w:lineRule="exact"/>
              <w:jc w:val="center"/>
              <w:rPr>
                <w:rFonts w:ascii="Times New Roman" w:hAnsi="Times New Roman" w:cs="Times New Roman"/>
                <w:kern w:val="0"/>
                <w:sz w:val="24"/>
                <w:szCs w:val="24"/>
              </w:rPr>
            </w:pPr>
            <w:r>
              <w:rPr>
                <w:rFonts w:ascii="Times New Roman" w:hAnsi="Times New Roman" w:cs="Times New Roman"/>
                <w:kern w:val="0"/>
                <w:sz w:val="24"/>
                <w:szCs w:val="24"/>
              </w:rPr>
              <w:t>表1-4      项目与河南省水环境管控要求的相符性</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702"/>
              <w:gridCol w:w="554"/>
              <w:gridCol w:w="499"/>
              <w:gridCol w:w="613"/>
              <w:gridCol w:w="540"/>
              <w:gridCol w:w="2865"/>
              <w:gridCol w:w="1663"/>
              <w:gridCol w:w="438"/>
            </w:tblGrid>
            <w:tr w14:paraId="71DCF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9" w:hRule="atLeast"/>
                <w:jc w:val="center"/>
              </w:trPr>
              <w:tc>
                <w:tcPr>
                  <w:tcW w:w="446" w:type="pct"/>
                  <w:vAlign w:val="center"/>
                </w:tcPr>
                <w:p w14:paraId="6605AA33">
                  <w:pPr>
                    <w:jc w:val="center"/>
                    <w:rPr>
                      <w:szCs w:val="21"/>
                    </w:rPr>
                  </w:pPr>
                  <w:r>
                    <w:rPr>
                      <w:szCs w:val="21"/>
                    </w:rPr>
                    <w:t>水环境管控分区编码</w:t>
                  </w:r>
                </w:p>
              </w:tc>
              <w:tc>
                <w:tcPr>
                  <w:tcW w:w="352" w:type="pct"/>
                  <w:tcMar>
                    <w:left w:w="28" w:type="dxa"/>
                    <w:right w:w="28" w:type="dxa"/>
                  </w:tcMar>
                  <w:vAlign w:val="center"/>
                </w:tcPr>
                <w:p w14:paraId="025F4B63">
                  <w:pPr>
                    <w:autoSpaceDE w:val="0"/>
                    <w:autoSpaceDN w:val="0"/>
                    <w:adjustRightInd w:val="0"/>
                    <w:jc w:val="center"/>
                    <w:rPr>
                      <w:szCs w:val="21"/>
                    </w:rPr>
                  </w:pPr>
                  <w:r>
                    <w:rPr>
                      <w:szCs w:val="21"/>
                    </w:rPr>
                    <w:t>水环境管控分名称</w:t>
                  </w:r>
                </w:p>
              </w:tc>
              <w:tc>
                <w:tcPr>
                  <w:tcW w:w="317" w:type="pct"/>
                  <w:tcMar>
                    <w:left w:w="28" w:type="dxa"/>
                    <w:right w:w="28" w:type="dxa"/>
                  </w:tcMar>
                  <w:vAlign w:val="center"/>
                </w:tcPr>
                <w:p w14:paraId="1CDBB4D0">
                  <w:pPr>
                    <w:autoSpaceDE w:val="0"/>
                    <w:autoSpaceDN w:val="0"/>
                    <w:adjustRightInd w:val="0"/>
                    <w:jc w:val="center"/>
                    <w:rPr>
                      <w:szCs w:val="21"/>
                    </w:rPr>
                  </w:pPr>
                  <w:r>
                    <w:rPr>
                      <w:szCs w:val="21"/>
                    </w:rPr>
                    <w:t>所属区县</w:t>
                  </w:r>
                </w:p>
              </w:tc>
              <w:tc>
                <w:tcPr>
                  <w:tcW w:w="389" w:type="pct"/>
                  <w:tcMar>
                    <w:left w:w="28" w:type="dxa"/>
                    <w:right w:w="28" w:type="dxa"/>
                  </w:tcMar>
                  <w:vAlign w:val="center"/>
                </w:tcPr>
                <w:p w14:paraId="33B44A9C">
                  <w:pPr>
                    <w:autoSpaceDE w:val="0"/>
                    <w:autoSpaceDN w:val="0"/>
                    <w:adjustRightInd w:val="0"/>
                    <w:jc w:val="center"/>
                    <w:rPr>
                      <w:szCs w:val="21"/>
                    </w:rPr>
                  </w:pPr>
                  <w:r>
                    <w:rPr>
                      <w:szCs w:val="21"/>
                    </w:rPr>
                    <w:t>管控单元分类</w:t>
                  </w:r>
                </w:p>
              </w:tc>
              <w:tc>
                <w:tcPr>
                  <w:tcW w:w="2162" w:type="pct"/>
                  <w:gridSpan w:val="2"/>
                  <w:tcMar>
                    <w:left w:w="28" w:type="dxa"/>
                    <w:right w:w="28" w:type="dxa"/>
                  </w:tcMar>
                  <w:vAlign w:val="center"/>
                </w:tcPr>
                <w:p w14:paraId="269F123F">
                  <w:pPr>
                    <w:autoSpaceDE w:val="0"/>
                    <w:autoSpaceDN w:val="0"/>
                    <w:adjustRightInd w:val="0"/>
                    <w:jc w:val="center"/>
                    <w:rPr>
                      <w:szCs w:val="21"/>
                    </w:rPr>
                  </w:pPr>
                  <w:r>
                    <w:rPr>
                      <w:szCs w:val="21"/>
                    </w:rPr>
                    <w:t>管控要求</w:t>
                  </w:r>
                </w:p>
              </w:tc>
              <w:tc>
                <w:tcPr>
                  <w:tcW w:w="1056" w:type="pct"/>
                  <w:tcBorders>
                    <w:right w:val="single" w:color="auto" w:sz="4" w:space="0"/>
                  </w:tcBorders>
                  <w:tcMar>
                    <w:left w:w="28" w:type="dxa"/>
                    <w:right w:w="28" w:type="dxa"/>
                  </w:tcMar>
                  <w:vAlign w:val="center"/>
                </w:tcPr>
                <w:p w14:paraId="3F8BD0FB">
                  <w:pPr>
                    <w:jc w:val="center"/>
                    <w:rPr>
                      <w:szCs w:val="21"/>
                    </w:rPr>
                  </w:pPr>
                  <w:r>
                    <w:rPr>
                      <w:szCs w:val="21"/>
                    </w:rPr>
                    <w:t>本项目情况</w:t>
                  </w:r>
                </w:p>
              </w:tc>
              <w:tc>
                <w:tcPr>
                  <w:tcW w:w="278" w:type="pct"/>
                  <w:tcBorders>
                    <w:left w:val="single" w:color="auto" w:sz="4" w:space="0"/>
                  </w:tcBorders>
                  <w:vAlign w:val="center"/>
                </w:tcPr>
                <w:p w14:paraId="22F7D7AF">
                  <w:pPr>
                    <w:jc w:val="center"/>
                    <w:rPr>
                      <w:szCs w:val="21"/>
                    </w:rPr>
                  </w:pPr>
                  <w:r>
                    <w:rPr>
                      <w:szCs w:val="21"/>
                    </w:rPr>
                    <w:t>相符性</w:t>
                  </w:r>
                </w:p>
              </w:tc>
            </w:tr>
            <w:tr w14:paraId="2ED8FE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174" w:hRule="atLeast"/>
                <w:jc w:val="center"/>
              </w:trPr>
              <w:tc>
                <w:tcPr>
                  <w:tcW w:w="446" w:type="pct"/>
                  <w:vAlign w:val="center"/>
                </w:tcPr>
                <w:p w14:paraId="1E9DACFB">
                  <w:pPr>
                    <w:jc w:val="center"/>
                    <w:rPr>
                      <w:szCs w:val="21"/>
                    </w:rPr>
                  </w:pPr>
                  <w:r>
                    <w:rPr>
                      <w:szCs w:val="21"/>
                    </w:rPr>
                    <w:t>YS4104</w:t>
                  </w:r>
                </w:p>
                <w:p w14:paraId="23353DE6">
                  <w:pPr>
                    <w:jc w:val="center"/>
                    <w:rPr>
                      <w:szCs w:val="21"/>
                    </w:rPr>
                  </w:pPr>
                  <w:r>
                    <w:rPr>
                      <w:szCs w:val="21"/>
                    </w:rPr>
                    <w:t>213210</w:t>
                  </w:r>
                </w:p>
                <w:p w14:paraId="5CEC9FF8">
                  <w:pPr>
                    <w:jc w:val="center"/>
                    <w:rPr>
                      <w:szCs w:val="21"/>
                    </w:rPr>
                  </w:pPr>
                  <w:r>
                    <w:rPr>
                      <w:szCs w:val="21"/>
                    </w:rPr>
                    <w:t>062</w:t>
                  </w:r>
                </w:p>
              </w:tc>
              <w:tc>
                <w:tcPr>
                  <w:tcW w:w="352" w:type="pct"/>
                  <w:tcMar>
                    <w:left w:w="28" w:type="dxa"/>
                    <w:right w:w="28" w:type="dxa"/>
                  </w:tcMar>
                  <w:vAlign w:val="center"/>
                </w:tcPr>
                <w:p w14:paraId="7CC1D5C4">
                  <w:pPr>
                    <w:autoSpaceDE w:val="0"/>
                    <w:autoSpaceDN w:val="0"/>
                    <w:adjustRightInd w:val="0"/>
                    <w:jc w:val="center"/>
                    <w:rPr>
                      <w:szCs w:val="21"/>
                    </w:rPr>
                  </w:pPr>
                  <w:r>
                    <w:rPr>
                      <w:szCs w:val="21"/>
                    </w:rPr>
                    <w:t>北汝河平顶山市襄县鲁渡控制单元</w:t>
                  </w:r>
                </w:p>
              </w:tc>
              <w:tc>
                <w:tcPr>
                  <w:tcW w:w="317" w:type="pct"/>
                  <w:tcMar>
                    <w:left w:w="28" w:type="dxa"/>
                    <w:right w:w="28" w:type="dxa"/>
                  </w:tcMar>
                  <w:vAlign w:val="center"/>
                </w:tcPr>
                <w:p w14:paraId="3332B6E4">
                  <w:pPr>
                    <w:autoSpaceDE w:val="0"/>
                    <w:autoSpaceDN w:val="0"/>
                    <w:adjustRightInd w:val="0"/>
                    <w:jc w:val="center"/>
                    <w:rPr>
                      <w:szCs w:val="21"/>
                    </w:rPr>
                  </w:pPr>
                  <w:r>
                    <w:rPr>
                      <w:szCs w:val="21"/>
                    </w:rPr>
                    <w:t>平顶山市宝丰县</w:t>
                  </w:r>
                </w:p>
              </w:tc>
              <w:tc>
                <w:tcPr>
                  <w:tcW w:w="389" w:type="pct"/>
                  <w:tcMar>
                    <w:left w:w="28" w:type="dxa"/>
                    <w:right w:w="28" w:type="dxa"/>
                  </w:tcMar>
                  <w:vAlign w:val="center"/>
                </w:tcPr>
                <w:p w14:paraId="3B9F17E1">
                  <w:pPr>
                    <w:autoSpaceDE w:val="0"/>
                    <w:autoSpaceDN w:val="0"/>
                    <w:adjustRightInd w:val="0"/>
                    <w:jc w:val="center"/>
                    <w:rPr>
                      <w:szCs w:val="21"/>
                    </w:rPr>
                  </w:pPr>
                  <w:r>
                    <w:rPr>
                      <w:szCs w:val="21"/>
                    </w:rPr>
                    <w:t>一般</w:t>
                  </w:r>
                </w:p>
              </w:tc>
              <w:tc>
                <w:tcPr>
                  <w:tcW w:w="343" w:type="pct"/>
                  <w:tcMar>
                    <w:left w:w="28" w:type="dxa"/>
                    <w:right w:w="28" w:type="dxa"/>
                  </w:tcMar>
                  <w:vAlign w:val="center"/>
                </w:tcPr>
                <w:p w14:paraId="6163DE6A">
                  <w:pPr>
                    <w:autoSpaceDE w:val="0"/>
                    <w:autoSpaceDN w:val="0"/>
                    <w:adjustRightInd w:val="0"/>
                    <w:jc w:val="center"/>
                    <w:rPr>
                      <w:szCs w:val="21"/>
                    </w:rPr>
                  </w:pPr>
                  <w:r>
                    <w:rPr>
                      <w:szCs w:val="21"/>
                    </w:rPr>
                    <w:t>污染物排放管控</w:t>
                  </w:r>
                </w:p>
              </w:tc>
              <w:tc>
                <w:tcPr>
                  <w:tcW w:w="1819" w:type="pct"/>
                  <w:tcMar>
                    <w:left w:w="28" w:type="dxa"/>
                    <w:right w:w="28" w:type="dxa"/>
                  </w:tcMar>
                  <w:vAlign w:val="center"/>
                </w:tcPr>
                <w:p w14:paraId="4F5873E1">
                  <w:pPr>
                    <w:pStyle w:val="249"/>
                    <w:rPr>
                      <w:color w:val="auto"/>
                      <w:szCs w:val="21"/>
                    </w:rPr>
                  </w:pPr>
                  <w:r>
                    <w:rPr>
                      <w:rFonts w:eastAsia="宋体"/>
                      <w:color w:val="auto"/>
                      <w:sz w:val="21"/>
                      <w:szCs w:val="21"/>
                    </w:rPr>
                    <w:t>1、新建或扩建城镇污水处理厂必须达到或优于级A排放标准。</w:t>
                  </w:r>
                </w:p>
              </w:tc>
              <w:tc>
                <w:tcPr>
                  <w:tcW w:w="1056" w:type="pct"/>
                  <w:tcBorders>
                    <w:right w:val="single" w:color="auto" w:sz="4" w:space="0"/>
                  </w:tcBorders>
                  <w:tcMar>
                    <w:left w:w="28" w:type="dxa"/>
                    <w:right w:w="28" w:type="dxa"/>
                  </w:tcMar>
                  <w:vAlign w:val="center"/>
                </w:tcPr>
                <w:p w14:paraId="0F6263BF">
                  <w:pPr>
                    <w:autoSpaceDE w:val="0"/>
                    <w:autoSpaceDN w:val="0"/>
                    <w:adjustRightInd w:val="0"/>
                    <w:jc w:val="center"/>
                    <w:rPr>
                      <w:szCs w:val="21"/>
                    </w:rPr>
                  </w:pPr>
                  <w:r>
                    <w:rPr>
                      <w:szCs w:val="21"/>
                    </w:rPr>
                    <w:t>不涉及</w:t>
                  </w:r>
                </w:p>
              </w:tc>
              <w:tc>
                <w:tcPr>
                  <w:tcW w:w="278" w:type="pct"/>
                  <w:tcBorders>
                    <w:left w:val="single" w:color="auto" w:sz="4" w:space="0"/>
                  </w:tcBorders>
                  <w:vAlign w:val="center"/>
                </w:tcPr>
                <w:p w14:paraId="4C99442B">
                  <w:pPr>
                    <w:autoSpaceDE w:val="0"/>
                    <w:autoSpaceDN w:val="0"/>
                    <w:adjustRightInd w:val="0"/>
                    <w:jc w:val="center"/>
                    <w:rPr>
                      <w:szCs w:val="21"/>
                    </w:rPr>
                  </w:pPr>
                  <w:r>
                    <w:rPr>
                      <w:szCs w:val="21"/>
                    </w:rPr>
                    <w:t>/</w:t>
                  </w:r>
                </w:p>
              </w:tc>
            </w:tr>
          </w:tbl>
          <w:p w14:paraId="33458392">
            <w:pPr>
              <w:autoSpaceDE w:val="0"/>
              <w:autoSpaceDN w:val="0"/>
              <w:adjustRightInd w:val="0"/>
              <w:snapToGrid w:val="0"/>
              <w:spacing w:line="520" w:lineRule="exact"/>
              <w:ind w:firstLine="480" w:firstLineChars="200"/>
              <w:rPr>
                <w:kern w:val="0"/>
                <w:sz w:val="24"/>
              </w:rPr>
            </w:pPr>
            <w:r>
              <w:rPr>
                <w:kern w:val="0"/>
                <w:sz w:val="24"/>
              </w:rPr>
              <w:t>经比对，项目涉及2个河南省大气环境管控分区，其中大气环境优先保护区0个，高排放重点管控区0个，布局敏感重点管控区1个，弱扩散重点管控区1个，受体敏感重点管控区0个，大气环境一般管控区0个，详见下表。</w:t>
            </w:r>
          </w:p>
          <w:p w14:paraId="06F2D9B6">
            <w:pPr>
              <w:pStyle w:val="13"/>
              <w:adjustRightInd w:val="0"/>
              <w:snapToGrid w:val="0"/>
              <w:spacing w:line="520" w:lineRule="exact"/>
              <w:jc w:val="center"/>
              <w:rPr>
                <w:rFonts w:ascii="Times New Roman" w:hAnsi="Times New Roman" w:cs="Times New Roman"/>
                <w:kern w:val="0"/>
                <w:sz w:val="24"/>
                <w:szCs w:val="24"/>
              </w:rPr>
            </w:pPr>
            <w:r>
              <w:rPr>
                <w:rFonts w:ascii="Times New Roman" w:hAnsi="Times New Roman" w:cs="Times New Roman"/>
                <w:kern w:val="0"/>
                <w:sz w:val="24"/>
                <w:szCs w:val="24"/>
              </w:rPr>
              <w:t>表1-5      项目与河南省大气环境管控要求的相符性</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710"/>
              <w:gridCol w:w="554"/>
              <w:gridCol w:w="498"/>
              <w:gridCol w:w="487"/>
              <w:gridCol w:w="354"/>
              <w:gridCol w:w="3171"/>
              <w:gridCol w:w="1662"/>
              <w:gridCol w:w="438"/>
            </w:tblGrid>
            <w:tr w14:paraId="578337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9" w:hRule="atLeast"/>
                <w:jc w:val="center"/>
              </w:trPr>
              <w:tc>
                <w:tcPr>
                  <w:tcW w:w="451" w:type="pct"/>
                  <w:vAlign w:val="center"/>
                </w:tcPr>
                <w:p w14:paraId="2D96CFA5">
                  <w:pPr>
                    <w:jc w:val="center"/>
                    <w:rPr>
                      <w:szCs w:val="21"/>
                    </w:rPr>
                  </w:pPr>
                  <w:r>
                    <w:rPr>
                      <w:szCs w:val="21"/>
                    </w:rPr>
                    <w:t>大气环境管控分区编码</w:t>
                  </w:r>
                </w:p>
              </w:tc>
              <w:tc>
                <w:tcPr>
                  <w:tcW w:w="352" w:type="pct"/>
                  <w:tcMar>
                    <w:left w:w="28" w:type="dxa"/>
                    <w:right w:w="28" w:type="dxa"/>
                  </w:tcMar>
                  <w:vAlign w:val="center"/>
                </w:tcPr>
                <w:p w14:paraId="0DA8AD15">
                  <w:pPr>
                    <w:autoSpaceDE w:val="0"/>
                    <w:autoSpaceDN w:val="0"/>
                    <w:adjustRightInd w:val="0"/>
                    <w:jc w:val="center"/>
                    <w:rPr>
                      <w:szCs w:val="21"/>
                    </w:rPr>
                  </w:pPr>
                  <w:r>
                    <w:rPr>
                      <w:szCs w:val="21"/>
                    </w:rPr>
                    <w:t>大气环境管控分名称</w:t>
                  </w:r>
                </w:p>
              </w:tc>
              <w:tc>
                <w:tcPr>
                  <w:tcW w:w="316" w:type="pct"/>
                  <w:tcMar>
                    <w:left w:w="28" w:type="dxa"/>
                    <w:right w:w="28" w:type="dxa"/>
                  </w:tcMar>
                  <w:vAlign w:val="center"/>
                </w:tcPr>
                <w:p w14:paraId="1B04C4B0">
                  <w:pPr>
                    <w:autoSpaceDE w:val="0"/>
                    <w:autoSpaceDN w:val="0"/>
                    <w:adjustRightInd w:val="0"/>
                    <w:jc w:val="center"/>
                    <w:rPr>
                      <w:szCs w:val="21"/>
                    </w:rPr>
                  </w:pPr>
                  <w:r>
                    <w:rPr>
                      <w:szCs w:val="21"/>
                    </w:rPr>
                    <w:t>所属区县</w:t>
                  </w:r>
                </w:p>
              </w:tc>
              <w:tc>
                <w:tcPr>
                  <w:tcW w:w="309" w:type="pct"/>
                  <w:tcMar>
                    <w:left w:w="28" w:type="dxa"/>
                    <w:right w:w="28" w:type="dxa"/>
                  </w:tcMar>
                  <w:vAlign w:val="center"/>
                </w:tcPr>
                <w:p w14:paraId="20FA6769">
                  <w:pPr>
                    <w:autoSpaceDE w:val="0"/>
                    <w:autoSpaceDN w:val="0"/>
                    <w:adjustRightInd w:val="0"/>
                    <w:jc w:val="center"/>
                    <w:rPr>
                      <w:szCs w:val="21"/>
                    </w:rPr>
                  </w:pPr>
                  <w:r>
                    <w:rPr>
                      <w:szCs w:val="21"/>
                    </w:rPr>
                    <w:t>管控单元分类</w:t>
                  </w:r>
                </w:p>
              </w:tc>
              <w:tc>
                <w:tcPr>
                  <w:tcW w:w="2238" w:type="pct"/>
                  <w:gridSpan w:val="2"/>
                  <w:tcMar>
                    <w:left w:w="28" w:type="dxa"/>
                    <w:right w:w="28" w:type="dxa"/>
                  </w:tcMar>
                  <w:vAlign w:val="center"/>
                </w:tcPr>
                <w:p w14:paraId="415DE7F5">
                  <w:pPr>
                    <w:autoSpaceDE w:val="0"/>
                    <w:autoSpaceDN w:val="0"/>
                    <w:adjustRightInd w:val="0"/>
                    <w:jc w:val="center"/>
                    <w:rPr>
                      <w:szCs w:val="21"/>
                    </w:rPr>
                  </w:pPr>
                  <w:r>
                    <w:rPr>
                      <w:szCs w:val="21"/>
                    </w:rPr>
                    <w:t>管控要求</w:t>
                  </w:r>
                </w:p>
              </w:tc>
              <w:tc>
                <w:tcPr>
                  <w:tcW w:w="1333" w:type="pct"/>
                  <w:gridSpan w:val="2"/>
                  <w:tcMar>
                    <w:left w:w="28" w:type="dxa"/>
                    <w:right w:w="28" w:type="dxa"/>
                  </w:tcMar>
                  <w:vAlign w:val="center"/>
                </w:tcPr>
                <w:p w14:paraId="4A98806A">
                  <w:pPr>
                    <w:jc w:val="center"/>
                    <w:rPr>
                      <w:szCs w:val="21"/>
                    </w:rPr>
                  </w:pPr>
                  <w:r>
                    <w:rPr>
                      <w:szCs w:val="21"/>
                    </w:rPr>
                    <w:t>本项目与其相符分析</w:t>
                  </w:r>
                </w:p>
              </w:tc>
            </w:tr>
            <w:tr w14:paraId="7034B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403" w:hRule="atLeast"/>
                <w:jc w:val="center"/>
              </w:trPr>
              <w:tc>
                <w:tcPr>
                  <w:tcW w:w="451" w:type="pct"/>
                  <w:vMerge w:val="restart"/>
                  <w:vAlign w:val="center"/>
                </w:tcPr>
                <w:p w14:paraId="677EBFE8">
                  <w:pPr>
                    <w:jc w:val="center"/>
                    <w:rPr>
                      <w:szCs w:val="21"/>
                    </w:rPr>
                  </w:pPr>
                  <w:r>
                    <w:rPr>
                      <w:szCs w:val="21"/>
                    </w:rPr>
                    <w:t>YS4104</w:t>
                  </w:r>
                </w:p>
                <w:p w14:paraId="3F27B4BA">
                  <w:pPr>
                    <w:jc w:val="center"/>
                    <w:rPr>
                      <w:szCs w:val="21"/>
                    </w:rPr>
                  </w:pPr>
                  <w:r>
                    <w:rPr>
                      <w:szCs w:val="21"/>
                    </w:rPr>
                    <w:t>212320</w:t>
                  </w:r>
                </w:p>
                <w:p w14:paraId="1BF8A38E">
                  <w:pPr>
                    <w:jc w:val="center"/>
                    <w:rPr>
                      <w:szCs w:val="21"/>
                    </w:rPr>
                  </w:pPr>
                  <w:r>
                    <w:rPr>
                      <w:szCs w:val="21"/>
                    </w:rPr>
                    <w:t>001</w:t>
                  </w:r>
                </w:p>
              </w:tc>
              <w:tc>
                <w:tcPr>
                  <w:tcW w:w="352" w:type="pct"/>
                  <w:vMerge w:val="restart"/>
                  <w:tcMar>
                    <w:left w:w="28" w:type="dxa"/>
                    <w:right w:w="28" w:type="dxa"/>
                  </w:tcMar>
                  <w:vAlign w:val="center"/>
                </w:tcPr>
                <w:p w14:paraId="2CA72D45">
                  <w:pPr>
                    <w:autoSpaceDE w:val="0"/>
                    <w:autoSpaceDN w:val="0"/>
                    <w:adjustRightInd w:val="0"/>
                    <w:jc w:val="center"/>
                    <w:rPr>
                      <w:szCs w:val="21"/>
                    </w:rPr>
                  </w:pPr>
                  <w:r>
                    <w:rPr>
                      <w:szCs w:val="21"/>
                    </w:rPr>
                    <w:t>/</w:t>
                  </w:r>
                </w:p>
              </w:tc>
              <w:tc>
                <w:tcPr>
                  <w:tcW w:w="316" w:type="pct"/>
                  <w:vMerge w:val="restart"/>
                  <w:tcMar>
                    <w:left w:w="28" w:type="dxa"/>
                    <w:right w:w="28" w:type="dxa"/>
                  </w:tcMar>
                  <w:vAlign w:val="center"/>
                </w:tcPr>
                <w:p w14:paraId="248069C3">
                  <w:pPr>
                    <w:autoSpaceDE w:val="0"/>
                    <w:autoSpaceDN w:val="0"/>
                    <w:adjustRightInd w:val="0"/>
                    <w:jc w:val="center"/>
                    <w:rPr>
                      <w:szCs w:val="21"/>
                    </w:rPr>
                  </w:pPr>
                  <w:r>
                    <w:rPr>
                      <w:szCs w:val="21"/>
                    </w:rPr>
                    <w:t>平顶山市宝丰县</w:t>
                  </w:r>
                </w:p>
              </w:tc>
              <w:tc>
                <w:tcPr>
                  <w:tcW w:w="309" w:type="pct"/>
                  <w:vMerge w:val="restart"/>
                  <w:tcMar>
                    <w:left w:w="28" w:type="dxa"/>
                    <w:right w:w="28" w:type="dxa"/>
                  </w:tcMar>
                  <w:vAlign w:val="center"/>
                </w:tcPr>
                <w:p w14:paraId="6D66326E">
                  <w:pPr>
                    <w:autoSpaceDE w:val="0"/>
                    <w:autoSpaceDN w:val="0"/>
                    <w:adjustRightInd w:val="0"/>
                    <w:jc w:val="center"/>
                    <w:rPr>
                      <w:szCs w:val="21"/>
                    </w:rPr>
                  </w:pPr>
                  <w:r>
                    <w:rPr>
                      <w:szCs w:val="21"/>
                    </w:rPr>
                    <w:t>重点</w:t>
                  </w:r>
                </w:p>
              </w:tc>
              <w:tc>
                <w:tcPr>
                  <w:tcW w:w="225" w:type="pct"/>
                  <w:tcMar>
                    <w:left w:w="28" w:type="dxa"/>
                    <w:right w:w="28" w:type="dxa"/>
                  </w:tcMar>
                  <w:vAlign w:val="center"/>
                </w:tcPr>
                <w:p w14:paraId="04A9A8F1">
                  <w:pPr>
                    <w:autoSpaceDE w:val="0"/>
                    <w:autoSpaceDN w:val="0"/>
                    <w:adjustRightInd w:val="0"/>
                    <w:jc w:val="center"/>
                    <w:rPr>
                      <w:szCs w:val="21"/>
                    </w:rPr>
                  </w:pPr>
                  <w:r>
                    <w:rPr>
                      <w:szCs w:val="21"/>
                    </w:rPr>
                    <w:t>空间布局约束</w:t>
                  </w:r>
                </w:p>
              </w:tc>
              <w:tc>
                <w:tcPr>
                  <w:tcW w:w="2013" w:type="pct"/>
                  <w:tcMar>
                    <w:left w:w="28" w:type="dxa"/>
                    <w:right w:w="28" w:type="dxa"/>
                  </w:tcMar>
                  <w:vAlign w:val="center"/>
                </w:tcPr>
                <w:p w14:paraId="04065977">
                  <w:pPr>
                    <w:autoSpaceDE w:val="0"/>
                    <w:autoSpaceDN w:val="0"/>
                    <w:adjustRightInd w:val="0"/>
                    <w:jc w:val="left"/>
                    <w:rPr>
                      <w:snapToGrid w:val="0"/>
                      <w:kern w:val="0"/>
                      <w:szCs w:val="21"/>
                    </w:rPr>
                  </w:pPr>
                  <w:r>
                    <w:rPr>
                      <w:snapToGrid w:val="0"/>
                      <w:kern w:val="0"/>
                      <w:szCs w:val="21"/>
                    </w:rPr>
                    <w:t>1、严格控制露天矿业权审批和露大矿山新上建设项目核准或备案、环境影响评价报告审批，原则上禁止新建露天矿山建设项目，到2025年全面禁止。原则上禁止新建燃料类煤气发生炉和35蒸吨/时及以下燃煤锅炉。新建涉工业炉窑的建设项目，应进入园区，配套建设高效环保治理设施。</w:t>
                  </w:r>
                </w:p>
                <w:p w14:paraId="3CE0FD45">
                  <w:pPr>
                    <w:autoSpaceDE w:val="0"/>
                    <w:autoSpaceDN w:val="0"/>
                    <w:adjustRightInd w:val="0"/>
                    <w:jc w:val="left"/>
                    <w:rPr>
                      <w:snapToGrid w:val="0"/>
                      <w:kern w:val="0"/>
                      <w:szCs w:val="21"/>
                    </w:rPr>
                  </w:pPr>
                  <w:r>
                    <w:rPr>
                      <w:snapToGrid w:val="0"/>
                      <w:kern w:val="0"/>
                      <w:szCs w:val="21"/>
                    </w:rPr>
                    <w:t>2、原则上禁止耐火材料、陶瓷等行业新建、扩建以煤炭为燃料的项目和企业，对钢铁、水泥、电解铝、玻璃等行业不再实施省内产能置换。到2025年全面禁止。原则上禁止新增钢铁、电解铝、水泥、平板玻璃、传统煤化工(甲醇、合成氨)、焦化、铸造、铝用炭素、砖瓦窑、耐火材料等行业产能。</w:t>
                  </w:r>
                </w:p>
                <w:p w14:paraId="10312AAE">
                  <w:pPr>
                    <w:autoSpaceDE w:val="0"/>
                    <w:autoSpaceDN w:val="0"/>
                    <w:adjustRightInd w:val="0"/>
                    <w:jc w:val="left"/>
                    <w:rPr>
                      <w:snapToGrid w:val="0"/>
                      <w:kern w:val="0"/>
                      <w:szCs w:val="21"/>
                    </w:rPr>
                  </w:pPr>
                  <w:r>
                    <w:rPr>
                      <w:snapToGrid w:val="0"/>
                      <w:kern w:val="0"/>
                      <w:szCs w:val="21"/>
                    </w:rPr>
                    <w:t>3、禁止建设生产和使用高VOCs 含量的溶剂型涂料、油墨、胶粘剂等项目。</w:t>
                  </w:r>
                </w:p>
                <w:p w14:paraId="14A15E11">
                  <w:pPr>
                    <w:autoSpaceDE w:val="0"/>
                    <w:autoSpaceDN w:val="0"/>
                    <w:adjustRightInd w:val="0"/>
                    <w:jc w:val="left"/>
                    <w:rPr>
                      <w:snapToGrid w:val="0"/>
                      <w:kern w:val="0"/>
                      <w:szCs w:val="21"/>
                    </w:rPr>
                  </w:pPr>
                  <w:r>
                    <w:rPr>
                      <w:snapToGrid w:val="0"/>
                      <w:kern w:val="0"/>
                      <w:szCs w:val="21"/>
                    </w:rPr>
                    <w:t>4、通过改造提升、集约布局、关停并转等方式加强区内散乱污企业整治力度淘汰一批布局不合理、装备水平低、环保设施差的小型污染企业。</w:t>
                  </w:r>
                </w:p>
                <w:p w14:paraId="2AC0A23A">
                  <w:pPr>
                    <w:autoSpaceDE w:val="0"/>
                    <w:autoSpaceDN w:val="0"/>
                    <w:adjustRightInd w:val="0"/>
                    <w:jc w:val="left"/>
                    <w:rPr>
                      <w:snapToGrid w:val="0"/>
                      <w:kern w:val="0"/>
                      <w:szCs w:val="21"/>
                    </w:rPr>
                  </w:pPr>
                  <w:r>
                    <w:rPr>
                      <w:snapToGrid w:val="0"/>
                      <w:kern w:val="0"/>
                      <w:szCs w:val="21"/>
                    </w:rPr>
                    <w:t>5、大气监测点主导上风向5km范围内原则上禁止建设燃煤电厂、钢铁、水泥、化工等污染严重项目。</w:t>
                  </w:r>
                </w:p>
                <w:p w14:paraId="7BC2C624">
                  <w:pPr>
                    <w:autoSpaceDE w:val="0"/>
                    <w:autoSpaceDN w:val="0"/>
                    <w:adjustRightInd w:val="0"/>
                    <w:jc w:val="left"/>
                    <w:rPr>
                      <w:snapToGrid w:val="0"/>
                      <w:kern w:val="0"/>
                      <w:szCs w:val="21"/>
                    </w:rPr>
                  </w:pPr>
                  <w:r>
                    <w:rPr>
                      <w:snapToGrid w:val="0"/>
                      <w:kern w:val="0"/>
                      <w:szCs w:val="21"/>
                    </w:rPr>
                    <w:t>6、相较于非重点管控区，进一步提升区内重污染企业大气污染整治力度，并加严要求。各地市结合区内产业现状，制定区内企业整治提升、整改和淘汰计划。</w:t>
                  </w:r>
                </w:p>
              </w:tc>
              <w:tc>
                <w:tcPr>
                  <w:tcW w:w="1055" w:type="pct"/>
                  <w:tcMar>
                    <w:left w:w="28" w:type="dxa"/>
                    <w:right w:w="28" w:type="dxa"/>
                  </w:tcMar>
                  <w:vAlign w:val="center"/>
                </w:tcPr>
                <w:p w14:paraId="208FACD5">
                  <w:pPr>
                    <w:rPr>
                      <w:szCs w:val="21"/>
                    </w:rPr>
                  </w:pPr>
                  <w:r>
                    <w:rPr>
                      <w:szCs w:val="21"/>
                    </w:rPr>
                    <w:t>1、本项目主要生产煤矸石烧结砖，行业类别为非金属矿物制品业，生产过程中不涉及锅炉。</w:t>
                  </w:r>
                  <w:r>
                    <w:rPr>
                      <w:bCs/>
                      <w:szCs w:val="21"/>
                    </w:rPr>
                    <w:t>本项目属于整合升级技改项目，按照</w:t>
                  </w:r>
                  <w:r>
                    <w:rPr>
                      <w:szCs w:val="21"/>
                    </w:rPr>
                    <w:t xml:space="preserve">A级企业要求配套建设高效环保治理设施； </w:t>
                  </w:r>
                </w:p>
                <w:p w14:paraId="6BAD5550">
                  <w:pPr>
                    <w:autoSpaceDE w:val="0"/>
                    <w:autoSpaceDN w:val="0"/>
                    <w:adjustRightInd w:val="0"/>
                    <w:jc w:val="left"/>
                    <w:rPr>
                      <w:szCs w:val="21"/>
                    </w:rPr>
                  </w:pPr>
                  <w:r>
                    <w:rPr>
                      <w:szCs w:val="21"/>
                    </w:rPr>
                    <w:t>2、本项目为整合升级技改项目，整合后产能为年产1.2亿块标砖，不新增产能。</w:t>
                  </w:r>
                </w:p>
                <w:p w14:paraId="158D6990">
                  <w:pPr>
                    <w:autoSpaceDE w:val="0"/>
                    <w:autoSpaceDN w:val="0"/>
                    <w:adjustRightInd w:val="0"/>
                    <w:jc w:val="left"/>
                    <w:rPr>
                      <w:szCs w:val="21"/>
                    </w:rPr>
                  </w:pPr>
                  <w:r>
                    <w:rPr>
                      <w:szCs w:val="21"/>
                    </w:rPr>
                    <w:t>3、本项目产品为煤矸石烧结砖，生产过程中不涉及VOCs物料的使用。</w:t>
                  </w:r>
                </w:p>
                <w:p w14:paraId="165FF1C3">
                  <w:pPr>
                    <w:autoSpaceDE w:val="0"/>
                    <w:autoSpaceDN w:val="0"/>
                    <w:adjustRightInd w:val="0"/>
                    <w:jc w:val="left"/>
                    <w:rPr>
                      <w:snapToGrid w:val="0"/>
                      <w:kern w:val="0"/>
                      <w:szCs w:val="21"/>
                    </w:rPr>
                  </w:pPr>
                  <w:r>
                    <w:rPr>
                      <w:szCs w:val="21"/>
                    </w:rPr>
                    <w:t>4、项目技改后</w:t>
                  </w:r>
                  <w:r>
                    <w:rPr>
                      <w:bCs/>
                      <w:szCs w:val="21"/>
                    </w:rPr>
                    <w:t>按照</w:t>
                  </w:r>
                  <w:r>
                    <w:rPr>
                      <w:szCs w:val="21"/>
                    </w:rPr>
                    <w:t>A级企业要求配套建设高效环保治理设施；不属于</w:t>
                  </w:r>
                  <w:r>
                    <w:rPr>
                      <w:snapToGrid w:val="0"/>
                      <w:kern w:val="0"/>
                      <w:szCs w:val="21"/>
                    </w:rPr>
                    <w:t>布局不合理、装备水平低、环保设施差的小型污染企业。</w:t>
                  </w:r>
                </w:p>
                <w:p w14:paraId="05CEB740">
                  <w:pPr>
                    <w:autoSpaceDE w:val="0"/>
                    <w:autoSpaceDN w:val="0"/>
                    <w:adjustRightInd w:val="0"/>
                    <w:jc w:val="left"/>
                    <w:rPr>
                      <w:szCs w:val="21"/>
                    </w:rPr>
                  </w:pPr>
                </w:p>
                <w:p w14:paraId="7817A533">
                  <w:pPr>
                    <w:autoSpaceDE w:val="0"/>
                    <w:autoSpaceDN w:val="0"/>
                    <w:adjustRightInd w:val="0"/>
                    <w:jc w:val="left"/>
                    <w:rPr>
                      <w:snapToGrid w:val="0"/>
                      <w:kern w:val="0"/>
                      <w:szCs w:val="21"/>
                    </w:rPr>
                  </w:pPr>
                  <w:r>
                    <w:rPr>
                      <w:szCs w:val="21"/>
                    </w:rPr>
                    <w:t>5、项目不属于</w:t>
                  </w:r>
                  <w:r>
                    <w:rPr>
                      <w:snapToGrid w:val="0"/>
                      <w:kern w:val="0"/>
                      <w:szCs w:val="21"/>
                    </w:rPr>
                    <w:t>燃煤电厂、钢铁、水泥、化工等污染严重项目；</w:t>
                  </w:r>
                </w:p>
                <w:p w14:paraId="7A3853CD">
                  <w:pPr>
                    <w:autoSpaceDE w:val="0"/>
                    <w:autoSpaceDN w:val="0"/>
                    <w:adjustRightInd w:val="0"/>
                    <w:jc w:val="left"/>
                    <w:rPr>
                      <w:szCs w:val="21"/>
                    </w:rPr>
                  </w:pPr>
                  <w:r>
                    <w:rPr>
                      <w:snapToGrid w:val="0"/>
                      <w:kern w:val="0"/>
                      <w:szCs w:val="21"/>
                    </w:rPr>
                    <w:t>6、项目属于</w:t>
                  </w:r>
                  <w:r>
                    <w:rPr>
                      <w:bCs/>
                      <w:szCs w:val="21"/>
                    </w:rPr>
                    <w:t>整合升级技改项目，按照</w:t>
                  </w:r>
                  <w:r>
                    <w:rPr>
                      <w:szCs w:val="21"/>
                    </w:rPr>
                    <w:t>A级企业要求配套建设高效环保治理设施；项目技改后绩效分级水平由B级提升至A级。</w:t>
                  </w:r>
                </w:p>
              </w:tc>
              <w:tc>
                <w:tcPr>
                  <w:tcW w:w="278" w:type="pct"/>
                  <w:vAlign w:val="center"/>
                </w:tcPr>
                <w:p w14:paraId="5DF3E212">
                  <w:pPr>
                    <w:autoSpaceDE w:val="0"/>
                    <w:autoSpaceDN w:val="0"/>
                    <w:adjustRightInd w:val="0"/>
                    <w:jc w:val="center"/>
                    <w:rPr>
                      <w:szCs w:val="21"/>
                    </w:rPr>
                  </w:pPr>
                  <w:r>
                    <w:rPr>
                      <w:szCs w:val="21"/>
                    </w:rPr>
                    <w:t>相符</w:t>
                  </w:r>
                </w:p>
              </w:tc>
            </w:tr>
            <w:tr w14:paraId="6FFBCC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451" w:type="pct"/>
                  <w:vMerge w:val="continue"/>
                  <w:vAlign w:val="center"/>
                </w:tcPr>
                <w:p w14:paraId="32550114">
                  <w:pPr>
                    <w:jc w:val="center"/>
                    <w:rPr>
                      <w:szCs w:val="21"/>
                    </w:rPr>
                  </w:pPr>
                </w:p>
              </w:tc>
              <w:tc>
                <w:tcPr>
                  <w:tcW w:w="352" w:type="pct"/>
                  <w:vMerge w:val="continue"/>
                  <w:tcMar>
                    <w:left w:w="28" w:type="dxa"/>
                    <w:right w:w="28" w:type="dxa"/>
                  </w:tcMar>
                  <w:vAlign w:val="center"/>
                </w:tcPr>
                <w:p w14:paraId="02173283">
                  <w:pPr>
                    <w:autoSpaceDE w:val="0"/>
                    <w:autoSpaceDN w:val="0"/>
                    <w:adjustRightInd w:val="0"/>
                    <w:jc w:val="center"/>
                    <w:rPr>
                      <w:szCs w:val="21"/>
                    </w:rPr>
                  </w:pPr>
                </w:p>
              </w:tc>
              <w:tc>
                <w:tcPr>
                  <w:tcW w:w="316" w:type="pct"/>
                  <w:vMerge w:val="continue"/>
                  <w:tcMar>
                    <w:left w:w="28" w:type="dxa"/>
                    <w:right w:w="28" w:type="dxa"/>
                  </w:tcMar>
                  <w:vAlign w:val="center"/>
                </w:tcPr>
                <w:p w14:paraId="4EF981B0">
                  <w:pPr>
                    <w:autoSpaceDE w:val="0"/>
                    <w:autoSpaceDN w:val="0"/>
                    <w:adjustRightInd w:val="0"/>
                    <w:jc w:val="center"/>
                    <w:rPr>
                      <w:szCs w:val="21"/>
                    </w:rPr>
                  </w:pPr>
                </w:p>
              </w:tc>
              <w:tc>
                <w:tcPr>
                  <w:tcW w:w="309" w:type="pct"/>
                  <w:vMerge w:val="continue"/>
                  <w:tcMar>
                    <w:left w:w="28" w:type="dxa"/>
                    <w:right w:w="28" w:type="dxa"/>
                  </w:tcMar>
                  <w:vAlign w:val="center"/>
                </w:tcPr>
                <w:p w14:paraId="54F11C53">
                  <w:pPr>
                    <w:autoSpaceDE w:val="0"/>
                    <w:autoSpaceDN w:val="0"/>
                    <w:adjustRightInd w:val="0"/>
                    <w:jc w:val="center"/>
                    <w:rPr>
                      <w:szCs w:val="21"/>
                    </w:rPr>
                  </w:pPr>
                </w:p>
              </w:tc>
              <w:tc>
                <w:tcPr>
                  <w:tcW w:w="225" w:type="pct"/>
                  <w:tcMar>
                    <w:left w:w="28" w:type="dxa"/>
                    <w:right w:w="28" w:type="dxa"/>
                  </w:tcMar>
                  <w:vAlign w:val="center"/>
                </w:tcPr>
                <w:p w14:paraId="40D86F66">
                  <w:pPr>
                    <w:autoSpaceDE w:val="0"/>
                    <w:autoSpaceDN w:val="0"/>
                    <w:adjustRightInd w:val="0"/>
                    <w:jc w:val="center"/>
                    <w:rPr>
                      <w:szCs w:val="21"/>
                    </w:rPr>
                  </w:pPr>
                  <w:r>
                    <w:rPr>
                      <w:szCs w:val="21"/>
                    </w:rPr>
                    <w:t>污染物排放管控</w:t>
                  </w:r>
                </w:p>
              </w:tc>
              <w:tc>
                <w:tcPr>
                  <w:tcW w:w="2013" w:type="pct"/>
                  <w:tcMar>
                    <w:left w:w="28" w:type="dxa"/>
                    <w:right w:w="28" w:type="dxa"/>
                  </w:tcMar>
                  <w:vAlign w:val="center"/>
                </w:tcPr>
                <w:p w14:paraId="333F9ED1">
                  <w:pPr>
                    <w:pStyle w:val="249"/>
                    <w:rPr>
                      <w:rFonts w:eastAsia="宋体"/>
                      <w:color w:val="auto"/>
                      <w:sz w:val="21"/>
                      <w:szCs w:val="21"/>
                    </w:rPr>
                  </w:pPr>
                  <w:r>
                    <w:rPr>
                      <w:rFonts w:eastAsia="宋体"/>
                      <w:color w:val="auto"/>
                      <w:sz w:val="21"/>
                      <w:szCs w:val="21"/>
                    </w:rPr>
                    <w:t>1、加大科技攻关，推广新兴技术，以石化、化工、涂装、医药、包装印刷、油品储运销等行业领域为重点，深入推进挥发性有机物综合治理。全面推广使用低挥发性有机物含量的涂料、油墨、胶粘剂、清洗剂等新兴原辅材料。开展涉挥发性有机物产业集群升级改造、企业深度治理、物质储罐排查整治，规范开展泄漏检测与修复，加快规划建设集中涂装、活性炭集中处理、有机溶剂回收等中心。</w:t>
                  </w:r>
                </w:p>
                <w:p w14:paraId="375A2D34">
                  <w:pPr>
                    <w:pStyle w:val="249"/>
                    <w:rPr>
                      <w:rFonts w:eastAsia="宋体"/>
                      <w:color w:val="auto"/>
                      <w:sz w:val="21"/>
                      <w:szCs w:val="21"/>
                    </w:rPr>
                  </w:pPr>
                  <w:r>
                    <w:rPr>
                      <w:rFonts w:eastAsia="宋体"/>
                      <w:color w:val="auto"/>
                      <w:sz w:val="21"/>
                      <w:szCs w:val="21"/>
                    </w:rPr>
                    <w:t>2、以减少重污染天气为着力点，制定实施方案，持续开展秋冬季大气污染防治攻坚行动。在采暖季，实施钢铁、焦化、铸造、建材、有色、化工行业错峰生产(水泥行业实行"开二停-")。京津冀*2+26"城市完成应急减排清单编制工作，并动态更新，落实"一厂一策"等各项应急减排措施;严格落实施工工地"六个百分之百"要求;建成区5000平米及以上建筑工地全部安装在线监测和视频监控，并与当地行业主管部门联网。汾渭平原城市群完成应急减排清单编制工作，并动态更新，落实"一厂策"等各项应急减排措施；严格落实施工工地"七个百分之百"控尘措施，落实"一岗双责"，推广第三方污染治理模式，严查扬尘污染行为。</w:t>
                  </w:r>
                </w:p>
                <w:p w14:paraId="1AA58789">
                  <w:pPr>
                    <w:pStyle w:val="249"/>
                    <w:rPr>
                      <w:rFonts w:eastAsia="宋体"/>
                      <w:color w:val="auto"/>
                      <w:sz w:val="21"/>
                      <w:szCs w:val="21"/>
                    </w:rPr>
                  </w:pPr>
                  <w:r>
                    <w:rPr>
                      <w:rFonts w:eastAsia="宋体"/>
                      <w:color w:val="auto"/>
                      <w:sz w:val="21"/>
                      <w:szCs w:val="21"/>
                    </w:rPr>
                    <w:t>3、强化施工扬尘污染防治，做到工地周边围挡、物料堆放覆盖、土方开挖湿法作业、路面硬化、出入车辆清洗、渣土车辆密闭运输"六个百分之百"，禁止施工工地现场搅拌混凝土、现场配置砂浆。</w:t>
                  </w:r>
                </w:p>
                <w:p w14:paraId="4A366E53">
                  <w:pPr>
                    <w:pStyle w:val="249"/>
                    <w:rPr>
                      <w:rFonts w:eastAsia="宋体"/>
                      <w:color w:val="auto"/>
                      <w:sz w:val="21"/>
                      <w:szCs w:val="21"/>
                    </w:rPr>
                  </w:pPr>
                  <w:r>
                    <w:rPr>
                      <w:rFonts w:eastAsia="宋体"/>
                      <w:color w:val="auto"/>
                      <w:sz w:val="21"/>
                      <w:szCs w:val="21"/>
                    </w:rPr>
                    <w:t>4、关停退出热效率低下、敞开未封闭，装备简易落后、自动化水平低，布局分散、规模小、无组织排放突出，以及无治理设施或治理设施工艺落后的工业炉窑。5、区内严格实施重型柴油车燃料消耗量限值标准，不满足燃料消耗量标准限值要求的新车型禁止驶入区内道路。划定的禁止使用高排放道路移动机械区域内，鼓励优先使用新能源或清洁能源非道路移动机械。</w:t>
                  </w:r>
                </w:p>
              </w:tc>
              <w:tc>
                <w:tcPr>
                  <w:tcW w:w="1055" w:type="pct"/>
                  <w:tcMar>
                    <w:left w:w="28" w:type="dxa"/>
                    <w:right w:w="28" w:type="dxa"/>
                  </w:tcMar>
                  <w:vAlign w:val="center"/>
                </w:tcPr>
                <w:p w14:paraId="39E8FC47">
                  <w:pPr>
                    <w:autoSpaceDE w:val="0"/>
                    <w:autoSpaceDN w:val="0"/>
                    <w:adjustRightInd w:val="0"/>
                    <w:jc w:val="left"/>
                    <w:rPr>
                      <w:szCs w:val="21"/>
                    </w:rPr>
                  </w:pPr>
                  <w:r>
                    <w:rPr>
                      <w:szCs w:val="21"/>
                    </w:rPr>
                    <w:t xml:space="preserve">1、本项目产品为煤矸石烧结砖，项目不涉及VOCs物料使用和VOCs排放。 </w:t>
                  </w:r>
                </w:p>
                <w:p w14:paraId="7705751C">
                  <w:pPr>
                    <w:autoSpaceDE w:val="0"/>
                    <w:autoSpaceDN w:val="0"/>
                    <w:adjustRightInd w:val="0"/>
                    <w:jc w:val="left"/>
                    <w:rPr>
                      <w:szCs w:val="21"/>
                    </w:rPr>
                  </w:pPr>
                  <w:r>
                    <w:rPr>
                      <w:szCs w:val="21"/>
                    </w:rPr>
                    <w:t>2、本项目按照绩效分级指标进行重污染天气管控，落实各项减排措施。项目施工期严格落实施工工地"六个百分之百"扬尘污染防治措施。</w:t>
                  </w:r>
                </w:p>
                <w:p w14:paraId="1094B5E5">
                  <w:pPr>
                    <w:pStyle w:val="249"/>
                    <w:rPr>
                      <w:rFonts w:eastAsia="宋体"/>
                      <w:color w:val="auto"/>
                      <w:sz w:val="21"/>
                      <w:szCs w:val="21"/>
                    </w:rPr>
                  </w:pPr>
                  <w:r>
                    <w:rPr>
                      <w:color w:val="auto"/>
                      <w:sz w:val="21"/>
                      <w:szCs w:val="21"/>
                    </w:rPr>
                    <w:t>3、</w:t>
                  </w:r>
                  <w:r>
                    <w:rPr>
                      <w:rFonts w:eastAsia="宋体"/>
                      <w:color w:val="auto"/>
                      <w:sz w:val="21"/>
                      <w:szCs w:val="21"/>
                    </w:rPr>
                    <w:t>项目施工期强化施工扬尘污染防治，做到工地周边围挡、物料堆放覆盖、土方开挖湿法作业、路面硬化、出入车辆清洗、渣土车辆密闭运输"六个百分之百"，不在施工工地现场搅拌混凝土、现场配置砂浆。</w:t>
                  </w:r>
                </w:p>
                <w:p w14:paraId="25480A81">
                  <w:pPr>
                    <w:autoSpaceDE w:val="0"/>
                    <w:autoSpaceDN w:val="0"/>
                    <w:adjustRightInd w:val="0"/>
                    <w:jc w:val="left"/>
                    <w:rPr>
                      <w:szCs w:val="21"/>
                    </w:rPr>
                  </w:pPr>
                  <w:r>
                    <w:rPr>
                      <w:szCs w:val="21"/>
                    </w:rPr>
                    <w:t>4、本项目严格按照砖瓦制品企业绩效分级A级指标进行设计和建设，项目改造完成后可达到环保绩效分级A级水平；</w:t>
                  </w:r>
                </w:p>
                <w:p w14:paraId="0BB35E34">
                  <w:pPr>
                    <w:rPr>
                      <w:bCs/>
                      <w:szCs w:val="21"/>
                    </w:rPr>
                  </w:pPr>
                  <w:r>
                    <w:rPr>
                      <w:szCs w:val="21"/>
                    </w:rPr>
                    <w:t>5、</w:t>
                  </w:r>
                  <w:r>
                    <w:rPr>
                      <w:bCs/>
                      <w:szCs w:val="21"/>
                    </w:rPr>
                    <w:t>本项目原料、成品砖等公路运输全部采用国五及以上排放标准重型载货车辆(含燃气)或新能源车辆；厂区内非道路移动机械采用国三以上排放标准机械。</w:t>
                  </w:r>
                </w:p>
              </w:tc>
              <w:tc>
                <w:tcPr>
                  <w:tcW w:w="278" w:type="pct"/>
                  <w:vAlign w:val="center"/>
                </w:tcPr>
                <w:p w14:paraId="3CB467B8">
                  <w:pPr>
                    <w:autoSpaceDE w:val="0"/>
                    <w:autoSpaceDN w:val="0"/>
                    <w:adjustRightInd w:val="0"/>
                    <w:jc w:val="center"/>
                    <w:rPr>
                      <w:szCs w:val="21"/>
                    </w:rPr>
                  </w:pPr>
                  <w:r>
                    <w:rPr>
                      <w:szCs w:val="21"/>
                    </w:rPr>
                    <w:t>相符</w:t>
                  </w:r>
                </w:p>
              </w:tc>
            </w:tr>
            <w:tr w14:paraId="74A530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451" w:type="pct"/>
                  <w:vMerge w:val="restart"/>
                  <w:vAlign w:val="center"/>
                </w:tcPr>
                <w:p w14:paraId="050509D6">
                  <w:pPr>
                    <w:jc w:val="center"/>
                    <w:rPr>
                      <w:szCs w:val="21"/>
                    </w:rPr>
                  </w:pPr>
                  <w:r>
                    <w:rPr>
                      <w:szCs w:val="21"/>
                    </w:rPr>
                    <w:t>YS4104</w:t>
                  </w:r>
                </w:p>
                <w:p w14:paraId="2D571C94">
                  <w:pPr>
                    <w:jc w:val="center"/>
                    <w:rPr>
                      <w:szCs w:val="21"/>
                    </w:rPr>
                  </w:pPr>
                  <w:r>
                    <w:rPr>
                      <w:szCs w:val="21"/>
                    </w:rPr>
                    <w:t>212330</w:t>
                  </w:r>
                </w:p>
                <w:p w14:paraId="4E2B77ED">
                  <w:pPr>
                    <w:jc w:val="center"/>
                    <w:rPr>
                      <w:szCs w:val="21"/>
                    </w:rPr>
                  </w:pPr>
                  <w:r>
                    <w:rPr>
                      <w:szCs w:val="21"/>
                    </w:rPr>
                    <w:t>001</w:t>
                  </w:r>
                </w:p>
              </w:tc>
              <w:tc>
                <w:tcPr>
                  <w:tcW w:w="352" w:type="pct"/>
                  <w:vMerge w:val="restart"/>
                  <w:tcMar>
                    <w:left w:w="28" w:type="dxa"/>
                    <w:right w:w="28" w:type="dxa"/>
                  </w:tcMar>
                  <w:vAlign w:val="center"/>
                </w:tcPr>
                <w:p w14:paraId="74A4AC7D">
                  <w:pPr>
                    <w:autoSpaceDE w:val="0"/>
                    <w:autoSpaceDN w:val="0"/>
                    <w:adjustRightInd w:val="0"/>
                    <w:jc w:val="center"/>
                    <w:rPr>
                      <w:szCs w:val="21"/>
                    </w:rPr>
                  </w:pPr>
                  <w:r>
                    <w:rPr>
                      <w:szCs w:val="21"/>
                    </w:rPr>
                    <w:t>/</w:t>
                  </w:r>
                </w:p>
              </w:tc>
              <w:tc>
                <w:tcPr>
                  <w:tcW w:w="316" w:type="pct"/>
                  <w:vMerge w:val="restart"/>
                  <w:tcMar>
                    <w:left w:w="28" w:type="dxa"/>
                    <w:right w:w="28" w:type="dxa"/>
                  </w:tcMar>
                  <w:vAlign w:val="center"/>
                </w:tcPr>
                <w:p w14:paraId="6C7A3F1A">
                  <w:pPr>
                    <w:autoSpaceDE w:val="0"/>
                    <w:autoSpaceDN w:val="0"/>
                    <w:adjustRightInd w:val="0"/>
                    <w:jc w:val="center"/>
                    <w:rPr>
                      <w:szCs w:val="21"/>
                    </w:rPr>
                  </w:pPr>
                  <w:r>
                    <w:rPr>
                      <w:szCs w:val="21"/>
                    </w:rPr>
                    <w:t>平顶山市宝丰县</w:t>
                  </w:r>
                </w:p>
              </w:tc>
              <w:tc>
                <w:tcPr>
                  <w:tcW w:w="309" w:type="pct"/>
                  <w:vMerge w:val="restart"/>
                  <w:tcMar>
                    <w:left w:w="28" w:type="dxa"/>
                    <w:right w:w="28" w:type="dxa"/>
                  </w:tcMar>
                  <w:vAlign w:val="center"/>
                </w:tcPr>
                <w:p w14:paraId="28D3C6DA">
                  <w:pPr>
                    <w:autoSpaceDE w:val="0"/>
                    <w:autoSpaceDN w:val="0"/>
                    <w:adjustRightInd w:val="0"/>
                    <w:jc w:val="center"/>
                    <w:rPr>
                      <w:szCs w:val="21"/>
                    </w:rPr>
                  </w:pPr>
                  <w:r>
                    <w:rPr>
                      <w:szCs w:val="21"/>
                    </w:rPr>
                    <w:t>重点</w:t>
                  </w:r>
                </w:p>
              </w:tc>
              <w:tc>
                <w:tcPr>
                  <w:tcW w:w="225" w:type="pct"/>
                  <w:tcBorders>
                    <w:bottom w:val="single" w:color="auto" w:sz="4" w:space="0"/>
                  </w:tcBorders>
                  <w:tcMar>
                    <w:left w:w="28" w:type="dxa"/>
                    <w:right w:w="28" w:type="dxa"/>
                  </w:tcMar>
                  <w:vAlign w:val="center"/>
                </w:tcPr>
                <w:p w14:paraId="5F805D27">
                  <w:pPr>
                    <w:autoSpaceDE w:val="0"/>
                    <w:autoSpaceDN w:val="0"/>
                    <w:adjustRightInd w:val="0"/>
                    <w:jc w:val="center"/>
                    <w:rPr>
                      <w:szCs w:val="21"/>
                    </w:rPr>
                  </w:pPr>
                  <w:r>
                    <w:rPr>
                      <w:szCs w:val="21"/>
                    </w:rPr>
                    <w:t>空间布局约束</w:t>
                  </w:r>
                </w:p>
              </w:tc>
              <w:tc>
                <w:tcPr>
                  <w:tcW w:w="2013" w:type="pct"/>
                  <w:tcBorders>
                    <w:bottom w:val="single" w:color="auto" w:sz="4" w:space="0"/>
                  </w:tcBorders>
                  <w:tcMar>
                    <w:left w:w="28" w:type="dxa"/>
                    <w:right w:w="28" w:type="dxa"/>
                  </w:tcMar>
                  <w:vAlign w:val="center"/>
                </w:tcPr>
                <w:p w14:paraId="4066FB38">
                  <w:pPr>
                    <w:pStyle w:val="249"/>
                    <w:rPr>
                      <w:rFonts w:eastAsia="宋体"/>
                      <w:color w:val="auto"/>
                      <w:sz w:val="21"/>
                      <w:szCs w:val="21"/>
                    </w:rPr>
                  </w:pPr>
                  <w:r>
                    <w:rPr>
                      <w:rFonts w:eastAsia="宋体"/>
                      <w:color w:val="auto"/>
                      <w:sz w:val="21"/>
                      <w:szCs w:val="21"/>
                    </w:rPr>
                    <w:t>1、原则上不再办理使用登记和审批35蒸吨/时及以下燃煤锅炉，到2025年全面停止办理。严格控制露天矿业权审批和露天矿山新上建设项目核准或备案、环境影响评价报告审批,原则上禁止新建露天矿山建设项目，到2025年全面禁止。</w:t>
                  </w:r>
                </w:p>
                <w:p w14:paraId="0BF9232A">
                  <w:pPr>
                    <w:pStyle w:val="249"/>
                    <w:rPr>
                      <w:rFonts w:eastAsia="宋体"/>
                      <w:color w:val="auto"/>
                      <w:sz w:val="21"/>
                      <w:szCs w:val="21"/>
                    </w:rPr>
                  </w:pPr>
                  <w:r>
                    <w:rPr>
                      <w:rFonts w:eastAsia="宋体"/>
                      <w:color w:val="auto"/>
                      <w:sz w:val="21"/>
                      <w:szCs w:val="21"/>
                    </w:rPr>
                    <w:t>2、原则上禁止钢铁、电解铝、水泥、玻璃、传统煤化工(甲醇、合成氨)、焦化等行业新建、扩建单纯新增产能以及耐火材料、陶瓷等行业新建、扩建以煤炭为燃料的项目和企业，对钢铁、水泥、电解铝、玻璃等行业不再实施省内产能置换，到2025年全面禁止。</w:t>
                  </w:r>
                </w:p>
                <w:p w14:paraId="5A8297B4">
                  <w:pPr>
                    <w:pStyle w:val="249"/>
                    <w:rPr>
                      <w:rFonts w:eastAsia="宋体"/>
                      <w:color w:val="auto"/>
                      <w:sz w:val="21"/>
                      <w:szCs w:val="21"/>
                    </w:rPr>
                  </w:pPr>
                  <w:r>
                    <w:rPr>
                      <w:rFonts w:eastAsia="宋体"/>
                      <w:color w:val="auto"/>
                      <w:sz w:val="21"/>
                      <w:szCs w:val="21"/>
                    </w:rPr>
                    <w:t>3、禁止建设生产和使用高VOCs含量的溶剂型涂料、油墨、胶粘剂等项目。京津冀2+26和汾渭平原城市群禁止城市建成区露天烧烤。加强夜市综合整治，有序推进夜市"退路进店";到2025年，常态化动态更新施工工地管理清单，全面清理城乡结合部以及城中拆迁的渣土和页岩。</w:t>
                  </w:r>
                </w:p>
              </w:tc>
              <w:tc>
                <w:tcPr>
                  <w:tcW w:w="1055" w:type="pct"/>
                  <w:tcMar>
                    <w:left w:w="28" w:type="dxa"/>
                    <w:right w:w="28" w:type="dxa"/>
                  </w:tcMar>
                  <w:vAlign w:val="center"/>
                </w:tcPr>
                <w:p w14:paraId="6BA3D972">
                  <w:pPr>
                    <w:rPr>
                      <w:szCs w:val="21"/>
                    </w:rPr>
                  </w:pPr>
                  <w:r>
                    <w:rPr>
                      <w:szCs w:val="21"/>
                    </w:rPr>
                    <w:t>1、本项目主要生产煤矸石烧结砖，行业类别为非金属矿物制品业，不属于</w:t>
                  </w:r>
                  <w:r>
                    <w:rPr>
                      <w:snapToGrid w:val="0"/>
                      <w:kern w:val="0"/>
                      <w:szCs w:val="21"/>
                    </w:rPr>
                    <w:t>露天矿山项目</w:t>
                  </w:r>
                  <w:r>
                    <w:rPr>
                      <w:szCs w:val="21"/>
                    </w:rPr>
                    <w:t xml:space="preserve">； </w:t>
                  </w:r>
                </w:p>
                <w:p w14:paraId="1315881D">
                  <w:pPr>
                    <w:autoSpaceDE w:val="0"/>
                    <w:autoSpaceDN w:val="0"/>
                    <w:adjustRightInd w:val="0"/>
                    <w:jc w:val="left"/>
                    <w:rPr>
                      <w:szCs w:val="21"/>
                    </w:rPr>
                  </w:pPr>
                  <w:r>
                    <w:rPr>
                      <w:szCs w:val="21"/>
                    </w:rPr>
                    <w:t>2、本项目为整合升级技改项目，整合后产能为年产1.2亿块标砖，不新增产能。</w:t>
                  </w:r>
                </w:p>
                <w:p w14:paraId="5F02BBDD">
                  <w:pPr>
                    <w:autoSpaceDE w:val="0"/>
                    <w:autoSpaceDN w:val="0"/>
                    <w:adjustRightInd w:val="0"/>
                    <w:jc w:val="left"/>
                    <w:rPr>
                      <w:szCs w:val="21"/>
                    </w:rPr>
                  </w:pPr>
                  <w:r>
                    <w:rPr>
                      <w:szCs w:val="21"/>
                    </w:rPr>
                    <w:t>3、不涉及</w:t>
                  </w:r>
                </w:p>
              </w:tc>
              <w:tc>
                <w:tcPr>
                  <w:tcW w:w="278" w:type="pct"/>
                  <w:vAlign w:val="center"/>
                </w:tcPr>
                <w:p w14:paraId="06EE0792">
                  <w:pPr>
                    <w:autoSpaceDE w:val="0"/>
                    <w:autoSpaceDN w:val="0"/>
                    <w:adjustRightInd w:val="0"/>
                    <w:jc w:val="center"/>
                    <w:rPr>
                      <w:szCs w:val="21"/>
                    </w:rPr>
                  </w:pPr>
                </w:p>
              </w:tc>
            </w:tr>
            <w:tr w14:paraId="54AF04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451" w:type="pct"/>
                  <w:vMerge w:val="continue"/>
                  <w:vAlign w:val="center"/>
                </w:tcPr>
                <w:p w14:paraId="19026795">
                  <w:pPr>
                    <w:jc w:val="center"/>
                    <w:rPr>
                      <w:szCs w:val="21"/>
                    </w:rPr>
                  </w:pPr>
                </w:p>
              </w:tc>
              <w:tc>
                <w:tcPr>
                  <w:tcW w:w="352" w:type="pct"/>
                  <w:vMerge w:val="continue"/>
                  <w:tcMar>
                    <w:left w:w="28" w:type="dxa"/>
                    <w:right w:w="28" w:type="dxa"/>
                  </w:tcMar>
                  <w:vAlign w:val="center"/>
                </w:tcPr>
                <w:p w14:paraId="0C4C9167">
                  <w:pPr>
                    <w:autoSpaceDE w:val="0"/>
                    <w:autoSpaceDN w:val="0"/>
                    <w:adjustRightInd w:val="0"/>
                    <w:jc w:val="center"/>
                    <w:rPr>
                      <w:szCs w:val="21"/>
                    </w:rPr>
                  </w:pPr>
                </w:p>
              </w:tc>
              <w:tc>
                <w:tcPr>
                  <w:tcW w:w="316" w:type="pct"/>
                  <w:vMerge w:val="continue"/>
                  <w:tcMar>
                    <w:left w:w="28" w:type="dxa"/>
                    <w:right w:w="28" w:type="dxa"/>
                  </w:tcMar>
                  <w:vAlign w:val="center"/>
                </w:tcPr>
                <w:p w14:paraId="7072E0D3">
                  <w:pPr>
                    <w:autoSpaceDE w:val="0"/>
                    <w:autoSpaceDN w:val="0"/>
                    <w:adjustRightInd w:val="0"/>
                    <w:jc w:val="center"/>
                    <w:rPr>
                      <w:szCs w:val="21"/>
                    </w:rPr>
                  </w:pPr>
                </w:p>
              </w:tc>
              <w:tc>
                <w:tcPr>
                  <w:tcW w:w="309" w:type="pct"/>
                  <w:vMerge w:val="continue"/>
                  <w:tcMar>
                    <w:left w:w="28" w:type="dxa"/>
                    <w:right w:w="28" w:type="dxa"/>
                  </w:tcMar>
                  <w:vAlign w:val="center"/>
                </w:tcPr>
                <w:p w14:paraId="0227F8A4">
                  <w:pPr>
                    <w:autoSpaceDE w:val="0"/>
                    <w:autoSpaceDN w:val="0"/>
                    <w:adjustRightInd w:val="0"/>
                    <w:jc w:val="center"/>
                    <w:rPr>
                      <w:szCs w:val="21"/>
                    </w:rPr>
                  </w:pPr>
                </w:p>
              </w:tc>
              <w:tc>
                <w:tcPr>
                  <w:tcW w:w="225" w:type="pct"/>
                  <w:tcBorders>
                    <w:top w:val="single" w:color="auto" w:sz="4" w:space="0"/>
                  </w:tcBorders>
                  <w:tcMar>
                    <w:left w:w="28" w:type="dxa"/>
                    <w:right w:w="28" w:type="dxa"/>
                  </w:tcMar>
                  <w:vAlign w:val="center"/>
                </w:tcPr>
                <w:p w14:paraId="527A53F7">
                  <w:pPr>
                    <w:autoSpaceDE w:val="0"/>
                    <w:autoSpaceDN w:val="0"/>
                    <w:adjustRightInd w:val="0"/>
                    <w:jc w:val="center"/>
                    <w:rPr>
                      <w:szCs w:val="21"/>
                    </w:rPr>
                  </w:pPr>
                  <w:r>
                    <w:rPr>
                      <w:szCs w:val="21"/>
                    </w:rPr>
                    <w:t>污染物排放管控</w:t>
                  </w:r>
                </w:p>
              </w:tc>
              <w:tc>
                <w:tcPr>
                  <w:tcW w:w="2013" w:type="pct"/>
                  <w:tcBorders>
                    <w:top w:val="single" w:color="auto" w:sz="4" w:space="0"/>
                  </w:tcBorders>
                  <w:tcMar>
                    <w:left w:w="28" w:type="dxa"/>
                    <w:right w:w="28" w:type="dxa"/>
                  </w:tcMar>
                  <w:vAlign w:val="center"/>
                </w:tcPr>
                <w:p w14:paraId="668CEDE2">
                  <w:pPr>
                    <w:pStyle w:val="249"/>
                    <w:rPr>
                      <w:rFonts w:eastAsia="宋体"/>
                      <w:color w:val="auto"/>
                      <w:sz w:val="21"/>
                      <w:szCs w:val="21"/>
                    </w:rPr>
                  </w:pPr>
                  <w:r>
                    <w:rPr>
                      <w:rFonts w:eastAsia="宋体"/>
                      <w:color w:val="auto"/>
                      <w:sz w:val="21"/>
                      <w:szCs w:val="21"/>
                    </w:rPr>
                    <w:t>1、重点行业二氧化硫、氮氧化物、颗粒物、VOCs全面执行大气污染物特别排放限值。新建涉VOCs排放的工业企业要入园区，实行区域内VOCs排放等量或倍量削减替代。</w:t>
                  </w:r>
                </w:p>
                <w:p w14:paraId="4DB036B0">
                  <w:pPr>
                    <w:pStyle w:val="249"/>
                    <w:rPr>
                      <w:rFonts w:eastAsia="宋体"/>
                      <w:color w:val="auto"/>
                      <w:sz w:val="21"/>
                      <w:szCs w:val="21"/>
                    </w:rPr>
                  </w:pPr>
                  <w:r>
                    <w:rPr>
                      <w:rFonts w:eastAsia="宋体"/>
                      <w:color w:val="auto"/>
                      <w:sz w:val="21"/>
                      <w:szCs w:val="21"/>
                    </w:rPr>
                    <w:t>2、强化施工扬尘污染防治，做到工地周边围挡、物料堆放覆盖、土方开挖湿法作业、路面硬化、出入车辆清洗、渣土车辆密闭运输"六个百分之百"，禁止施工工地现场搅拌混凝土、现场配置砂浆。</w:t>
                  </w:r>
                </w:p>
                <w:p w14:paraId="2B8345B1">
                  <w:pPr>
                    <w:pStyle w:val="249"/>
                    <w:rPr>
                      <w:rFonts w:eastAsia="宋体"/>
                      <w:color w:val="auto"/>
                      <w:sz w:val="21"/>
                      <w:szCs w:val="21"/>
                    </w:rPr>
                  </w:pPr>
                  <w:r>
                    <w:rPr>
                      <w:rFonts w:eastAsia="宋体"/>
                      <w:color w:val="auto"/>
                      <w:sz w:val="21"/>
                      <w:szCs w:val="21"/>
                    </w:rPr>
                    <w:t>3、京津冀2+26城市群完成应急减排清单编制工作，并动态更新，落实一厂策"等各项应急减排措施；严格落实施工工地"六个百分之百"要求；建成区5000平米及以上建筑工地全部安装在线监测和视频监控，并与当地行业主管部门联网。汾渭平原城市群完成应急减排清单编制工作，并动态更新，落实"一厂一策"等各项应急减排措施。</w:t>
                  </w:r>
                </w:p>
                <w:p w14:paraId="39F400E7">
                  <w:pPr>
                    <w:pStyle w:val="249"/>
                    <w:rPr>
                      <w:rFonts w:eastAsia="宋体"/>
                      <w:color w:val="auto"/>
                      <w:sz w:val="21"/>
                      <w:szCs w:val="21"/>
                    </w:rPr>
                  </w:pPr>
                  <w:r>
                    <w:rPr>
                      <w:rFonts w:eastAsia="宋体"/>
                      <w:color w:val="auto"/>
                      <w:sz w:val="21"/>
                      <w:szCs w:val="21"/>
                    </w:rPr>
                    <w:t>4、关停退出热效率低下、敞开未封闭,装备简易落后、自动化水平低，布局分散、规模小、无组织排放突出，以及无治理设施或治理设施工艺落后的工业炉窑。基本淘汰35蒸吨/时及以下燃煤锅炉，确需保留的35蒸吨/时及以下燃煤锅炉，必须实现超低排放。</w:t>
                  </w:r>
                </w:p>
              </w:tc>
              <w:tc>
                <w:tcPr>
                  <w:tcW w:w="1055" w:type="pct"/>
                  <w:tcMar>
                    <w:left w:w="28" w:type="dxa"/>
                    <w:right w:w="28" w:type="dxa"/>
                  </w:tcMar>
                  <w:vAlign w:val="center"/>
                </w:tcPr>
                <w:p w14:paraId="5A146B98">
                  <w:pPr>
                    <w:autoSpaceDE w:val="0"/>
                    <w:autoSpaceDN w:val="0"/>
                    <w:adjustRightInd w:val="0"/>
                    <w:jc w:val="left"/>
                    <w:rPr>
                      <w:szCs w:val="21"/>
                    </w:rPr>
                  </w:pPr>
                  <w:r>
                    <w:rPr>
                      <w:szCs w:val="21"/>
                    </w:rPr>
                    <w:t>1、本项目不涉及VOCs排放，技改后二氧化硫、氮氧化物、颗粒物、等排放浓度满足A级企业浓度限值要求。</w:t>
                  </w:r>
                </w:p>
                <w:p w14:paraId="1FCE4F80">
                  <w:pPr>
                    <w:pStyle w:val="249"/>
                    <w:rPr>
                      <w:rFonts w:eastAsia="宋体"/>
                      <w:color w:val="auto"/>
                      <w:sz w:val="21"/>
                      <w:szCs w:val="21"/>
                    </w:rPr>
                  </w:pPr>
                  <w:r>
                    <w:rPr>
                      <w:color w:val="auto"/>
                      <w:sz w:val="21"/>
                      <w:szCs w:val="21"/>
                    </w:rPr>
                    <w:t>2、</w:t>
                  </w:r>
                  <w:r>
                    <w:rPr>
                      <w:rFonts w:eastAsia="宋体"/>
                      <w:color w:val="auto"/>
                      <w:sz w:val="21"/>
                      <w:szCs w:val="21"/>
                    </w:rPr>
                    <w:t>项目施工期强化施工扬尘污染防治，做到工地周边围挡、物料堆放覆盖、土方开挖湿法作业、路面硬化、出入车辆清洗、渣土车辆密闭运输"六个百分之百"，不在施工工地现场搅拌混凝土、现场配置砂浆。</w:t>
                  </w:r>
                </w:p>
                <w:p w14:paraId="05E93A00">
                  <w:pPr>
                    <w:autoSpaceDE w:val="0"/>
                    <w:autoSpaceDN w:val="0"/>
                    <w:adjustRightInd w:val="0"/>
                    <w:jc w:val="left"/>
                    <w:rPr>
                      <w:szCs w:val="21"/>
                    </w:rPr>
                  </w:pPr>
                  <w:r>
                    <w:rPr>
                      <w:szCs w:val="21"/>
                    </w:rPr>
                    <w:t>3、本项目按照绩效分级指标进行重污染天气管控，落实各项减排措施。项目施工期严格落实施工工地"六个百分之百"扬尘污染防治措施。</w:t>
                  </w:r>
                </w:p>
                <w:p w14:paraId="60D3640D">
                  <w:pPr>
                    <w:autoSpaceDE w:val="0"/>
                    <w:autoSpaceDN w:val="0"/>
                    <w:adjustRightInd w:val="0"/>
                    <w:jc w:val="left"/>
                    <w:rPr>
                      <w:szCs w:val="21"/>
                    </w:rPr>
                  </w:pPr>
                  <w:r>
                    <w:rPr>
                      <w:szCs w:val="21"/>
                    </w:rPr>
                    <w:t>4、项目技改后</w:t>
                  </w:r>
                  <w:r>
                    <w:rPr>
                      <w:bCs/>
                      <w:szCs w:val="21"/>
                    </w:rPr>
                    <w:t>按照</w:t>
                  </w:r>
                  <w:r>
                    <w:rPr>
                      <w:szCs w:val="21"/>
                    </w:rPr>
                    <w:t>A级企业要求配套建设高效窑炉烟气环保治理设施；隧道窑设自动控温系统，安装双窑门控制废气无组织排放；项目不涉及燃煤锅炉。</w:t>
                  </w:r>
                </w:p>
              </w:tc>
              <w:tc>
                <w:tcPr>
                  <w:tcW w:w="278" w:type="pct"/>
                  <w:vAlign w:val="center"/>
                </w:tcPr>
                <w:p w14:paraId="28B2212A">
                  <w:pPr>
                    <w:autoSpaceDE w:val="0"/>
                    <w:autoSpaceDN w:val="0"/>
                    <w:adjustRightInd w:val="0"/>
                    <w:jc w:val="center"/>
                    <w:rPr>
                      <w:szCs w:val="21"/>
                    </w:rPr>
                  </w:pPr>
                </w:p>
              </w:tc>
            </w:tr>
          </w:tbl>
          <w:p w14:paraId="65FD2C29">
            <w:pPr>
              <w:adjustRightInd w:val="0"/>
              <w:snapToGrid w:val="0"/>
              <w:spacing w:line="520" w:lineRule="exact"/>
              <w:ind w:firstLine="480" w:firstLineChars="200"/>
              <w:jc w:val="left"/>
              <w:rPr>
                <w:color w:val="000000" w:themeColor="text1"/>
                <w:sz w:val="24"/>
              </w:rPr>
            </w:pPr>
            <w:r>
              <w:rPr>
                <w:color w:val="000000" w:themeColor="text1"/>
                <w:kern w:val="0"/>
                <w:sz w:val="24"/>
              </w:rPr>
              <w:t>综上所述，本项目建设符合宝丰县“三线一单”生态环境分区管控要求。</w:t>
            </w:r>
          </w:p>
          <w:p w14:paraId="02C4D44D">
            <w:pPr>
              <w:autoSpaceDE w:val="0"/>
              <w:autoSpaceDN w:val="0"/>
              <w:adjustRightInd w:val="0"/>
              <w:snapToGrid w:val="0"/>
              <w:spacing w:line="520" w:lineRule="exact"/>
              <w:rPr>
                <w:rFonts w:eastAsia="黑体"/>
                <w:bCs/>
                <w:color w:val="000000" w:themeColor="text1"/>
                <w:kern w:val="0"/>
                <w:sz w:val="24"/>
              </w:rPr>
            </w:pPr>
            <w:r>
              <w:rPr>
                <w:rFonts w:eastAsia="黑体"/>
                <w:bCs/>
                <w:color w:val="000000" w:themeColor="text1"/>
                <w:kern w:val="0"/>
                <w:sz w:val="24"/>
              </w:rPr>
              <w:t>4、与相关集中式饮用水源保护区划相符性分析</w:t>
            </w:r>
          </w:p>
          <w:p w14:paraId="2054B580">
            <w:pPr>
              <w:autoSpaceDE w:val="0"/>
              <w:autoSpaceDN w:val="0"/>
              <w:adjustRightInd w:val="0"/>
              <w:snapToGrid w:val="0"/>
              <w:spacing w:line="520" w:lineRule="exact"/>
              <w:rPr>
                <w:rFonts w:eastAsia="黑体"/>
                <w:sz w:val="24"/>
              </w:rPr>
            </w:pPr>
            <w:r>
              <w:rPr>
                <w:rFonts w:eastAsia="黑体"/>
                <w:sz w:val="24"/>
              </w:rPr>
              <w:t>4.1平顶山市白龟山水库饮用水水源保护区相符性分析</w:t>
            </w:r>
          </w:p>
          <w:p w14:paraId="6CC3B27C">
            <w:pPr>
              <w:pStyle w:val="265"/>
              <w:adjustRightInd/>
              <w:snapToGrid/>
              <w:spacing w:line="520" w:lineRule="exact"/>
              <w:ind w:firstLine="480"/>
              <w:contextualSpacing/>
              <w:rPr>
                <w:rFonts w:ascii="Times New Roman" w:hAnsi="Times New Roman" w:cs="Times New Roman"/>
                <w:szCs w:val="24"/>
              </w:rPr>
            </w:pPr>
            <w:r>
              <w:rPr>
                <w:rFonts w:ascii="Times New Roman" w:hAnsi="Times New Roman" w:cs="Times New Roman"/>
                <w:szCs w:val="24"/>
              </w:rPr>
              <w:t>（1）保护区范围</w:t>
            </w:r>
          </w:p>
          <w:p w14:paraId="2AA327B9">
            <w:pPr>
              <w:pStyle w:val="265"/>
              <w:adjustRightInd/>
              <w:snapToGrid/>
              <w:spacing w:line="520" w:lineRule="exact"/>
              <w:ind w:firstLine="480"/>
              <w:contextualSpacing/>
              <w:rPr>
                <w:rFonts w:ascii="Times New Roman" w:hAnsi="Times New Roman" w:cs="Times New Roman"/>
                <w:szCs w:val="24"/>
              </w:rPr>
            </w:pPr>
            <w:r>
              <w:rPr>
                <w:rFonts w:ascii="Times New Roman" w:hAnsi="Times New Roman" w:cs="Times New Roman"/>
                <w:szCs w:val="24"/>
              </w:rPr>
              <w:t>根据河南省人民政府《</w:t>
            </w:r>
            <w:r>
              <w:rPr>
                <w:rFonts w:ascii="Times New Roman" w:hAnsi="Times New Roman" w:cs="Times New Roman"/>
                <w:bCs/>
                <w:szCs w:val="24"/>
              </w:rPr>
              <w:t>关于调整取消部分集中式饮用水水源保护区的通知</w:t>
            </w:r>
            <w:r>
              <w:rPr>
                <w:rFonts w:ascii="Times New Roman" w:hAnsi="Times New Roman" w:cs="Times New Roman"/>
                <w:szCs w:val="24"/>
              </w:rPr>
              <w:t>》（豫政文〔2021〕72号），平顶山市白龟山水库饮用水水源保护区具体范围如下：</w:t>
            </w:r>
          </w:p>
          <w:p w14:paraId="5037B49B">
            <w:pPr>
              <w:autoSpaceDE w:val="0"/>
              <w:snapToGrid w:val="0"/>
              <w:spacing w:line="520" w:lineRule="exact"/>
              <w:ind w:firstLine="480" w:firstLineChars="200"/>
              <w:rPr>
                <w:sz w:val="24"/>
              </w:rPr>
            </w:pPr>
            <w:r>
              <w:rPr>
                <w:sz w:val="24"/>
              </w:rPr>
              <w:t>一级保护区范围：水库大坝上游，水库高程103米以内的区域及平顶山学院取水口外围500米至湖滨路、平顶山市自来水有限公司取水口外围500米至平湖路以内的区域；沙河、应河、澎河、冷水河入库口至上游2000米的河道管理范围区域。</w:t>
            </w:r>
          </w:p>
          <w:p w14:paraId="04187455">
            <w:pPr>
              <w:autoSpaceDE w:val="0"/>
              <w:snapToGrid w:val="0"/>
              <w:spacing w:line="520" w:lineRule="exact"/>
              <w:ind w:firstLine="480" w:firstLineChars="200"/>
              <w:rPr>
                <w:sz w:val="24"/>
              </w:rPr>
            </w:pPr>
            <w:r>
              <w:rPr>
                <w:sz w:val="24"/>
              </w:rPr>
              <w:t>二级保护区范围：一级保护区外，水库高程103米至水库高程104米—湖滨路以内的区域；沙河入库口至上游昭平台水库坝下的河道管理范围区域；澎河入库口至上游14000米（南水北调中线工程澎河退水闸）的河道管理范围区域；应河、冷水河入库口至上游4000米的河道管理范围区域；大浪河、将相河、七里河、瀼河、肥河入沙河口至上游1000米的河道管理范围区域。</w:t>
            </w:r>
          </w:p>
          <w:p w14:paraId="39338213">
            <w:pPr>
              <w:autoSpaceDE w:val="0"/>
              <w:snapToGrid w:val="0"/>
              <w:spacing w:line="520" w:lineRule="exact"/>
              <w:ind w:firstLine="480" w:firstLineChars="200"/>
              <w:rPr>
                <w:sz w:val="24"/>
              </w:rPr>
            </w:pPr>
            <w:r>
              <w:rPr>
                <w:sz w:val="24"/>
              </w:rPr>
              <w:t>准保护区范围：一、二级保护区外，应河、澎河、冷水河河道管理范围外500米以内的区域。</w:t>
            </w:r>
          </w:p>
          <w:p w14:paraId="0811D84A">
            <w:pPr>
              <w:autoSpaceDE w:val="0"/>
              <w:snapToGrid w:val="0"/>
              <w:spacing w:line="520" w:lineRule="exact"/>
              <w:ind w:firstLine="480" w:firstLineChars="200"/>
              <w:rPr>
                <w:sz w:val="24"/>
              </w:rPr>
            </w:pPr>
            <w:r>
              <w:rPr>
                <w:sz w:val="24"/>
              </w:rPr>
              <w:t>（2）相符性分析</w:t>
            </w:r>
          </w:p>
          <w:p w14:paraId="2FA34A01">
            <w:pPr>
              <w:autoSpaceDE w:val="0"/>
              <w:snapToGrid w:val="0"/>
              <w:spacing w:line="520" w:lineRule="exact"/>
              <w:ind w:firstLine="480" w:firstLineChars="200"/>
              <w:rPr>
                <w:sz w:val="24"/>
              </w:rPr>
            </w:pPr>
            <w:r>
              <w:rPr>
                <w:sz w:val="24"/>
              </w:rPr>
              <w:t>本项目位于宝丰县闹店镇闹店村，不在白龟山水库上游流域内，距离白龟山水库最近距离约11km，项目不在平顶山市白龟山水库饮用水水源保护区范围内。</w:t>
            </w:r>
          </w:p>
          <w:p w14:paraId="265AC7E8">
            <w:pPr>
              <w:autoSpaceDE w:val="0"/>
              <w:autoSpaceDN w:val="0"/>
              <w:adjustRightInd w:val="0"/>
              <w:snapToGrid w:val="0"/>
              <w:spacing w:line="500" w:lineRule="exact"/>
              <w:rPr>
                <w:rFonts w:eastAsia="黑体"/>
                <w:sz w:val="24"/>
              </w:rPr>
            </w:pPr>
            <w:r>
              <w:rPr>
                <w:rFonts w:eastAsia="黑体"/>
                <w:sz w:val="24"/>
              </w:rPr>
              <w:t>4.2《河南省乡镇集中式饮用水水源保护区划》相符性</w:t>
            </w:r>
          </w:p>
          <w:p w14:paraId="03B3C3F6">
            <w:pPr>
              <w:pStyle w:val="265"/>
              <w:adjustRightInd/>
              <w:snapToGrid/>
              <w:spacing w:line="500" w:lineRule="exact"/>
              <w:ind w:firstLine="480"/>
              <w:contextualSpacing/>
              <w:rPr>
                <w:rFonts w:ascii="Times New Roman" w:hAnsi="Times New Roman" w:cs="Times New Roman"/>
                <w:szCs w:val="24"/>
              </w:rPr>
            </w:pPr>
            <w:r>
              <w:rPr>
                <w:rFonts w:ascii="Times New Roman" w:hAnsi="Times New Roman" w:cs="Times New Roman"/>
                <w:szCs w:val="24"/>
              </w:rPr>
              <w:t>（1）保护区范围</w:t>
            </w:r>
          </w:p>
          <w:p w14:paraId="22715C15">
            <w:pPr>
              <w:pStyle w:val="265"/>
              <w:adjustRightInd/>
              <w:snapToGrid/>
              <w:spacing w:line="500" w:lineRule="exact"/>
              <w:ind w:firstLine="480"/>
              <w:rPr>
                <w:rFonts w:ascii="Times New Roman" w:hAnsi="Times New Roman" w:cs="Times New Roman"/>
              </w:rPr>
            </w:pPr>
            <w:r>
              <w:rPr>
                <w:rFonts w:ascii="Times New Roman" w:hAnsi="Times New Roman" w:cs="Times New Roman"/>
              </w:rPr>
              <w:t>根据河南省人民政府办公厅发布的《</w:t>
            </w:r>
            <w:r>
              <w:rPr>
                <w:rFonts w:ascii="Times New Roman" w:hAnsi="Times New Roman" w:cs="Times New Roman"/>
                <w:bCs/>
              </w:rPr>
              <w:t>关于印发河南省乡镇集中式饮用水水源保护区划的通知</w:t>
            </w:r>
            <w:r>
              <w:rPr>
                <w:rFonts w:ascii="Times New Roman" w:hAnsi="Times New Roman" w:cs="Times New Roman"/>
              </w:rPr>
              <w:t>》（豫政办〔2016〕23号），平顶山市宝丰县划定的乡镇集中式饮用水水源地为：</w:t>
            </w:r>
          </w:p>
          <w:p w14:paraId="71E64F71">
            <w:pPr>
              <w:pStyle w:val="265"/>
              <w:adjustRightInd/>
              <w:snapToGrid/>
              <w:spacing w:line="500" w:lineRule="exact"/>
              <w:ind w:firstLine="480"/>
              <w:rPr>
                <w:rFonts w:ascii="Times New Roman" w:hAnsi="Times New Roman" w:cs="Times New Roman"/>
              </w:rPr>
            </w:pPr>
            <w:r>
              <w:rPr>
                <w:rFonts w:cs="Cambria Math"/>
              </w:rPr>
              <w:t>①</w:t>
            </w:r>
            <w:r>
              <w:rPr>
                <w:rFonts w:ascii="Times New Roman" w:hAnsi="Times New Roman" w:cs="Times New Roman"/>
              </w:rPr>
              <w:t>宝丰县商酒务镇地下水井群(共3眼井)</w:t>
            </w:r>
          </w:p>
          <w:p w14:paraId="2B829CA3">
            <w:pPr>
              <w:pStyle w:val="265"/>
              <w:adjustRightInd/>
              <w:snapToGrid/>
              <w:spacing w:line="500" w:lineRule="exact"/>
              <w:ind w:firstLine="480"/>
              <w:rPr>
                <w:rFonts w:ascii="Times New Roman" w:hAnsi="Times New Roman" w:cs="Times New Roman"/>
              </w:rPr>
            </w:pPr>
            <w:r>
              <w:rPr>
                <w:rFonts w:ascii="Times New Roman" w:hAnsi="Times New Roman" w:cs="Times New Roman"/>
              </w:rPr>
              <w:t>一级保护区范围：水厂厂区及外围东30米、南15米的区域（1号取水井），2、3号取水井外围30米的区域。</w:t>
            </w:r>
          </w:p>
          <w:p w14:paraId="4CBFD2FC">
            <w:pPr>
              <w:pStyle w:val="265"/>
              <w:adjustRightInd/>
              <w:snapToGrid/>
              <w:spacing w:line="500" w:lineRule="exact"/>
              <w:ind w:firstLine="480"/>
              <w:rPr>
                <w:rFonts w:ascii="Times New Roman" w:hAnsi="Times New Roman" w:cs="Times New Roman"/>
              </w:rPr>
            </w:pPr>
            <w:r>
              <w:rPr>
                <w:rFonts w:ascii="Times New Roman" w:hAnsi="Times New Roman" w:cs="Times New Roman"/>
              </w:rPr>
              <w:t>二级保护区范围：一级保护区外，水厂厂界东535米、西300米、南430米、北300米的区域。</w:t>
            </w:r>
          </w:p>
          <w:p w14:paraId="760DE91B">
            <w:pPr>
              <w:pStyle w:val="265"/>
              <w:adjustRightInd/>
              <w:snapToGrid/>
              <w:spacing w:line="500" w:lineRule="exact"/>
              <w:ind w:firstLine="480"/>
              <w:rPr>
                <w:rFonts w:ascii="Times New Roman" w:hAnsi="Times New Roman" w:cs="Times New Roman"/>
              </w:rPr>
            </w:pPr>
            <w:r>
              <w:rPr>
                <w:rFonts w:cs="Cambria Math"/>
              </w:rPr>
              <w:t>②</w:t>
            </w:r>
            <w:r>
              <w:rPr>
                <w:rFonts w:ascii="Times New Roman" w:hAnsi="Times New Roman" w:cs="Times New Roman"/>
              </w:rPr>
              <w:t>宝丰县闹店镇地下水井群（共3眼井）</w:t>
            </w:r>
          </w:p>
          <w:p w14:paraId="0EB4AFAA">
            <w:pPr>
              <w:pStyle w:val="265"/>
              <w:adjustRightInd/>
              <w:snapToGrid/>
              <w:spacing w:line="500" w:lineRule="exact"/>
              <w:ind w:firstLine="480"/>
              <w:rPr>
                <w:rFonts w:ascii="Times New Roman" w:hAnsi="Times New Roman" w:cs="Times New Roman"/>
              </w:rPr>
            </w:pPr>
            <w:r>
              <w:rPr>
                <w:rFonts w:ascii="Times New Roman" w:hAnsi="Times New Roman" w:cs="Times New Roman"/>
              </w:rPr>
              <w:t>一级保护区范围：水厂厂区及外围东25米、北20米的区域（1号取水井），2、3号取水井外围30米的区域。</w:t>
            </w:r>
          </w:p>
          <w:p w14:paraId="44C3D42A">
            <w:pPr>
              <w:pStyle w:val="265"/>
              <w:adjustRightInd/>
              <w:snapToGrid/>
              <w:spacing w:line="500" w:lineRule="exact"/>
              <w:ind w:firstLine="480"/>
              <w:rPr>
                <w:rFonts w:ascii="Times New Roman" w:hAnsi="Times New Roman" w:cs="Times New Roman"/>
              </w:rPr>
            </w:pPr>
            <w:r>
              <w:rPr>
                <w:rFonts w:ascii="Times New Roman" w:hAnsi="Times New Roman" w:cs="Times New Roman"/>
              </w:rPr>
              <w:t>二级保护区范围：一级保护区外，水厂厂界东520米、西300米、南390米、北320米的区域。</w:t>
            </w:r>
          </w:p>
          <w:p w14:paraId="27AF2D12">
            <w:pPr>
              <w:pStyle w:val="265"/>
              <w:adjustRightInd/>
              <w:snapToGrid/>
              <w:spacing w:line="500" w:lineRule="exact"/>
              <w:ind w:firstLine="480"/>
              <w:rPr>
                <w:rFonts w:ascii="Times New Roman" w:hAnsi="Times New Roman" w:cs="Times New Roman"/>
              </w:rPr>
            </w:pPr>
            <w:r>
              <w:rPr>
                <w:rFonts w:cs="Cambria Math"/>
              </w:rPr>
              <w:t>③</w:t>
            </w:r>
            <w:r>
              <w:rPr>
                <w:rFonts w:ascii="Times New Roman" w:hAnsi="Times New Roman" w:cs="Times New Roman"/>
              </w:rPr>
              <w:t>宝丰县赵庄乡地下水井群（共3眼井）</w:t>
            </w:r>
          </w:p>
          <w:p w14:paraId="0660CEE7">
            <w:pPr>
              <w:pStyle w:val="265"/>
              <w:adjustRightInd/>
              <w:snapToGrid/>
              <w:spacing w:line="500" w:lineRule="exact"/>
              <w:ind w:firstLine="480"/>
              <w:rPr>
                <w:rFonts w:ascii="Times New Roman" w:hAnsi="Times New Roman" w:cs="Times New Roman"/>
              </w:rPr>
            </w:pPr>
            <w:r>
              <w:rPr>
                <w:rFonts w:ascii="Times New Roman" w:hAnsi="Times New Roman" w:cs="Times New Roman"/>
              </w:rPr>
              <w:t>一级保护区范围：水厂厂区及外围东25米、南25米的区域（1号取水井），2、3号取水井外围30米的区域。</w:t>
            </w:r>
          </w:p>
          <w:p w14:paraId="4AEE32B5">
            <w:pPr>
              <w:pStyle w:val="265"/>
              <w:adjustRightInd/>
              <w:snapToGrid/>
              <w:spacing w:line="500" w:lineRule="exact"/>
              <w:ind w:firstLine="480"/>
              <w:rPr>
                <w:rFonts w:ascii="Times New Roman" w:hAnsi="Times New Roman" w:cs="Times New Roman"/>
              </w:rPr>
            </w:pPr>
            <w:r>
              <w:rPr>
                <w:rFonts w:ascii="Times New Roman" w:hAnsi="Times New Roman" w:cs="Times New Roman"/>
              </w:rPr>
              <w:t>二级保护区范围：一级保护区外，水厂厂界东440米、西300米、南325米、北420米的区域。</w:t>
            </w:r>
          </w:p>
          <w:p w14:paraId="2F1C2BD6">
            <w:pPr>
              <w:pStyle w:val="265"/>
              <w:adjustRightInd/>
              <w:snapToGrid/>
              <w:spacing w:line="500" w:lineRule="exact"/>
              <w:ind w:firstLine="480"/>
              <w:rPr>
                <w:rFonts w:ascii="Times New Roman" w:hAnsi="Times New Roman" w:cs="Times New Roman"/>
              </w:rPr>
            </w:pPr>
            <w:r>
              <w:rPr>
                <w:rFonts w:cs="Cambria Math"/>
              </w:rPr>
              <w:t>④</w:t>
            </w:r>
            <w:r>
              <w:rPr>
                <w:rFonts w:ascii="Times New Roman" w:hAnsi="Times New Roman" w:cs="Times New Roman"/>
              </w:rPr>
              <w:t>宝丰县李庄乡地下水井群（共3眼井）</w:t>
            </w:r>
          </w:p>
          <w:p w14:paraId="66CA81AA">
            <w:pPr>
              <w:pStyle w:val="265"/>
              <w:adjustRightInd/>
              <w:snapToGrid/>
              <w:spacing w:line="500" w:lineRule="exact"/>
              <w:ind w:firstLine="480"/>
              <w:rPr>
                <w:rFonts w:ascii="Times New Roman" w:hAnsi="Times New Roman" w:cs="Times New Roman"/>
              </w:rPr>
            </w:pPr>
            <w:r>
              <w:rPr>
                <w:rFonts w:ascii="Times New Roman" w:hAnsi="Times New Roman" w:cs="Times New Roman"/>
              </w:rPr>
              <w:t>一级保护区范围：水厂厂区及外围东25米、北25米的区域（1号取水井），2、3号取水井外围30米的区域。</w:t>
            </w:r>
          </w:p>
          <w:p w14:paraId="01DD3732">
            <w:pPr>
              <w:pStyle w:val="265"/>
              <w:adjustRightInd/>
              <w:snapToGrid/>
              <w:spacing w:line="500" w:lineRule="exact"/>
              <w:ind w:firstLine="480"/>
              <w:rPr>
                <w:rFonts w:ascii="Times New Roman" w:hAnsi="Times New Roman" w:cs="Times New Roman"/>
              </w:rPr>
            </w:pPr>
            <w:r>
              <w:rPr>
                <w:rFonts w:ascii="Times New Roman" w:hAnsi="Times New Roman" w:cs="Times New Roman"/>
              </w:rPr>
              <w:t>二级保护区范围：一级保护区外，水厂厂界东325米、西635米、南330米、北400米的区域。</w:t>
            </w:r>
          </w:p>
          <w:p w14:paraId="1E9B23E0">
            <w:pPr>
              <w:pStyle w:val="17"/>
              <w:kinsoku w:val="0"/>
              <w:overflowPunct w:val="0"/>
              <w:spacing w:after="0" w:line="500" w:lineRule="exact"/>
              <w:ind w:firstLine="480" w:firstLineChars="200"/>
              <w:jc w:val="left"/>
              <w:rPr>
                <w:bCs/>
                <w:sz w:val="24"/>
              </w:rPr>
            </w:pPr>
            <w:r>
              <w:rPr>
                <w:bCs/>
                <w:sz w:val="24"/>
              </w:rPr>
              <w:t>（2）相符性分析</w:t>
            </w:r>
          </w:p>
          <w:p w14:paraId="2D395382">
            <w:pPr>
              <w:spacing w:line="500" w:lineRule="exact"/>
              <w:ind w:firstLine="480" w:firstLineChars="200"/>
              <w:rPr>
                <w:sz w:val="24"/>
                <w:szCs w:val="20"/>
              </w:rPr>
            </w:pPr>
            <w:r>
              <w:rPr>
                <w:sz w:val="24"/>
                <w:szCs w:val="20"/>
              </w:rPr>
              <w:t>本项目位于宝丰县闹店镇闹店村东，根据调查，宝丰县闹店镇水厂位于闹店镇军营村东，本项目距离其直线距离约2.2km，不在其保护区范围内。本项目距离宝丰县其他乡镇较远，不在上述划定的乡镇集中式饮用水源地保护区范围内。</w:t>
            </w:r>
          </w:p>
          <w:p w14:paraId="6776AC06">
            <w:pPr>
              <w:autoSpaceDE w:val="0"/>
              <w:autoSpaceDN w:val="0"/>
              <w:adjustRightInd w:val="0"/>
              <w:snapToGrid w:val="0"/>
              <w:spacing w:line="520" w:lineRule="exact"/>
              <w:rPr>
                <w:rFonts w:eastAsia="黑体"/>
                <w:color w:val="000000" w:themeColor="text1"/>
                <w:sz w:val="24"/>
              </w:rPr>
            </w:pPr>
            <w:r>
              <w:rPr>
                <w:rFonts w:eastAsia="黑体"/>
                <w:color w:val="000000" w:themeColor="text1"/>
                <w:sz w:val="24"/>
              </w:rPr>
              <w:t>5、与《关于进一步明确砖瓦窑环境管理有关政策的函》（豫环委办函〔2025〕7号）符合性分析</w:t>
            </w:r>
          </w:p>
          <w:p w14:paraId="4EB25066">
            <w:pPr>
              <w:autoSpaceDE w:val="0"/>
              <w:autoSpaceDN w:val="0"/>
              <w:adjustRightInd w:val="0"/>
              <w:snapToGrid w:val="0"/>
              <w:spacing w:line="520" w:lineRule="exact"/>
              <w:ind w:firstLine="480" w:firstLineChars="200"/>
              <w:rPr>
                <w:bCs/>
                <w:color w:val="000000" w:themeColor="text1"/>
                <w:kern w:val="0"/>
                <w:sz w:val="24"/>
              </w:rPr>
            </w:pPr>
            <w:r>
              <w:rPr>
                <w:bCs/>
                <w:color w:val="000000" w:themeColor="text1"/>
                <w:kern w:val="0"/>
                <w:sz w:val="24"/>
              </w:rPr>
              <w:t>2025年以来，省内各地按照《河南省2025年蓝天保卫战实施方案》（以下简称《方案》）要求，大力推进砖瓦窑企业综合治理工作，加快淘汰退出6000万标砖/年以下烧结砖生产线，取得积极成效。但在执行“全省严禁新改扩建烧结砖瓦项目”相关政策要求时，存在对政策措施把握执行不准确等情况，因此，河南省生态环境保护委员会办公室印发了《关于进一步明确砖瓦窑环境管理有关政策的函》（豫环委办函〔2025〕7 号），本项目与其符合分析如下：</w:t>
            </w:r>
          </w:p>
          <w:p w14:paraId="26DB0AAE">
            <w:pPr>
              <w:pStyle w:val="13"/>
              <w:adjustRightInd w:val="0"/>
              <w:snapToGrid w:val="0"/>
              <w:spacing w:line="500" w:lineRule="exact"/>
              <w:jc w:val="center"/>
              <w:rPr>
                <w:rFonts w:ascii="Times New Roman" w:hAnsi="Times New Roman" w:cs="Times New Roman"/>
                <w:color w:val="000000" w:themeColor="text1"/>
                <w:kern w:val="0"/>
                <w:sz w:val="24"/>
                <w:szCs w:val="24"/>
              </w:rPr>
            </w:pPr>
          </w:p>
          <w:p w14:paraId="6CC68284">
            <w:pPr>
              <w:pStyle w:val="13"/>
              <w:adjustRightInd w:val="0"/>
              <w:snapToGrid w:val="0"/>
              <w:spacing w:line="500" w:lineRule="exact"/>
              <w:jc w:val="center"/>
              <w:rPr>
                <w:rFonts w:ascii="Times New Roman" w:hAnsi="Times New Roman" w:cs="Times New Roman"/>
                <w:color w:val="000000" w:themeColor="text1"/>
                <w:kern w:val="0"/>
                <w:sz w:val="24"/>
                <w:szCs w:val="24"/>
              </w:rPr>
            </w:pPr>
          </w:p>
          <w:p w14:paraId="430F3D7E">
            <w:pPr>
              <w:pStyle w:val="13"/>
              <w:adjustRightInd w:val="0"/>
              <w:snapToGrid w:val="0"/>
              <w:spacing w:line="500" w:lineRule="exact"/>
              <w:jc w:val="center"/>
              <w:rPr>
                <w:rFonts w:ascii="Times New Roman" w:hAnsi="Times New Roman" w:cs="Times New Roman"/>
                <w:color w:val="000000" w:themeColor="text1"/>
                <w:kern w:val="0"/>
                <w:sz w:val="24"/>
                <w:szCs w:val="24"/>
              </w:rPr>
            </w:pPr>
          </w:p>
          <w:p w14:paraId="13C0DFFB">
            <w:pPr>
              <w:pStyle w:val="13"/>
              <w:adjustRightInd w:val="0"/>
              <w:snapToGrid w:val="0"/>
              <w:spacing w:line="500" w:lineRule="exact"/>
              <w:jc w:val="center"/>
              <w:rPr>
                <w:rFonts w:ascii="Times New Roman" w:hAnsi="Times New Roman" w:cs="Times New Roman"/>
                <w:color w:val="000000" w:themeColor="text1"/>
                <w:kern w:val="0"/>
                <w:sz w:val="24"/>
                <w:szCs w:val="24"/>
              </w:rPr>
            </w:pPr>
          </w:p>
          <w:p w14:paraId="3C56AC74">
            <w:pPr>
              <w:pStyle w:val="13"/>
              <w:adjustRightInd w:val="0"/>
              <w:snapToGrid w:val="0"/>
              <w:spacing w:line="500" w:lineRule="exact"/>
              <w:jc w:val="center"/>
              <w:rPr>
                <w:rFonts w:ascii="Times New Roman" w:hAnsi="Times New Roman" w:cs="Times New Roman"/>
                <w:color w:val="000000" w:themeColor="text1"/>
                <w:kern w:val="0"/>
                <w:sz w:val="24"/>
                <w:szCs w:val="24"/>
              </w:rPr>
            </w:pPr>
          </w:p>
          <w:p w14:paraId="29C33A50">
            <w:pPr>
              <w:pStyle w:val="13"/>
              <w:adjustRightInd w:val="0"/>
              <w:snapToGrid w:val="0"/>
              <w:spacing w:line="500" w:lineRule="exact"/>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表1-6     本项目与</w:t>
            </w:r>
            <w:r>
              <w:rPr>
                <w:rFonts w:ascii="Times New Roman" w:hAnsi="Times New Roman" w:cs="Times New Roman"/>
                <w:color w:val="000000" w:themeColor="text1"/>
                <w:sz w:val="24"/>
              </w:rPr>
              <w:t>豫环委办函〔2025〕7号符合性分析</w:t>
            </w:r>
          </w:p>
          <w:tbl>
            <w:tblPr>
              <w:tblStyle w:val="3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8"/>
              <w:gridCol w:w="858"/>
              <w:gridCol w:w="2583"/>
              <w:gridCol w:w="3154"/>
              <w:gridCol w:w="811"/>
            </w:tblGrid>
            <w:tr w14:paraId="5F3C5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7" w:type="pct"/>
                  <w:vAlign w:val="center"/>
                </w:tcPr>
                <w:p w14:paraId="41A0E00F">
                  <w:pPr>
                    <w:adjustRightInd w:val="0"/>
                    <w:snapToGrid w:val="0"/>
                    <w:jc w:val="center"/>
                    <w:rPr>
                      <w:color w:val="000000" w:themeColor="text1"/>
                      <w:szCs w:val="21"/>
                    </w:rPr>
                  </w:pPr>
                  <w:r>
                    <w:rPr>
                      <w:color w:val="000000" w:themeColor="text1"/>
                      <w:szCs w:val="21"/>
                    </w:rPr>
                    <w:t>序号</w:t>
                  </w:r>
                </w:p>
              </w:tc>
              <w:tc>
                <w:tcPr>
                  <w:tcW w:w="545" w:type="pct"/>
                  <w:vAlign w:val="center"/>
                </w:tcPr>
                <w:p w14:paraId="53C086D9">
                  <w:pPr>
                    <w:adjustRightInd w:val="0"/>
                    <w:snapToGrid w:val="0"/>
                    <w:jc w:val="center"/>
                    <w:rPr>
                      <w:color w:val="000000" w:themeColor="text1"/>
                      <w:szCs w:val="21"/>
                    </w:rPr>
                  </w:pPr>
                  <w:r>
                    <w:rPr>
                      <w:color w:val="000000" w:themeColor="text1"/>
                      <w:szCs w:val="21"/>
                    </w:rPr>
                    <w:t>内容</w:t>
                  </w:r>
                </w:p>
              </w:tc>
              <w:tc>
                <w:tcPr>
                  <w:tcW w:w="1640" w:type="pct"/>
                  <w:vAlign w:val="center"/>
                </w:tcPr>
                <w:p w14:paraId="1C022626">
                  <w:pPr>
                    <w:adjustRightInd w:val="0"/>
                    <w:snapToGrid w:val="0"/>
                    <w:jc w:val="center"/>
                    <w:rPr>
                      <w:color w:val="000000" w:themeColor="text1"/>
                      <w:szCs w:val="21"/>
                    </w:rPr>
                  </w:pPr>
                  <w:r>
                    <w:rPr>
                      <w:color w:val="000000" w:themeColor="text1"/>
                      <w:szCs w:val="21"/>
                    </w:rPr>
                    <w:t>要求</w:t>
                  </w:r>
                </w:p>
              </w:tc>
              <w:tc>
                <w:tcPr>
                  <w:tcW w:w="2003" w:type="pct"/>
                  <w:vAlign w:val="center"/>
                </w:tcPr>
                <w:p w14:paraId="197E4830">
                  <w:pPr>
                    <w:adjustRightInd w:val="0"/>
                    <w:snapToGrid w:val="0"/>
                    <w:jc w:val="center"/>
                    <w:rPr>
                      <w:color w:val="000000" w:themeColor="text1"/>
                      <w:szCs w:val="21"/>
                    </w:rPr>
                  </w:pPr>
                  <w:r>
                    <w:rPr>
                      <w:color w:val="000000" w:themeColor="text1"/>
                      <w:szCs w:val="21"/>
                    </w:rPr>
                    <w:t>本项目情况</w:t>
                  </w:r>
                </w:p>
              </w:tc>
              <w:tc>
                <w:tcPr>
                  <w:tcW w:w="515" w:type="pct"/>
                  <w:tcBorders>
                    <w:right w:val="single" w:color="auto" w:sz="4" w:space="0"/>
                  </w:tcBorders>
                  <w:vAlign w:val="center"/>
                </w:tcPr>
                <w:p w14:paraId="1CA41EC0">
                  <w:pPr>
                    <w:adjustRightInd w:val="0"/>
                    <w:snapToGrid w:val="0"/>
                    <w:jc w:val="center"/>
                    <w:rPr>
                      <w:color w:val="000000" w:themeColor="text1"/>
                      <w:szCs w:val="21"/>
                    </w:rPr>
                  </w:pPr>
                  <w:r>
                    <w:rPr>
                      <w:color w:val="000000" w:themeColor="text1"/>
                      <w:szCs w:val="21"/>
                    </w:rPr>
                    <w:t>相符性</w:t>
                  </w:r>
                </w:p>
              </w:tc>
            </w:tr>
            <w:tr w14:paraId="0AF4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6" w:hRule="atLeast"/>
                <w:jc w:val="center"/>
              </w:trPr>
              <w:tc>
                <w:tcPr>
                  <w:tcW w:w="297" w:type="pct"/>
                  <w:vAlign w:val="center"/>
                </w:tcPr>
                <w:p w14:paraId="2A37E494">
                  <w:pPr>
                    <w:adjustRightInd w:val="0"/>
                    <w:snapToGrid w:val="0"/>
                    <w:jc w:val="center"/>
                    <w:rPr>
                      <w:color w:val="000000" w:themeColor="text1"/>
                      <w:szCs w:val="21"/>
                    </w:rPr>
                  </w:pPr>
                  <w:r>
                    <w:rPr>
                      <w:color w:val="000000" w:themeColor="text1"/>
                      <w:szCs w:val="21"/>
                    </w:rPr>
                    <w:t>一</w:t>
                  </w:r>
                </w:p>
              </w:tc>
              <w:tc>
                <w:tcPr>
                  <w:tcW w:w="545" w:type="pct"/>
                  <w:vAlign w:val="center"/>
                </w:tcPr>
                <w:p w14:paraId="3D48DC6E">
                  <w:pPr>
                    <w:adjustRightInd w:val="0"/>
                    <w:snapToGrid w:val="0"/>
                    <w:jc w:val="center"/>
                    <w:rPr>
                      <w:color w:val="000000" w:themeColor="text1"/>
                      <w:szCs w:val="21"/>
                    </w:rPr>
                  </w:pPr>
                  <w:r>
                    <w:rPr>
                      <w:color w:val="000000" w:themeColor="text1"/>
                      <w:szCs w:val="21"/>
                    </w:rPr>
                    <w:t>关于实施烧结砖瓦新改扩建项目范围</w:t>
                  </w:r>
                </w:p>
              </w:tc>
              <w:tc>
                <w:tcPr>
                  <w:tcW w:w="1640" w:type="pct"/>
                  <w:vAlign w:val="center"/>
                </w:tcPr>
                <w:p w14:paraId="2F3D398F">
                  <w:pPr>
                    <w:adjustRightInd w:val="0"/>
                    <w:snapToGrid w:val="0"/>
                    <w:jc w:val="left"/>
                    <w:rPr>
                      <w:color w:val="000000" w:themeColor="text1"/>
                      <w:szCs w:val="21"/>
                    </w:rPr>
                  </w:pPr>
                  <w:r>
                    <w:rPr>
                      <w:color w:val="000000" w:themeColor="text1"/>
                      <w:szCs w:val="21"/>
                    </w:rPr>
                    <w:t>为推进砖瓦窑企业绿色低碳转型发展，《河南省“十四五”生态环境保护与生态经济发展规划》提出全省禁止新增砖瓦窑产能。《方案》提出 “全省严禁新改扩建烧结砖瓦项目”，是为落实相关文件要求，进一步强化新改扩建烧结砖瓦项目管理。在严格落实不新增产能要求的前提下，企业可依法依规对烧结砖瓦生产线实施整合升级。一是按照国家“两高”项目管理要求，拟建项目环保绩效应达到A级水平。二是拟建项目在实施产能置换时，产能来源不得为已退出产能或“僵尸”产能、已获得财政资金补贴的淘汰退出项目产能。</w:t>
                  </w:r>
                </w:p>
              </w:tc>
              <w:tc>
                <w:tcPr>
                  <w:tcW w:w="2003" w:type="pct"/>
                  <w:vAlign w:val="center"/>
                </w:tcPr>
                <w:p w14:paraId="6E8D531B">
                  <w:pPr>
                    <w:adjustRightInd w:val="0"/>
                    <w:snapToGrid w:val="0"/>
                    <w:jc w:val="left"/>
                    <w:rPr>
                      <w:color w:val="000000" w:themeColor="text1"/>
                      <w:szCs w:val="21"/>
                    </w:rPr>
                  </w:pPr>
                  <w:r>
                    <w:rPr>
                      <w:color w:val="000000" w:themeColor="text1"/>
                      <w:szCs w:val="21"/>
                    </w:rPr>
                    <w:t>本项目由三兴建材和六和建材合并重组而成，整合前三兴建材产能为6000万块标砖/年，六和建材产能为6000万块标砖/年，整合后产能为1.2亿块标砖/年，不新增产能。经调查，三兴建材和六和建材均为现状生产企业，其产能均不属于已退出产能或“僵尸”产能、已获得财政资金补贴的淘汰退出项目产能。</w:t>
                  </w:r>
                </w:p>
                <w:p w14:paraId="5AD5F55E">
                  <w:pPr>
                    <w:adjustRightInd w:val="0"/>
                    <w:snapToGrid w:val="0"/>
                    <w:jc w:val="left"/>
                    <w:rPr>
                      <w:color w:val="EE0000"/>
                      <w:szCs w:val="21"/>
                    </w:rPr>
                  </w:pPr>
                  <w:r>
                    <w:rPr>
                      <w:color w:val="000000" w:themeColor="text1"/>
                      <w:szCs w:val="21"/>
                    </w:rPr>
                    <w:t>根据宝丰县发展和改革委员会、平顶山市生态环境局宝丰分局、宝丰县工业和信息化局出具的《宝丰县新改扩建烧结砖瓦项目整合升级会商联审意见表》，该项目年综合能源消费量1327吨标准煤（当量值）、3240吨标准煤（等价值），不属于“两高”项目，且符合产业政策，同意实施。本项目将严格按照烧结砖瓦制品企业绩效分级A级指标进行设计和建设，确保技改完成后达到环保绩效A级水平。</w:t>
                  </w:r>
                </w:p>
              </w:tc>
              <w:tc>
                <w:tcPr>
                  <w:tcW w:w="515" w:type="pct"/>
                  <w:tcBorders>
                    <w:right w:val="single" w:color="auto" w:sz="4" w:space="0"/>
                  </w:tcBorders>
                  <w:vAlign w:val="center"/>
                </w:tcPr>
                <w:p w14:paraId="5D330FDB">
                  <w:pPr>
                    <w:adjustRightInd w:val="0"/>
                    <w:snapToGrid w:val="0"/>
                    <w:jc w:val="center"/>
                    <w:rPr>
                      <w:szCs w:val="21"/>
                    </w:rPr>
                  </w:pPr>
                  <w:r>
                    <w:rPr>
                      <w:szCs w:val="21"/>
                    </w:rPr>
                    <w:t>相符</w:t>
                  </w:r>
                </w:p>
              </w:tc>
            </w:tr>
            <w:tr w14:paraId="08365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6" w:hRule="atLeast"/>
                <w:jc w:val="center"/>
              </w:trPr>
              <w:tc>
                <w:tcPr>
                  <w:tcW w:w="297" w:type="pct"/>
                  <w:vAlign w:val="center"/>
                </w:tcPr>
                <w:p w14:paraId="55D3F778">
                  <w:pPr>
                    <w:adjustRightInd w:val="0"/>
                    <w:snapToGrid w:val="0"/>
                    <w:jc w:val="center"/>
                    <w:rPr>
                      <w:color w:val="000000" w:themeColor="text1"/>
                      <w:szCs w:val="21"/>
                    </w:rPr>
                  </w:pPr>
                  <w:r>
                    <w:rPr>
                      <w:color w:val="000000" w:themeColor="text1"/>
                      <w:szCs w:val="21"/>
                    </w:rPr>
                    <w:t>二</w:t>
                  </w:r>
                </w:p>
              </w:tc>
              <w:tc>
                <w:tcPr>
                  <w:tcW w:w="545" w:type="pct"/>
                  <w:vAlign w:val="center"/>
                </w:tcPr>
                <w:p w14:paraId="3FC9AC15">
                  <w:pPr>
                    <w:adjustRightInd w:val="0"/>
                    <w:snapToGrid w:val="0"/>
                    <w:jc w:val="center"/>
                    <w:rPr>
                      <w:color w:val="000000" w:themeColor="text1"/>
                      <w:szCs w:val="21"/>
                    </w:rPr>
                  </w:pPr>
                  <w:r>
                    <w:rPr>
                      <w:color w:val="000000" w:themeColor="text1"/>
                      <w:szCs w:val="21"/>
                    </w:rPr>
                    <w:t>关于烧结砖瓦项目污染物总量替代</w:t>
                  </w:r>
                </w:p>
              </w:tc>
              <w:tc>
                <w:tcPr>
                  <w:tcW w:w="1640" w:type="pct"/>
                  <w:vAlign w:val="center"/>
                </w:tcPr>
                <w:p w14:paraId="36DB7447">
                  <w:pPr>
                    <w:adjustRightInd w:val="0"/>
                    <w:snapToGrid w:val="0"/>
                    <w:jc w:val="left"/>
                    <w:rPr>
                      <w:color w:val="000000" w:themeColor="text1"/>
                      <w:szCs w:val="21"/>
                    </w:rPr>
                  </w:pPr>
                  <w:r>
                    <w:rPr>
                      <w:color w:val="000000" w:themeColor="text1"/>
                      <w:szCs w:val="21"/>
                    </w:rPr>
                    <w:t>按照国家和我省关于污染物排放总量管控要求，环境空气质量未达标区域原则上对烧结砖瓦项目主要污染物排放量实行减量替代，替代后排放量不得超过相应被替代排放量的二分之一；环境空气质量已达标区域实行等量替代。污染物排放替代指标应来源于纳入排污许可管理排污单位关停、原料或工艺改造、末端治理等措施产生的实际减排量，原则上应与拟建项目位于同一省辖市。已纳入区域年度总量削减任务和已获得财政资金补贴的淘汰退出项目形成的减排量不得作为替代量。</w:t>
                  </w:r>
                </w:p>
              </w:tc>
              <w:tc>
                <w:tcPr>
                  <w:tcW w:w="2003" w:type="pct"/>
                  <w:vAlign w:val="center"/>
                </w:tcPr>
                <w:p w14:paraId="1C0888AF">
                  <w:pPr>
                    <w:adjustRightInd w:val="0"/>
                    <w:snapToGrid w:val="0"/>
                    <w:jc w:val="center"/>
                    <w:rPr>
                      <w:color w:val="000000" w:themeColor="text1"/>
                      <w:szCs w:val="21"/>
                    </w:rPr>
                  </w:pPr>
                  <w:r>
                    <w:rPr>
                      <w:color w:val="000000" w:themeColor="text1"/>
                      <w:szCs w:val="21"/>
                    </w:rPr>
                    <w:t>本项目优化了污染治理措施，实现了环境绩效的显著提升，可以达到烧结砖瓦制品企业环保绩效分级A级水平，整合后废气污染物总量控制指标有所削减，颗粒物、二氧化硫、氮氧化物排放量满足原环评许可的总量控制指标，由此可知，本项目不新增大气污染物总量控制指标，不新增区主要控制域污染物排放总量。</w:t>
                  </w:r>
                </w:p>
              </w:tc>
              <w:tc>
                <w:tcPr>
                  <w:tcW w:w="515" w:type="pct"/>
                  <w:tcBorders>
                    <w:right w:val="single" w:color="auto" w:sz="4" w:space="0"/>
                  </w:tcBorders>
                  <w:vAlign w:val="center"/>
                </w:tcPr>
                <w:p w14:paraId="0E706098">
                  <w:pPr>
                    <w:adjustRightInd w:val="0"/>
                    <w:snapToGrid w:val="0"/>
                    <w:jc w:val="center"/>
                    <w:rPr>
                      <w:color w:val="000000" w:themeColor="text1"/>
                      <w:szCs w:val="21"/>
                    </w:rPr>
                  </w:pPr>
                  <w:r>
                    <w:rPr>
                      <w:color w:val="000000" w:themeColor="text1"/>
                      <w:szCs w:val="21"/>
                    </w:rPr>
                    <w:t>相符</w:t>
                  </w:r>
                </w:p>
              </w:tc>
            </w:tr>
            <w:tr w14:paraId="7654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1" w:hRule="atLeast"/>
                <w:jc w:val="center"/>
              </w:trPr>
              <w:tc>
                <w:tcPr>
                  <w:tcW w:w="297" w:type="pct"/>
                  <w:vAlign w:val="center"/>
                </w:tcPr>
                <w:p w14:paraId="26E0A03F">
                  <w:pPr>
                    <w:adjustRightInd w:val="0"/>
                    <w:snapToGrid w:val="0"/>
                    <w:jc w:val="center"/>
                    <w:rPr>
                      <w:color w:val="000000" w:themeColor="text1"/>
                      <w:szCs w:val="21"/>
                    </w:rPr>
                  </w:pPr>
                  <w:r>
                    <w:rPr>
                      <w:color w:val="000000" w:themeColor="text1"/>
                      <w:szCs w:val="21"/>
                    </w:rPr>
                    <w:t>三</w:t>
                  </w:r>
                </w:p>
              </w:tc>
              <w:tc>
                <w:tcPr>
                  <w:tcW w:w="545" w:type="pct"/>
                  <w:vAlign w:val="center"/>
                </w:tcPr>
                <w:p w14:paraId="12704C15">
                  <w:pPr>
                    <w:adjustRightInd w:val="0"/>
                    <w:snapToGrid w:val="0"/>
                    <w:jc w:val="center"/>
                    <w:rPr>
                      <w:color w:val="000000" w:themeColor="text1"/>
                      <w:szCs w:val="21"/>
                    </w:rPr>
                  </w:pPr>
                  <w:r>
                    <w:rPr>
                      <w:color w:val="000000" w:themeColor="text1"/>
                      <w:szCs w:val="21"/>
                    </w:rPr>
                    <w:t>关于限制类工艺装备淘汰退出</w:t>
                  </w:r>
                </w:p>
              </w:tc>
              <w:tc>
                <w:tcPr>
                  <w:tcW w:w="1640" w:type="pct"/>
                  <w:vAlign w:val="center"/>
                </w:tcPr>
                <w:p w14:paraId="79238822">
                  <w:pPr>
                    <w:adjustRightInd w:val="0"/>
                    <w:snapToGrid w:val="0"/>
                    <w:jc w:val="left"/>
                    <w:rPr>
                      <w:color w:val="000000" w:themeColor="text1"/>
                      <w:szCs w:val="21"/>
                    </w:rPr>
                  </w:pPr>
                  <w:r>
                    <w:rPr>
                      <w:color w:val="000000" w:themeColor="text1"/>
                      <w:szCs w:val="21"/>
                    </w:rPr>
                    <w:t>按照《方案》要求，加快推进6000万标砖/年以下烧结砖生产线淘汰退出。已纳入淘汰退出计划的砖瓦窑企业，要明确淘汰时限，按时关停并拆除主体设备，依法注销或变更生产许可证、排污许可证，确保不具备生产能力，发挥减排效益，为绿色低碳转型发展腾出环境容量。</w:t>
                  </w:r>
                </w:p>
              </w:tc>
              <w:tc>
                <w:tcPr>
                  <w:tcW w:w="2003" w:type="pct"/>
                  <w:vAlign w:val="center"/>
                </w:tcPr>
                <w:p w14:paraId="632A7DA1">
                  <w:pPr>
                    <w:adjustRightInd w:val="0"/>
                    <w:snapToGrid w:val="0"/>
                    <w:jc w:val="center"/>
                    <w:rPr>
                      <w:color w:val="000000" w:themeColor="text1"/>
                      <w:szCs w:val="21"/>
                    </w:rPr>
                  </w:pPr>
                  <w:r>
                    <w:rPr>
                      <w:color w:val="000000" w:themeColor="text1"/>
                      <w:szCs w:val="21"/>
                    </w:rPr>
                    <w:t>项目整合后产能为1.2亿块标砖/年，单条生产线产能为1.2亿块标砖/年，不属于6000万标砖/年以下烧结砖生产线</w:t>
                  </w:r>
                </w:p>
              </w:tc>
              <w:tc>
                <w:tcPr>
                  <w:tcW w:w="515" w:type="pct"/>
                  <w:tcBorders>
                    <w:right w:val="single" w:color="auto" w:sz="4" w:space="0"/>
                  </w:tcBorders>
                  <w:vAlign w:val="center"/>
                </w:tcPr>
                <w:p w14:paraId="70227E4D">
                  <w:pPr>
                    <w:adjustRightInd w:val="0"/>
                    <w:snapToGrid w:val="0"/>
                    <w:jc w:val="center"/>
                    <w:rPr>
                      <w:color w:val="000000" w:themeColor="text1"/>
                      <w:szCs w:val="21"/>
                    </w:rPr>
                  </w:pPr>
                  <w:r>
                    <w:rPr>
                      <w:color w:val="000000" w:themeColor="text1"/>
                      <w:szCs w:val="21"/>
                    </w:rPr>
                    <w:t>相符</w:t>
                  </w:r>
                </w:p>
              </w:tc>
            </w:tr>
            <w:tr w14:paraId="6CE1C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6" w:hRule="atLeast"/>
                <w:jc w:val="center"/>
              </w:trPr>
              <w:tc>
                <w:tcPr>
                  <w:tcW w:w="297" w:type="pct"/>
                  <w:vAlign w:val="center"/>
                </w:tcPr>
                <w:p w14:paraId="16DA769E">
                  <w:pPr>
                    <w:adjustRightInd w:val="0"/>
                    <w:snapToGrid w:val="0"/>
                    <w:jc w:val="center"/>
                    <w:rPr>
                      <w:color w:val="000000" w:themeColor="text1"/>
                      <w:szCs w:val="21"/>
                    </w:rPr>
                  </w:pPr>
                  <w:r>
                    <w:rPr>
                      <w:color w:val="000000" w:themeColor="text1"/>
                      <w:szCs w:val="21"/>
                    </w:rPr>
                    <w:t>四</w:t>
                  </w:r>
                </w:p>
              </w:tc>
              <w:tc>
                <w:tcPr>
                  <w:tcW w:w="545" w:type="pct"/>
                  <w:vAlign w:val="center"/>
                </w:tcPr>
                <w:p w14:paraId="5605550D">
                  <w:pPr>
                    <w:adjustRightInd w:val="0"/>
                    <w:snapToGrid w:val="0"/>
                    <w:jc w:val="center"/>
                    <w:rPr>
                      <w:color w:val="000000" w:themeColor="text1"/>
                      <w:szCs w:val="21"/>
                    </w:rPr>
                  </w:pPr>
                  <w:r>
                    <w:rPr>
                      <w:color w:val="000000" w:themeColor="text1"/>
                      <w:szCs w:val="21"/>
                    </w:rPr>
                    <w:t>关于砖瓦窑企业环保绩效提升改造</w:t>
                  </w:r>
                </w:p>
              </w:tc>
              <w:tc>
                <w:tcPr>
                  <w:tcW w:w="1640" w:type="pct"/>
                  <w:vAlign w:val="center"/>
                </w:tcPr>
                <w:p w14:paraId="259CC2C5">
                  <w:pPr>
                    <w:adjustRightInd w:val="0"/>
                    <w:snapToGrid w:val="0"/>
                    <w:jc w:val="left"/>
                    <w:rPr>
                      <w:color w:val="000000" w:themeColor="text1"/>
                      <w:szCs w:val="21"/>
                    </w:rPr>
                  </w:pPr>
                  <w:r>
                    <w:rPr>
                      <w:color w:val="000000" w:themeColor="text1"/>
                      <w:szCs w:val="21"/>
                    </w:rPr>
                    <w:t>砖瓦窑企业应按要求安装污染物在线监控设施，并与生态环境部门联网。按照《方案》要求，各地要推进存量砖瓦窑企业从窑炉装备、污染治理技术、排放限值、无组织排放、环境管理水平、运输方式等方面实施升级改造，指导帮扶企业提升环境绩效等级，依法依规落实差异化  应急减排措施。对无法稳定达标的砖瓦窑企业依法实施限制生产、停产整治等措施，并督促指导企业采取有效措施，确保污染治理设施稳定运行并达标排放。</w:t>
                  </w:r>
                </w:p>
              </w:tc>
              <w:tc>
                <w:tcPr>
                  <w:tcW w:w="2003" w:type="pct"/>
                  <w:vAlign w:val="center"/>
                </w:tcPr>
                <w:p w14:paraId="09E8BA64">
                  <w:pPr>
                    <w:adjustRightInd w:val="0"/>
                    <w:snapToGrid w:val="0"/>
                    <w:jc w:val="center"/>
                    <w:rPr>
                      <w:color w:val="000000" w:themeColor="text1"/>
                      <w:szCs w:val="21"/>
                    </w:rPr>
                  </w:pPr>
                  <w:r>
                    <w:rPr>
                      <w:color w:val="000000" w:themeColor="text1"/>
                      <w:szCs w:val="21"/>
                    </w:rPr>
                    <w:t>本项目为宝丰三兴新型建材有限公司整合升级技改项目，项目对窑炉装备、污染治理技术等方面实施升级改造，改造后达到烧结砖瓦制品企业环保绩效分级A级水平。本项目整合后窑炉烟气采用SNCR脱硝+石灰-石膏法脱硫+湿电除尘装置处理，废气排放口按照要求安装颗粒物、二氧化硫、NOx在线监控设施，并与生态环境部门联网。</w:t>
                  </w:r>
                </w:p>
              </w:tc>
              <w:tc>
                <w:tcPr>
                  <w:tcW w:w="515" w:type="pct"/>
                  <w:tcBorders>
                    <w:right w:val="single" w:color="auto" w:sz="4" w:space="0"/>
                  </w:tcBorders>
                  <w:vAlign w:val="center"/>
                </w:tcPr>
                <w:p w14:paraId="404331FF">
                  <w:pPr>
                    <w:adjustRightInd w:val="0"/>
                    <w:snapToGrid w:val="0"/>
                    <w:jc w:val="center"/>
                    <w:rPr>
                      <w:color w:val="000000" w:themeColor="text1"/>
                      <w:szCs w:val="21"/>
                    </w:rPr>
                  </w:pPr>
                  <w:r>
                    <w:rPr>
                      <w:color w:val="000000" w:themeColor="text1"/>
                      <w:szCs w:val="21"/>
                    </w:rPr>
                    <w:t>相符</w:t>
                  </w:r>
                </w:p>
              </w:tc>
            </w:tr>
          </w:tbl>
          <w:p w14:paraId="3ED502CC">
            <w:pPr>
              <w:autoSpaceDE w:val="0"/>
              <w:autoSpaceDN w:val="0"/>
              <w:adjustRightInd w:val="0"/>
              <w:snapToGrid w:val="0"/>
              <w:spacing w:line="520" w:lineRule="exact"/>
              <w:rPr>
                <w:rFonts w:eastAsia="黑体"/>
                <w:color w:val="000000" w:themeColor="text1"/>
                <w:sz w:val="24"/>
              </w:rPr>
            </w:pPr>
            <w:r>
              <w:rPr>
                <w:rFonts w:eastAsia="黑体"/>
                <w:bCs/>
                <w:color w:val="000000" w:themeColor="text1"/>
                <w:kern w:val="0"/>
                <w:sz w:val="24"/>
              </w:rPr>
              <w:t>6、</w:t>
            </w:r>
            <w:r>
              <w:rPr>
                <w:rFonts w:eastAsia="黑体"/>
                <w:color w:val="000000" w:themeColor="text1"/>
                <w:sz w:val="24"/>
              </w:rPr>
              <w:t>项目与《平顶山市空气质量持续改善实施方案》（平政〔2025〕6 号）符合性分析</w:t>
            </w:r>
          </w:p>
          <w:p w14:paraId="52928CAC">
            <w:pPr>
              <w:pStyle w:val="13"/>
              <w:adjustRightInd w:val="0"/>
              <w:snapToGrid w:val="0"/>
              <w:spacing w:line="520" w:lineRule="exact"/>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表1-7      项目与</w:t>
            </w:r>
            <w:r>
              <w:rPr>
                <w:rFonts w:ascii="Times New Roman" w:hAnsi="Times New Roman" w:cs="Times New Roman"/>
                <w:color w:val="000000" w:themeColor="text1"/>
                <w:sz w:val="24"/>
              </w:rPr>
              <w:t>（平政〔2025〕6 号）</w:t>
            </w:r>
            <w:r>
              <w:rPr>
                <w:rFonts w:ascii="Times New Roman" w:hAnsi="Times New Roman" w:cs="Times New Roman"/>
                <w:color w:val="000000" w:themeColor="text1"/>
                <w:kern w:val="0"/>
                <w:sz w:val="24"/>
                <w:szCs w:val="24"/>
              </w:rPr>
              <w:t>相符性（相关部分）</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7"/>
              <w:gridCol w:w="2860"/>
              <w:gridCol w:w="677"/>
            </w:tblGrid>
            <w:tr w14:paraId="4358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pct"/>
                  <w:vAlign w:val="center"/>
                </w:tcPr>
                <w:p w14:paraId="7792B80B">
                  <w:pPr>
                    <w:autoSpaceDE w:val="0"/>
                    <w:autoSpaceDN w:val="0"/>
                    <w:adjustRightInd w:val="0"/>
                    <w:snapToGrid w:val="0"/>
                    <w:jc w:val="center"/>
                    <w:rPr>
                      <w:bCs/>
                      <w:color w:val="000000" w:themeColor="text1"/>
                      <w:kern w:val="0"/>
                      <w:szCs w:val="21"/>
                    </w:rPr>
                  </w:pPr>
                  <w:r>
                    <w:rPr>
                      <w:bCs/>
                      <w:color w:val="000000" w:themeColor="text1"/>
                      <w:kern w:val="0"/>
                      <w:szCs w:val="21"/>
                    </w:rPr>
                    <w:t>相关内容</w:t>
                  </w:r>
                </w:p>
              </w:tc>
              <w:tc>
                <w:tcPr>
                  <w:tcW w:w="1816" w:type="pct"/>
                  <w:vAlign w:val="center"/>
                </w:tcPr>
                <w:p w14:paraId="52AB69D1">
                  <w:pPr>
                    <w:autoSpaceDE w:val="0"/>
                    <w:autoSpaceDN w:val="0"/>
                    <w:adjustRightInd w:val="0"/>
                    <w:snapToGrid w:val="0"/>
                    <w:jc w:val="center"/>
                    <w:rPr>
                      <w:bCs/>
                      <w:color w:val="000000" w:themeColor="text1"/>
                      <w:kern w:val="0"/>
                      <w:szCs w:val="21"/>
                    </w:rPr>
                  </w:pPr>
                  <w:r>
                    <w:rPr>
                      <w:bCs/>
                      <w:color w:val="000000" w:themeColor="text1"/>
                      <w:kern w:val="0"/>
                      <w:szCs w:val="21"/>
                    </w:rPr>
                    <w:t>本项目情况</w:t>
                  </w:r>
                </w:p>
              </w:tc>
              <w:tc>
                <w:tcPr>
                  <w:tcW w:w="430" w:type="pct"/>
                  <w:vAlign w:val="center"/>
                </w:tcPr>
                <w:p w14:paraId="56E5A787">
                  <w:pPr>
                    <w:autoSpaceDE w:val="0"/>
                    <w:autoSpaceDN w:val="0"/>
                    <w:adjustRightInd w:val="0"/>
                    <w:snapToGrid w:val="0"/>
                    <w:jc w:val="center"/>
                    <w:rPr>
                      <w:bCs/>
                      <w:color w:val="000000" w:themeColor="text1"/>
                      <w:kern w:val="0"/>
                      <w:szCs w:val="21"/>
                    </w:rPr>
                  </w:pPr>
                  <w:r>
                    <w:rPr>
                      <w:bCs/>
                      <w:color w:val="000000" w:themeColor="text1"/>
                      <w:kern w:val="0"/>
                      <w:szCs w:val="21"/>
                    </w:rPr>
                    <w:t>相符性</w:t>
                  </w:r>
                </w:p>
              </w:tc>
            </w:tr>
            <w:tr w14:paraId="4B0D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pct"/>
                </w:tcPr>
                <w:p w14:paraId="785AED01">
                  <w:pPr>
                    <w:autoSpaceDE w:val="0"/>
                    <w:autoSpaceDN w:val="0"/>
                    <w:adjustRightInd w:val="0"/>
                    <w:snapToGrid w:val="0"/>
                    <w:jc w:val="left"/>
                    <w:rPr>
                      <w:bCs/>
                      <w:color w:val="000000" w:themeColor="text1"/>
                      <w:kern w:val="0"/>
                      <w:szCs w:val="21"/>
                    </w:rPr>
                  </w:pPr>
                  <w:r>
                    <w:rPr>
                      <w:bCs/>
                      <w:color w:val="000000" w:themeColor="text1"/>
                      <w:kern w:val="0"/>
                      <w:szCs w:val="21"/>
                    </w:rPr>
                    <w:t>1、优化产业结构，促进产业绿色发展：（一）严把“两高”项目准入关口。严格落实国家和省“两高”项目相关要求，严禁新增钢铁产能。严格执行有关行业产能置换政策，被置换产能及其配套设施关停后，新建项目方可投产。国家、省绩效分级重点行业以及涉及锅炉炉窑的其他行业，新建（改扩建）项目原则上达到环境绩效A级或国内清洁生产先进水平。推进钢铁、焦化、烧结一体化布局，大幅减少独立烧结、球团和热轧企业及工序，推动高炉—转炉长流程炼钢转型为电炉短流程炼钢，淘汰落后煤炭洗选产能。落实国家“以钢定焦”有关要求，研究落实省焦化行业产能退出政策措施。</w:t>
                  </w:r>
                </w:p>
                <w:p w14:paraId="2A70FF0A">
                  <w:pPr>
                    <w:autoSpaceDE w:val="0"/>
                    <w:autoSpaceDN w:val="0"/>
                    <w:adjustRightInd w:val="0"/>
                    <w:snapToGrid w:val="0"/>
                    <w:jc w:val="left"/>
                    <w:rPr>
                      <w:bCs/>
                      <w:color w:val="000000" w:themeColor="text1"/>
                      <w:kern w:val="0"/>
                      <w:szCs w:val="21"/>
                    </w:rPr>
                  </w:pPr>
                  <w:r>
                    <w:rPr>
                      <w:bCs/>
                      <w:color w:val="000000" w:themeColor="text1"/>
                      <w:kern w:val="0"/>
                      <w:szCs w:val="21"/>
                    </w:rPr>
                    <w:t>（二）加快淘汰落后低效产能。落实国家产业政策，进一步提高落后产能能耗、环保、质量、安全、技术等要求，将大气污染物排放强度高、清洁生产水平低、治理难度大以及产能过剩行业的工艺和装备纳入淘汰范围，逐步退出限制类涉气行业工艺和装备；加快淘汰步进式烧结机、球团竖炉、独立烧结（球团）、独立热轧工序以及半封闭式硅锰合金、镍铁、高碳铬铁、高碳锰铁电炉；鼓励砖瓦行业单条6000万标砖/年以下烧结砖及烧结空心砌块生产线关停退出。</w:t>
                  </w:r>
                </w:p>
              </w:tc>
              <w:tc>
                <w:tcPr>
                  <w:tcW w:w="1816" w:type="pct"/>
                  <w:vAlign w:val="center"/>
                </w:tcPr>
                <w:p w14:paraId="4BF4E41F">
                  <w:pPr>
                    <w:autoSpaceDE w:val="0"/>
                    <w:autoSpaceDN w:val="0"/>
                    <w:adjustRightInd w:val="0"/>
                    <w:snapToGrid w:val="0"/>
                    <w:jc w:val="left"/>
                    <w:rPr>
                      <w:bCs/>
                      <w:color w:val="000000" w:themeColor="text1"/>
                      <w:kern w:val="0"/>
                      <w:szCs w:val="21"/>
                    </w:rPr>
                  </w:pPr>
                  <w:r>
                    <w:rPr>
                      <w:color w:val="000000" w:themeColor="text1"/>
                      <w:szCs w:val="21"/>
                    </w:rPr>
                    <w:t>项目符合河南省生态环境保护委员会办公室《关于进一步明确砖瓦窑环境管理有关政策的函》（豫环委办函〔2025〕7号）中相关要求。根据宝丰县发展和改革委员会、平顶山市生态环境局宝丰分局、宝丰县工业和信息化局出具的《宝丰县新改扩建烧结砖瓦项目整合升级会商联审意见表》，项目年综合能源消费量为1327吨标准煤（当量值）、3420吨标准煤（等价值），不属于“两高”项目。本项目对厂区内窑炉烟气净化设施及生产设施进行升级，改造完成后可达到烧结砖瓦制品企业环保绩效分级A级水平。</w:t>
                  </w:r>
                </w:p>
              </w:tc>
              <w:tc>
                <w:tcPr>
                  <w:tcW w:w="430" w:type="pct"/>
                  <w:vAlign w:val="center"/>
                </w:tcPr>
                <w:p w14:paraId="1376AE6A">
                  <w:pPr>
                    <w:autoSpaceDE w:val="0"/>
                    <w:autoSpaceDN w:val="0"/>
                    <w:adjustRightInd w:val="0"/>
                    <w:snapToGrid w:val="0"/>
                    <w:jc w:val="center"/>
                    <w:rPr>
                      <w:bCs/>
                      <w:color w:val="000000" w:themeColor="text1"/>
                      <w:kern w:val="0"/>
                      <w:szCs w:val="21"/>
                    </w:rPr>
                  </w:pPr>
                  <w:r>
                    <w:rPr>
                      <w:bCs/>
                      <w:color w:val="000000" w:themeColor="text1"/>
                      <w:kern w:val="0"/>
                      <w:szCs w:val="21"/>
                    </w:rPr>
                    <w:t>相符</w:t>
                  </w:r>
                </w:p>
              </w:tc>
            </w:tr>
            <w:tr w14:paraId="5750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pct"/>
                </w:tcPr>
                <w:p w14:paraId="54E68B81">
                  <w:pPr>
                    <w:autoSpaceDE w:val="0"/>
                    <w:autoSpaceDN w:val="0"/>
                    <w:adjustRightInd w:val="0"/>
                    <w:snapToGrid w:val="0"/>
                    <w:jc w:val="left"/>
                    <w:rPr>
                      <w:bCs/>
                      <w:color w:val="000000" w:themeColor="text1"/>
                      <w:kern w:val="0"/>
                      <w:szCs w:val="21"/>
                    </w:rPr>
                  </w:pPr>
                  <w:r>
                    <w:rPr>
                      <w:bCs/>
                      <w:color w:val="000000" w:themeColor="text1"/>
                      <w:kern w:val="0"/>
                      <w:szCs w:val="21"/>
                    </w:rPr>
                    <w:t>3、优化交通运输结构，完善绿色运输体系：（三）强化非道路移动源综合治理。严格实施非道路移动柴油机械第四阶段排放标准。扩大高排放非道路移动机械禁用区范围，提升管控要求，将铁路货场、物流园区、港口、工矿企业、施工工地等机械高频使用场所纳入禁用区管理，禁止使用排气烟度超过 III 类限值和国二及以下排放标准的非道路移动机械。加快推进铁路货场、物流园区、港口、工矿企业内部作业车辆和机械新能源更新改造，新增或更新的3 吨以下叉车基本实现新能源化。提高轮渡船、短途旅游船、港作船使用新能源和清洁能源的比例。大力推动老旧铁路机车淘汰，鼓励铁路场站及煤炭、钢铁、冶金等行业推广新能源铁路装备。2025 年，基本淘汰第一阶段以下排放标准的非道路移动机械，基本消除非道路移动机械、船舶以及铁路机车“冒黑烟”现象，主要港口船舶靠岸期间原则上全部使用岸电。</w:t>
                  </w:r>
                </w:p>
              </w:tc>
              <w:tc>
                <w:tcPr>
                  <w:tcW w:w="1816" w:type="pct"/>
                  <w:vAlign w:val="center"/>
                </w:tcPr>
                <w:p w14:paraId="2B82C767">
                  <w:pPr>
                    <w:autoSpaceDE w:val="0"/>
                    <w:autoSpaceDN w:val="0"/>
                    <w:adjustRightInd w:val="0"/>
                    <w:snapToGrid w:val="0"/>
                    <w:jc w:val="left"/>
                    <w:rPr>
                      <w:bCs/>
                      <w:color w:val="000000" w:themeColor="text1"/>
                      <w:kern w:val="0"/>
                      <w:szCs w:val="21"/>
                    </w:rPr>
                  </w:pPr>
                  <w:r>
                    <w:rPr>
                      <w:bCs/>
                      <w:color w:val="000000" w:themeColor="text1"/>
                      <w:kern w:val="0"/>
                      <w:szCs w:val="21"/>
                    </w:rPr>
                    <w:t>本项目物料运输采用国六标准车辆或新能源车辆，优先选用新能源车辆；厂区内非道路移动机械采用</w:t>
                  </w:r>
                  <w:r>
                    <w:rPr>
                      <w:bCs/>
                      <w:color w:val="000000" w:themeColor="text1"/>
                      <w:szCs w:val="21"/>
                    </w:rPr>
                    <w:t>国三及以上排放标准或使用新能源机械</w:t>
                  </w:r>
                </w:p>
              </w:tc>
              <w:tc>
                <w:tcPr>
                  <w:tcW w:w="430" w:type="pct"/>
                  <w:vAlign w:val="center"/>
                </w:tcPr>
                <w:p w14:paraId="532897B4">
                  <w:pPr>
                    <w:autoSpaceDE w:val="0"/>
                    <w:autoSpaceDN w:val="0"/>
                    <w:adjustRightInd w:val="0"/>
                    <w:snapToGrid w:val="0"/>
                    <w:jc w:val="center"/>
                    <w:rPr>
                      <w:bCs/>
                      <w:color w:val="000000" w:themeColor="text1"/>
                      <w:kern w:val="0"/>
                      <w:szCs w:val="21"/>
                    </w:rPr>
                  </w:pPr>
                  <w:r>
                    <w:rPr>
                      <w:bCs/>
                      <w:color w:val="000000" w:themeColor="text1"/>
                      <w:kern w:val="0"/>
                      <w:szCs w:val="21"/>
                    </w:rPr>
                    <w:t>相符</w:t>
                  </w:r>
                </w:p>
              </w:tc>
            </w:tr>
            <w:tr w14:paraId="7F86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pct"/>
                </w:tcPr>
                <w:p w14:paraId="3C258B78">
                  <w:pPr>
                    <w:autoSpaceDE w:val="0"/>
                    <w:autoSpaceDN w:val="0"/>
                    <w:adjustRightInd w:val="0"/>
                    <w:snapToGrid w:val="0"/>
                    <w:jc w:val="left"/>
                    <w:rPr>
                      <w:bCs/>
                      <w:color w:val="000000" w:themeColor="text1"/>
                      <w:kern w:val="0"/>
                      <w:szCs w:val="21"/>
                    </w:rPr>
                  </w:pPr>
                  <w:r>
                    <w:rPr>
                      <w:bCs/>
                      <w:color w:val="000000" w:themeColor="text1"/>
                      <w:kern w:val="0"/>
                      <w:szCs w:val="21"/>
                    </w:rPr>
                    <w:t>4、强化面源污染治理，提升精细化管理水平：（一）深化扬尘污染综合治理。严格落实扬尘治理“两个标准”要求，加强施工围挡、车辆冲洗、湿法作业、密闭运输、地面硬化、物料覆盖等精细化管理，鼓励建筑项目积极采用装配式建造等绿色施工技术。市政道路、水务等长距离线性工程实行分段施工，逐步推动5000平方米以上建筑工地安装在线监测和视频监控设施并接入市监管平台。将防治扬尘污染费用纳入工程造价。持续开展城市清洁行动，强化道路扬尘综合整治，对长期未开发的建设裸地进行排查整治。2025年，中心城区主次干道机械化清扫率达到90%以上，城市煤炭、矿石等干散货码头物料堆场完成抑尘设施建设和物料输送系统封闭建设。</w:t>
                  </w:r>
                </w:p>
              </w:tc>
              <w:tc>
                <w:tcPr>
                  <w:tcW w:w="1816" w:type="pct"/>
                  <w:vAlign w:val="center"/>
                </w:tcPr>
                <w:p w14:paraId="07644A06">
                  <w:pPr>
                    <w:autoSpaceDE w:val="0"/>
                    <w:autoSpaceDN w:val="0"/>
                    <w:adjustRightInd w:val="0"/>
                    <w:snapToGrid w:val="0"/>
                    <w:jc w:val="left"/>
                    <w:rPr>
                      <w:bCs/>
                      <w:color w:val="000000" w:themeColor="text1"/>
                      <w:kern w:val="0"/>
                      <w:szCs w:val="21"/>
                    </w:rPr>
                  </w:pPr>
                  <w:r>
                    <w:rPr>
                      <w:bCs/>
                      <w:color w:val="000000" w:themeColor="text1"/>
                      <w:kern w:val="0"/>
                      <w:szCs w:val="21"/>
                    </w:rPr>
                    <w:t>本项目施工期严格落实扬尘治理“两个标准”要求，项目主要施工内容在现有车间内进行，同时加强车辆冲洗、湿法作业、密闭运输、地面硬化、物料覆盖等精细化管理；</w:t>
                  </w:r>
                  <w:r>
                    <w:rPr>
                      <w:color w:val="000000" w:themeColor="text1"/>
                      <w:szCs w:val="21"/>
                    </w:rPr>
                    <w:t xml:space="preserve"> </w:t>
                  </w:r>
                </w:p>
              </w:tc>
              <w:tc>
                <w:tcPr>
                  <w:tcW w:w="430" w:type="pct"/>
                  <w:vAlign w:val="center"/>
                </w:tcPr>
                <w:p w14:paraId="2D7869F9">
                  <w:pPr>
                    <w:autoSpaceDE w:val="0"/>
                    <w:autoSpaceDN w:val="0"/>
                    <w:adjustRightInd w:val="0"/>
                    <w:snapToGrid w:val="0"/>
                    <w:jc w:val="center"/>
                    <w:rPr>
                      <w:bCs/>
                      <w:color w:val="000000" w:themeColor="text1"/>
                      <w:kern w:val="0"/>
                      <w:szCs w:val="21"/>
                    </w:rPr>
                  </w:pPr>
                  <w:r>
                    <w:rPr>
                      <w:bCs/>
                      <w:color w:val="000000" w:themeColor="text1"/>
                      <w:kern w:val="0"/>
                      <w:szCs w:val="21"/>
                    </w:rPr>
                    <w:t>相符</w:t>
                  </w:r>
                </w:p>
              </w:tc>
            </w:tr>
          </w:tbl>
          <w:p w14:paraId="039F91E5">
            <w:pPr>
              <w:keepNext/>
              <w:keepLines/>
              <w:spacing w:line="480" w:lineRule="exact"/>
              <w:jc w:val="left"/>
              <w:rPr>
                <w:bCs/>
                <w:color w:val="000000" w:themeColor="text1"/>
                <w:kern w:val="0"/>
                <w:sz w:val="24"/>
              </w:rPr>
            </w:pPr>
            <w:r>
              <w:rPr>
                <w:rFonts w:eastAsia="黑体"/>
                <w:bCs/>
                <w:color w:val="000000" w:themeColor="text1"/>
                <w:kern w:val="0"/>
                <w:sz w:val="24"/>
              </w:rPr>
              <w:t>7、</w:t>
            </w:r>
            <w:r>
              <w:rPr>
                <w:rFonts w:eastAsia="黑体"/>
                <w:color w:val="000000" w:themeColor="text1"/>
                <w:sz w:val="24"/>
              </w:rPr>
              <w:t>项目建设与《平顶山市2025 年蓝天保卫战实施方案》、《平顶山市2025 年碧水保卫战实施方案》、《平顶山市2025 年净土保卫战实施方案》（平环委办〔2025〕18 号）相符性分析</w:t>
            </w:r>
          </w:p>
          <w:p w14:paraId="1BACA71B">
            <w:pPr>
              <w:pStyle w:val="13"/>
              <w:adjustRightInd w:val="0"/>
              <w:snapToGrid w:val="0"/>
              <w:spacing w:line="500" w:lineRule="exact"/>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表1-8     本项目与</w:t>
            </w:r>
            <w:r>
              <w:rPr>
                <w:rFonts w:ascii="Times New Roman" w:hAnsi="Times New Roman" w:cs="Times New Roman"/>
                <w:color w:val="000000" w:themeColor="text1"/>
                <w:sz w:val="24"/>
              </w:rPr>
              <w:t>（平环委办〔2025〕18 号）</w:t>
            </w:r>
            <w:r>
              <w:rPr>
                <w:rFonts w:ascii="Times New Roman" w:hAnsi="Times New Roman" w:cs="Times New Roman"/>
                <w:color w:val="000000" w:themeColor="text1"/>
                <w:kern w:val="0"/>
                <w:sz w:val="24"/>
                <w:szCs w:val="24"/>
              </w:rPr>
              <w:t>相符性分析一览表</w:t>
            </w:r>
          </w:p>
          <w:tbl>
            <w:tblPr>
              <w:tblStyle w:val="3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0"/>
              <w:gridCol w:w="4304"/>
              <w:gridCol w:w="1980"/>
              <w:gridCol w:w="850"/>
            </w:tblGrid>
            <w:tr w14:paraId="1B9D2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70" w:type="pct"/>
                  <w:vAlign w:val="center"/>
                </w:tcPr>
                <w:p w14:paraId="49937107">
                  <w:pPr>
                    <w:adjustRightInd w:val="0"/>
                    <w:snapToGrid w:val="0"/>
                    <w:jc w:val="center"/>
                    <w:rPr>
                      <w:color w:val="000000" w:themeColor="text1"/>
                      <w:szCs w:val="21"/>
                    </w:rPr>
                  </w:pPr>
                  <w:r>
                    <w:rPr>
                      <w:color w:val="000000" w:themeColor="text1"/>
                      <w:szCs w:val="21"/>
                    </w:rPr>
                    <w:t>相关文件</w:t>
                  </w:r>
                </w:p>
              </w:tc>
              <w:tc>
                <w:tcPr>
                  <w:tcW w:w="2733" w:type="pct"/>
                  <w:vAlign w:val="center"/>
                </w:tcPr>
                <w:p w14:paraId="3863F88E">
                  <w:pPr>
                    <w:adjustRightInd w:val="0"/>
                    <w:snapToGrid w:val="0"/>
                    <w:jc w:val="center"/>
                    <w:rPr>
                      <w:color w:val="000000" w:themeColor="text1"/>
                      <w:szCs w:val="21"/>
                    </w:rPr>
                  </w:pPr>
                  <w:r>
                    <w:rPr>
                      <w:color w:val="000000" w:themeColor="text1"/>
                      <w:szCs w:val="21"/>
                    </w:rPr>
                    <w:t>相关要求</w:t>
                  </w:r>
                </w:p>
              </w:tc>
              <w:tc>
                <w:tcPr>
                  <w:tcW w:w="1257" w:type="pct"/>
                  <w:vAlign w:val="center"/>
                </w:tcPr>
                <w:p w14:paraId="6E431F59">
                  <w:pPr>
                    <w:adjustRightInd w:val="0"/>
                    <w:snapToGrid w:val="0"/>
                    <w:jc w:val="center"/>
                    <w:rPr>
                      <w:color w:val="000000" w:themeColor="text1"/>
                      <w:szCs w:val="21"/>
                    </w:rPr>
                  </w:pPr>
                  <w:r>
                    <w:rPr>
                      <w:color w:val="000000" w:themeColor="text1"/>
                      <w:szCs w:val="21"/>
                    </w:rPr>
                    <w:t>本项目情况</w:t>
                  </w:r>
                </w:p>
              </w:tc>
              <w:tc>
                <w:tcPr>
                  <w:tcW w:w="540" w:type="pct"/>
                  <w:tcBorders>
                    <w:right w:val="single" w:color="auto" w:sz="4" w:space="0"/>
                  </w:tcBorders>
                  <w:vAlign w:val="center"/>
                </w:tcPr>
                <w:p w14:paraId="20168947">
                  <w:pPr>
                    <w:adjustRightInd w:val="0"/>
                    <w:snapToGrid w:val="0"/>
                    <w:jc w:val="center"/>
                    <w:rPr>
                      <w:color w:val="000000" w:themeColor="text1"/>
                      <w:szCs w:val="21"/>
                    </w:rPr>
                  </w:pPr>
                  <w:r>
                    <w:rPr>
                      <w:color w:val="000000" w:themeColor="text1"/>
                      <w:szCs w:val="21"/>
                    </w:rPr>
                    <w:t>相符性</w:t>
                  </w:r>
                </w:p>
              </w:tc>
            </w:tr>
            <w:tr w14:paraId="727CB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470" w:type="pct"/>
                  <w:vMerge w:val="restart"/>
                  <w:vAlign w:val="center"/>
                </w:tcPr>
                <w:p w14:paraId="15455154">
                  <w:pPr>
                    <w:adjustRightInd w:val="0"/>
                    <w:snapToGrid w:val="0"/>
                    <w:jc w:val="center"/>
                    <w:rPr>
                      <w:color w:val="000000" w:themeColor="text1"/>
                      <w:szCs w:val="21"/>
                    </w:rPr>
                  </w:pPr>
                  <w:r>
                    <w:rPr>
                      <w:color w:val="000000" w:themeColor="text1"/>
                      <w:szCs w:val="21"/>
                    </w:rPr>
                    <w:t>《平顶山市2025 年蓝天保卫战实施方案》</w:t>
                  </w:r>
                </w:p>
              </w:tc>
              <w:tc>
                <w:tcPr>
                  <w:tcW w:w="2733" w:type="pct"/>
                  <w:vAlign w:val="center"/>
                </w:tcPr>
                <w:p w14:paraId="530B8960">
                  <w:pPr>
                    <w:adjustRightInd w:val="0"/>
                    <w:snapToGrid w:val="0"/>
                    <w:jc w:val="left"/>
                    <w:rPr>
                      <w:color w:val="000000" w:themeColor="text1"/>
                      <w:szCs w:val="21"/>
                    </w:rPr>
                  </w:pPr>
                  <w:r>
                    <w:rPr>
                      <w:color w:val="000000" w:themeColor="text1"/>
                      <w:szCs w:val="21"/>
                    </w:rPr>
                    <w:t>（一）结构优化升级专项攻坚</w:t>
                  </w:r>
                </w:p>
                <w:p w14:paraId="1F4DB0C7">
                  <w:pPr>
                    <w:adjustRightInd w:val="0"/>
                    <w:snapToGrid w:val="0"/>
                    <w:jc w:val="left"/>
                    <w:rPr>
                      <w:color w:val="EE0000"/>
                      <w:szCs w:val="21"/>
                      <w:u w:val="single"/>
                    </w:rPr>
                  </w:pPr>
                  <w:r>
                    <w:rPr>
                      <w:color w:val="000000" w:themeColor="text1"/>
                      <w:szCs w:val="21"/>
                    </w:rPr>
                    <w:t>（1）依法依规淘汰落后低效产能。严格落实《产业结构调整指导目录（2024年本）》《河南省淘汰落后产能综合标准体系（2023 年本）》要求，加快落后生产工艺装备和过剩产能淘汰退出，列入2025年去产能计划的生产设施9月底前停止排污。全市严禁新改扩建烧结砖瓦项目，2025年9月底前退出4家8条6000万标砖/年以下、城市规划区内的烧结砖及烧结空心砌块生产线，并根据“创A晋B”情况，积极推进其他砖瓦窑企业生产线退出，根据省时间节点要求，组织开展烧结砖瓦行业专项整治“回头看”，对达不到B级及以上绩效水平的烧结砖瓦企业实施停产整治；持续推动生物质小锅炉关停整合。</w:t>
                  </w:r>
                </w:p>
              </w:tc>
              <w:tc>
                <w:tcPr>
                  <w:tcW w:w="1257" w:type="pct"/>
                  <w:vAlign w:val="center"/>
                </w:tcPr>
                <w:p w14:paraId="0283762F">
                  <w:pPr>
                    <w:adjustRightInd w:val="0"/>
                    <w:snapToGrid w:val="0"/>
                    <w:jc w:val="center"/>
                    <w:rPr>
                      <w:color w:val="000000" w:themeColor="text1"/>
                      <w:szCs w:val="21"/>
                      <w:u w:val="single"/>
                    </w:rPr>
                  </w:pPr>
                  <w:r>
                    <w:rPr>
                      <w:color w:val="000000" w:themeColor="text1"/>
                      <w:szCs w:val="21"/>
                    </w:rPr>
                    <w:t>本项目由三兴建材和六和建材合并重组而成，整合前三兴建材产能为6000万块标砖/年，六和建材产能为6000万块标砖/年，整合后产能为1.2亿块标砖/年，单条生产线产能为1.2亿块折标砖，同时对窑炉烟气净化设施及生产设施进行升级，改造完成后，企业可达到烧结砖瓦制品企业环保绩效分级A 级水平。</w:t>
                  </w:r>
                </w:p>
              </w:tc>
              <w:tc>
                <w:tcPr>
                  <w:tcW w:w="540" w:type="pct"/>
                  <w:tcBorders>
                    <w:right w:val="single" w:color="auto" w:sz="4" w:space="0"/>
                  </w:tcBorders>
                  <w:vAlign w:val="center"/>
                </w:tcPr>
                <w:p w14:paraId="0859A788">
                  <w:pPr>
                    <w:adjustRightInd w:val="0"/>
                    <w:snapToGrid w:val="0"/>
                    <w:jc w:val="center"/>
                    <w:rPr>
                      <w:color w:val="000000" w:themeColor="text1"/>
                      <w:szCs w:val="21"/>
                    </w:rPr>
                  </w:pPr>
                  <w:r>
                    <w:rPr>
                      <w:szCs w:val="21"/>
                    </w:rPr>
                    <w:t>相符</w:t>
                  </w:r>
                </w:p>
              </w:tc>
            </w:tr>
            <w:tr w14:paraId="522AD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470" w:type="pct"/>
                  <w:vMerge w:val="continue"/>
                  <w:vAlign w:val="center"/>
                </w:tcPr>
                <w:p w14:paraId="3643408F">
                  <w:pPr>
                    <w:adjustRightInd w:val="0"/>
                    <w:snapToGrid w:val="0"/>
                    <w:jc w:val="center"/>
                    <w:rPr>
                      <w:color w:val="EE0000"/>
                      <w:szCs w:val="21"/>
                    </w:rPr>
                  </w:pPr>
                </w:p>
              </w:tc>
              <w:tc>
                <w:tcPr>
                  <w:tcW w:w="2733" w:type="pct"/>
                  <w:vAlign w:val="center"/>
                </w:tcPr>
                <w:p w14:paraId="4BB81979">
                  <w:pPr>
                    <w:adjustRightInd w:val="0"/>
                    <w:snapToGrid w:val="0"/>
                    <w:jc w:val="left"/>
                    <w:rPr>
                      <w:color w:val="000000" w:themeColor="text1"/>
                      <w:szCs w:val="21"/>
                    </w:rPr>
                  </w:pPr>
                  <w:r>
                    <w:rPr>
                      <w:color w:val="000000" w:themeColor="text1"/>
                      <w:szCs w:val="21"/>
                    </w:rPr>
                    <w:t>（二）工业企业提标治理专项攻坚</w:t>
                  </w:r>
                </w:p>
                <w:p w14:paraId="70B6052E">
                  <w:pPr>
                    <w:adjustRightInd w:val="0"/>
                    <w:snapToGrid w:val="0"/>
                    <w:jc w:val="left"/>
                    <w:rPr>
                      <w:color w:val="000000" w:themeColor="text1"/>
                      <w:szCs w:val="21"/>
                    </w:rPr>
                  </w:pPr>
                  <w:r>
                    <w:rPr>
                      <w:color w:val="000000" w:themeColor="text1"/>
                      <w:szCs w:val="21"/>
                    </w:rPr>
                    <w:t xml:space="preserve">（6）深入开展低效失效治理设施排查整治。持续开展低效失效大气污染治理设施排查，淘汰不成熟、不适用、无法稳定达标排放的治理工艺，整治关键组件缺失、质量低劣、自动化水平低的治理设施，纳入年度重点治理任务限期完成提升改造。2025 年10月底前，完成低效失效治理设施排查提升改造企业170家200个问题以上，未按时完成提升改造的纳入秋冬季生产调控范围。 </w:t>
                  </w:r>
                </w:p>
                <w:p w14:paraId="4D107475">
                  <w:pPr>
                    <w:adjustRightInd w:val="0"/>
                    <w:snapToGrid w:val="0"/>
                    <w:jc w:val="left"/>
                    <w:rPr>
                      <w:color w:val="000000" w:themeColor="text1"/>
                      <w:szCs w:val="21"/>
                      <w:u w:val="single"/>
                    </w:rPr>
                  </w:pPr>
                  <w:r>
                    <w:rPr>
                      <w:color w:val="000000" w:themeColor="text1"/>
                      <w:szCs w:val="21"/>
                    </w:rPr>
                    <w:t>（8）加快工业企业深度治理。加强燃煤锅炉、生物质锅炉除尘、脱硫、脱硝设施运行管理，推动燃煤电厂、焦化行业、水泥行业精准喷氨设施升级改造，强化工业源烟气脱硫脱硝氨逃逸防控，推进燃气锅炉、炉窑低氮燃烧改造，对不能稳定达标排放的垃圾焚烧发电、生物质锅炉、砖瓦窑、耐火材料等行业企业实施提标治理。强化全过程排放控制和监督帮扶力度，严禁不正常使用或未经批准擅自拆除、闲置、停运污染治理设施，严禁生物质锅炉掺烧煤炭、垃圾、工业固体废物等其他物料。对全市现有150 家以上砂石骨料企业开展全流程综合治理，推动砂石骨料行业装备升级，实施清洁化、智能化、绿色化改造。完善动态管理机制，严防“散乱污”企业反弹。……</w:t>
                  </w:r>
                </w:p>
              </w:tc>
              <w:tc>
                <w:tcPr>
                  <w:tcW w:w="1257" w:type="pct"/>
                  <w:vAlign w:val="center"/>
                </w:tcPr>
                <w:p w14:paraId="0B50836D">
                  <w:pPr>
                    <w:adjustRightInd w:val="0"/>
                    <w:snapToGrid w:val="0"/>
                    <w:jc w:val="center"/>
                    <w:rPr>
                      <w:color w:val="000000" w:themeColor="text1"/>
                      <w:szCs w:val="21"/>
                      <w:u w:val="single"/>
                    </w:rPr>
                  </w:pPr>
                  <w:r>
                    <w:rPr>
                      <w:color w:val="000000" w:themeColor="text1"/>
                    </w:rPr>
                    <w:t>本项目窑炉烟气采用SNCR脱硝+石灰-石膏法脱硫+湿电除尘装置进行处理，其他环节产生的粉尘采用袋式除尘器进行处理，所采用的废气治理技术属于《排污许可证申请与核发技术规范 陶瓷砖瓦工业》（HJ954-2018）中推荐的可行技术，不属于</w:t>
                  </w:r>
                  <w:r>
                    <w:rPr>
                      <w:color w:val="000000" w:themeColor="text1"/>
                      <w:szCs w:val="21"/>
                    </w:rPr>
                    <w:t>低效失效大气污染治理设施，</w:t>
                  </w:r>
                  <w:r>
                    <w:rPr>
                      <w:color w:val="000000" w:themeColor="text1"/>
                    </w:rPr>
                    <w:t>可以实现污染物的达标排放。</w:t>
                  </w:r>
                </w:p>
              </w:tc>
              <w:tc>
                <w:tcPr>
                  <w:tcW w:w="540" w:type="pct"/>
                  <w:tcBorders>
                    <w:right w:val="single" w:color="auto" w:sz="4" w:space="0"/>
                  </w:tcBorders>
                  <w:vAlign w:val="center"/>
                </w:tcPr>
                <w:p w14:paraId="2ACE94B0">
                  <w:pPr>
                    <w:adjustRightInd w:val="0"/>
                    <w:snapToGrid w:val="0"/>
                    <w:jc w:val="center"/>
                    <w:rPr>
                      <w:color w:val="000000" w:themeColor="text1"/>
                      <w:szCs w:val="21"/>
                    </w:rPr>
                  </w:pPr>
                  <w:r>
                    <w:rPr>
                      <w:szCs w:val="21"/>
                    </w:rPr>
                    <w:t>相符</w:t>
                  </w:r>
                </w:p>
              </w:tc>
            </w:tr>
            <w:tr w14:paraId="759FE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470" w:type="pct"/>
                  <w:vMerge w:val="continue"/>
                  <w:vAlign w:val="center"/>
                </w:tcPr>
                <w:p w14:paraId="519C6369">
                  <w:pPr>
                    <w:adjustRightInd w:val="0"/>
                    <w:snapToGrid w:val="0"/>
                    <w:jc w:val="center"/>
                    <w:rPr>
                      <w:color w:val="EE0000"/>
                      <w:szCs w:val="21"/>
                    </w:rPr>
                  </w:pPr>
                </w:p>
              </w:tc>
              <w:tc>
                <w:tcPr>
                  <w:tcW w:w="2733" w:type="pct"/>
                  <w:vAlign w:val="center"/>
                </w:tcPr>
                <w:p w14:paraId="3B21ADBD">
                  <w:pPr>
                    <w:adjustRightInd w:val="0"/>
                    <w:snapToGrid w:val="0"/>
                    <w:jc w:val="left"/>
                    <w:rPr>
                      <w:color w:val="000000" w:themeColor="text1"/>
                      <w:szCs w:val="21"/>
                    </w:rPr>
                  </w:pPr>
                  <w:r>
                    <w:rPr>
                      <w:color w:val="000000" w:themeColor="text1"/>
                      <w:szCs w:val="21"/>
                    </w:rPr>
                    <w:t>（三）移动源污染排放控制专项攻坚</w:t>
                  </w:r>
                </w:p>
                <w:p w14:paraId="05192505">
                  <w:pPr>
                    <w:adjustRightInd w:val="0"/>
                    <w:snapToGrid w:val="0"/>
                    <w:jc w:val="left"/>
                    <w:rPr>
                      <w:color w:val="000000" w:themeColor="text1"/>
                      <w:szCs w:val="21"/>
                    </w:rPr>
                  </w:pPr>
                  <w:r>
                    <w:rPr>
                      <w:color w:val="000000" w:themeColor="text1"/>
                      <w:szCs w:val="21"/>
                    </w:rPr>
                    <w:t xml:space="preserve">（10）大力推广新能源汽车。制定老旧车辆淘汰目标及实施计划，加快淘汰国四及以下排放标准汽车。加快推进重型卡车和城市公共领域用车新能源更新。推进城市绿色物流区域建设，区域内城市货运基本使用新能源车辆。除特殊需求的车辆外，各级党政机关新购买公务用车基本实现新能源化。2025 年底前，除应急车辆外，全市公交车、巡游出租车以及城市建成区的渣土运输车、水泥罐车、物流车、邮政用车、环卫用车、网约出租车基本使用新能源汽车；各县（市、区）重型载货车辆、工程车辆绿色替代率达到 50%以上。 </w:t>
                  </w:r>
                </w:p>
                <w:p w14:paraId="779E9526">
                  <w:pPr>
                    <w:adjustRightInd w:val="0"/>
                    <w:snapToGrid w:val="0"/>
                    <w:jc w:val="left"/>
                    <w:rPr>
                      <w:color w:val="000000" w:themeColor="text1"/>
                      <w:szCs w:val="21"/>
                    </w:rPr>
                  </w:pPr>
                  <w:r>
                    <w:rPr>
                      <w:color w:val="000000" w:themeColor="text1"/>
                      <w:szCs w:val="21"/>
                    </w:rPr>
                    <w:t>（11）强化非道路移动源综合治理。加快推动高污染的老旧内燃机车、运输船舶、农业机械和工程机械淘汰更新，推动岸电设施建设应用。开展对本地非道路移动机械和发动机生产、销售企业的环保一致性监督检查，基本实现系族全覆盖。规范开展非道路移动机械信息采集和定位联网，强化高排放非道路移动机械禁用区监管，对20%以上的燃油机械开展监督抽测。2025 年底前，基本消除铁路内燃机车和船舶冒黑烟现象，主要港口船舶靠岸期间原则上全部使用岸电，完成工程机械环保编码登记三级联网，基本淘汰国一及以下工程机械，新增或更新的 3 吨以下叉车基本实现新能源化。各县（市、区）制定工程机械年度抽查抽测计划，重点核验信息公开、污染控制装置、编码登记、定位联网等，对燃油机械进行排放测试，年度抽查抽测比例不低于 20%。</w:t>
                  </w:r>
                </w:p>
              </w:tc>
              <w:tc>
                <w:tcPr>
                  <w:tcW w:w="1257" w:type="pct"/>
                  <w:vAlign w:val="center"/>
                </w:tcPr>
                <w:p w14:paraId="19CCC320">
                  <w:pPr>
                    <w:adjustRightInd w:val="0"/>
                    <w:snapToGrid w:val="0"/>
                    <w:jc w:val="center"/>
                    <w:rPr>
                      <w:color w:val="000000" w:themeColor="text1"/>
                    </w:rPr>
                  </w:pPr>
                  <w:r>
                    <w:rPr>
                      <w:color w:val="000000" w:themeColor="text1"/>
                      <w:szCs w:val="21"/>
                    </w:rPr>
                    <w:t>本项目物料运输采用国六标准车辆或新能源车辆，优先选用新能源车辆。</w:t>
                  </w:r>
                  <w:r>
                    <w:rPr>
                      <w:bCs/>
                      <w:color w:val="000000" w:themeColor="text1"/>
                      <w:szCs w:val="21"/>
                    </w:rPr>
                    <w:t>厂内非道路移动机械全部达到国三及以上排放标准或使用新能源机械</w:t>
                  </w:r>
                </w:p>
              </w:tc>
              <w:tc>
                <w:tcPr>
                  <w:tcW w:w="540" w:type="pct"/>
                  <w:tcBorders>
                    <w:right w:val="single" w:color="auto" w:sz="4" w:space="0"/>
                  </w:tcBorders>
                  <w:vAlign w:val="center"/>
                </w:tcPr>
                <w:p w14:paraId="5F6660E4">
                  <w:pPr>
                    <w:adjustRightInd w:val="0"/>
                    <w:snapToGrid w:val="0"/>
                    <w:jc w:val="center"/>
                    <w:rPr>
                      <w:color w:val="000000" w:themeColor="text1"/>
                      <w:szCs w:val="21"/>
                    </w:rPr>
                  </w:pPr>
                  <w:r>
                    <w:rPr>
                      <w:szCs w:val="21"/>
                    </w:rPr>
                    <w:t>相符</w:t>
                  </w:r>
                </w:p>
              </w:tc>
            </w:tr>
            <w:tr w14:paraId="75A2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470" w:type="pct"/>
                  <w:vMerge w:val="continue"/>
                  <w:vAlign w:val="center"/>
                </w:tcPr>
                <w:p w14:paraId="2C6C1FC4">
                  <w:pPr>
                    <w:adjustRightInd w:val="0"/>
                    <w:snapToGrid w:val="0"/>
                    <w:jc w:val="center"/>
                    <w:rPr>
                      <w:color w:val="EE0000"/>
                      <w:szCs w:val="21"/>
                    </w:rPr>
                  </w:pPr>
                </w:p>
              </w:tc>
              <w:tc>
                <w:tcPr>
                  <w:tcW w:w="2733" w:type="pct"/>
                  <w:vAlign w:val="center"/>
                </w:tcPr>
                <w:p w14:paraId="4DE7F803">
                  <w:pPr>
                    <w:adjustRightInd w:val="0"/>
                    <w:snapToGrid w:val="0"/>
                    <w:jc w:val="left"/>
                    <w:rPr>
                      <w:color w:val="000000" w:themeColor="text1"/>
                      <w:szCs w:val="21"/>
                    </w:rPr>
                  </w:pPr>
                  <w:r>
                    <w:rPr>
                      <w:color w:val="000000" w:themeColor="text1"/>
                      <w:szCs w:val="21"/>
                    </w:rPr>
                    <w:t>（四）面源污染防控专项攻坚</w:t>
                  </w:r>
                </w:p>
                <w:p w14:paraId="4B0B75D3">
                  <w:pPr>
                    <w:adjustRightInd w:val="0"/>
                    <w:snapToGrid w:val="0"/>
                    <w:jc w:val="left"/>
                    <w:rPr>
                      <w:color w:val="000000" w:themeColor="text1"/>
                      <w:szCs w:val="21"/>
                    </w:rPr>
                  </w:pPr>
                  <w:r>
                    <w:rPr>
                      <w:color w:val="000000" w:themeColor="text1"/>
                      <w:szCs w:val="21"/>
                    </w:rPr>
                    <w:t>（12）深化扬尘污染综合治理。持续开展扬尘污染治理提升行动，以城市建成区及周边房屋建筑、市政、交通、水利、拆除等工程为重点，突出大风沙尘天气、重污染天气等重点时段防控，切实做好土石方开挖、回填等施工作业期间全时段湿法作业，强化各项扬尘防治措施落实；加大城区主次干道、背街小巷保洁力度，严格渣土运输车辆规范化管理，鼓励引导施工工地使用新能源渣土车、商砼车运输，依法查处渣土车密闭不严、带泥上路、沿途遗撒、随意倾倒等违法违规行为。加强重点建设工程达标管理，实施分包帮扶，对土石方作业实施驻场监管。开展扬尘污染防治差异化评价，加快升级扬尘治理监控平台，完成市级平台与省级平台的互联互通和数据上报。对全市各类工地组织拉网式全面排查整治，5000 平方米以上建筑工地按要求安装在线监测和视频监控，联网接入市监管平台，对防治措施实现在线监管。每周至少对市区周边主次干道组织开展不少于 3 次道路“以克论净”抽查监测，降低道路扬尘污染。市辖六区组织有关部门，动员群众每半月至少开展 1 次楼顶、楼体冲洗；组织环卫部门每周至少对辖区道路开展 2 次以上洗扫。严格矿山开采、运输和加工过程防尘、除尘措施。</w:t>
                  </w:r>
                </w:p>
              </w:tc>
              <w:tc>
                <w:tcPr>
                  <w:tcW w:w="1257" w:type="pct"/>
                  <w:vAlign w:val="center"/>
                </w:tcPr>
                <w:p w14:paraId="11B3EE68">
                  <w:pPr>
                    <w:adjustRightInd w:val="0"/>
                    <w:snapToGrid w:val="0"/>
                    <w:jc w:val="center"/>
                    <w:rPr>
                      <w:color w:val="000000" w:themeColor="text1"/>
                      <w:szCs w:val="21"/>
                    </w:rPr>
                  </w:pPr>
                  <w:r>
                    <w:rPr>
                      <w:bCs/>
                      <w:color w:val="000000" w:themeColor="text1"/>
                      <w:kern w:val="0"/>
                      <w:szCs w:val="21"/>
                    </w:rPr>
                    <w:t>本项目施工期严格落实扬尘治理“两个标准”要求，项目主要施工内容在现有车间内进行，同时加强车辆冲洗、湿法作业、密闭运输、地面硬化、物料覆盖等精细化管理；</w:t>
                  </w:r>
                  <w:r>
                    <w:rPr>
                      <w:color w:val="000000" w:themeColor="text1"/>
                      <w:szCs w:val="21"/>
                    </w:rPr>
                    <w:t xml:space="preserve"> </w:t>
                  </w:r>
                </w:p>
              </w:tc>
              <w:tc>
                <w:tcPr>
                  <w:tcW w:w="540" w:type="pct"/>
                  <w:tcBorders>
                    <w:right w:val="single" w:color="auto" w:sz="4" w:space="0"/>
                  </w:tcBorders>
                  <w:vAlign w:val="center"/>
                </w:tcPr>
                <w:p w14:paraId="3ECDBB96">
                  <w:pPr>
                    <w:adjustRightInd w:val="0"/>
                    <w:snapToGrid w:val="0"/>
                    <w:jc w:val="center"/>
                    <w:rPr>
                      <w:color w:val="000000" w:themeColor="text1"/>
                      <w:szCs w:val="21"/>
                    </w:rPr>
                  </w:pPr>
                  <w:r>
                    <w:rPr>
                      <w:szCs w:val="21"/>
                    </w:rPr>
                    <w:t>相符</w:t>
                  </w:r>
                </w:p>
              </w:tc>
            </w:tr>
            <w:tr w14:paraId="5540F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470" w:type="pct"/>
                  <w:vAlign w:val="center"/>
                </w:tcPr>
                <w:p w14:paraId="11C0E98C">
                  <w:pPr>
                    <w:adjustRightInd w:val="0"/>
                    <w:snapToGrid w:val="0"/>
                    <w:jc w:val="center"/>
                    <w:rPr>
                      <w:color w:val="000000" w:themeColor="text1"/>
                      <w:szCs w:val="21"/>
                    </w:rPr>
                  </w:pPr>
                  <w:r>
                    <w:rPr>
                      <w:color w:val="000000" w:themeColor="text1"/>
                      <w:szCs w:val="21"/>
                    </w:rPr>
                    <w:t>《平顶山市2025年碧水保卫战实施方案》</w:t>
                  </w:r>
                </w:p>
              </w:tc>
              <w:tc>
                <w:tcPr>
                  <w:tcW w:w="2733" w:type="pct"/>
                  <w:vAlign w:val="center"/>
                </w:tcPr>
                <w:p w14:paraId="30CC5762">
                  <w:pPr>
                    <w:adjustRightInd w:val="0"/>
                    <w:snapToGrid w:val="0"/>
                    <w:jc w:val="left"/>
                    <w:rPr>
                      <w:color w:val="000000" w:themeColor="text1"/>
                      <w:szCs w:val="21"/>
                    </w:rPr>
                  </w:pPr>
                  <w:r>
                    <w:rPr>
                      <w:color w:val="000000" w:themeColor="text1"/>
                      <w:szCs w:val="21"/>
                    </w:rPr>
                    <w:t>（一）推动构建上下游贯通一体的生态环境治理体系：（5）持续推动企业绿色转型发展。严格项目准入，坚决遏制“两高一低”项目盲目发展；严格落实生态环境分区管控，加快推进工业企业绿色转型发展；深入推进重点水污染物排放行业清洁生产审核；培育壮大节能、节水、环保和资源综合利用产业，提高能源资源利用效率；对焦化、有色金属、化工、电镀、制革、石油开采、造纸、印染、农副食品加工等行业，全面推进清洁生产改造或清洁化改造。</w:t>
                  </w:r>
                </w:p>
              </w:tc>
              <w:tc>
                <w:tcPr>
                  <w:tcW w:w="1257" w:type="pct"/>
                  <w:vAlign w:val="center"/>
                </w:tcPr>
                <w:p w14:paraId="2A4114EF">
                  <w:pPr>
                    <w:adjustRightInd w:val="0"/>
                    <w:snapToGrid w:val="0"/>
                    <w:jc w:val="center"/>
                    <w:rPr>
                      <w:color w:val="000000" w:themeColor="text1"/>
                      <w:szCs w:val="21"/>
                    </w:rPr>
                  </w:pPr>
                  <w:r>
                    <w:rPr>
                      <w:color w:val="000000" w:themeColor="text1"/>
                      <w:szCs w:val="21"/>
                    </w:rPr>
                    <w:t>本项目营运期脱硫除尘废水、车辆冲洗废水等均循环利用不外排；生活污水经隔油池+化粪池处理后综合利用不外排。厂区不设置废水排放口，废水零排放。</w:t>
                  </w:r>
                </w:p>
              </w:tc>
              <w:tc>
                <w:tcPr>
                  <w:tcW w:w="540" w:type="pct"/>
                  <w:tcBorders>
                    <w:right w:val="single" w:color="auto" w:sz="4" w:space="0"/>
                  </w:tcBorders>
                  <w:vAlign w:val="center"/>
                </w:tcPr>
                <w:p w14:paraId="1DCCCF7F">
                  <w:pPr>
                    <w:adjustRightInd w:val="0"/>
                    <w:snapToGrid w:val="0"/>
                    <w:jc w:val="center"/>
                    <w:rPr>
                      <w:color w:val="000000" w:themeColor="text1"/>
                      <w:szCs w:val="21"/>
                    </w:rPr>
                  </w:pPr>
                  <w:r>
                    <w:rPr>
                      <w:szCs w:val="21"/>
                    </w:rPr>
                    <w:t>相符</w:t>
                  </w:r>
                </w:p>
              </w:tc>
            </w:tr>
            <w:tr w14:paraId="6C02E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70" w:type="pct"/>
                  <w:vAlign w:val="center"/>
                </w:tcPr>
                <w:p w14:paraId="605B4255">
                  <w:pPr>
                    <w:adjustRightInd w:val="0"/>
                    <w:snapToGrid w:val="0"/>
                    <w:jc w:val="center"/>
                    <w:rPr>
                      <w:color w:val="000000" w:themeColor="text1"/>
                      <w:szCs w:val="21"/>
                    </w:rPr>
                  </w:pPr>
                  <w:r>
                    <w:rPr>
                      <w:color w:val="000000" w:themeColor="text1"/>
                      <w:szCs w:val="21"/>
                    </w:rPr>
                    <w:t>《平顶山市2025年净土保卫战实施方案》</w:t>
                  </w:r>
                </w:p>
              </w:tc>
              <w:tc>
                <w:tcPr>
                  <w:tcW w:w="2733" w:type="pct"/>
                  <w:vAlign w:val="center"/>
                </w:tcPr>
                <w:p w14:paraId="280CA58D">
                  <w:pPr>
                    <w:adjustRightInd w:val="0"/>
                    <w:snapToGrid w:val="0"/>
                    <w:jc w:val="left"/>
                    <w:rPr>
                      <w:color w:val="000000" w:themeColor="text1"/>
                      <w:szCs w:val="21"/>
                    </w:rPr>
                  </w:pPr>
                  <w:r>
                    <w:rPr>
                      <w:color w:val="000000" w:themeColor="text1"/>
                      <w:szCs w:val="21"/>
                    </w:rPr>
                    <w:t>（一）统筹推进土壤污染预防治理（2）实施土壤污染溯源整治。积极推进农用地土壤污染源头溯源整治工作，按照“边排查，边整治”原则，针对排查发现的污染源，统筹谋划整治项目，积极推进污染源整治，落实断源、控源、减排措施，切断污染物进入农田链条。（4）严格重点建设用地准入管理。强化对土地用途变更、收储、供应等环节的联动监管。依法应当开展土壤污染状况调查的地块须在土地储备入库前完成调查，自然资源和规划局应将调查情况作为必备要件纳入土地收储卷宗。生态环境局会同自然资源和规划局组织开展半年、年度重点建设用地安全利用核算。</w:t>
                  </w:r>
                </w:p>
              </w:tc>
              <w:tc>
                <w:tcPr>
                  <w:tcW w:w="1257" w:type="pct"/>
                  <w:vAlign w:val="center"/>
                </w:tcPr>
                <w:p w14:paraId="0837D091">
                  <w:pPr>
                    <w:adjustRightInd w:val="0"/>
                    <w:snapToGrid w:val="0"/>
                    <w:rPr>
                      <w:color w:val="000000" w:themeColor="text1"/>
                      <w:szCs w:val="21"/>
                    </w:rPr>
                  </w:pPr>
                  <w:r>
                    <w:rPr>
                      <w:color w:val="000000" w:themeColor="text1"/>
                      <w:szCs w:val="21"/>
                    </w:rPr>
                    <w:t>本项目为技改工程，位于宝丰县闹店镇闹店村，在现有工程厂区内进行建设，不新增用地，符合闹店镇土地利用规划。</w:t>
                  </w:r>
                </w:p>
              </w:tc>
              <w:tc>
                <w:tcPr>
                  <w:tcW w:w="540" w:type="pct"/>
                  <w:tcBorders>
                    <w:right w:val="single" w:color="auto" w:sz="4" w:space="0"/>
                  </w:tcBorders>
                  <w:vAlign w:val="center"/>
                </w:tcPr>
                <w:p w14:paraId="604902F2">
                  <w:pPr>
                    <w:adjustRightInd w:val="0"/>
                    <w:snapToGrid w:val="0"/>
                    <w:jc w:val="center"/>
                    <w:rPr>
                      <w:color w:val="000000" w:themeColor="text1"/>
                      <w:szCs w:val="21"/>
                    </w:rPr>
                  </w:pPr>
                  <w:r>
                    <w:rPr>
                      <w:szCs w:val="21"/>
                    </w:rPr>
                    <w:t>相符</w:t>
                  </w:r>
                </w:p>
              </w:tc>
            </w:tr>
            <w:tr w14:paraId="5202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70" w:type="pct"/>
                  <w:vMerge w:val="restart"/>
                  <w:vAlign w:val="center"/>
                </w:tcPr>
                <w:p w14:paraId="2A8B7C4F">
                  <w:pPr>
                    <w:adjustRightInd w:val="0"/>
                    <w:snapToGrid w:val="0"/>
                    <w:jc w:val="center"/>
                    <w:rPr>
                      <w:color w:val="000000" w:themeColor="text1"/>
                      <w:szCs w:val="21"/>
                    </w:rPr>
                  </w:pPr>
                  <w:r>
                    <w:rPr>
                      <w:color w:val="000000" w:themeColor="text1"/>
                      <w:szCs w:val="21"/>
                    </w:rPr>
                    <w:t>《平顶山市 2025 年柴油货车污染治理攻坚战实施方案》</w:t>
                  </w:r>
                </w:p>
              </w:tc>
              <w:tc>
                <w:tcPr>
                  <w:tcW w:w="2733" w:type="pct"/>
                  <w:vAlign w:val="center"/>
                </w:tcPr>
                <w:p w14:paraId="442CAFF3">
                  <w:pPr>
                    <w:adjustRightInd w:val="0"/>
                    <w:snapToGrid w:val="0"/>
                    <w:jc w:val="left"/>
                    <w:rPr>
                      <w:color w:val="000000" w:themeColor="text1"/>
                      <w:szCs w:val="21"/>
                    </w:rPr>
                  </w:pPr>
                  <w:r>
                    <w:rPr>
                      <w:color w:val="000000" w:themeColor="text1"/>
                      <w:szCs w:val="21"/>
                    </w:rPr>
                    <w:t>（3）大力推广新能源汽车。结合大规模设备更新政策，加大力度争取国家、省级补贴资金，加快推进重型卡车和城市公共领域用车新能源更新替代。在火电、钢铁、煤炭、焦化、有色、水泥等工矿企业和物流园区积极推广使用新能源中重型货车，发展纯电动、氢燃料电池等零排放货运车队。除特殊需求的车辆外，各级党政机关新购买公务用车基本实现新能源化。2025 年底前，除应急车辆外，全市公交车、巡游出租车以及城市建成区的渣土运输车、水泥罐车、物流车、邮政用车、环卫用车、网约出租车基本使用新能源汽车；各县（市、区）重型载货车辆、工程车辆绿色替代率达到 50%以上。</w:t>
                  </w:r>
                </w:p>
              </w:tc>
              <w:tc>
                <w:tcPr>
                  <w:tcW w:w="1257" w:type="pct"/>
                  <w:vAlign w:val="center"/>
                </w:tcPr>
                <w:p w14:paraId="0166E189">
                  <w:pPr>
                    <w:adjustRightInd w:val="0"/>
                    <w:snapToGrid w:val="0"/>
                    <w:rPr>
                      <w:color w:val="000000" w:themeColor="text1"/>
                      <w:szCs w:val="21"/>
                    </w:rPr>
                  </w:pPr>
                  <w:r>
                    <w:rPr>
                      <w:bCs/>
                      <w:color w:val="000000" w:themeColor="text1"/>
                      <w:szCs w:val="21"/>
                    </w:rPr>
                    <w:t>本项目原料、成品砖等公路运输全部采用国五及以上排放标准重型载货车辆(含燃气)或新能源车辆，优先选用新能源车辆</w:t>
                  </w:r>
                </w:p>
              </w:tc>
              <w:tc>
                <w:tcPr>
                  <w:tcW w:w="540" w:type="pct"/>
                  <w:tcBorders>
                    <w:right w:val="single" w:color="auto" w:sz="4" w:space="0"/>
                  </w:tcBorders>
                  <w:vAlign w:val="center"/>
                </w:tcPr>
                <w:p w14:paraId="62E6F998">
                  <w:pPr>
                    <w:adjustRightInd w:val="0"/>
                    <w:snapToGrid w:val="0"/>
                    <w:jc w:val="center"/>
                    <w:rPr>
                      <w:color w:val="000000" w:themeColor="text1"/>
                      <w:szCs w:val="21"/>
                    </w:rPr>
                  </w:pPr>
                  <w:r>
                    <w:rPr>
                      <w:szCs w:val="21"/>
                    </w:rPr>
                    <w:t>相符</w:t>
                  </w:r>
                </w:p>
              </w:tc>
            </w:tr>
            <w:tr w14:paraId="58BFC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0" w:hRule="atLeast"/>
                <w:jc w:val="center"/>
              </w:trPr>
              <w:tc>
                <w:tcPr>
                  <w:tcW w:w="470" w:type="pct"/>
                  <w:vMerge w:val="continue"/>
                  <w:vAlign w:val="center"/>
                </w:tcPr>
                <w:p w14:paraId="18CD3773">
                  <w:pPr>
                    <w:adjustRightInd w:val="0"/>
                    <w:snapToGrid w:val="0"/>
                    <w:jc w:val="center"/>
                    <w:rPr>
                      <w:color w:val="EE0000"/>
                      <w:szCs w:val="21"/>
                    </w:rPr>
                  </w:pPr>
                </w:p>
              </w:tc>
              <w:tc>
                <w:tcPr>
                  <w:tcW w:w="2733" w:type="pct"/>
                  <w:vAlign w:val="center"/>
                </w:tcPr>
                <w:p w14:paraId="13D4F100">
                  <w:pPr>
                    <w:adjustRightInd w:val="0"/>
                    <w:snapToGrid w:val="0"/>
                    <w:jc w:val="left"/>
                    <w:rPr>
                      <w:color w:val="000000" w:themeColor="text1"/>
                      <w:szCs w:val="21"/>
                    </w:rPr>
                  </w:pPr>
                  <w:r>
                    <w:rPr>
                      <w:color w:val="000000" w:themeColor="text1"/>
                      <w:szCs w:val="21"/>
                    </w:rPr>
                    <w:t>（12）强化高排放非道路移动机械禁用区监管。施工工地、物流园区、工矿企业以及港口、码头、机场、铁路货场等地的非道路移动机械所有人或使用人（单位）是非道路移动机械排气污染防治的第一责任人，应当制定非道路移动机械管理制度，对进场使用的非道路移动机械进行检查核实，确保符合使用要求。各业务主管部门落实监督管理职责，以禁用区执法监管为抓手，禁止国二及以下排放阶段、尾气排放不达标、未挂牌、挂假牌、无合格检验报告、定位失效等不符合相关管理要求的机械在内使用，对发现存在信息采集、定位联网问题的机械，按照禁用区公告和相关管理规定，采取驱离、封存并重新开展信息采集和定位安装联网等方式予以处理，对发现正在使用的高排放机械，严格依法处罚。</w:t>
                  </w:r>
                </w:p>
              </w:tc>
              <w:tc>
                <w:tcPr>
                  <w:tcW w:w="1257" w:type="pct"/>
                  <w:vAlign w:val="center"/>
                </w:tcPr>
                <w:p w14:paraId="6B2E45A5">
                  <w:pPr>
                    <w:adjustRightInd w:val="0"/>
                    <w:snapToGrid w:val="0"/>
                    <w:rPr>
                      <w:color w:val="000000" w:themeColor="text1"/>
                      <w:szCs w:val="21"/>
                    </w:rPr>
                  </w:pPr>
                  <w:r>
                    <w:rPr>
                      <w:bCs/>
                      <w:color w:val="000000" w:themeColor="text1"/>
                      <w:szCs w:val="21"/>
                    </w:rPr>
                    <w:t>本项目厂区内非道路移动机械采用国三及以上排放标准或使用新能源机械。</w:t>
                  </w:r>
                  <w:r>
                    <w:rPr>
                      <w:color w:val="000000" w:themeColor="text1"/>
                      <w:szCs w:val="21"/>
                    </w:rPr>
                    <w:t>对厂区内使用的非道路移动机械进行检查核实，确保符合使用要求。</w:t>
                  </w:r>
                </w:p>
              </w:tc>
              <w:tc>
                <w:tcPr>
                  <w:tcW w:w="540" w:type="pct"/>
                  <w:tcBorders>
                    <w:right w:val="single" w:color="auto" w:sz="4" w:space="0"/>
                  </w:tcBorders>
                  <w:vAlign w:val="center"/>
                </w:tcPr>
                <w:p w14:paraId="6932B111">
                  <w:pPr>
                    <w:adjustRightInd w:val="0"/>
                    <w:snapToGrid w:val="0"/>
                    <w:jc w:val="center"/>
                    <w:rPr>
                      <w:color w:val="EE0000"/>
                      <w:szCs w:val="21"/>
                    </w:rPr>
                  </w:pPr>
                  <w:r>
                    <w:rPr>
                      <w:szCs w:val="21"/>
                    </w:rPr>
                    <w:t>相符</w:t>
                  </w:r>
                </w:p>
              </w:tc>
            </w:tr>
            <w:tr w14:paraId="7FA7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70" w:type="pct"/>
                  <w:vMerge w:val="continue"/>
                  <w:vAlign w:val="center"/>
                </w:tcPr>
                <w:p w14:paraId="2BAE7FC7">
                  <w:pPr>
                    <w:adjustRightInd w:val="0"/>
                    <w:snapToGrid w:val="0"/>
                    <w:jc w:val="center"/>
                    <w:rPr>
                      <w:color w:val="EE0000"/>
                      <w:szCs w:val="21"/>
                    </w:rPr>
                  </w:pPr>
                </w:p>
              </w:tc>
              <w:tc>
                <w:tcPr>
                  <w:tcW w:w="2733" w:type="pct"/>
                  <w:vAlign w:val="center"/>
                </w:tcPr>
                <w:p w14:paraId="6068C3F7">
                  <w:pPr>
                    <w:adjustRightInd w:val="0"/>
                    <w:snapToGrid w:val="0"/>
                    <w:jc w:val="left"/>
                    <w:rPr>
                      <w:color w:val="000000" w:themeColor="text1"/>
                      <w:szCs w:val="21"/>
                    </w:rPr>
                  </w:pPr>
                  <w:r>
                    <w:rPr>
                      <w:color w:val="000000" w:themeColor="text1"/>
                      <w:szCs w:val="21"/>
                    </w:rPr>
                    <w:t>（18）推进门禁系统建设联网。加快推进企业门禁及视频监控系统建设，按照《重点行业移动源监管与核查技术指南》（HJ1321-2023），制定门禁视频监控平台建设和联网工作方案，对符合门禁安装条件的企业建立动态机制，符合一家、安装一家。鼓励物流园区等用车大户建设门禁系统，强化运输车辆监管，禁止超标排放、拆除后处理装置等问题车辆通行。按省厅统一部署，2025 年底前，火电、钢铁、煤炭、焦化、有色、石化、化工、水泥等重点行业全部完成与生态环境部联网。</w:t>
                  </w:r>
                </w:p>
              </w:tc>
              <w:tc>
                <w:tcPr>
                  <w:tcW w:w="1257" w:type="pct"/>
                  <w:vAlign w:val="center"/>
                </w:tcPr>
                <w:p w14:paraId="2E32D04B">
                  <w:pPr>
                    <w:adjustRightInd w:val="0"/>
                    <w:snapToGrid w:val="0"/>
                    <w:rPr>
                      <w:color w:val="000000" w:themeColor="text1"/>
                      <w:szCs w:val="21"/>
                    </w:rPr>
                  </w:pPr>
                  <w:r>
                    <w:rPr>
                      <w:bCs/>
                      <w:color w:val="000000" w:themeColor="text1"/>
                      <w:szCs w:val="21"/>
                    </w:rPr>
                    <w:t>企业拟参照《重污染天气重点行业移动源应急管理技术指南》建立门禁系统和电子台账</w:t>
                  </w:r>
                </w:p>
              </w:tc>
              <w:tc>
                <w:tcPr>
                  <w:tcW w:w="540" w:type="pct"/>
                  <w:tcBorders>
                    <w:right w:val="single" w:color="auto" w:sz="4" w:space="0"/>
                  </w:tcBorders>
                  <w:vAlign w:val="center"/>
                </w:tcPr>
                <w:p w14:paraId="6E6DA6DC">
                  <w:pPr>
                    <w:adjustRightInd w:val="0"/>
                    <w:snapToGrid w:val="0"/>
                    <w:jc w:val="center"/>
                    <w:rPr>
                      <w:color w:val="000000" w:themeColor="text1"/>
                      <w:szCs w:val="21"/>
                    </w:rPr>
                  </w:pPr>
                  <w:r>
                    <w:rPr>
                      <w:szCs w:val="21"/>
                    </w:rPr>
                    <w:t>相符</w:t>
                  </w:r>
                </w:p>
              </w:tc>
            </w:tr>
            <w:tr w14:paraId="506DC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70" w:type="pct"/>
                  <w:vMerge w:val="continue"/>
                  <w:vAlign w:val="center"/>
                </w:tcPr>
                <w:p w14:paraId="2BB6BB33">
                  <w:pPr>
                    <w:adjustRightInd w:val="0"/>
                    <w:snapToGrid w:val="0"/>
                    <w:jc w:val="center"/>
                    <w:rPr>
                      <w:color w:val="EE0000"/>
                      <w:szCs w:val="21"/>
                    </w:rPr>
                  </w:pPr>
                </w:p>
              </w:tc>
              <w:tc>
                <w:tcPr>
                  <w:tcW w:w="2733" w:type="pct"/>
                  <w:vAlign w:val="center"/>
                </w:tcPr>
                <w:p w14:paraId="1C386C2C">
                  <w:pPr>
                    <w:adjustRightInd w:val="0"/>
                    <w:snapToGrid w:val="0"/>
                    <w:jc w:val="left"/>
                    <w:rPr>
                      <w:color w:val="000000" w:themeColor="text1"/>
                      <w:szCs w:val="21"/>
                    </w:rPr>
                  </w:pPr>
                  <w:r>
                    <w:rPr>
                      <w:color w:val="000000" w:themeColor="text1"/>
                      <w:szCs w:val="21"/>
                    </w:rPr>
                    <w:t>（19）开展货运车辆运输监管。督促重点行业企业规范管理运输车辆、厂内车辆以及非道路移动机械，以满足绩效分级指标需求或其他移动源管理相关要求，对不满足绩效分级运输要求的实施动态调整。强化大宗物料运输企业门禁系统日常监管，2025 年 7 月底前，完成全覆盖监督帮扶，对发现的问题企业限期整改到位。市级生态环境部门对环保绩效 A、B（含 B-）级和绩效引领性等行业企业门禁系统建设使用情况开展抽查。鼓励未列入重点行业绩效分级管控的企业参照开展车辆管理，加大企业自我保障能力。</w:t>
                  </w:r>
                </w:p>
              </w:tc>
              <w:tc>
                <w:tcPr>
                  <w:tcW w:w="1257" w:type="pct"/>
                  <w:vAlign w:val="center"/>
                </w:tcPr>
                <w:p w14:paraId="3B9A82E4">
                  <w:pPr>
                    <w:adjustRightInd w:val="0"/>
                    <w:snapToGrid w:val="0"/>
                    <w:rPr>
                      <w:color w:val="000000" w:themeColor="text1"/>
                      <w:szCs w:val="21"/>
                    </w:rPr>
                  </w:pPr>
                  <w:r>
                    <w:rPr>
                      <w:color w:val="000000" w:themeColor="text1"/>
                      <w:szCs w:val="21"/>
                    </w:rPr>
                    <w:t>项目按照《重污染天气重点行业应急减排措施制定技术指南（2020年修订版）》中烧结砖瓦制品企业绩效分级 A级指标要求进行车辆管理</w:t>
                  </w:r>
                </w:p>
              </w:tc>
              <w:tc>
                <w:tcPr>
                  <w:tcW w:w="540" w:type="pct"/>
                  <w:tcBorders>
                    <w:right w:val="single" w:color="auto" w:sz="4" w:space="0"/>
                  </w:tcBorders>
                  <w:vAlign w:val="center"/>
                </w:tcPr>
                <w:p w14:paraId="319C336E">
                  <w:pPr>
                    <w:adjustRightInd w:val="0"/>
                    <w:snapToGrid w:val="0"/>
                    <w:jc w:val="center"/>
                    <w:rPr>
                      <w:color w:val="EE0000"/>
                      <w:szCs w:val="21"/>
                    </w:rPr>
                  </w:pPr>
                  <w:r>
                    <w:rPr>
                      <w:szCs w:val="21"/>
                    </w:rPr>
                    <w:t>相符</w:t>
                  </w:r>
                </w:p>
              </w:tc>
            </w:tr>
          </w:tbl>
          <w:p w14:paraId="38595FD6">
            <w:pPr>
              <w:adjustRightInd w:val="0"/>
              <w:snapToGrid w:val="0"/>
              <w:spacing w:line="520" w:lineRule="exact"/>
              <w:ind w:firstLine="480" w:firstLineChars="200"/>
              <w:jc w:val="left"/>
              <w:rPr>
                <w:bCs/>
                <w:color w:val="000000" w:themeColor="text1"/>
                <w:kern w:val="0"/>
                <w:sz w:val="24"/>
              </w:rPr>
            </w:pPr>
            <w:r>
              <w:rPr>
                <w:bCs/>
                <w:color w:val="000000" w:themeColor="text1"/>
                <w:kern w:val="0"/>
                <w:sz w:val="24"/>
              </w:rPr>
              <w:t>综上分析，项目建设符合《平顶山市2025年蓝天保卫战实施方案》、《平顶山市2025年碧水保卫战实施方案》、《平顶山市2025年净土保卫战实施方案》、《平顶山市 2025 年柴油货车污染治理攻坚战实施方案》中的相关规定。</w:t>
            </w:r>
          </w:p>
          <w:p w14:paraId="55CA9130">
            <w:pPr>
              <w:autoSpaceDE w:val="0"/>
              <w:autoSpaceDN w:val="0"/>
              <w:adjustRightInd w:val="0"/>
              <w:snapToGrid w:val="0"/>
              <w:spacing w:line="500" w:lineRule="exact"/>
              <w:rPr>
                <w:rFonts w:eastAsia="黑体"/>
                <w:color w:val="000000" w:themeColor="text1"/>
                <w:sz w:val="24"/>
              </w:rPr>
            </w:pPr>
            <w:r>
              <w:rPr>
                <w:rFonts w:eastAsia="黑体"/>
                <w:bCs/>
                <w:color w:val="000000" w:themeColor="text1"/>
                <w:kern w:val="0"/>
                <w:sz w:val="24"/>
              </w:rPr>
              <w:t>8、</w:t>
            </w:r>
            <w:r>
              <w:rPr>
                <w:rFonts w:eastAsia="黑体"/>
                <w:color w:val="000000" w:themeColor="text1"/>
                <w:sz w:val="24"/>
              </w:rPr>
              <w:t>“两高”项目辨识分析</w:t>
            </w:r>
          </w:p>
          <w:p w14:paraId="5730CC22">
            <w:pPr>
              <w:keepNext/>
              <w:keepLines/>
              <w:spacing w:line="500" w:lineRule="exact"/>
              <w:ind w:firstLine="480" w:firstLineChars="200"/>
              <w:jc w:val="left"/>
              <w:outlineLvl w:val="1"/>
              <w:rPr>
                <w:bCs/>
                <w:color w:val="000000" w:themeColor="text1"/>
                <w:kern w:val="0"/>
                <w:sz w:val="24"/>
              </w:rPr>
            </w:pPr>
            <w:bookmarkStart w:id="7" w:name="_Toc217711380"/>
            <w:r>
              <w:rPr>
                <w:bCs/>
                <w:color w:val="000000" w:themeColor="text1"/>
                <w:kern w:val="0"/>
                <w:sz w:val="24"/>
              </w:rPr>
              <w:t>根据河南省发展和改革委员会、河南省工业和信息化厅、河南省自然资源厅、河南省生态环境厅联合发布的《关于印发河南省“两高”项目管理目录(2023年修订)的通知》（豫发改环资[2023]38号）：本项目属于第二类、19个细分行业中的砖瓦（有烧结工序的）—黏土砖瓦及建筑砌块制造3031—以烧结工序制造的砖瓦，综合能耗1~5万吨标准煤（等价值）的项目划为“两高”项目。</w:t>
            </w:r>
            <w:bookmarkEnd w:id="7"/>
          </w:p>
          <w:p w14:paraId="06140B33">
            <w:pPr>
              <w:adjustRightInd w:val="0"/>
              <w:snapToGrid w:val="0"/>
              <w:spacing w:line="500" w:lineRule="exact"/>
              <w:ind w:firstLine="480" w:firstLineChars="200"/>
              <w:rPr>
                <w:color w:val="EE0000"/>
                <w:sz w:val="24"/>
              </w:rPr>
            </w:pPr>
            <w:r>
              <w:rPr>
                <w:color w:val="000000" w:themeColor="text1"/>
                <w:sz w:val="24"/>
              </w:rPr>
              <w:t>根据宝丰县发展和改革委员会、平顶山市生态环境局宝丰分局、宝丰县工业和信息化局出具的《宝丰县新改扩建烧结砖瓦项目整合升级会商联审意见表》，项目年综合能耗为3240吨标准煤（等价值），小于10000吨标准煤（等价值），不属于《河南省“两高”项目管理目录（2023年修订）》版中的高污染、高耗能项目。</w:t>
            </w:r>
          </w:p>
          <w:p w14:paraId="3F6F0B10">
            <w:pPr>
              <w:autoSpaceDE w:val="0"/>
              <w:autoSpaceDN w:val="0"/>
              <w:adjustRightInd w:val="0"/>
              <w:snapToGrid w:val="0"/>
              <w:spacing w:line="520" w:lineRule="exact"/>
              <w:rPr>
                <w:rFonts w:eastAsia="黑体"/>
                <w:color w:val="000000" w:themeColor="text1"/>
                <w:sz w:val="24"/>
              </w:rPr>
            </w:pPr>
            <w:r>
              <w:rPr>
                <w:rFonts w:eastAsia="黑体"/>
                <w:bCs/>
                <w:color w:val="000000" w:themeColor="text1"/>
                <w:kern w:val="0"/>
                <w:sz w:val="24"/>
              </w:rPr>
              <w:t>9、</w:t>
            </w:r>
            <w:r>
              <w:rPr>
                <w:rFonts w:eastAsia="黑体"/>
                <w:color w:val="000000" w:themeColor="text1"/>
                <w:sz w:val="24"/>
              </w:rPr>
              <w:t>项目建设与《重污染天气重点行业应急减排措施制定技术指南(2020年修订版)》相符性分析</w:t>
            </w:r>
          </w:p>
          <w:p w14:paraId="22083284">
            <w:pPr>
              <w:pStyle w:val="32"/>
              <w:widowControl w:val="0"/>
              <w:adjustRightInd w:val="0"/>
              <w:snapToGrid w:val="0"/>
              <w:spacing w:before="0" w:beforeAutospacing="0" w:after="0" w:afterAutospacing="0" w:line="520" w:lineRule="exact"/>
              <w:ind w:firstLine="480" w:firstLineChars="200"/>
              <w:jc w:val="both"/>
              <w:rPr>
                <w:rFonts w:ascii="Times New Roman" w:hAnsi="Times New Roman"/>
                <w:bCs/>
                <w:color w:val="000000" w:themeColor="text1"/>
              </w:rPr>
            </w:pPr>
            <w:r>
              <w:rPr>
                <w:rFonts w:ascii="Times New Roman" w:hAnsi="Times New Roman"/>
                <w:color w:val="000000" w:themeColor="text1"/>
                <w:szCs w:val="24"/>
              </w:rPr>
              <w:t>根据生态环境部关于印发《重污染天气重点行业应急减排措施制定技术指南(2020年修订版)》的函（环办大气函[2020]340号），本项目属于39个重点行业中的“砖瓦窑”行业，</w:t>
            </w:r>
            <w:r>
              <w:rPr>
                <w:rFonts w:ascii="Times New Roman" w:hAnsi="Times New Roman"/>
                <w:bCs/>
                <w:color w:val="000000" w:themeColor="text1"/>
              </w:rPr>
              <w:t>建设情况与</w:t>
            </w:r>
            <w:r>
              <w:rPr>
                <w:rFonts w:ascii="Times New Roman" w:hAnsi="Times New Roman"/>
                <w:bCs/>
                <w:color w:val="000000" w:themeColor="text1"/>
                <w:szCs w:val="24"/>
              </w:rPr>
              <w:t>烧结砖瓦制品企业绩效分级</w:t>
            </w:r>
            <w:r>
              <w:rPr>
                <w:rFonts w:ascii="Times New Roman" w:hAnsi="Times New Roman"/>
                <w:bCs/>
                <w:color w:val="000000" w:themeColor="text1"/>
              </w:rPr>
              <w:t>指标相符性见下表。</w:t>
            </w:r>
          </w:p>
          <w:p w14:paraId="3A9293C1">
            <w:pPr>
              <w:pStyle w:val="32"/>
              <w:widowControl w:val="0"/>
              <w:adjustRightInd w:val="0"/>
              <w:snapToGrid w:val="0"/>
              <w:spacing w:before="0" w:beforeAutospacing="0" w:after="0" w:afterAutospacing="0" w:line="520" w:lineRule="exact"/>
              <w:jc w:val="both"/>
              <w:rPr>
                <w:rFonts w:ascii="Times New Roman" w:hAnsi="Times New Roman"/>
                <w:bCs/>
                <w:color w:val="EE0000"/>
              </w:rPr>
            </w:pPr>
          </w:p>
          <w:p w14:paraId="0DF335E9">
            <w:pPr>
              <w:pStyle w:val="32"/>
              <w:widowControl w:val="0"/>
              <w:adjustRightInd w:val="0"/>
              <w:snapToGrid w:val="0"/>
              <w:spacing w:before="0" w:beforeAutospacing="0" w:after="0" w:afterAutospacing="0" w:line="520" w:lineRule="exact"/>
              <w:jc w:val="both"/>
              <w:rPr>
                <w:rFonts w:ascii="Times New Roman" w:hAnsi="Times New Roman"/>
                <w:bCs/>
                <w:color w:val="EE0000"/>
              </w:rPr>
            </w:pPr>
          </w:p>
          <w:p w14:paraId="19F0198C">
            <w:pPr>
              <w:pStyle w:val="32"/>
              <w:widowControl w:val="0"/>
              <w:adjustRightInd w:val="0"/>
              <w:snapToGrid w:val="0"/>
              <w:spacing w:before="0" w:beforeAutospacing="0" w:after="0" w:afterAutospacing="0" w:line="520" w:lineRule="exact"/>
              <w:jc w:val="both"/>
              <w:rPr>
                <w:rFonts w:ascii="Times New Roman" w:hAnsi="Times New Roman"/>
                <w:bCs/>
                <w:color w:val="EE0000"/>
              </w:rPr>
            </w:pPr>
          </w:p>
          <w:p w14:paraId="40F6BFD0">
            <w:pPr>
              <w:pStyle w:val="32"/>
              <w:widowControl w:val="0"/>
              <w:adjustRightInd w:val="0"/>
              <w:snapToGrid w:val="0"/>
              <w:spacing w:before="0" w:beforeAutospacing="0" w:after="0" w:afterAutospacing="0" w:line="520" w:lineRule="exact"/>
              <w:jc w:val="both"/>
              <w:rPr>
                <w:rFonts w:ascii="Times New Roman" w:hAnsi="Times New Roman"/>
                <w:bCs/>
                <w:color w:val="EE0000"/>
              </w:rPr>
            </w:pPr>
          </w:p>
          <w:p w14:paraId="32A5116D">
            <w:pPr>
              <w:pStyle w:val="32"/>
              <w:widowControl w:val="0"/>
              <w:adjustRightInd w:val="0"/>
              <w:snapToGrid w:val="0"/>
              <w:spacing w:before="0" w:beforeAutospacing="0" w:after="0" w:afterAutospacing="0" w:line="520" w:lineRule="exact"/>
              <w:jc w:val="both"/>
              <w:rPr>
                <w:rFonts w:ascii="Times New Roman" w:hAnsi="Times New Roman"/>
                <w:bCs/>
                <w:color w:val="EE0000"/>
              </w:rPr>
            </w:pPr>
          </w:p>
          <w:p w14:paraId="5D9906B5">
            <w:pPr>
              <w:pStyle w:val="32"/>
              <w:widowControl w:val="0"/>
              <w:adjustRightInd w:val="0"/>
              <w:snapToGrid w:val="0"/>
              <w:spacing w:before="0" w:beforeAutospacing="0" w:after="0" w:afterAutospacing="0" w:line="520" w:lineRule="exact"/>
              <w:jc w:val="both"/>
              <w:rPr>
                <w:rFonts w:ascii="Times New Roman" w:hAnsi="Times New Roman"/>
                <w:bCs/>
                <w:color w:val="EE0000"/>
              </w:rPr>
            </w:pPr>
          </w:p>
        </w:tc>
      </w:tr>
    </w:tbl>
    <w:p w14:paraId="58DC5C42">
      <w:pPr>
        <w:spacing w:line="360" w:lineRule="auto"/>
        <w:outlineLvl w:val="0"/>
        <w:rPr>
          <w:rFonts w:eastAsia="黑体"/>
          <w:color w:val="EE0000"/>
          <w:sz w:val="30"/>
        </w:rPr>
        <w:sectPr>
          <w:pgSz w:w="11906" w:h="16838"/>
          <w:pgMar w:top="1701" w:right="1531" w:bottom="1701" w:left="1531" w:header="851" w:footer="1077" w:gutter="0"/>
          <w:cols w:space="720" w:num="1"/>
          <w:docGrid w:linePitch="312" w:charSpace="0"/>
        </w:sectPr>
      </w:pPr>
    </w:p>
    <w:p w14:paraId="18CC42C5">
      <w:pPr>
        <w:pStyle w:val="13"/>
        <w:adjustRightInd w:val="0"/>
        <w:snapToGrid w:val="0"/>
        <w:spacing w:line="520" w:lineRule="exact"/>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表1-9      </w:t>
      </w:r>
      <w:r>
        <w:rPr>
          <w:rFonts w:ascii="Times New Roman" w:hAnsi="Times New Roman" w:cs="Times New Roman"/>
          <w:bCs/>
          <w:color w:val="000000" w:themeColor="text1"/>
          <w:sz w:val="24"/>
          <w:szCs w:val="24"/>
        </w:rPr>
        <w:t>项目与烧结砖瓦制品企业绩效分级指标相符性分析</w:t>
      </w:r>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6610"/>
        <w:gridCol w:w="4535"/>
        <w:gridCol w:w="929"/>
      </w:tblGrid>
      <w:tr w14:paraId="5FE88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8" w:space="0"/>
            </w:tcBorders>
            <w:vAlign w:val="center"/>
          </w:tcPr>
          <w:p w14:paraId="6F2A3D88">
            <w:pPr>
              <w:widowControl/>
              <w:adjustRightInd w:val="0"/>
              <w:snapToGrid w:val="0"/>
              <w:jc w:val="center"/>
              <w:rPr>
                <w:bCs/>
                <w:color w:val="000000" w:themeColor="text1"/>
                <w:kern w:val="0"/>
                <w:szCs w:val="21"/>
              </w:rPr>
            </w:pPr>
            <w:r>
              <w:rPr>
                <w:bCs/>
                <w:color w:val="000000" w:themeColor="text1"/>
                <w:kern w:val="0"/>
                <w:szCs w:val="21"/>
              </w:rPr>
              <w:t>差异化指标</w:t>
            </w:r>
          </w:p>
        </w:tc>
        <w:tc>
          <w:tcPr>
            <w:tcW w:w="2421" w:type="pct"/>
            <w:tcBorders>
              <w:top w:val="single" w:color="auto" w:sz="8" w:space="0"/>
            </w:tcBorders>
            <w:vAlign w:val="center"/>
          </w:tcPr>
          <w:p w14:paraId="605CA85A">
            <w:pPr>
              <w:widowControl/>
              <w:adjustRightInd w:val="0"/>
              <w:snapToGrid w:val="0"/>
              <w:jc w:val="center"/>
              <w:rPr>
                <w:bCs/>
                <w:color w:val="000000" w:themeColor="text1"/>
                <w:kern w:val="0"/>
                <w:szCs w:val="21"/>
              </w:rPr>
            </w:pPr>
            <w:r>
              <w:rPr>
                <w:bCs/>
                <w:color w:val="000000" w:themeColor="text1"/>
                <w:kern w:val="0"/>
                <w:szCs w:val="21"/>
              </w:rPr>
              <w:t>A级企业</w:t>
            </w:r>
          </w:p>
        </w:tc>
        <w:tc>
          <w:tcPr>
            <w:tcW w:w="1661" w:type="pct"/>
            <w:tcBorders>
              <w:top w:val="single" w:color="auto" w:sz="8" w:space="0"/>
            </w:tcBorders>
            <w:vAlign w:val="center"/>
          </w:tcPr>
          <w:p w14:paraId="5DB36EF1">
            <w:pPr>
              <w:widowControl/>
              <w:adjustRightInd w:val="0"/>
              <w:snapToGrid w:val="0"/>
              <w:jc w:val="center"/>
              <w:rPr>
                <w:bCs/>
                <w:color w:val="000000" w:themeColor="text1"/>
                <w:kern w:val="0"/>
                <w:szCs w:val="21"/>
              </w:rPr>
            </w:pPr>
            <w:r>
              <w:rPr>
                <w:bCs/>
                <w:color w:val="000000" w:themeColor="text1"/>
                <w:kern w:val="0"/>
                <w:szCs w:val="21"/>
              </w:rPr>
              <w:t>本项目建设情况</w:t>
            </w:r>
          </w:p>
        </w:tc>
        <w:tc>
          <w:tcPr>
            <w:tcW w:w="340" w:type="pct"/>
            <w:tcBorders>
              <w:top w:val="single" w:color="auto" w:sz="8" w:space="0"/>
            </w:tcBorders>
            <w:vAlign w:val="center"/>
          </w:tcPr>
          <w:p w14:paraId="47B4031E">
            <w:pPr>
              <w:widowControl/>
              <w:adjustRightInd w:val="0"/>
              <w:snapToGrid w:val="0"/>
              <w:jc w:val="center"/>
              <w:rPr>
                <w:bCs/>
                <w:color w:val="000000" w:themeColor="text1"/>
                <w:kern w:val="0"/>
                <w:szCs w:val="21"/>
              </w:rPr>
            </w:pPr>
            <w:r>
              <w:rPr>
                <w:bCs/>
                <w:color w:val="000000" w:themeColor="text1"/>
                <w:kern w:val="0"/>
                <w:szCs w:val="21"/>
              </w:rPr>
              <w:t>相符性</w:t>
            </w:r>
          </w:p>
        </w:tc>
      </w:tr>
      <w:tr w14:paraId="064F0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Align w:val="center"/>
          </w:tcPr>
          <w:p w14:paraId="75BCB8AE">
            <w:pPr>
              <w:adjustRightInd w:val="0"/>
              <w:snapToGrid w:val="0"/>
              <w:jc w:val="center"/>
              <w:rPr>
                <w:bCs/>
                <w:color w:val="000000" w:themeColor="text1"/>
                <w:szCs w:val="21"/>
              </w:rPr>
            </w:pPr>
            <w:r>
              <w:rPr>
                <w:bCs/>
                <w:color w:val="000000" w:themeColor="text1"/>
                <w:kern w:val="0"/>
                <w:szCs w:val="21"/>
              </w:rPr>
              <w:t>装备水平</w:t>
            </w:r>
          </w:p>
        </w:tc>
        <w:tc>
          <w:tcPr>
            <w:tcW w:w="2421" w:type="pct"/>
            <w:vAlign w:val="center"/>
          </w:tcPr>
          <w:p w14:paraId="6405D95B">
            <w:pPr>
              <w:adjustRightInd w:val="0"/>
              <w:snapToGrid w:val="0"/>
              <w:jc w:val="left"/>
              <w:rPr>
                <w:bCs/>
                <w:color w:val="000000" w:themeColor="text1"/>
                <w:szCs w:val="21"/>
              </w:rPr>
            </w:pPr>
            <w:r>
              <w:rPr>
                <w:bCs/>
                <w:color w:val="000000" w:themeColor="text1"/>
                <w:szCs w:val="21"/>
              </w:rPr>
              <w:t>烧结砖：隧道窑，单条生产线产能不低于6000万块/年，窑炉配备自动温控系统，干燥和焙烧窑进窑车端设2道窑门</w:t>
            </w:r>
          </w:p>
          <w:p w14:paraId="4F70527F">
            <w:pPr>
              <w:adjustRightInd w:val="0"/>
              <w:snapToGrid w:val="0"/>
              <w:jc w:val="left"/>
              <w:rPr>
                <w:bCs/>
                <w:color w:val="000000" w:themeColor="text1"/>
                <w:szCs w:val="21"/>
              </w:rPr>
            </w:pPr>
            <w:r>
              <w:rPr>
                <w:bCs/>
                <w:color w:val="000000" w:themeColor="text1"/>
                <w:szCs w:val="21"/>
              </w:rPr>
              <w:t>烧结瓦：隧道窑/辊道窑</w:t>
            </w:r>
          </w:p>
        </w:tc>
        <w:tc>
          <w:tcPr>
            <w:tcW w:w="1661" w:type="pct"/>
            <w:vAlign w:val="center"/>
          </w:tcPr>
          <w:p w14:paraId="2319B532">
            <w:pPr>
              <w:adjustRightInd w:val="0"/>
              <w:snapToGrid w:val="0"/>
              <w:jc w:val="left"/>
              <w:rPr>
                <w:bCs/>
                <w:color w:val="000000" w:themeColor="text1"/>
                <w:kern w:val="0"/>
                <w:szCs w:val="21"/>
              </w:rPr>
            </w:pPr>
            <w:r>
              <w:rPr>
                <w:bCs/>
                <w:color w:val="000000" w:themeColor="text1"/>
                <w:szCs w:val="21"/>
              </w:rPr>
              <w:t>项目采用隧道窑，单条生产线产能12000万块标砖/年，窑炉配备自动温控系统，进窑车端设2道窑门</w:t>
            </w:r>
          </w:p>
        </w:tc>
        <w:tc>
          <w:tcPr>
            <w:tcW w:w="340" w:type="pct"/>
            <w:vAlign w:val="center"/>
          </w:tcPr>
          <w:p w14:paraId="2C48F796">
            <w:pPr>
              <w:adjustRightInd w:val="0"/>
              <w:snapToGrid w:val="0"/>
              <w:jc w:val="center"/>
              <w:rPr>
                <w:bCs/>
                <w:color w:val="000000" w:themeColor="text1"/>
                <w:kern w:val="0"/>
                <w:szCs w:val="21"/>
              </w:rPr>
            </w:pPr>
            <w:r>
              <w:rPr>
                <w:bCs/>
                <w:color w:val="000000" w:themeColor="text1"/>
                <w:kern w:val="0"/>
                <w:szCs w:val="21"/>
              </w:rPr>
              <w:t>A级相符</w:t>
            </w:r>
          </w:p>
        </w:tc>
      </w:tr>
      <w:tr w14:paraId="6ED74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Align w:val="center"/>
          </w:tcPr>
          <w:p w14:paraId="20C1706D">
            <w:pPr>
              <w:adjustRightInd w:val="0"/>
              <w:snapToGrid w:val="0"/>
              <w:jc w:val="center"/>
              <w:rPr>
                <w:bCs/>
                <w:color w:val="000000" w:themeColor="text1"/>
                <w:kern w:val="0"/>
                <w:szCs w:val="21"/>
              </w:rPr>
            </w:pPr>
            <w:r>
              <w:rPr>
                <w:bCs/>
                <w:color w:val="000000" w:themeColor="text1"/>
                <w:kern w:val="0"/>
                <w:szCs w:val="21"/>
              </w:rPr>
              <w:t>能源类型</w:t>
            </w:r>
          </w:p>
        </w:tc>
        <w:tc>
          <w:tcPr>
            <w:tcW w:w="2421" w:type="pct"/>
            <w:vAlign w:val="center"/>
          </w:tcPr>
          <w:p w14:paraId="5D79E8F1">
            <w:pPr>
              <w:adjustRightInd w:val="0"/>
              <w:snapToGrid w:val="0"/>
              <w:jc w:val="left"/>
              <w:rPr>
                <w:color w:val="000000" w:themeColor="text1"/>
                <w:szCs w:val="21"/>
              </w:rPr>
            </w:pPr>
            <w:r>
              <w:rPr>
                <w:color w:val="000000" w:themeColor="text1"/>
                <w:szCs w:val="21"/>
              </w:rPr>
              <w:t>窑炉外投燃料使用天然气、液化石油气等清洁能源，内掺燃料包括含硫率低于0.8%的煤、煤矸石或其他含热废弃能源</w:t>
            </w:r>
          </w:p>
        </w:tc>
        <w:tc>
          <w:tcPr>
            <w:tcW w:w="1661" w:type="pct"/>
            <w:vAlign w:val="center"/>
          </w:tcPr>
          <w:p w14:paraId="28EA46A9">
            <w:pPr>
              <w:adjustRightInd w:val="0"/>
              <w:snapToGrid w:val="0"/>
              <w:rPr>
                <w:color w:val="000000" w:themeColor="text1"/>
                <w:szCs w:val="21"/>
              </w:rPr>
            </w:pPr>
            <w:r>
              <w:rPr>
                <w:color w:val="000000" w:themeColor="text1"/>
                <w:szCs w:val="21"/>
              </w:rPr>
              <w:t>点火燃料使用天然气，内掺燃料为含硫率低于0.4%的煤矸石</w:t>
            </w:r>
          </w:p>
        </w:tc>
        <w:tc>
          <w:tcPr>
            <w:tcW w:w="340" w:type="pct"/>
            <w:vAlign w:val="center"/>
          </w:tcPr>
          <w:p w14:paraId="3EA58475">
            <w:pPr>
              <w:adjustRightInd w:val="0"/>
              <w:snapToGrid w:val="0"/>
              <w:jc w:val="center"/>
              <w:rPr>
                <w:bCs/>
                <w:color w:val="000000" w:themeColor="text1"/>
                <w:kern w:val="0"/>
                <w:szCs w:val="21"/>
              </w:rPr>
            </w:pPr>
            <w:r>
              <w:rPr>
                <w:bCs/>
                <w:color w:val="000000" w:themeColor="text1"/>
                <w:kern w:val="0"/>
                <w:szCs w:val="21"/>
              </w:rPr>
              <w:t>A级相符</w:t>
            </w:r>
          </w:p>
        </w:tc>
      </w:tr>
      <w:tr w14:paraId="1C686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Align w:val="center"/>
          </w:tcPr>
          <w:p w14:paraId="539CFC39">
            <w:pPr>
              <w:adjustRightInd w:val="0"/>
              <w:snapToGrid w:val="0"/>
              <w:jc w:val="center"/>
              <w:rPr>
                <w:bCs/>
                <w:color w:val="000000" w:themeColor="text1"/>
                <w:szCs w:val="21"/>
              </w:rPr>
            </w:pPr>
            <w:r>
              <w:rPr>
                <w:bCs/>
                <w:color w:val="000000" w:themeColor="text1"/>
                <w:szCs w:val="21"/>
              </w:rPr>
              <w:t>污染治理技术</w:t>
            </w:r>
          </w:p>
        </w:tc>
        <w:tc>
          <w:tcPr>
            <w:tcW w:w="2421" w:type="pct"/>
            <w:vAlign w:val="center"/>
          </w:tcPr>
          <w:p w14:paraId="2872411D">
            <w:pPr>
              <w:pStyle w:val="12"/>
              <w:ind w:firstLine="0"/>
              <w:jc w:val="left"/>
              <w:rPr>
                <w:color w:val="000000" w:themeColor="text1"/>
                <w:szCs w:val="21"/>
              </w:rPr>
            </w:pPr>
            <w:r>
              <w:rPr>
                <w:color w:val="000000" w:themeColor="text1"/>
                <w:szCs w:val="21"/>
              </w:rPr>
              <w:t>1、除尘采用袋式除尘、湿式电除尘、独立除尘塔等工艺；</w:t>
            </w:r>
          </w:p>
          <w:p w14:paraId="4238B227">
            <w:pPr>
              <w:pStyle w:val="12"/>
              <w:ind w:firstLine="0"/>
              <w:jc w:val="left"/>
              <w:rPr>
                <w:color w:val="000000" w:themeColor="text1"/>
                <w:szCs w:val="21"/>
              </w:rPr>
            </w:pPr>
            <w:r>
              <w:rPr>
                <w:color w:val="000000" w:themeColor="text1"/>
                <w:szCs w:val="21"/>
              </w:rPr>
              <w:t>2、脱硫采用石灰-石膏湿法脱硫等工艺(不含全部使用天然气、液化石油气为燃料)；</w:t>
            </w:r>
          </w:p>
          <w:p w14:paraId="3670EC13">
            <w:pPr>
              <w:pStyle w:val="12"/>
              <w:ind w:firstLine="0"/>
              <w:jc w:val="left"/>
              <w:rPr>
                <w:color w:val="000000" w:themeColor="text1"/>
                <w:szCs w:val="21"/>
              </w:rPr>
            </w:pPr>
            <w:r>
              <w:rPr>
                <w:color w:val="000000" w:themeColor="text1"/>
                <w:szCs w:val="21"/>
              </w:rPr>
              <w:t>3、配备脱硝工艺</w:t>
            </w:r>
          </w:p>
        </w:tc>
        <w:tc>
          <w:tcPr>
            <w:tcW w:w="1661" w:type="pct"/>
            <w:vAlign w:val="center"/>
          </w:tcPr>
          <w:p w14:paraId="251D6587">
            <w:pPr>
              <w:pStyle w:val="12"/>
              <w:ind w:firstLine="0"/>
              <w:jc w:val="left"/>
              <w:rPr>
                <w:color w:val="000000" w:themeColor="text1"/>
                <w:szCs w:val="21"/>
              </w:rPr>
            </w:pPr>
            <w:r>
              <w:rPr>
                <w:color w:val="000000" w:themeColor="text1"/>
                <w:szCs w:val="21"/>
              </w:rPr>
              <w:t>1、本项目原料预处理工序喂料、破碎、筛分、搅拌环节，窑车清理等工序除尘采用袋式除尘器；窑炉烟气除尘采用湿电除尘；</w:t>
            </w:r>
          </w:p>
          <w:p w14:paraId="73CCB099">
            <w:pPr>
              <w:pStyle w:val="12"/>
              <w:ind w:firstLine="0"/>
              <w:jc w:val="left"/>
              <w:rPr>
                <w:color w:val="000000" w:themeColor="text1"/>
                <w:szCs w:val="21"/>
              </w:rPr>
            </w:pPr>
            <w:r>
              <w:rPr>
                <w:color w:val="000000" w:themeColor="text1"/>
                <w:szCs w:val="21"/>
              </w:rPr>
              <w:t>2、窑炉烟气脱硫拟改造为石灰-石膏湿法脱硫工艺；</w:t>
            </w:r>
          </w:p>
          <w:p w14:paraId="0E9FE581">
            <w:pPr>
              <w:pStyle w:val="12"/>
              <w:ind w:left="420" w:hanging="420"/>
              <w:rPr>
                <w:bCs/>
                <w:color w:val="000000" w:themeColor="text1"/>
                <w:kern w:val="0"/>
                <w:szCs w:val="21"/>
              </w:rPr>
            </w:pPr>
            <w:r>
              <w:rPr>
                <w:color w:val="000000" w:themeColor="text1"/>
                <w:szCs w:val="21"/>
              </w:rPr>
              <w:t>3、窑炉烟气脱硝拟配备SNCR脱硝工艺</w:t>
            </w:r>
          </w:p>
        </w:tc>
        <w:tc>
          <w:tcPr>
            <w:tcW w:w="340" w:type="pct"/>
            <w:vAlign w:val="center"/>
          </w:tcPr>
          <w:p w14:paraId="27344C86">
            <w:pPr>
              <w:adjustRightInd w:val="0"/>
              <w:snapToGrid w:val="0"/>
              <w:jc w:val="center"/>
              <w:rPr>
                <w:bCs/>
                <w:color w:val="000000" w:themeColor="text1"/>
                <w:kern w:val="0"/>
                <w:szCs w:val="21"/>
              </w:rPr>
            </w:pPr>
            <w:r>
              <w:rPr>
                <w:bCs/>
                <w:color w:val="000000" w:themeColor="text1"/>
                <w:kern w:val="0"/>
                <w:szCs w:val="21"/>
              </w:rPr>
              <w:t>A级相符</w:t>
            </w:r>
          </w:p>
        </w:tc>
      </w:tr>
      <w:tr w14:paraId="5917A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78" w:type="pct"/>
            <w:vMerge w:val="restart"/>
            <w:vAlign w:val="center"/>
          </w:tcPr>
          <w:p w14:paraId="6D7DB131">
            <w:pPr>
              <w:adjustRightInd w:val="0"/>
              <w:snapToGrid w:val="0"/>
              <w:jc w:val="center"/>
              <w:rPr>
                <w:bCs/>
                <w:color w:val="000000" w:themeColor="text1"/>
                <w:kern w:val="0"/>
                <w:szCs w:val="21"/>
              </w:rPr>
            </w:pPr>
            <w:r>
              <w:rPr>
                <w:bCs/>
                <w:color w:val="000000" w:themeColor="text1"/>
                <w:kern w:val="0"/>
                <w:szCs w:val="21"/>
              </w:rPr>
              <w:t>排放限值</w:t>
            </w:r>
          </w:p>
        </w:tc>
        <w:tc>
          <w:tcPr>
            <w:tcW w:w="2421" w:type="pct"/>
            <w:vAlign w:val="center"/>
          </w:tcPr>
          <w:p w14:paraId="44407E30">
            <w:pPr>
              <w:rPr>
                <w:szCs w:val="21"/>
              </w:rPr>
            </w:pPr>
            <w:r>
              <w:rPr>
                <w:szCs w:val="21"/>
              </w:rPr>
              <w:t>窑炉：PM、SO</w:t>
            </w:r>
            <w:r>
              <w:rPr>
                <w:szCs w:val="21"/>
                <w:vertAlign w:val="subscript"/>
              </w:rPr>
              <w:t>2</w:t>
            </w:r>
            <w:r>
              <w:rPr>
                <w:szCs w:val="21"/>
              </w:rPr>
              <w:t>、NO</w:t>
            </w:r>
            <w:r>
              <w:rPr>
                <w:szCs w:val="21"/>
                <w:vertAlign w:val="subscript"/>
              </w:rPr>
              <w:t>x</w:t>
            </w:r>
            <w:r>
              <w:rPr>
                <w:szCs w:val="21"/>
              </w:rPr>
              <w:t>排放浓度分别不高于20、50、50mg/m</w:t>
            </w:r>
            <w:r>
              <w:rPr>
                <w:szCs w:val="21"/>
                <w:vertAlign w:val="superscript"/>
              </w:rPr>
              <w:t>3</w:t>
            </w:r>
          </w:p>
        </w:tc>
        <w:tc>
          <w:tcPr>
            <w:tcW w:w="1661" w:type="pct"/>
            <w:vMerge w:val="restart"/>
            <w:vAlign w:val="center"/>
          </w:tcPr>
          <w:p w14:paraId="7935D698">
            <w:pPr>
              <w:rPr>
                <w:szCs w:val="21"/>
              </w:rPr>
            </w:pPr>
            <w:r>
              <w:rPr>
                <w:szCs w:val="21"/>
              </w:rPr>
              <w:t>窑炉：PM、SO</w:t>
            </w:r>
            <w:r>
              <w:rPr>
                <w:szCs w:val="21"/>
                <w:vertAlign w:val="subscript"/>
              </w:rPr>
              <w:t>2</w:t>
            </w:r>
            <w:r>
              <w:rPr>
                <w:szCs w:val="21"/>
              </w:rPr>
              <w:t>、NO</w:t>
            </w:r>
            <w:r>
              <w:rPr>
                <w:szCs w:val="21"/>
                <w:vertAlign w:val="subscript"/>
              </w:rPr>
              <w:t>x</w:t>
            </w:r>
            <w:r>
              <w:rPr>
                <w:szCs w:val="21"/>
              </w:rPr>
              <w:t>排放浓度分别为</w:t>
            </w:r>
            <w:r>
              <w:rPr>
                <w:rFonts w:hint="eastAsia"/>
                <w:szCs w:val="21"/>
              </w:rPr>
              <w:t>5.0</w:t>
            </w:r>
            <w:r>
              <w:rPr>
                <w:szCs w:val="21"/>
              </w:rPr>
              <w:t>mg/m</w:t>
            </w:r>
            <w:r>
              <w:rPr>
                <w:szCs w:val="21"/>
                <w:vertAlign w:val="superscript"/>
              </w:rPr>
              <w:t>3</w:t>
            </w:r>
            <w:r>
              <w:rPr>
                <w:szCs w:val="21"/>
              </w:rPr>
              <w:t>、</w:t>
            </w:r>
            <w:r>
              <w:rPr>
                <w:rFonts w:hint="eastAsia"/>
                <w:szCs w:val="21"/>
              </w:rPr>
              <w:t>36.45</w:t>
            </w:r>
            <w:r>
              <w:rPr>
                <w:szCs w:val="21"/>
              </w:rPr>
              <w:t>mg/m</w:t>
            </w:r>
            <w:r>
              <w:rPr>
                <w:szCs w:val="21"/>
                <w:vertAlign w:val="superscript"/>
              </w:rPr>
              <w:t>3</w:t>
            </w:r>
            <w:r>
              <w:rPr>
                <w:szCs w:val="21"/>
              </w:rPr>
              <w:t>、</w:t>
            </w:r>
            <w:r>
              <w:rPr>
                <w:rFonts w:hint="eastAsia"/>
                <w:szCs w:val="21"/>
              </w:rPr>
              <w:t>27.8</w:t>
            </w:r>
            <w:r>
              <w:rPr>
                <w:szCs w:val="21"/>
              </w:rPr>
              <w:t>mg/m</w:t>
            </w:r>
            <w:r>
              <w:rPr>
                <w:szCs w:val="21"/>
                <w:vertAlign w:val="superscript"/>
              </w:rPr>
              <w:t>3</w:t>
            </w:r>
            <w:r>
              <w:rPr>
                <w:szCs w:val="21"/>
              </w:rPr>
              <w:t>，破碎、成型等其他产尘点PM排放浓度在</w:t>
            </w:r>
            <w:r>
              <w:rPr>
                <w:rFonts w:hint="eastAsia"/>
                <w:szCs w:val="21"/>
              </w:rPr>
              <w:t>3.0</w:t>
            </w:r>
            <w:r>
              <w:rPr>
                <w:szCs w:val="21"/>
              </w:rPr>
              <w:t>~</w:t>
            </w:r>
            <w:r>
              <w:rPr>
                <w:rFonts w:hint="eastAsia"/>
                <w:szCs w:val="21"/>
              </w:rPr>
              <w:t>7.2</w:t>
            </w:r>
            <w:r>
              <w:rPr>
                <w:szCs w:val="21"/>
              </w:rPr>
              <w:t>mg/m</w:t>
            </w:r>
            <w:r>
              <w:rPr>
                <w:szCs w:val="21"/>
                <w:vertAlign w:val="superscript"/>
              </w:rPr>
              <w:t>3</w:t>
            </w:r>
            <w:r>
              <w:rPr>
                <w:szCs w:val="21"/>
              </w:rPr>
              <w:t>之间，满足A级企业要求；</w:t>
            </w:r>
          </w:p>
        </w:tc>
        <w:tc>
          <w:tcPr>
            <w:tcW w:w="340" w:type="pct"/>
            <w:vMerge w:val="restart"/>
            <w:vAlign w:val="center"/>
          </w:tcPr>
          <w:p w14:paraId="21767949">
            <w:pPr>
              <w:adjustRightInd w:val="0"/>
              <w:snapToGrid w:val="0"/>
              <w:jc w:val="center"/>
              <w:rPr>
                <w:bCs/>
                <w:color w:val="000000" w:themeColor="text1"/>
                <w:szCs w:val="21"/>
              </w:rPr>
            </w:pPr>
            <w:r>
              <w:rPr>
                <w:bCs/>
                <w:color w:val="000000" w:themeColor="text1"/>
                <w:kern w:val="0"/>
                <w:szCs w:val="21"/>
              </w:rPr>
              <w:t>A级相符</w:t>
            </w:r>
          </w:p>
        </w:tc>
      </w:tr>
      <w:tr w14:paraId="7177C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8" w:type="pct"/>
            <w:vMerge w:val="continue"/>
            <w:vAlign w:val="center"/>
          </w:tcPr>
          <w:p w14:paraId="7B6BE840">
            <w:pPr>
              <w:adjustRightInd w:val="0"/>
              <w:snapToGrid w:val="0"/>
              <w:jc w:val="center"/>
              <w:rPr>
                <w:bCs/>
                <w:color w:val="000000" w:themeColor="text1"/>
                <w:kern w:val="0"/>
                <w:szCs w:val="21"/>
              </w:rPr>
            </w:pPr>
          </w:p>
        </w:tc>
        <w:tc>
          <w:tcPr>
            <w:tcW w:w="2421" w:type="pct"/>
            <w:vAlign w:val="center"/>
          </w:tcPr>
          <w:p w14:paraId="75B9DFC0">
            <w:pPr>
              <w:rPr>
                <w:color w:val="000000" w:themeColor="text1"/>
                <w:szCs w:val="21"/>
              </w:rPr>
            </w:pPr>
            <w:r>
              <w:rPr>
                <w:color w:val="000000" w:themeColor="text1"/>
                <w:szCs w:val="21"/>
              </w:rPr>
              <w:t>备注：窑炉基准氧含量18%，破碎、成型等其他产尘点PM 排放浓度不高于30mg/m</w:t>
            </w:r>
            <w:r>
              <w:rPr>
                <w:color w:val="000000" w:themeColor="text1"/>
                <w:szCs w:val="21"/>
                <w:vertAlign w:val="superscript"/>
              </w:rPr>
              <w:t>3</w:t>
            </w:r>
          </w:p>
        </w:tc>
        <w:tc>
          <w:tcPr>
            <w:tcW w:w="1661" w:type="pct"/>
            <w:vMerge w:val="continue"/>
            <w:vAlign w:val="center"/>
          </w:tcPr>
          <w:p w14:paraId="76C9B65E">
            <w:pPr>
              <w:rPr>
                <w:color w:val="000000" w:themeColor="text1"/>
                <w:szCs w:val="21"/>
              </w:rPr>
            </w:pPr>
          </w:p>
        </w:tc>
        <w:tc>
          <w:tcPr>
            <w:tcW w:w="340" w:type="pct"/>
            <w:vMerge w:val="continue"/>
            <w:vAlign w:val="center"/>
          </w:tcPr>
          <w:p w14:paraId="33662A76">
            <w:pPr>
              <w:adjustRightInd w:val="0"/>
              <w:snapToGrid w:val="0"/>
              <w:jc w:val="center"/>
              <w:rPr>
                <w:bCs/>
                <w:color w:val="000000" w:themeColor="text1"/>
                <w:szCs w:val="21"/>
              </w:rPr>
            </w:pPr>
          </w:p>
        </w:tc>
      </w:tr>
      <w:tr w14:paraId="5C650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restart"/>
            <w:vAlign w:val="center"/>
          </w:tcPr>
          <w:p w14:paraId="1A945FD8">
            <w:pPr>
              <w:adjustRightInd w:val="0"/>
              <w:snapToGrid w:val="0"/>
              <w:jc w:val="center"/>
              <w:rPr>
                <w:bCs/>
                <w:color w:val="000000" w:themeColor="text1"/>
                <w:kern w:val="0"/>
                <w:szCs w:val="21"/>
              </w:rPr>
            </w:pPr>
            <w:r>
              <w:rPr>
                <w:bCs/>
                <w:color w:val="000000" w:themeColor="text1"/>
                <w:kern w:val="0"/>
                <w:szCs w:val="21"/>
              </w:rPr>
              <w:t>无组织排放</w:t>
            </w:r>
          </w:p>
        </w:tc>
        <w:tc>
          <w:tcPr>
            <w:tcW w:w="2421" w:type="pct"/>
            <w:vAlign w:val="center"/>
          </w:tcPr>
          <w:p w14:paraId="492DA0A2">
            <w:pPr>
              <w:rPr>
                <w:color w:val="000000" w:themeColor="text1"/>
                <w:szCs w:val="21"/>
              </w:rPr>
            </w:pPr>
            <w:r>
              <w:rPr>
                <w:color w:val="000000" w:themeColor="text1"/>
                <w:szCs w:val="21"/>
              </w:rPr>
              <w:t>1、生产工艺产尘点应采取密闭、封闭或设置集气量等措施；</w:t>
            </w:r>
          </w:p>
          <w:p w14:paraId="76784568">
            <w:pPr>
              <w:rPr>
                <w:color w:val="000000" w:themeColor="text1"/>
                <w:szCs w:val="21"/>
              </w:rPr>
            </w:pPr>
            <w:r>
              <w:rPr>
                <w:color w:val="000000" w:themeColor="text1"/>
                <w:szCs w:val="21"/>
              </w:rPr>
              <w:t>2、粘土、页岩、煤矸石、原煤等原料、燃料应密闭或封闭储存，并采取喷淋等有效抑尘措施；</w:t>
            </w:r>
          </w:p>
          <w:p w14:paraId="7F0BAFD2">
            <w:pPr>
              <w:rPr>
                <w:color w:val="000000" w:themeColor="text1"/>
                <w:szCs w:val="21"/>
              </w:rPr>
            </w:pPr>
            <w:r>
              <w:rPr>
                <w:color w:val="000000" w:themeColor="text1"/>
                <w:szCs w:val="21"/>
              </w:rPr>
              <w:t>3、产品装卸产尘点应采取喷淋等有效抑尘措施；窑车及相关产尘及产渣区域应有除尘除渣措施；</w:t>
            </w:r>
          </w:p>
        </w:tc>
        <w:tc>
          <w:tcPr>
            <w:tcW w:w="1661" w:type="pct"/>
            <w:vAlign w:val="center"/>
          </w:tcPr>
          <w:p w14:paraId="6DD5990D">
            <w:pPr>
              <w:rPr>
                <w:color w:val="000000" w:themeColor="text1"/>
                <w:szCs w:val="21"/>
              </w:rPr>
            </w:pPr>
            <w:r>
              <w:rPr>
                <w:color w:val="000000" w:themeColor="text1"/>
                <w:szCs w:val="21"/>
              </w:rPr>
              <w:t xml:space="preserve">1、本项目喂料口、窑车清理区域设置集气罩，其他环节均采用密闭空间+负压收集方式，将含尘废气引至末端除尘器。 </w:t>
            </w:r>
          </w:p>
          <w:p w14:paraId="7F4C26D6">
            <w:pPr>
              <w:rPr>
                <w:color w:val="000000" w:themeColor="text1"/>
                <w:szCs w:val="21"/>
              </w:rPr>
            </w:pPr>
            <w:r>
              <w:rPr>
                <w:color w:val="000000" w:themeColor="text1"/>
                <w:szCs w:val="21"/>
              </w:rPr>
              <w:t>2、本项目所用主要原料为煤矸石、建筑垃圾和污泥，采用全密闭原料仓库储存，仓库内设置雾化喷淋装置；</w:t>
            </w:r>
          </w:p>
          <w:p w14:paraId="5106A049">
            <w:pPr>
              <w:rPr>
                <w:color w:val="000000" w:themeColor="text1"/>
                <w:szCs w:val="21"/>
              </w:rPr>
            </w:pPr>
            <w:r>
              <w:rPr>
                <w:color w:val="000000" w:themeColor="text1"/>
                <w:szCs w:val="21"/>
              </w:rPr>
              <w:t>3、本项目产品装卸区设置雾化喷淋装置，窑车清理区域设置集气罩，将清理粉尘引至1台袋式除尘器处理</w:t>
            </w:r>
          </w:p>
        </w:tc>
        <w:tc>
          <w:tcPr>
            <w:tcW w:w="340" w:type="pct"/>
            <w:vAlign w:val="center"/>
          </w:tcPr>
          <w:p w14:paraId="063FE5F1">
            <w:pPr>
              <w:adjustRightInd w:val="0"/>
              <w:snapToGrid w:val="0"/>
              <w:jc w:val="center"/>
              <w:rPr>
                <w:bCs/>
                <w:color w:val="000000" w:themeColor="text1"/>
                <w:szCs w:val="21"/>
              </w:rPr>
            </w:pPr>
            <w:r>
              <w:rPr>
                <w:bCs/>
                <w:color w:val="000000" w:themeColor="text1"/>
                <w:kern w:val="0"/>
                <w:szCs w:val="21"/>
              </w:rPr>
              <w:t>A级相符</w:t>
            </w:r>
          </w:p>
        </w:tc>
      </w:tr>
      <w:tr w14:paraId="33E3F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continue"/>
            <w:vAlign w:val="center"/>
          </w:tcPr>
          <w:p w14:paraId="2A731390">
            <w:pPr>
              <w:adjustRightInd w:val="0"/>
              <w:snapToGrid w:val="0"/>
              <w:jc w:val="center"/>
              <w:rPr>
                <w:bCs/>
                <w:color w:val="EE0000"/>
                <w:kern w:val="0"/>
                <w:szCs w:val="21"/>
              </w:rPr>
            </w:pPr>
          </w:p>
        </w:tc>
        <w:tc>
          <w:tcPr>
            <w:tcW w:w="2421" w:type="pct"/>
            <w:vAlign w:val="center"/>
          </w:tcPr>
          <w:p w14:paraId="043C050A">
            <w:pPr>
              <w:rPr>
                <w:color w:val="000000" w:themeColor="text1"/>
                <w:szCs w:val="21"/>
              </w:rPr>
            </w:pPr>
            <w:r>
              <w:rPr>
                <w:color w:val="000000" w:themeColor="text1"/>
                <w:szCs w:val="21"/>
              </w:rPr>
              <w:t>原煤、石灰、除尘灰、脱硫灰等粉状物料全部密闭或封闭储存，采用密闭皮带、封闭通廊或密闭车厢等方式输送。产尘点及车间不得有可见烟(粉)尘外逸。料棚配备喷雾抑尘设施，料棚出入口安装自动门</w:t>
            </w:r>
          </w:p>
        </w:tc>
        <w:tc>
          <w:tcPr>
            <w:tcW w:w="1661" w:type="pct"/>
            <w:vAlign w:val="center"/>
          </w:tcPr>
          <w:p w14:paraId="0D9A10B3">
            <w:pPr>
              <w:rPr>
                <w:color w:val="000000" w:themeColor="text1"/>
                <w:szCs w:val="21"/>
              </w:rPr>
            </w:pPr>
            <w:r>
              <w:rPr>
                <w:color w:val="000000" w:themeColor="text1"/>
                <w:szCs w:val="21"/>
              </w:rPr>
              <w:t>本项目脱硫剂石灰粉采用筒仓储存，并采用气力输送管道输送；原料输送采用密闭皮带廊道输送。原料仓库现已安装有雾化喷淋装置，出入口安装自动感应门。各产尘点及车间无可见烟（粉）尘外逸</w:t>
            </w:r>
          </w:p>
        </w:tc>
        <w:tc>
          <w:tcPr>
            <w:tcW w:w="340" w:type="pct"/>
            <w:vAlign w:val="center"/>
          </w:tcPr>
          <w:p w14:paraId="6A7F621D">
            <w:pPr>
              <w:adjustRightInd w:val="0"/>
              <w:snapToGrid w:val="0"/>
              <w:jc w:val="center"/>
              <w:rPr>
                <w:bCs/>
                <w:color w:val="000000" w:themeColor="text1"/>
                <w:szCs w:val="21"/>
              </w:rPr>
            </w:pPr>
            <w:r>
              <w:rPr>
                <w:bCs/>
                <w:color w:val="000000" w:themeColor="text1"/>
                <w:kern w:val="0"/>
                <w:szCs w:val="21"/>
              </w:rPr>
              <w:t>A级相符</w:t>
            </w:r>
          </w:p>
        </w:tc>
      </w:tr>
      <w:tr w14:paraId="4B20A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Align w:val="center"/>
          </w:tcPr>
          <w:p w14:paraId="4A8DD236">
            <w:pPr>
              <w:adjustRightInd w:val="0"/>
              <w:snapToGrid w:val="0"/>
              <w:jc w:val="center"/>
              <w:rPr>
                <w:bCs/>
                <w:color w:val="000000" w:themeColor="text1"/>
                <w:kern w:val="0"/>
                <w:szCs w:val="21"/>
              </w:rPr>
            </w:pPr>
            <w:r>
              <w:rPr>
                <w:bCs/>
                <w:color w:val="000000" w:themeColor="text1"/>
                <w:kern w:val="0"/>
                <w:szCs w:val="21"/>
              </w:rPr>
              <w:t>监测监控水平</w:t>
            </w:r>
          </w:p>
        </w:tc>
        <w:tc>
          <w:tcPr>
            <w:tcW w:w="2421" w:type="pct"/>
            <w:vAlign w:val="center"/>
          </w:tcPr>
          <w:p w14:paraId="3DC6438D">
            <w:pPr>
              <w:jc w:val="left"/>
              <w:rPr>
                <w:bCs/>
                <w:color w:val="000000" w:themeColor="text1"/>
                <w:szCs w:val="21"/>
              </w:rPr>
            </w:pPr>
            <w:r>
              <w:rPr>
                <w:bCs/>
                <w:color w:val="000000" w:themeColor="text1"/>
                <w:szCs w:val="21"/>
              </w:rPr>
              <w:t>重点排污企业干燥、焙烧窑排放口安装CEMS，数据保存一年以上</w:t>
            </w:r>
          </w:p>
        </w:tc>
        <w:tc>
          <w:tcPr>
            <w:tcW w:w="1661" w:type="pct"/>
            <w:vAlign w:val="center"/>
          </w:tcPr>
          <w:p w14:paraId="7A1A3B35">
            <w:pPr>
              <w:rPr>
                <w:bCs/>
                <w:color w:val="000000" w:themeColor="text1"/>
                <w:szCs w:val="21"/>
              </w:rPr>
            </w:pPr>
            <w:r>
              <w:rPr>
                <w:bCs/>
                <w:color w:val="000000" w:themeColor="text1"/>
                <w:szCs w:val="21"/>
              </w:rPr>
              <w:t>窑炉烟气排放口安装CEMS，数据保存一年以上</w:t>
            </w:r>
          </w:p>
        </w:tc>
        <w:tc>
          <w:tcPr>
            <w:tcW w:w="340" w:type="pct"/>
            <w:vAlign w:val="center"/>
          </w:tcPr>
          <w:p w14:paraId="5B5E48ED">
            <w:pPr>
              <w:adjustRightInd w:val="0"/>
              <w:snapToGrid w:val="0"/>
              <w:jc w:val="center"/>
              <w:rPr>
                <w:bCs/>
                <w:color w:val="000000" w:themeColor="text1"/>
                <w:szCs w:val="21"/>
              </w:rPr>
            </w:pPr>
            <w:r>
              <w:rPr>
                <w:bCs/>
                <w:color w:val="000000" w:themeColor="text1"/>
                <w:kern w:val="0"/>
                <w:szCs w:val="21"/>
              </w:rPr>
              <w:t>A级相符</w:t>
            </w:r>
          </w:p>
        </w:tc>
      </w:tr>
      <w:tr w14:paraId="70251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restart"/>
            <w:vAlign w:val="center"/>
          </w:tcPr>
          <w:p w14:paraId="3E14A7F1">
            <w:pPr>
              <w:adjustRightInd w:val="0"/>
              <w:snapToGrid w:val="0"/>
              <w:jc w:val="center"/>
              <w:rPr>
                <w:bCs/>
                <w:szCs w:val="21"/>
              </w:rPr>
            </w:pPr>
            <w:r>
              <w:rPr>
                <w:bCs/>
                <w:szCs w:val="21"/>
              </w:rPr>
              <w:t>环境管理水平</w:t>
            </w:r>
          </w:p>
        </w:tc>
        <w:tc>
          <w:tcPr>
            <w:tcW w:w="2421" w:type="pct"/>
            <w:vAlign w:val="center"/>
          </w:tcPr>
          <w:p w14:paraId="397B901C">
            <w:pPr>
              <w:jc w:val="left"/>
              <w:rPr>
                <w:bCs/>
                <w:szCs w:val="21"/>
              </w:rPr>
            </w:pPr>
            <w:r>
              <w:rPr>
                <w:bCs/>
                <w:szCs w:val="21"/>
              </w:rPr>
              <w:t>环保档案齐全：1、环评批复文件/地方政府对违规项目的认定或备案文件；2、排污许可证及季度、年度执行报告；3、竣工验收文件；4、废气治理设施运行管理规程；5、一年内第三方废气监测报告</w:t>
            </w:r>
          </w:p>
        </w:tc>
        <w:tc>
          <w:tcPr>
            <w:tcW w:w="1661" w:type="pct"/>
            <w:vAlign w:val="center"/>
          </w:tcPr>
          <w:p w14:paraId="5454478E">
            <w:pPr>
              <w:jc w:val="left"/>
              <w:rPr>
                <w:bCs/>
                <w:color w:val="000000" w:themeColor="text1"/>
                <w:szCs w:val="21"/>
              </w:rPr>
            </w:pPr>
            <w:r>
              <w:rPr>
                <w:color w:val="000000" w:themeColor="text1"/>
              </w:rPr>
              <w:t>现有工程环保档案齐全，本项目整合升级技改后，按要求管理各种环保档案，并确保档案齐全</w:t>
            </w:r>
          </w:p>
        </w:tc>
        <w:tc>
          <w:tcPr>
            <w:tcW w:w="340" w:type="pct"/>
            <w:vAlign w:val="center"/>
          </w:tcPr>
          <w:p w14:paraId="4049F411">
            <w:pPr>
              <w:adjustRightInd w:val="0"/>
              <w:snapToGrid w:val="0"/>
              <w:jc w:val="center"/>
              <w:rPr>
                <w:bCs/>
                <w:color w:val="000000" w:themeColor="text1"/>
                <w:szCs w:val="21"/>
              </w:rPr>
            </w:pPr>
            <w:r>
              <w:rPr>
                <w:bCs/>
                <w:color w:val="000000" w:themeColor="text1"/>
                <w:kern w:val="0"/>
                <w:szCs w:val="21"/>
              </w:rPr>
              <w:t>A级相符</w:t>
            </w:r>
          </w:p>
        </w:tc>
      </w:tr>
      <w:tr w14:paraId="41558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continue"/>
            <w:vAlign w:val="center"/>
          </w:tcPr>
          <w:p w14:paraId="59CCD84D">
            <w:pPr>
              <w:adjustRightInd w:val="0"/>
              <w:snapToGrid w:val="0"/>
              <w:jc w:val="center"/>
              <w:rPr>
                <w:bCs/>
                <w:szCs w:val="21"/>
              </w:rPr>
            </w:pPr>
          </w:p>
        </w:tc>
        <w:tc>
          <w:tcPr>
            <w:tcW w:w="2421" w:type="pct"/>
            <w:vAlign w:val="center"/>
          </w:tcPr>
          <w:p w14:paraId="2292F67D">
            <w:pPr>
              <w:jc w:val="left"/>
              <w:rPr>
                <w:bCs/>
                <w:szCs w:val="21"/>
              </w:rPr>
            </w:pPr>
            <w:r>
              <w:rPr>
                <w:bCs/>
                <w:szCs w:val="21"/>
              </w:rPr>
              <w:t>台账记录：1、生产设施运行管理信息(生产时间、运行负荷、产品产量等)；2、废气污染治理设施运行管理信息(除尘滤料更换量和时间、脱硫及脱硝剂添加量和时间等)；3、监测记录信息(主要污染排放口废气排放记录(手工监测和在线监测)等)；4、主要原辅材料消耗记录；5、燃料(天然气)消耗记录</w:t>
            </w:r>
          </w:p>
        </w:tc>
        <w:tc>
          <w:tcPr>
            <w:tcW w:w="1661" w:type="pct"/>
            <w:vAlign w:val="center"/>
          </w:tcPr>
          <w:p w14:paraId="7B06DE31">
            <w:pPr>
              <w:jc w:val="left"/>
              <w:rPr>
                <w:bCs/>
                <w:color w:val="000000" w:themeColor="text1"/>
                <w:szCs w:val="21"/>
              </w:rPr>
            </w:pPr>
            <w:r>
              <w:rPr>
                <w:color w:val="000000" w:themeColor="text1"/>
              </w:rPr>
              <w:t>现有工程台账记录完整，本项目营运后加强管理，并确保</w:t>
            </w:r>
            <w:r>
              <w:rPr>
                <w:rFonts w:ascii="Cambria Math" w:hAnsi="Cambria Math" w:cs="Cambria Math"/>
                <w:color w:val="000000" w:themeColor="text1"/>
              </w:rPr>
              <w:t>①</w:t>
            </w:r>
            <w:r>
              <w:rPr>
                <w:color w:val="000000" w:themeColor="text1"/>
              </w:rPr>
              <w:t>生产设施运行管理信息、</w:t>
            </w:r>
            <w:r>
              <w:rPr>
                <w:rFonts w:ascii="Cambria Math" w:hAnsi="Cambria Math" w:cs="Cambria Math"/>
                <w:color w:val="000000" w:themeColor="text1"/>
              </w:rPr>
              <w:t>②</w:t>
            </w:r>
            <w:r>
              <w:rPr>
                <w:color w:val="000000" w:themeColor="text1"/>
              </w:rPr>
              <w:t>废气污染治理设施运行管理信息、</w:t>
            </w:r>
            <w:r>
              <w:rPr>
                <w:rFonts w:ascii="Cambria Math" w:hAnsi="Cambria Math" w:cs="Cambria Math"/>
                <w:color w:val="000000" w:themeColor="text1"/>
              </w:rPr>
              <w:t>③</w:t>
            </w:r>
            <w:r>
              <w:rPr>
                <w:color w:val="000000" w:themeColor="text1"/>
              </w:rPr>
              <w:t>监测记录信息、</w:t>
            </w:r>
            <w:r>
              <w:rPr>
                <w:rFonts w:ascii="Cambria Math" w:hAnsi="Cambria Math" w:cs="Cambria Math"/>
                <w:color w:val="000000" w:themeColor="text1"/>
              </w:rPr>
              <w:t>④</w:t>
            </w:r>
            <w:r>
              <w:rPr>
                <w:color w:val="000000" w:themeColor="text1"/>
              </w:rPr>
              <w:t>主要原辅材料消耗记录、</w:t>
            </w:r>
            <w:r>
              <w:rPr>
                <w:rFonts w:ascii="Cambria Math" w:hAnsi="Cambria Math" w:cs="Cambria Math"/>
                <w:color w:val="000000" w:themeColor="text1"/>
              </w:rPr>
              <w:t>⑤</w:t>
            </w:r>
            <w:r>
              <w:rPr>
                <w:color w:val="000000" w:themeColor="text1"/>
              </w:rPr>
              <w:t xml:space="preserve"> 天然气消耗记录五类台账记录规范和完整</w:t>
            </w:r>
          </w:p>
        </w:tc>
        <w:tc>
          <w:tcPr>
            <w:tcW w:w="340" w:type="pct"/>
            <w:vAlign w:val="center"/>
          </w:tcPr>
          <w:p w14:paraId="5186F443">
            <w:pPr>
              <w:adjustRightInd w:val="0"/>
              <w:snapToGrid w:val="0"/>
              <w:jc w:val="center"/>
              <w:rPr>
                <w:bCs/>
                <w:color w:val="000000" w:themeColor="text1"/>
                <w:szCs w:val="21"/>
              </w:rPr>
            </w:pPr>
            <w:r>
              <w:rPr>
                <w:bCs/>
                <w:color w:val="000000" w:themeColor="text1"/>
                <w:kern w:val="0"/>
                <w:szCs w:val="21"/>
              </w:rPr>
              <w:t>A级相符</w:t>
            </w:r>
          </w:p>
        </w:tc>
      </w:tr>
      <w:tr w14:paraId="5AC45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continue"/>
            <w:vAlign w:val="center"/>
          </w:tcPr>
          <w:p w14:paraId="0A58D2BF">
            <w:pPr>
              <w:adjustRightInd w:val="0"/>
              <w:snapToGrid w:val="0"/>
              <w:jc w:val="center"/>
              <w:rPr>
                <w:bCs/>
                <w:szCs w:val="21"/>
              </w:rPr>
            </w:pPr>
          </w:p>
        </w:tc>
        <w:tc>
          <w:tcPr>
            <w:tcW w:w="2421" w:type="pct"/>
            <w:vAlign w:val="center"/>
          </w:tcPr>
          <w:p w14:paraId="0C99A927">
            <w:pPr>
              <w:jc w:val="left"/>
              <w:rPr>
                <w:bCs/>
                <w:szCs w:val="21"/>
              </w:rPr>
            </w:pPr>
            <w:r>
              <w:rPr>
                <w:bCs/>
                <w:szCs w:val="21"/>
              </w:rPr>
              <w:t>人员配置：设置环保部门，配备专职环保人员，并具备相应的环境管理能力</w:t>
            </w:r>
          </w:p>
        </w:tc>
        <w:tc>
          <w:tcPr>
            <w:tcW w:w="1661" w:type="pct"/>
            <w:vAlign w:val="center"/>
          </w:tcPr>
          <w:p w14:paraId="7DFB06BE">
            <w:pPr>
              <w:jc w:val="left"/>
              <w:rPr>
                <w:bCs/>
                <w:szCs w:val="21"/>
              </w:rPr>
            </w:pPr>
            <w:r>
              <w:rPr>
                <w:bCs/>
                <w:szCs w:val="21"/>
              </w:rPr>
              <w:t>有工程设置有环保部门，配备有专职环保人员，并具备相应的环境管理能力；本项目整合后将延续现有的环保部门和环保人员，具备相应的环境管理能力</w:t>
            </w:r>
          </w:p>
        </w:tc>
        <w:tc>
          <w:tcPr>
            <w:tcW w:w="340" w:type="pct"/>
            <w:vAlign w:val="center"/>
          </w:tcPr>
          <w:p w14:paraId="223EB577">
            <w:pPr>
              <w:adjustRightInd w:val="0"/>
              <w:snapToGrid w:val="0"/>
              <w:jc w:val="center"/>
              <w:rPr>
                <w:bCs/>
                <w:szCs w:val="21"/>
              </w:rPr>
            </w:pPr>
            <w:r>
              <w:rPr>
                <w:bCs/>
                <w:kern w:val="0"/>
                <w:szCs w:val="21"/>
              </w:rPr>
              <w:t>A级相符</w:t>
            </w:r>
          </w:p>
        </w:tc>
      </w:tr>
      <w:tr w14:paraId="37E68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Align w:val="center"/>
          </w:tcPr>
          <w:p w14:paraId="39072283">
            <w:pPr>
              <w:adjustRightInd w:val="0"/>
              <w:snapToGrid w:val="0"/>
              <w:jc w:val="center"/>
              <w:rPr>
                <w:bCs/>
                <w:kern w:val="0"/>
                <w:szCs w:val="21"/>
              </w:rPr>
            </w:pPr>
            <w:r>
              <w:rPr>
                <w:bCs/>
                <w:kern w:val="0"/>
                <w:szCs w:val="21"/>
              </w:rPr>
              <w:t>运输方式</w:t>
            </w:r>
          </w:p>
        </w:tc>
        <w:tc>
          <w:tcPr>
            <w:tcW w:w="2421" w:type="pct"/>
            <w:vAlign w:val="center"/>
          </w:tcPr>
          <w:p w14:paraId="1209EE53">
            <w:pPr>
              <w:rPr>
                <w:bCs/>
                <w:szCs w:val="21"/>
              </w:rPr>
            </w:pPr>
            <w:r>
              <w:rPr>
                <w:bCs/>
                <w:szCs w:val="21"/>
              </w:rPr>
              <w:t>1、物料公路运输全部使用达到国五及以上排放标准重型载货车辆(含燃气)或新能源车辆；</w:t>
            </w:r>
          </w:p>
          <w:p w14:paraId="2208B2A8">
            <w:pPr>
              <w:rPr>
                <w:bCs/>
                <w:szCs w:val="21"/>
              </w:rPr>
            </w:pPr>
            <w:r>
              <w:rPr>
                <w:bCs/>
                <w:szCs w:val="21"/>
              </w:rPr>
              <w:t>2、厂内运输车辆全部达到国五及以上排放标准(含燃气)或使用新能源车辆；</w:t>
            </w:r>
          </w:p>
          <w:p w14:paraId="5DB71A69">
            <w:pPr>
              <w:rPr>
                <w:bCs/>
                <w:szCs w:val="21"/>
              </w:rPr>
            </w:pPr>
            <w:r>
              <w:rPr>
                <w:bCs/>
                <w:szCs w:val="21"/>
              </w:rPr>
              <w:t>3、厂内非道路移动机械全部达到国三及以上排放标准或使用新能源机械</w:t>
            </w:r>
          </w:p>
        </w:tc>
        <w:tc>
          <w:tcPr>
            <w:tcW w:w="1661" w:type="pct"/>
            <w:vAlign w:val="center"/>
          </w:tcPr>
          <w:p w14:paraId="4476A5F7">
            <w:pPr>
              <w:rPr>
                <w:bCs/>
                <w:szCs w:val="21"/>
              </w:rPr>
            </w:pPr>
            <w:r>
              <w:rPr>
                <w:bCs/>
                <w:szCs w:val="21"/>
              </w:rPr>
              <w:t>1、本项目原料、成品砖等公路运输全部采用国五及以上排放标准重型载货车辆(含燃气)或新能源车辆；</w:t>
            </w:r>
          </w:p>
          <w:p w14:paraId="3EA3557D">
            <w:pPr>
              <w:widowControl/>
              <w:adjustRightInd w:val="0"/>
              <w:snapToGrid w:val="0"/>
              <w:jc w:val="left"/>
              <w:rPr>
                <w:bCs/>
                <w:szCs w:val="21"/>
              </w:rPr>
            </w:pPr>
            <w:r>
              <w:rPr>
                <w:bCs/>
                <w:szCs w:val="21"/>
              </w:rPr>
              <w:t>2、本项目不涉及厂内运输车辆；</w:t>
            </w:r>
          </w:p>
          <w:p w14:paraId="2477E006">
            <w:pPr>
              <w:widowControl/>
              <w:adjustRightInd w:val="0"/>
              <w:snapToGrid w:val="0"/>
              <w:jc w:val="left"/>
              <w:rPr>
                <w:szCs w:val="21"/>
              </w:rPr>
            </w:pPr>
            <w:r>
              <w:rPr>
                <w:bCs/>
                <w:szCs w:val="21"/>
              </w:rPr>
              <w:t>3、本项目厂区内非道路移动机械采用国三及以上排放标准或使用新能源机械。</w:t>
            </w:r>
          </w:p>
        </w:tc>
        <w:tc>
          <w:tcPr>
            <w:tcW w:w="340" w:type="pct"/>
            <w:vAlign w:val="center"/>
          </w:tcPr>
          <w:p w14:paraId="25DA045F">
            <w:pPr>
              <w:widowControl/>
              <w:adjustRightInd w:val="0"/>
              <w:snapToGrid w:val="0"/>
              <w:jc w:val="center"/>
              <w:rPr>
                <w:bCs/>
                <w:szCs w:val="21"/>
              </w:rPr>
            </w:pPr>
            <w:r>
              <w:rPr>
                <w:bCs/>
                <w:kern w:val="0"/>
                <w:szCs w:val="21"/>
              </w:rPr>
              <w:t>A级相符</w:t>
            </w:r>
          </w:p>
        </w:tc>
      </w:tr>
      <w:tr w14:paraId="4DD43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Align w:val="center"/>
          </w:tcPr>
          <w:p w14:paraId="20F7C026">
            <w:pPr>
              <w:adjustRightInd w:val="0"/>
              <w:snapToGrid w:val="0"/>
              <w:jc w:val="center"/>
              <w:rPr>
                <w:bCs/>
                <w:kern w:val="0"/>
                <w:szCs w:val="21"/>
              </w:rPr>
            </w:pPr>
            <w:r>
              <w:rPr>
                <w:bCs/>
                <w:kern w:val="0"/>
                <w:szCs w:val="21"/>
              </w:rPr>
              <w:t>运输监管</w:t>
            </w:r>
          </w:p>
        </w:tc>
        <w:tc>
          <w:tcPr>
            <w:tcW w:w="2421" w:type="pct"/>
            <w:vAlign w:val="center"/>
          </w:tcPr>
          <w:p w14:paraId="5B9328E0">
            <w:pPr>
              <w:widowControl/>
              <w:autoSpaceDE w:val="0"/>
              <w:autoSpaceDN w:val="0"/>
              <w:adjustRightInd w:val="0"/>
              <w:snapToGrid w:val="0"/>
              <w:jc w:val="left"/>
              <w:rPr>
                <w:bCs/>
                <w:szCs w:val="21"/>
              </w:rPr>
            </w:pPr>
            <w:r>
              <w:rPr>
                <w:bCs/>
                <w:szCs w:val="21"/>
              </w:rPr>
              <w:t>参照《重污染天气重点行业移动源应急管理技术指南》建立门禁系统和电子台账</w:t>
            </w:r>
          </w:p>
        </w:tc>
        <w:tc>
          <w:tcPr>
            <w:tcW w:w="1661" w:type="pct"/>
            <w:vAlign w:val="center"/>
          </w:tcPr>
          <w:p w14:paraId="3794069F">
            <w:pPr>
              <w:adjustRightInd w:val="0"/>
              <w:snapToGrid w:val="0"/>
              <w:jc w:val="left"/>
              <w:rPr>
                <w:bCs/>
                <w:kern w:val="0"/>
                <w:szCs w:val="21"/>
              </w:rPr>
            </w:pPr>
            <w:r>
              <w:rPr>
                <w:bCs/>
                <w:szCs w:val="21"/>
              </w:rPr>
              <w:t>现有工程已建立门禁系统和电子台账，</w:t>
            </w:r>
            <w:r>
              <w:t>本项目整合升级技改后纳入电子台账管理</w:t>
            </w:r>
          </w:p>
        </w:tc>
        <w:tc>
          <w:tcPr>
            <w:tcW w:w="340" w:type="pct"/>
            <w:vAlign w:val="center"/>
          </w:tcPr>
          <w:p w14:paraId="44CED528">
            <w:pPr>
              <w:adjustRightInd w:val="0"/>
              <w:snapToGrid w:val="0"/>
              <w:jc w:val="center"/>
              <w:rPr>
                <w:bCs/>
                <w:kern w:val="0"/>
                <w:szCs w:val="21"/>
              </w:rPr>
            </w:pPr>
            <w:r>
              <w:rPr>
                <w:bCs/>
                <w:kern w:val="0"/>
                <w:szCs w:val="21"/>
              </w:rPr>
              <w:t>A级相符</w:t>
            </w:r>
          </w:p>
        </w:tc>
      </w:tr>
      <w:tr w14:paraId="6612E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629E1830">
            <w:pPr>
              <w:widowControl/>
              <w:autoSpaceDE w:val="0"/>
              <w:autoSpaceDN w:val="0"/>
              <w:adjustRightInd w:val="0"/>
              <w:snapToGrid w:val="0"/>
              <w:spacing w:line="480" w:lineRule="exact"/>
              <w:ind w:firstLine="480" w:firstLineChars="200"/>
              <w:jc w:val="left"/>
              <w:rPr>
                <w:bCs/>
                <w:kern w:val="0"/>
                <w:sz w:val="24"/>
              </w:rPr>
            </w:pPr>
            <w:r>
              <w:rPr>
                <w:bCs/>
                <w:kern w:val="0"/>
                <w:sz w:val="24"/>
              </w:rPr>
              <w:t>综上可知，本项目按要求落实相应措施后，可以满足</w:t>
            </w:r>
            <w:r>
              <w:rPr>
                <w:sz w:val="24"/>
              </w:rPr>
              <w:t>《重污染天气重点行业应急减排措施制定技术指南(2020年修订版)》的函（环办大气函[2020]340号）中的</w:t>
            </w:r>
            <w:r>
              <w:rPr>
                <w:bCs/>
                <w:sz w:val="24"/>
              </w:rPr>
              <w:t>A级企业指标要求。</w:t>
            </w:r>
          </w:p>
        </w:tc>
      </w:tr>
    </w:tbl>
    <w:p w14:paraId="7DC833B0">
      <w:pPr>
        <w:pStyle w:val="32"/>
        <w:outlineLvl w:val="0"/>
        <w:rPr>
          <w:rFonts w:ascii="Times New Roman" w:hAnsi="Times New Roman" w:eastAsia="黑体"/>
          <w:snapToGrid w:val="0"/>
          <w:color w:val="EE0000"/>
          <w:sz w:val="30"/>
          <w:szCs w:val="30"/>
        </w:rPr>
        <w:sectPr>
          <w:footerReference r:id="rId6" w:type="default"/>
          <w:pgSz w:w="16838" w:h="11906" w:orient="landscape"/>
          <w:pgMar w:top="1531" w:right="1701" w:bottom="1531" w:left="1701" w:header="851" w:footer="851" w:gutter="0"/>
          <w:cols w:space="720" w:num="1"/>
          <w:docGrid w:linePitch="312" w:charSpace="0"/>
        </w:sectPr>
      </w:pPr>
    </w:p>
    <w:p w14:paraId="4BCA4B8B">
      <w:pPr>
        <w:pStyle w:val="32"/>
        <w:jc w:val="center"/>
        <w:outlineLvl w:val="0"/>
        <w:rPr>
          <w:rFonts w:ascii="Times New Roman" w:hAnsi="Times New Roman" w:eastAsia="黑体"/>
          <w:snapToGrid w:val="0"/>
          <w:sz w:val="30"/>
          <w:szCs w:val="30"/>
        </w:rPr>
      </w:pPr>
      <w:bookmarkStart w:id="8" w:name="_Toc217711381"/>
      <w:r>
        <w:rPr>
          <w:rFonts w:ascii="Times New Roman" w:hAnsi="Times New Roman" w:eastAsia="黑体"/>
          <w:snapToGrid w:val="0"/>
          <w:sz w:val="30"/>
          <w:szCs w:val="30"/>
        </w:rPr>
        <w:t>二、建设项目工程分析</w:t>
      </w:r>
      <w:bookmarkEnd w:id="8"/>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8"/>
        <w:gridCol w:w="8682"/>
      </w:tblGrid>
      <w:tr w14:paraId="61F99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00" w:type="dxa"/>
            <w:vAlign w:val="center"/>
          </w:tcPr>
          <w:p w14:paraId="2AC0F6B4">
            <w:pPr>
              <w:pStyle w:val="32"/>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建设内容</w:t>
            </w:r>
          </w:p>
        </w:tc>
        <w:tc>
          <w:tcPr>
            <w:tcW w:w="8525" w:type="dxa"/>
          </w:tcPr>
          <w:p w14:paraId="47C51DC0">
            <w:pPr>
              <w:autoSpaceDE w:val="0"/>
              <w:autoSpaceDN w:val="0"/>
              <w:adjustRightInd w:val="0"/>
              <w:snapToGrid w:val="0"/>
              <w:spacing w:line="520" w:lineRule="exact"/>
              <w:rPr>
                <w:rFonts w:eastAsia="黑体"/>
                <w:sz w:val="24"/>
              </w:rPr>
            </w:pPr>
            <w:r>
              <w:rPr>
                <w:rFonts w:eastAsia="黑体"/>
                <w:sz w:val="24"/>
              </w:rPr>
              <w:t>1、项目由来</w:t>
            </w:r>
          </w:p>
          <w:p w14:paraId="773D8623">
            <w:pPr>
              <w:pStyle w:val="189"/>
              <w:adjustRightInd w:val="0"/>
              <w:snapToGrid w:val="0"/>
              <w:spacing w:before="0" w:after="0"/>
              <w:rPr>
                <w:rFonts w:ascii="Times New Roman" w:hAnsi="Times New Roman"/>
                <w:kern w:val="2"/>
              </w:rPr>
            </w:pPr>
            <w:r>
              <w:rPr>
                <w:rFonts w:ascii="Times New Roman" w:hAnsi="Times New Roman"/>
                <w:kern w:val="2"/>
              </w:rPr>
              <w:t>宝丰县六和新型建材有限公司于2008年5月在宝丰县李庄乡徐庄村建设年产6000万块煤矸石烧结砖项目，原平顶山市环境保护局以[平环监表(2008)38号]批复了该项目环境影响报告表，2015年3月5日经原平顶山市环境保护局批复试生产(平环建试行许字[2015]第19号)，2016年6月7日，项目竣工环境保护验收取得宝丰县环境保护局批复（宝环建验[2016]07号），企业排污许可证编号91410421680793656G001V。</w:t>
            </w:r>
          </w:p>
          <w:p w14:paraId="7A2FCAA2">
            <w:pPr>
              <w:pStyle w:val="189"/>
              <w:adjustRightInd w:val="0"/>
              <w:snapToGrid w:val="0"/>
              <w:spacing w:before="0" w:after="0"/>
              <w:rPr>
                <w:rFonts w:ascii="Times New Roman" w:hAnsi="Times New Roman"/>
                <w:kern w:val="2"/>
              </w:rPr>
            </w:pPr>
            <w:r>
              <w:rPr>
                <w:rFonts w:ascii="Times New Roman" w:hAnsi="Times New Roman"/>
                <w:kern w:val="2"/>
              </w:rPr>
              <w:t>宝丰县三兴新型建材有限公司于2007年1月在宝丰县闹店镇闹店村建设年产12000万标块煤矸石烧结砖项目（一期建设年产6000万标块煤矸石烧结砖），原平顶山市环境保护局以[平环监表(2007)35号]批复了该项目环境影响报告表。项目实际建设年产6000万标块煤矸石烧结多孔砖生产线，2008年6月17日，宝丰县三兴新型建材有限公司年产6000万标块煤矸石烧结多孔砖项目竣工环境保护验收取得平顶山市环境保护局验收意见（平环建验[2008]06号）。</w:t>
            </w:r>
          </w:p>
          <w:p w14:paraId="3F26AC53">
            <w:pPr>
              <w:pStyle w:val="189"/>
              <w:adjustRightInd w:val="0"/>
              <w:snapToGrid w:val="0"/>
              <w:spacing w:before="0" w:after="0"/>
              <w:rPr>
                <w:rFonts w:ascii="Times New Roman" w:hAnsi="Times New Roman"/>
                <w:kern w:val="2"/>
              </w:rPr>
            </w:pPr>
            <w:r>
              <w:rPr>
                <w:rFonts w:ascii="Times New Roman" w:hAnsi="Times New Roman"/>
                <w:kern w:val="2"/>
              </w:rPr>
              <w:t>2023年9月，宝丰县三兴新型建材有限公司对年产6000万标块煤矸石烧结多孔砖生产线进行改造，主要改造内容为对干燥窑、隧道窑进行改造；对制砖系统、码坯系统等设备进行升级；对隧道窑烟气治理设施进行大修；利用城市污水处理厂污泥代替部分煤矸石做为原料制砖。原宝丰县环境保护局以[平宝环审[2026]第26号]批复了该项目环境影响报告表。</w:t>
            </w:r>
            <w:r>
              <w:rPr>
                <w:rFonts w:ascii="Times New Roman" w:hAnsi="Times New Roman"/>
                <w:color w:val="EE0000"/>
                <w:kern w:val="2"/>
                <w:u w:val="single"/>
              </w:rPr>
              <w:t>经调查，由于市场原因，该项目环评批复后的2024~2025年，三兴建材正常运行时段较少，该项目未实施完成，未开展竣工环境保护验收工作。</w:t>
            </w:r>
            <w:r>
              <w:rPr>
                <w:rFonts w:ascii="Times New Roman" w:hAnsi="Times New Roman"/>
                <w:color w:val="FF0000"/>
                <w:kern w:val="2"/>
                <w:u w:val="single"/>
              </w:rPr>
              <w:t>由于三兴建材和六和建材重组改造后全厂生产规模变为年产1.2亿块，该项目已发生重大变动，本次整合升级技改项目重新报批环评，不再详细介绍该项目情况。</w:t>
            </w:r>
          </w:p>
          <w:p w14:paraId="3331A040">
            <w:pPr>
              <w:pStyle w:val="189"/>
              <w:adjustRightInd w:val="0"/>
              <w:snapToGrid w:val="0"/>
              <w:spacing w:before="0" w:after="0"/>
              <w:rPr>
                <w:rFonts w:ascii="Times New Roman" w:hAnsi="Times New Roman"/>
                <w:kern w:val="2"/>
              </w:rPr>
            </w:pPr>
            <w:r>
              <w:rPr>
                <w:rFonts w:ascii="Times New Roman" w:hAnsi="Times New Roman"/>
                <w:kern w:val="2"/>
              </w:rPr>
              <w:t>宝丰县三兴新型建材有限公司排污许可证编号91410421680793656G001V，目前为烧结砖瓦制品企业环保绩效分级B级企业。</w:t>
            </w:r>
          </w:p>
          <w:p w14:paraId="0ED38334">
            <w:pPr>
              <w:adjustRightInd w:val="0"/>
              <w:snapToGrid w:val="0"/>
              <w:spacing w:line="520" w:lineRule="exact"/>
              <w:ind w:firstLine="480" w:firstLineChars="200"/>
              <w:rPr>
                <w:bCs/>
                <w:color w:val="EE0000"/>
                <w:sz w:val="24"/>
              </w:rPr>
            </w:pPr>
            <w:bookmarkStart w:id="9" w:name="_Hlk219453676"/>
            <w:r>
              <w:rPr>
                <w:bCs/>
                <w:sz w:val="24"/>
              </w:rPr>
              <w:t>河南省、平顶山市目前正在大力推进砖瓦窑企业综合治理工作，宝丰三兴新型建材有限公司（三兴建材）和宝丰县六和新型建材有限公司（以下简称“六和建材”）结合自身情况，为了获得长远发展，拟进行合并重组，整合前三兴建材产能为年产煤矸石烧结多孔砖6000万块（折标砖），六和建材产能为年产煤矸石烧结砖6000万块（折标砖），整合后产能为年产煤矸石烧结多孔砖1.2亿块，不新增产能，选址位于三兴建材有限公司院内，建设1条隧道窑生产线（1条烘干窑、1条焙烧窑），单条隧道窑生产能力为年产煤矸石烧结多孔砖1.2亿块（折标砖），同时对厂区内现有环保设施及生产设施进行升级改造，改造完成后可达到烧结砖瓦制品企业环保绩效分级 A 级水平。</w:t>
            </w:r>
          </w:p>
          <w:bookmarkEnd w:id="9"/>
          <w:p w14:paraId="02F27AD5">
            <w:pPr>
              <w:adjustRightInd w:val="0"/>
              <w:snapToGrid w:val="0"/>
              <w:spacing w:line="520" w:lineRule="exact"/>
              <w:ind w:firstLine="480" w:firstLineChars="200"/>
              <w:rPr>
                <w:bCs/>
                <w:sz w:val="24"/>
              </w:rPr>
            </w:pPr>
            <w:r>
              <w:rPr>
                <w:bCs/>
                <w:sz w:val="24"/>
              </w:rPr>
              <w:t>本项目实施整合后，六和建材原厂址的生产设施将永久关停。为确保资产价值并依据项目整合方案，其关停后的主要生产设备及关键辅助设施在原地进行登记造册，并与主要生产厂房一并作为固定资产封存。封存期间，将指定专人负责看护，杜绝任何形式的擅自启用或转移。六和建材原厂址资产的最终处置（包括但不限于报废、转让或拆除）将严格遵循公司未来的统一规划与相关法律法规要求，并依法履行必要的审批或报备程序。</w:t>
            </w:r>
          </w:p>
          <w:p w14:paraId="67D42EC2">
            <w:pPr>
              <w:adjustRightInd w:val="0"/>
              <w:snapToGrid w:val="0"/>
              <w:spacing w:line="520" w:lineRule="exact"/>
              <w:ind w:firstLine="480" w:firstLineChars="200"/>
              <w:rPr>
                <w:bCs/>
                <w:sz w:val="24"/>
              </w:rPr>
            </w:pPr>
            <w:r>
              <w:rPr>
                <w:bCs/>
                <w:sz w:val="24"/>
              </w:rPr>
              <w:t>根据《中华人民共和国环境保护法》、《中华人民共和国环境影响评价法》、《建设项目环境保护管理条例》（国务院第682 号），本项目应进行环境影响评价工作。根据《建设项目环境影响评价分类管理名录（2021 年版）》（部令第16 号），本项目属于“</w:t>
            </w:r>
            <w:r>
              <w:rPr>
                <w:sz w:val="24"/>
              </w:rPr>
              <w:t>56、砖瓦、石材等建筑材料制造303”</w:t>
            </w:r>
            <w:r>
              <w:rPr>
                <w:bCs/>
                <w:sz w:val="24"/>
              </w:rPr>
              <w:t>，应编制环境影响报告表。</w:t>
            </w:r>
          </w:p>
          <w:p w14:paraId="5212AE87">
            <w:pPr>
              <w:autoSpaceDE w:val="0"/>
              <w:autoSpaceDN w:val="0"/>
              <w:adjustRightInd w:val="0"/>
              <w:snapToGrid w:val="0"/>
              <w:spacing w:line="520" w:lineRule="exact"/>
              <w:rPr>
                <w:rFonts w:eastAsia="黑体"/>
                <w:sz w:val="24"/>
              </w:rPr>
            </w:pPr>
            <w:r>
              <w:rPr>
                <w:rFonts w:eastAsia="黑体"/>
                <w:sz w:val="24"/>
              </w:rPr>
              <w:t>2、建设地点及周围环境概况</w:t>
            </w:r>
          </w:p>
          <w:p w14:paraId="31BE5A05">
            <w:pPr>
              <w:adjustRightInd w:val="0"/>
              <w:snapToGrid w:val="0"/>
              <w:spacing w:line="520" w:lineRule="exact"/>
              <w:ind w:firstLine="480" w:firstLineChars="200"/>
              <w:rPr>
                <w:bCs/>
                <w:sz w:val="24"/>
              </w:rPr>
            </w:pPr>
            <w:r>
              <w:rPr>
                <w:bCs/>
                <w:sz w:val="24"/>
              </w:rPr>
              <w:t>项目位于</w:t>
            </w:r>
            <w:r>
              <w:rPr>
                <w:sz w:val="24"/>
              </w:rPr>
              <w:t>平顶山市宝丰县闹店镇闹店村</w:t>
            </w:r>
            <w:r>
              <w:rPr>
                <w:bCs/>
                <w:sz w:val="24"/>
              </w:rPr>
              <w:t>，在原有厂址对现有工程进行整合升级改造，根据现场调查，项目南侧为S329省道，省道以南为临街商铺，东侧、北侧、西侧相邻为农田，西侧隔20m农田为临街商铺，厂区内办公区与东南侧闹店人民法庭相邻。项目地理位置见附图1，周围环境示意图见附图2。</w:t>
            </w:r>
          </w:p>
          <w:p w14:paraId="6E9037A6">
            <w:pPr>
              <w:autoSpaceDE w:val="0"/>
              <w:autoSpaceDN w:val="0"/>
              <w:adjustRightInd w:val="0"/>
              <w:snapToGrid w:val="0"/>
              <w:spacing w:line="520" w:lineRule="exact"/>
              <w:rPr>
                <w:rFonts w:eastAsia="黑体"/>
                <w:sz w:val="24"/>
              </w:rPr>
            </w:pPr>
            <w:r>
              <w:rPr>
                <w:rFonts w:eastAsia="黑体"/>
                <w:sz w:val="24"/>
              </w:rPr>
              <w:t>3、项目建设内容</w:t>
            </w:r>
          </w:p>
          <w:p w14:paraId="6171FA17">
            <w:pPr>
              <w:adjustRightInd w:val="0"/>
              <w:snapToGrid w:val="0"/>
              <w:spacing w:line="520" w:lineRule="exact"/>
              <w:ind w:firstLine="480" w:firstLineChars="200"/>
              <w:rPr>
                <w:bCs/>
                <w:sz w:val="24"/>
              </w:rPr>
            </w:pPr>
            <w:r>
              <w:rPr>
                <w:bCs/>
                <w:sz w:val="24"/>
              </w:rPr>
              <w:t>本项目由三兴建材和六和建材合并重组而成，合并后产能为年产1.2亿块标砖，不新增产能，选址位于三兴建材院内。项目主要利用三兴建材现有各生产车间、原料库、卸车棚等，厂区主要改造内容如下：</w:t>
            </w:r>
          </w:p>
          <w:p w14:paraId="0E537C6B">
            <w:pPr>
              <w:adjustRightInd w:val="0"/>
              <w:snapToGrid w:val="0"/>
              <w:spacing w:line="520" w:lineRule="exact"/>
              <w:ind w:firstLine="480" w:firstLineChars="200"/>
              <w:rPr>
                <w:bCs/>
                <w:color w:val="EE0000"/>
                <w:sz w:val="24"/>
                <w:u w:val="single"/>
              </w:rPr>
            </w:pPr>
            <w:r>
              <w:rPr>
                <w:bCs/>
                <w:color w:val="EE0000"/>
                <w:sz w:val="24"/>
                <w:u w:val="single"/>
              </w:rPr>
              <w:t>拆除焙烧车间内现有生产能力6000万标砖/年的一条干燥窑（窑长74.5m、内宽6.9m、内高1.3m）、一条焙烧窑（窑长156m，内宽6.9m，内高1.25m），重建生产能力达到12000万标砖/年的一条干燥窑（窑长74.5m、内宽6.9m、内高2.7m）、一条焙烧窑（窑长156m，内宽6.9m，内高2.65m）；</w:t>
            </w:r>
          </w:p>
          <w:p w14:paraId="53076B87">
            <w:pPr>
              <w:adjustRightInd w:val="0"/>
              <w:snapToGrid w:val="0"/>
              <w:spacing w:line="520" w:lineRule="exact"/>
              <w:ind w:firstLine="480" w:firstLineChars="200"/>
              <w:rPr>
                <w:bCs/>
                <w:color w:val="EE0000"/>
                <w:sz w:val="24"/>
                <w:u w:val="single"/>
              </w:rPr>
            </w:pPr>
            <w:r>
              <w:rPr>
                <w:bCs/>
                <w:color w:val="EE0000"/>
                <w:sz w:val="24"/>
                <w:u w:val="single"/>
              </w:rPr>
              <w:t>混料车间内新增一台双级破碎机，拆除现有两台振动筛分机，新增两台处理能力大的滚筒筛分机，使原料制备工序生产能力从6000万标砖/年增至12000万标砖/年；</w:t>
            </w:r>
          </w:p>
          <w:p w14:paraId="2DB3C03C">
            <w:pPr>
              <w:adjustRightInd w:val="0"/>
              <w:snapToGrid w:val="0"/>
              <w:spacing w:line="520" w:lineRule="exact"/>
              <w:ind w:firstLine="480" w:firstLineChars="200"/>
              <w:rPr>
                <w:bCs/>
                <w:sz w:val="24"/>
              </w:rPr>
            </w:pPr>
            <w:r>
              <w:rPr>
                <w:bCs/>
                <w:color w:val="EE0000"/>
                <w:sz w:val="24"/>
                <w:u w:val="single"/>
              </w:rPr>
              <w:t>升级现有窑炉烟气处理设施：增加脱硝设施，拆除现有双碱法脱硫设施，重建一套处理能力大的石灰-石膏法脱硫设施，利用现有一台湿电除尘器，另增加一台相同处理能力的湿电除尘器，使窑炉烟气处理设施满足新建窑炉20万m</w:t>
            </w:r>
            <w:r>
              <w:rPr>
                <w:bCs/>
                <w:color w:val="EE0000"/>
                <w:sz w:val="24"/>
                <w:u w:val="single"/>
                <w:vertAlign w:val="superscript"/>
              </w:rPr>
              <w:t>3</w:t>
            </w:r>
            <w:r>
              <w:rPr>
                <w:bCs/>
                <w:color w:val="EE0000"/>
                <w:sz w:val="24"/>
                <w:u w:val="single"/>
              </w:rPr>
              <w:t>/h烟气量的处理需求</w:t>
            </w:r>
            <w:r>
              <w:rPr>
                <w:bCs/>
                <w:sz w:val="24"/>
              </w:rPr>
              <w:t>。项目主要建设内容见表2-1，重组改造后全厂平面布置见附图4。</w:t>
            </w:r>
          </w:p>
          <w:p w14:paraId="63E28B0C">
            <w:pPr>
              <w:adjustRightInd w:val="0"/>
              <w:snapToGrid w:val="0"/>
              <w:spacing w:line="520" w:lineRule="exact"/>
              <w:jc w:val="center"/>
              <w:rPr>
                <w:rStyle w:val="222"/>
                <w:b/>
                <w:color w:val="auto"/>
              </w:rPr>
            </w:pPr>
            <w:r>
              <w:rPr>
                <w:rFonts w:eastAsia="黑体"/>
                <w:bCs/>
                <w:sz w:val="24"/>
              </w:rPr>
              <w:t>表2-1    项目主要建设内容一览表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35"/>
              <w:gridCol w:w="884"/>
              <w:gridCol w:w="3900"/>
              <w:gridCol w:w="2488"/>
            </w:tblGrid>
            <w:tr w14:paraId="4698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33F24A1D">
                  <w:pPr>
                    <w:adjustRightInd w:val="0"/>
                    <w:snapToGrid w:val="0"/>
                    <w:spacing w:line="320" w:lineRule="exact"/>
                    <w:jc w:val="center"/>
                  </w:pPr>
                  <w:r>
                    <w:t>工程类别</w:t>
                  </w:r>
                </w:p>
              </w:tc>
              <w:tc>
                <w:tcPr>
                  <w:tcW w:w="780" w:type="pct"/>
                  <w:gridSpan w:val="2"/>
                  <w:vAlign w:val="center"/>
                </w:tcPr>
                <w:p w14:paraId="71121A11">
                  <w:pPr>
                    <w:adjustRightInd w:val="0"/>
                    <w:snapToGrid w:val="0"/>
                    <w:spacing w:line="320" w:lineRule="exact"/>
                    <w:jc w:val="center"/>
                  </w:pPr>
                  <w:r>
                    <w:t>工程名称</w:t>
                  </w:r>
                </w:p>
              </w:tc>
              <w:tc>
                <w:tcPr>
                  <w:tcW w:w="2306" w:type="pct"/>
                  <w:vAlign w:val="center"/>
                </w:tcPr>
                <w:p w14:paraId="5E7EEEB7">
                  <w:pPr>
                    <w:adjustRightInd w:val="0"/>
                    <w:snapToGrid w:val="0"/>
                    <w:spacing w:line="320" w:lineRule="exact"/>
                    <w:jc w:val="center"/>
                  </w:pPr>
                  <w:r>
                    <w:t>建设内容</w:t>
                  </w:r>
                </w:p>
              </w:tc>
              <w:tc>
                <w:tcPr>
                  <w:tcW w:w="1471" w:type="pct"/>
                  <w:vAlign w:val="center"/>
                </w:tcPr>
                <w:p w14:paraId="5B12FDAA">
                  <w:pPr>
                    <w:adjustRightInd w:val="0"/>
                    <w:snapToGrid w:val="0"/>
                    <w:spacing w:line="320" w:lineRule="exact"/>
                    <w:jc w:val="center"/>
                  </w:pPr>
                  <w:r>
                    <w:t>备注</w:t>
                  </w:r>
                </w:p>
              </w:tc>
            </w:tr>
            <w:tr w14:paraId="1472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3" w:type="pct"/>
                  <w:vMerge w:val="restart"/>
                  <w:vAlign w:val="center"/>
                </w:tcPr>
                <w:p w14:paraId="714030A0">
                  <w:pPr>
                    <w:adjustRightInd w:val="0"/>
                    <w:snapToGrid w:val="0"/>
                    <w:spacing w:line="320" w:lineRule="exact"/>
                    <w:jc w:val="center"/>
                  </w:pPr>
                  <w:r>
                    <w:t>主体工程</w:t>
                  </w:r>
                </w:p>
              </w:tc>
              <w:tc>
                <w:tcPr>
                  <w:tcW w:w="780" w:type="pct"/>
                  <w:gridSpan w:val="2"/>
                  <w:vAlign w:val="center"/>
                </w:tcPr>
                <w:p w14:paraId="469654E6">
                  <w:pPr>
                    <w:adjustRightInd w:val="0"/>
                    <w:snapToGrid w:val="0"/>
                    <w:spacing w:line="320" w:lineRule="exact"/>
                    <w:jc w:val="center"/>
                  </w:pPr>
                  <w:r>
                    <w:t>破碎车间</w:t>
                  </w:r>
                </w:p>
              </w:tc>
              <w:tc>
                <w:tcPr>
                  <w:tcW w:w="2306" w:type="pct"/>
                  <w:vAlign w:val="center"/>
                </w:tcPr>
                <w:p w14:paraId="1043CF41">
                  <w:pPr>
                    <w:adjustRightInd w:val="0"/>
                    <w:snapToGrid w:val="0"/>
                    <w:spacing w:line="320" w:lineRule="exact"/>
                    <w:jc w:val="center"/>
                  </w:pPr>
                  <w:r>
                    <w:t>1栋1层，钢结构，长40m，宽20m，高8m</w:t>
                  </w:r>
                </w:p>
              </w:tc>
              <w:tc>
                <w:tcPr>
                  <w:tcW w:w="1471" w:type="pct"/>
                  <w:vAlign w:val="center"/>
                </w:tcPr>
                <w:p w14:paraId="72BA43C0">
                  <w:pPr>
                    <w:adjustRightInd w:val="0"/>
                    <w:snapToGrid w:val="0"/>
                    <w:spacing w:line="320" w:lineRule="exact"/>
                    <w:jc w:val="center"/>
                  </w:pPr>
                  <w:r>
                    <w:t>利用现有</w:t>
                  </w:r>
                </w:p>
              </w:tc>
            </w:tr>
            <w:tr w14:paraId="3BC3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43" w:type="pct"/>
                  <w:vMerge w:val="continue"/>
                  <w:vAlign w:val="center"/>
                </w:tcPr>
                <w:p w14:paraId="0C6FBF25">
                  <w:pPr>
                    <w:adjustRightInd w:val="0"/>
                    <w:snapToGrid w:val="0"/>
                    <w:spacing w:line="320" w:lineRule="exact"/>
                    <w:jc w:val="center"/>
                  </w:pPr>
                </w:p>
              </w:tc>
              <w:tc>
                <w:tcPr>
                  <w:tcW w:w="780" w:type="pct"/>
                  <w:gridSpan w:val="2"/>
                  <w:vAlign w:val="center"/>
                </w:tcPr>
                <w:p w14:paraId="36049DF2">
                  <w:pPr>
                    <w:adjustRightInd w:val="0"/>
                    <w:snapToGrid w:val="0"/>
                    <w:spacing w:line="320" w:lineRule="exact"/>
                    <w:jc w:val="center"/>
                  </w:pPr>
                  <w:r>
                    <w:t>混料车间</w:t>
                  </w:r>
                </w:p>
              </w:tc>
              <w:tc>
                <w:tcPr>
                  <w:tcW w:w="2306" w:type="pct"/>
                  <w:vAlign w:val="center"/>
                </w:tcPr>
                <w:p w14:paraId="6A2C2CE5">
                  <w:pPr>
                    <w:adjustRightInd w:val="0"/>
                    <w:snapToGrid w:val="0"/>
                    <w:spacing w:line="320" w:lineRule="exact"/>
                    <w:jc w:val="center"/>
                  </w:pPr>
                  <w:r>
                    <w:t>1栋1层，钢结构，长35m，宽20m，高8m</w:t>
                  </w:r>
                </w:p>
              </w:tc>
              <w:tc>
                <w:tcPr>
                  <w:tcW w:w="1471" w:type="pct"/>
                  <w:vAlign w:val="center"/>
                </w:tcPr>
                <w:p w14:paraId="3FED355A">
                  <w:pPr>
                    <w:adjustRightInd w:val="0"/>
                    <w:snapToGrid w:val="0"/>
                    <w:spacing w:line="320" w:lineRule="exact"/>
                    <w:jc w:val="center"/>
                    <w:rPr>
                      <w:color w:val="EE0000"/>
                      <w:u w:val="single"/>
                    </w:rPr>
                  </w:pPr>
                  <w:r>
                    <w:rPr>
                      <w:color w:val="EE0000"/>
                      <w:u w:val="single"/>
                    </w:rPr>
                    <w:t>利用现有车间增加破碎、筛分设备</w:t>
                  </w:r>
                </w:p>
              </w:tc>
            </w:tr>
            <w:tr w14:paraId="1DA1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3" w:type="pct"/>
                  <w:vMerge w:val="continue"/>
                  <w:vAlign w:val="center"/>
                </w:tcPr>
                <w:p w14:paraId="4CA86271">
                  <w:pPr>
                    <w:adjustRightInd w:val="0"/>
                    <w:snapToGrid w:val="0"/>
                    <w:spacing w:line="320" w:lineRule="exact"/>
                    <w:jc w:val="center"/>
                  </w:pPr>
                </w:p>
              </w:tc>
              <w:tc>
                <w:tcPr>
                  <w:tcW w:w="780" w:type="pct"/>
                  <w:gridSpan w:val="2"/>
                  <w:vAlign w:val="center"/>
                </w:tcPr>
                <w:p w14:paraId="72D575FE">
                  <w:pPr>
                    <w:adjustRightInd w:val="0"/>
                    <w:snapToGrid w:val="0"/>
                    <w:spacing w:line="320" w:lineRule="exact"/>
                    <w:jc w:val="center"/>
                  </w:pPr>
                  <w:r>
                    <w:t>陈化车间</w:t>
                  </w:r>
                </w:p>
              </w:tc>
              <w:tc>
                <w:tcPr>
                  <w:tcW w:w="2306" w:type="pct"/>
                  <w:vAlign w:val="center"/>
                </w:tcPr>
                <w:p w14:paraId="021C9587">
                  <w:pPr>
                    <w:adjustRightInd w:val="0"/>
                    <w:snapToGrid w:val="0"/>
                    <w:spacing w:line="320" w:lineRule="exact"/>
                    <w:jc w:val="center"/>
                  </w:pPr>
                  <w:r>
                    <w:t>1栋1层，钢结构，长66m，宽20m，高10m</w:t>
                  </w:r>
                </w:p>
              </w:tc>
              <w:tc>
                <w:tcPr>
                  <w:tcW w:w="1471" w:type="pct"/>
                  <w:vAlign w:val="center"/>
                </w:tcPr>
                <w:p w14:paraId="39436F87">
                  <w:pPr>
                    <w:adjustRightInd w:val="0"/>
                    <w:snapToGrid w:val="0"/>
                    <w:spacing w:line="320" w:lineRule="exact"/>
                    <w:jc w:val="center"/>
                  </w:pPr>
                  <w:r>
                    <w:t>利用现有</w:t>
                  </w:r>
                </w:p>
              </w:tc>
            </w:tr>
            <w:tr w14:paraId="3234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3" w:type="pct"/>
                  <w:vMerge w:val="continue"/>
                  <w:vAlign w:val="center"/>
                </w:tcPr>
                <w:p w14:paraId="448D0DA2">
                  <w:pPr>
                    <w:adjustRightInd w:val="0"/>
                    <w:snapToGrid w:val="0"/>
                    <w:spacing w:line="320" w:lineRule="exact"/>
                    <w:jc w:val="center"/>
                  </w:pPr>
                </w:p>
              </w:tc>
              <w:tc>
                <w:tcPr>
                  <w:tcW w:w="780" w:type="pct"/>
                  <w:gridSpan w:val="2"/>
                  <w:vAlign w:val="center"/>
                </w:tcPr>
                <w:p w14:paraId="7250CED3">
                  <w:pPr>
                    <w:adjustRightInd w:val="0"/>
                    <w:snapToGrid w:val="0"/>
                    <w:spacing w:line="320" w:lineRule="exact"/>
                    <w:jc w:val="center"/>
                  </w:pPr>
                  <w:r>
                    <w:t>成型车间</w:t>
                  </w:r>
                </w:p>
              </w:tc>
              <w:tc>
                <w:tcPr>
                  <w:tcW w:w="2306" w:type="pct"/>
                  <w:vAlign w:val="center"/>
                </w:tcPr>
                <w:p w14:paraId="211B5FBA">
                  <w:pPr>
                    <w:adjustRightInd w:val="0"/>
                    <w:snapToGrid w:val="0"/>
                    <w:spacing w:line="320" w:lineRule="exact"/>
                    <w:jc w:val="center"/>
                  </w:pPr>
                  <w:r>
                    <w:t>1栋1层，钢结构，长40m，宽20m，高8m</w:t>
                  </w:r>
                </w:p>
              </w:tc>
              <w:tc>
                <w:tcPr>
                  <w:tcW w:w="1471" w:type="pct"/>
                  <w:vAlign w:val="center"/>
                </w:tcPr>
                <w:p w14:paraId="6E8620FB">
                  <w:pPr>
                    <w:adjustRightInd w:val="0"/>
                    <w:snapToGrid w:val="0"/>
                    <w:spacing w:line="320" w:lineRule="exact"/>
                    <w:jc w:val="center"/>
                  </w:pPr>
                  <w:r>
                    <w:t>利用现有</w:t>
                  </w:r>
                </w:p>
              </w:tc>
            </w:tr>
            <w:tr w14:paraId="7B6D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43" w:type="pct"/>
                  <w:vMerge w:val="continue"/>
                  <w:vAlign w:val="center"/>
                </w:tcPr>
                <w:p w14:paraId="16803688">
                  <w:pPr>
                    <w:adjustRightInd w:val="0"/>
                    <w:snapToGrid w:val="0"/>
                    <w:spacing w:line="320" w:lineRule="exact"/>
                    <w:jc w:val="center"/>
                  </w:pPr>
                </w:p>
              </w:tc>
              <w:tc>
                <w:tcPr>
                  <w:tcW w:w="780" w:type="pct"/>
                  <w:gridSpan w:val="2"/>
                  <w:vAlign w:val="center"/>
                </w:tcPr>
                <w:p w14:paraId="4FB8AC96">
                  <w:pPr>
                    <w:adjustRightInd w:val="0"/>
                    <w:snapToGrid w:val="0"/>
                    <w:spacing w:line="320" w:lineRule="exact"/>
                    <w:jc w:val="center"/>
                  </w:pPr>
                  <w:r>
                    <w:t>焙烧车间</w:t>
                  </w:r>
                </w:p>
              </w:tc>
              <w:tc>
                <w:tcPr>
                  <w:tcW w:w="2306" w:type="pct"/>
                  <w:vAlign w:val="center"/>
                </w:tcPr>
                <w:p w14:paraId="7AC1E4A2">
                  <w:pPr>
                    <w:adjustRightInd w:val="0"/>
                    <w:snapToGrid w:val="0"/>
                    <w:spacing w:line="320" w:lineRule="exact"/>
                    <w:jc w:val="center"/>
                  </w:pPr>
                  <w:r>
                    <w:t>1栋1层，钢结构，长180m，宽24m，高8m</w:t>
                  </w:r>
                </w:p>
              </w:tc>
              <w:tc>
                <w:tcPr>
                  <w:tcW w:w="1471" w:type="pct"/>
                  <w:vAlign w:val="center"/>
                </w:tcPr>
                <w:p w14:paraId="27D68919">
                  <w:pPr>
                    <w:adjustRightInd w:val="0"/>
                    <w:snapToGrid w:val="0"/>
                    <w:spacing w:line="320" w:lineRule="exact"/>
                    <w:jc w:val="center"/>
                    <w:rPr>
                      <w:color w:val="EE0000"/>
                      <w:u w:val="single"/>
                    </w:rPr>
                  </w:pPr>
                  <w:r>
                    <w:rPr>
                      <w:color w:val="EE0000"/>
                      <w:u w:val="single"/>
                    </w:rPr>
                    <w:t>利用现有车间，拆除现有干燥窑、焙烧窑，重建一条干燥窑、一条焙烧窑</w:t>
                  </w:r>
                </w:p>
              </w:tc>
            </w:tr>
            <w:tr w14:paraId="11FE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6F13020C">
                  <w:pPr>
                    <w:adjustRightInd w:val="0"/>
                    <w:snapToGrid w:val="0"/>
                    <w:spacing w:line="320" w:lineRule="exact"/>
                    <w:jc w:val="center"/>
                  </w:pPr>
                </w:p>
              </w:tc>
              <w:tc>
                <w:tcPr>
                  <w:tcW w:w="780" w:type="pct"/>
                  <w:gridSpan w:val="2"/>
                  <w:vAlign w:val="center"/>
                </w:tcPr>
                <w:p w14:paraId="474287AF">
                  <w:pPr>
                    <w:adjustRightInd w:val="0"/>
                    <w:snapToGrid w:val="0"/>
                    <w:spacing w:line="320" w:lineRule="exact"/>
                    <w:jc w:val="center"/>
                  </w:pPr>
                  <w:r>
                    <w:t>卸车棚</w:t>
                  </w:r>
                </w:p>
              </w:tc>
              <w:tc>
                <w:tcPr>
                  <w:tcW w:w="2306" w:type="pct"/>
                  <w:vAlign w:val="center"/>
                </w:tcPr>
                <w:p w14:paraId="5E5C3231">
                  <w:pPr>
                    <w:adjustRightInd w:val="0"/>
                    <w:snapToGrid w:val="0"/>
                    <w:spacing w:line="320" w:lineRule="exact"/>
                    <w:jc w:val="center"/>
                  </w:pPr>
                  <w:r>
                    <w:t>1栋1层，钢结构，长90m，宽40m，高12m</w:t>
                  </w:r>
                </w:p>
              </w:tc>
              <w:tc>
                <w:tcPr>
                  <w:tcW w:w="1471" w:type="pct"/>
                  <w:vAlign w:val="center"/>
                </w:tcPr>
                <w:p w14:paraId="70A941B0">
                  <w:pPr>
                    <w:adjustRightInd w:val="0"/>
                    <w:snapToGrid w:val="0"/>
                    <w:spacing w:line="320" w:lineRule="exact"/>
                    <w:jc w:val="center"/>
                  </w:pPr>
                  <w:r>
                    <w:t>利用现有</w:t>
                  </w:r>
                </w:p>
              </w:tc>
            </w:tr>
            <w:tr w14:paraId="1E7A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restart"/>
                  <w:vAlign w:val="center"/>
                </w:tcPr>
                <w:p w14:paraId="6A4FE33C">
                  <w:pPr>
                    <w:adjustRightInd w:val="0"/>
                    <w:snapToGrid w:val="0"/>
                    <w:spacing w:line="320" w:lineRule="exact"/>
                    <w:jc w:val="center"/>
                  </w:pPr>
                  <w:r>
                    <w:t>储运工程</w:t>
                  </w:r>
                </w:p>
              </w:tc>
              <w:tc>
                <w:tcPr>
                  <w:tcW w:w="780" w:type="pct"/>
                  <w:gridSpan w:val="2"/>
                  <w:vAlign w:val="center"/>
                </w:tcPr>
                <w:p w14:paraId="15CD5934">
                  <w:pPr>
                    <w:adjustRightInd w:val="0"/>
                    <w:snapToGrid w:val="0"/>
                    <w:spacing w:line="320" w:lineRule="exact"/>
                    <w:jc w:val="center"/>
                  </w:pPr>
                  <w:r>
                    <w:t>原料库</w:t>
                  </w:r>
                </w:p>
              </w:tc>
              <w:tc>
                <w:tcPr>
                  <w:tcW w:w="2306" w:type="pct"/>
                  <w:vAlign w:val="center"/>
                </w:tcPr>
                <w:p w14:paraId="01E3E2A8">
                  <w:pPr>
                    <w:adjustRightInd w:val="0"/>
                    <w:snapToGrid w:val="0"/>
                    <w:spacing w:line="320" w:lineRule="exact"/>
                    <w:jc w:val="center"/>
                  </w:pPr>
                  <w:r>
                    <w:t>1栋1层，钢结构，长60m，宽35m，高12m，内设1座20m×20m×5m的污泥库</w:t>
                  </w:r>
                </w:p>
              </w:tc>
              <w:tc>
                <w:tcPr>
                  <w:tcW w:w="1471" w:type="pct"/>
                  <w:vAlign w:val="center"/>
                </w:tcPr>
                <w:p w14:paraId="3531517D">
                  <w:pPr>
                    <w:adjustRightInd w:val="0"/>
                    <w:snapToGrid w:val="0"/>
                    <w:spacing w:line="320" w:lineRule="exact"/>
                    <w:jc w:val="center"/>
                  </w:pPr>
                  <w:r>
                    <w:t>利用现有</w:t>
                  </w:r>
                </w:p>
              </w:tc>
            </w:tr>
            <w:tr w14:paraId="6454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43" w:type="pct"/>
                  <w:vMerge w:val="continue"/>
                  <w:vAlign w:val="center"/>
                </w:tcPr>
                <w:p w14:paraId="6E004960">
                  <w:pPr>
                    <w:adjustRightInd w:val="0"/>
                    <w:snapToGrid w:val="0"/>
                    <w:spacing w:line="320" w:lineRule="exact"/>
                    <w:jc w:val="center"/>
                  </w:pPr>
                </w:p>
              </w:tc>
              <w:tc>
                <w:tcPr>
                  <w:tcW w:w="780" w:type="pct"/>
                  <w:gridSpan w:val="2"/>
                  <w:vAlign w:val="center"/>
                </w:tcPr>
                <w:p w14:paraId="1C0BCCCE">
                  <w:pPr>
                    <w:adjustRightInd w:val="0"/>
                    <w:snapToGrid w:val="0"/>
                    <w:spacing w:line="320" w:lineRule="exact"/>
                    <w:jc w:val="center"/>
                  </w:pPr>
                  <w:r>
                    <w:t>产品堆场</w:t>
                  </w:r>
                </w:p>
              </w:tc>
              <w:tc>
                <w:tcPr>
                  <w:tcW w:w="2306" w:type="pct"/>
                  <w:vAlign w:val="center"/>
                </w:tcPr>
                <w:p w14:paraId="0BBCC817">
                  <w:pPr>
                    <w:adjustRightInd w:val="0"/>
                    <w:snapToGrid w:val="0"/>
                    <w:spacing w:line="320" w:lineRule="exact"/>
                    <w:jc w:val="center"/>
                    <w:rPr>
                      <w:vertAlign w:val="superscript"/>
                    </w:rPr>
                  </w:pPr>
                  <w:r>
                    <w:t>长240m，宽90m，占地面积21600m</w:t>
                  </w:r>
                  <w:r>
                    <w:rPr>
                      <w:vertAlign w:val="superscript"/>
                    </w:rPr>
                    <w:t>2</w:t>
                  </w:r>
                </w:p>
              </w:tc>
              <w:tc>
                <w:tcPr>
                  <w:tcW w:w="1471" w:type="pct"/>
                  <w:vAlign w:val="center"/>
                </w:tcPr>
                <w:p w14:paraId="3DDD6955">
                  <w:pPr>
                    <w:adjustRightInd w:val="0"/>
                    <w:snapToGrid w:val="0"/>
                    <w:spacing w:line="320" w:lineRule="exact"/>
                    <w:jc w:val="center"/>
                    <w:rPr>
                      <w:color w:val="EE0000"/>
                      <w:u w:val="single"/>
                    </w:rPr>
                  </w:pPr>
                  <w:r>
                    <w:rPr>
                      <w:color w:val="EE0000"/>
                      <w:u w:val="single"/>
                    </w:rPr>
                    <w:t>利用现有10800m</w:t>
                  </w:r>
                  <w:r>
                    <w:rPr>
                      <w:color w:val="EE0000"/>
                      <w:u w:val="single"/>
                      <w:vertAlign w:val="superscript"/>
                    </w:rPr>
                    <w:t>2</w:t>
                  </w:r>
                  <w:r>
                    <w:rPr>
                      <w:color w:val="EE0000"/>
                      <w:u w:val="single"/>
                    </w:rPr>
                    <w:t>堆场，新增10800m</w:t>
                  </w:r>
                  <w:r>
                    <w:rPr>
                      <w:color w:val="EE0000"/>
                      <w:u w:val="single"/>
                      <w:vertAlign w:val="superscript"/>
                    </w:rPr>
                    <w:t>2</w:t>
                  </w:r>
                  <w:r>
                    <w:rPr>
                      <w:color w:val="EE0000"/>
                      <w:u w:val="single"/>
                    </w:rPr>
                    <w:t>堆场面积</w:t>
                  </w:r>
                </w:p>
              </w:tc>
            </w:tr>
            <w:tr w14:paraId="5ED5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restart"/>
                  <w:vAlign w:val="center"/>
                </w:tcPr>
                <w:p w14:paraId="25F8C414">
                  <w:pPr>
                    <w:adjustRightInd w:val="0"/>
                    <w:snapToGrid w:val="0"/>
                    <w:spacing w:line="320" w:lineRule="exact"/>
                    <w:jc w:val="center"/>
                  </w:pPr>
                  <w:r>
                    <w:t>配套工程</w:t>
                  </w:r>
                </w:p>
              </w:tc>
              <w:tc>
                <w:tcPr>
                  <w:tcW w:w="780" w:type="pct"/>
                  <w:gridSpan w:val="2"/>
                  <w:vAlign w:val="center"/>
                </w:tcPr>
                <w:p w14:paraId="5386E8EA">
                  <w:pPr>
                    <w:adjustRightInd w:val="0"/>
                    <w:snapToGrid w:val="0"/>
                    <w:spacing w:line="320" w:lineRule="exact"/>
                    <w:jc w:val="center"/>
                  </w:pPr>
                  <w:r>
                    <w:t>办公楼</w:t>
                  </w:r>
                </w:p>
              </w:tc>
              <w:tc>
                <w:tcPr>
                  <w:tcW w:w="2306" w:type="pct"/>
                  <w:vAlign w:val="center"/>
                </w:tcPr>
                <w:p w14:paraId="79A234F1">
                  <w:pPr>
                    <w:adjustRightInd w:val="0"/>
                    <w:snapToGrid w:val="0"/>
                    <w:spacing w:line="320" w:lineRule="exact"/>
                    <w:jc w:val="center"/>
                  </w:pPr>
                  <w:r>
                    <w:t>1栋3层，砖混结构，长36m，宽9m，高11m</w:t>
                  </w:r>
                </w:p>
              </w:tc>
              <w:tc>
                <w:tcPr>
                  <w:tcW w:w="1471" w:type="pct"/>
                  <w:vAlign w:val="center"/>
                </w:tcPr>
                <w:p w14:paraId="1F763AA1">
                  <w:pPr>
                    <w:adjustRightInd w:val="0"/>
                    <w:snapToGrid w:val="0"/>
                    <w:spacing w:line="320" w:lineRule="exact"/>
                    <w:jc w:val="center"/>
                  </w:pPr>
                  <w:r>
                    <w:t>利用现有</w:t>
                  </w:r>
                </w:p>
              </w:tc>
            </w:tr>
            <w:tr w14:paraId="3022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52534357">
                  <w:pPr>
                    <w:adjustRightInd w:val="0"/>
                    <w:snapToGrid w:val="0"/>
                    <w:spacing w:line="320" w:lineRule="exact"/>
                    <w:jc w:val="center"/>
                  </w:pPr>
                </w:p>
              </w:tc>
              <w:tc>
                <w:tcPr>
                  <w:tcW w:w="780" w:type="pct"/>
                  <w:gridSpan w:val="2"/>
                  <w:vAlign w:val="center"/>
                </w:tcPr>
                <w:p w14:paraId="5F4B4741">
                  <w:pPr>
                    <w:adjustRightInd w:val="0"/>
                    <w:snapToGrid w:val="0"/>
                    <w:spacing w:line="320" w:lineRule="exact"/>
                    <w:jc w:val="center"/>
                  </w:pPr>
                  <w:r>
                    <w:t>宿舍楼</w:t>
                  </w:r>
                </w:p>
              </w:tc>
              <w:tc>
                <w:tcPr>
                  <w:tcW w:w="2306" w:type="pct"/>
                  <w:vAlign w:val="center"/>
                </w:tcPr>
                <w:p w14:paraId="65F982F8">
                  <w:pPr>
                    <w:adjustRightInd w:val="0"/>
                    <w:snapToGrid w:val="0"/>
                    <w:spacing w:line="320" w:lineRule="exact"/>
                    <w:jc w:val="center"/>
                  </w:pPr>
                  <w:r>
                    <w:t>1栋3层，砖混结构，长36m，宽9m，高11m</w:t>
                  </w:r>
                </w:p>
              </w:tc>
              <w:tc>
                <w:tcPr>
                  <w:tcW w:w="1471" w:type="pct"/>
                  <w:vAlign w:val="center"/>
                </w:tcPr>
                <w:p w14:paraId="36B44AEA">
                  <w:pPr>
                    <w:adjustRightInd w:val="0"/>
                    <w:snapToGrid w:val="0"/>
                    <w:spacing w:line="320" w:lineRule="exact"/>
                    <w:jc w:val="center"/>
                  </w:pPr>
                  <w:r>
                    <w:t>利用现有</w:t>
                  </w:r>
                </w:p>
              </w:tc>
            </w:tr>
            <w:tr w14:paraId="05BE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303E0280">
                  <w:pPr>
                    <w:adjustRightInd w:val="0"/>
                    <w:snapToGrid w:val="0"/>
                    <w:spacing w:line="320" w:lineRule="exact"/>
                    <w:jc w:val="center"/>
                  </w:pPr>
                </w:p>
              </w:tc>
              <w:tc>
                <w:tcPr>
                  <w:tcW w:w="780" w:type="pct"/>
                  <w:gridSpan w:val="2"/>
                  <w:vAlign w:val="center"/>
                </w:tcPr>
                <w:p w14:paraId="55F2BFDE">
                  <w:pPr>
                    <w:adjustRightInd w:val="0"/>
                    <w:snapToGrid w:val="0"/>
                    <w:spacing w:line="320" w:lineRule="exact"/>
                    <w:jc w:val="center"/>
                  </w:pPr>
                  <w:r>
                    <w:t>员工餐厅</w:t>
                  </w:r>
                </w:p>
              </w:tc>
              <w:tc>
                <w:tcPr>
                  <w:tcW w:w="2306" w:type="pct"/>
                  <w:vAlign w:val="center"/>
                </w:tcPr>
                <w:p w14:paraId="5CB7798B">
                  <w:pPr>
                    <w:adjustRightInd w:val="0"/>
                    <w:snapToGrid w:val="0"/>
                    <w:spacing w:line="320" w:lineRule="exact"/>
                    <w:jc w:val="center"/>
                  </w:pPr>
                  <w:r>
                    <w:t>1栋1层，砖混结构，长12m，宽6m，高5m</w:t>
                  </w:r>
                </w:p>
              </w:tc>
              <w:tc>
                <w:tcPr>
                  <w:tcW w:w="1471" w:type="pct"/>
                  <w:vAlign w:val="center"/>
                </w:tcPr>
                <w:p w14:paraId="5A0ECEB2">
                  <w:pPr>
                    <w:adjustRightInd w:val="0"/>
                    <w:snapToGrid w:val="0"/>
                    <w:spacing w:line="320" w:lineRule="exact"/>
                    <w:jc w:val="center"/>
                  </w:pPr>
                  <w:r>
                    <w:t>利用现有</w:t>
                  </w:r>
                </w:p>
              </w:tc>
            </w:tr>
            <w:tr w14:paraId="3BF4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009DA89D">
                  <w:pPr>
                    <w:adjustRightInd w:val="0"/>
                    <w:snapToGrid w:val="0"/>
                    <w:spacing w:line="320" w:lineRule="exact"/>
                    <w:jc w:val="center"/>
                  </w:pPr>
                </w:p>
              </w:tc>
              <w:tc>
                <w:tcPr>
                  <w:tcW w:w="780" w:type="pct"/>
                  <w:gridSpan w:val="2"/>
                  <w:vAlign w:val="center"/>
                </w:tcPr>
                <w:p w14:paraId="3B5A358D">
                  <w:pPr>
                    <w:adjustRightInd w:val="0"/>
                    <w:snapToGrid w:val="0"/>
                    <w:spacing w:line="320" w:lineRule="exact"/>
                    <w:jc w:val="center"/>
                  </w:pPr>
                  <w:r>
                    <w:t>员工浴室</w:t>
                  </w:r>
                </w:p>
              </w:tc>
              <w:tc>
                <w:tcPr>
                  <w:tcW w:w="2306" w:type="pct"/>
                  <w:vAlign w:val="center"/>
                </w:tcPr>
                <w:p w14:paraId="0EC523A4">
                  <w:pPr>
                    <w:adjustRightInd w:val="0"/>
                    <w:snapToGrid w:val="0"/>
                    <w:spacing w:line="320" w:lineRule="exact"/>
                    <w:jc w:val="center"/>
                  </w:pPr>
                  <w:r>
                    <w:t>1栋1层，砖混结构，长12m，宽6m，高5m</w:t>
                  </w:r>
                </w:p>
              </w:tc>
              <w:tc>
                <w:tcPr>
                  <w:tcW w:w="1471" w:type="pct"/>
                  <w:vAlign w:val="center"/>
                </w:tcPr>
                <w:p w14:paraId="2E6B77A3">
                  <w:pPr>
                    <w:adjustRightInd w:val="0"/>
                    <w:snapToGrid w:val="0"/>
                    <w:spacing w:line="320" w:lineRule="exact"/>
                    <w:jc w:val="center"/>
                  </w:pPr>
                  <w:r>
                    <w:t>利用现有</w:t>
                  </w:r>
                </w:p>
              </w:tc>
            </w:tr>
            <w:tr w14:paraId="08D7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4005794B">
                  <w:pPr>
                    <w:adjustRightInd w:val="0"/>
                    <w:snapToGrid w:val="0"/>
                    <w:spacing w:line="320" w:lineRule="exact"/>
                    <w:jc w:val="center"/>
                  </w:pPr>
                </w:p>
              </w:tc>
              <w:tc>
                <w:tcPr>
                  <w:tcW w:w="780" w:type="pct"/>
                  <w:gridSpan w:val="2"/>
                  <w:vAlign w:val="center"/>
                </w:tcPr>
                <w:p w14:paraId="2D0B0F15">
                  <w:pPr>
                    <w:adjustRightInd w:val="0"/>
                    <w:snapToGrid w:val="0"/>
                    <w:spacing w:line="320" w:lineRule="exact"/>
                    <w:jc w:val="center"/>
                  </w:pPr>
                  <w:r>
                    <w:t>化验室</w:t>
                  </w:r>
                </w:p>
              </w:tc>
              <w:tc>
                <w:tcPr>
                  <w:tcW w:w="2306" w:type="pct"/>
                  <w:vAlign w:val="center"/>
                </w:tcPr>
                <w:p w14:paraId="1C4E747E">
                  <w:pPr>
                    <w:adjustRightInd w:val="0"/>
                    <w:snapToGrid w:val="0"/>
                    <w:spacing w:line="320" w:lineRule="exact"/>
                    <w:jc w:val="center"/>
                  </w:pPr>
                  <w:r>
                    <w:t>1栋1层，砖混结构，长10m，宽6m，高4m</w:t>
                  </w:r>
                </w:p>
              </w:tc>
              <w:tc>
                <w:tcPr>
                  <w:tcW w:w="1471" w:type="pct"/>
                  <w:vAlign w:val="center"/>
                </w:tcPr>
                <w:p w14:paraId="1053FC4C">
                  <w:pPr>
                    <w:adjustRightInd w:val="0"/>
                    <w:snapToGrid w:val="0"/>
                    <w:spacing w:line="320" w:lineRule="exact"/>
                    <w:jc w:val="center"/>
                  </w:pPr>
                  <w:r>
                    <w:t>利用现有</w:t>
                  </w:r>
                </w:p>
              </w:tc>
            </w:tr>
            <w:tr w14:paraId="1665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5AE43024">
                  <w:pPr>
                    <w:adjustRightInd w:val="0"/>
                    <w:snapToGrid w:val="0"/>
                    <w:spacing w:line="320" w:lineRule="exact"/>
                    <w:jc w:val="center"/>
                  </w:pPr>
                </w:p>
              </w:tc>
              <w:tc>
                <w:tcPr>
                  <w:tcW w:w="780" w:type="pct"/>
                  <w:gridSpan w:val="2"/>
                  <w:vAlign w:val="center"/>
                </w:tcPr>
                <w:p w14:paraId="7F17AD6A">
                  <w:pPr>
                    <w:adjustRightInd w:val="0"/>
                    <w:snapToGrid w:val="0"/>
                    <w:spacing w:line="320" w:lineRule="exact"/>
                    <w:jc w:val="center"/>
                  </w:pPr>
                  <w:r>
                    <w:t>磅房</w:t>
                  </w:r>
                </w:p>
              </w:tc>
              <w:tc>
                <w:tcPr>
                  <w:tcW w:w="2306" w:type="pct"/>
                  <w:vAlign w:val="center"/>
                </w:tcPr>
                <w:p w14:paraId="4A64C1A1">
                  <w:pPr>
                    <w:adjustRightInd w:val="0"/>
                    <w:snapToGrid w:val="0"/>
                    <w:spacing w:line="320" w:lineRule="exact"/>
                    <w:jc w:val="center"/>
                  </w:pPr>
                  <w:r>
                    <w:t>1栋1层，砖混结构，长7m，宽5m，高4m</w:t>
                  </w:r>
                </w:p>
              </w:tc>
              <w:tc>
                <w:tcPr>
                  <w:tcW w:w="1471" w:type="pct"/>
                  <w:vAlign w:val="center"/>
                </w:tcPr>
                <w:p w14:paraId="6050B0F8">
                  <w:pPr>
                    <w:adjustRightInd w:val="0"/>
                    <w:snapToGrid w:val="0"/>
                    <w:spacing w:line="320" w:lineRule="exact"/>
                    <w:jc w:val="center"/>
                  </w:pPr>
                  <w:r>
                    <w:t>利用现有</w:t>
                  </w:r>
                </w:p>
              </w:tc>
            </w:tr>
            <w:tr w14:paraId="66FB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400BB9E0">
                  <w:pPr>
                    <w:adjustRightInd w:val="0"/>
                    <w:snapToGrid w:val="0"/>
                    <w:spacing w:line="320" w:lineRule="exact"/>
                    <w:jc w:val="center"/>
                  </w:pPr>
                </w:p>
              </w:tc>
              <w:tc>
                <w:tcPr>
                  <w:tcW w:w="780" w:type="pct"/>
                  <w:gridSpan w:val="2"/>
                  <w:vAlign w:val="center"/>
                </w:tcPr>
                <w:p w14:paraId="1CE6A9F5">
                  <w:pPr>
                    <w:adjustRightInd w:val="0"/>
                    <w:snapToGrid w:val="0"/>
                    <w:spacing w:line="320" w:lineRule="exact"/>
                    <w:jc w:val="center"/>
                  </w:pPr>
                  <w:r>
                    <w:t>门卫</w:t>
                  </w:r>
                </w:p>
              </w:tc>
              <w:tc>
                <w:tcPr>
                  <w:tcW w:w="2306" w:type="pct"/>
                  <w:vAlign w:val="center"/>
                </w:tcPr>
                <w:p w14:paraId="5812DED7">
                  <w:pPr>
                    <w:adjustRightInd w:val="0"/>
                    <w:snapToGrid w:val="0"/>
                    <w:spacing w:line="320" w:lineRule="exact"/>
                    <w:jc w:val="center"/>
                  </w:pPr>
                  <w:r>
                    <w:t>1栋1层，砖混结构，长5m，宽4m，高4m</w:t>
                  </w:r>
                </w:p>
              </w:tc>
              <w:tc>
                <w:tcPr>
                  <w:tcW w:w="1471" w:type="pct"/>
                  <w:vAlign w:val="center"/>
                </w:tcPr>
                <w:p w14:paraId="6C0C1E74">
                  <w:pPr>
                    <w:adjustRightInd w:val="0"/>
                    <w:snapToGrid w:val="0"/>
                    <w:spacing w:line="320" w:lineRule="exact"/>
                    <w:jc w:val="center"/>
                  </w:pPr>
                  <w:r>
                    <w:t>利用现有</w:t>
                  </w:r>
                </w:p>
              </w:tc>
            </w:tr>
            <w:tr w14:paraId="71A1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restart"/>
                  <w:vAlign w:val="center"/>
                </w:tcPr>
                <w:p w14:paraId="61EF0F08">
                  <w:pPr>
                    <w:adjustRightInd w:val="0"/>
                    <w:snapToGrid w:val="0"/>
                    <w:spacing w:line="320" w:lineRule="exact"/>
                    <w:jc w:val="center"/>
                  </w:pPr>
                  <w:r>
                    <w:t>公用工程</w:t>
                  </w:r>
                </w:p>
              </w:tc>
              <w:tc>
                <w:tcPr>
                  <w:tcW w:w="780" w:type="pct"/>
                  <w:gridSpan w:val="2"/>
                  <w:vAlign w:val="center"/>
                </w:tcPr>
                <w:p w14:paraId="2B209A92">
                  <w:pPr>
                    <w:adjustRightInd w:val="0"/>
                    <w:snapToGrid w:val="0"/>
                    <w:spacing w:line="320" w:lineRule="exact"/>
                    <w:jc w:val="center"/>
                  </w:pPr>
                  <w:r>
                    <w:t>供水工程</w:t>
                  </w:r>
                </w:p>
              </w:tc>
              <w:tc>
                <w:tcPr>
                  <w:tcW w:w="2306" w:type="pct"/>
                  <w:vAlign w:val="center"/>
                </w:tcPr>
                <w:p w14:paraId="1CD6A5C3">
                  <w:pPr>
                    <w:adjustRightInd w:val="0"/>
                    <w:snapToGrid w:val="0"/>
                    <w:spacing w:line="320" w:lineRule="exact"/>
                    <w:jc w:val="center"/>
                  </w:pPr>
                  <w:r>
                    <w:t>由厂区自备井供给</w:t>
                  </w:r>
                </w:p>
              </w:tc>
              <w:tc>
                <w:tcPr>
                  <w:tcW w:w="1471" w:type="pct"/>
                  <w:vAlign w:val="center"/>
                </w:tcPr>
                <w:p w14:paraId="21DA83D3">
                  <w:pPr>
                    <w:adjustRightInd w:val="0"/>
                    <w:snapToGrid w:val="0"/>
                    <w:spacing w:line="320" w:lineRule="exact"/>
                    <w:jc w:val="center"/>
                  </w:pPr>
                  <w:r>
                    <w:t>利用现有</w:t>
                  </w:r>
                </w:p>
              </w:tc>
            </w:tr>
            <w:tr w14:paraId="579A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6CC21AEB">
                  <w:pPr>
                    <w:adjustRightInd w:val="0"/>
                    <w:snapToGrid w:val="0"/>
                    <w:spacing w:line="320" w:lineRule="exact"/>
                    <w:jc w:val="center"/>
                  </w:pPr>
                </w:p>
              </w:tc>
              <w:tc>
                <w:tcPr>
                  <w:tcW w:w="780" w:type="pct"/>
                  <w:gridSpan w:val="2"/>
                  <w:vAlign w:val="center"/>
                </w:tcPr>
                <w:p w14:paraId="6D8FA0E1">
                  <w:pPr>
                    <w:adjustRightInd w:val="0"/>
                    <w:snapToGrid w:val="0"/>
                    <w:spacing w:line="320" w:lineRule="exact"/>
                    <w:jc w:val="center"/>
                  </w:pPr>
                  <w:r>
                    <w:t>供电工程</w:t>
                  </w:r>
                </w:p>
              </w:tc>
              <w:tc>
                <w:tcPr>
                  <w:tcW w:w="2306" w:type="pct"/>
                  <w:vAlign w:val="center"/>
                </w:tcPr>
                <w:p w14:paraId="3A1BCD27">
                  <w:pPr>
                    <w:adjustRightInd w:val="0"/>
                    <w:snapToGrid w:val="0"/>
                    <w:spacing w:line="320" w:lineRule="exact"/>
                    <w:jc w:val="center"/>
                  </w:pPr>
                  <w:r>
                    <w:t>由当地市政电网供给</w:t>
                  </w:r>
                </w:p>
              </w:tc>
              <w:tc>
                <w:tcPr>
                  <w:tcW w:w="1471" w:type="pct"/>
                  <w:vAlign w:val="center"/>
                </w:tcPr>
                <w:p w14:paraId="33827E72">
                  <w:pPr>
                    <w:adjustRightInd w:val="0"/>
                    <w:snapToGrid w:val="0"/>
                    <w:spacing w:line="320" w:lineRule="exact"/>
                    <w:jc w:val="center"/>
                  </w:pPr>
                  <w:r>
                    <w:t>利用现有</w:t>
                  </w:r>
                </w:p>
              </w:tc>
            </w:tr>
            <w:tr w14:paraId="1A2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restart"/>
                  <w:vAlign w:val="center"/>
                </w:tcPr>
                <w:p w14:paraId="0A289228">
                  <w:pPr>
                    <w:adjustRightInd w:val="0"/>
                    <w:snapToGrid w:val="0"/>
                    <w:spacing w:line="280" w:lineRule="exact"/>
                    <w:jc w:val="center"/>
                  </w:pPr>
                  <w:r>
                    <w:t>环保工程</w:t>
                  </w:r>
                </w:p>
              </w:tc>
              <w:tc>
                <w:tcPr>
                  <w:tcW w:w="257" w:type="pct"/>
                  <w:vMerge w:val="restart"/>
                  <w:vAlign w:val="center"/>
                </w:tcPr>
                <w:p w14:paraId="517BC18D">
                  <w:pPr>
                    <w:adjustRightInd w:val="0"/>
                    <w:snapToGrid w:val="0"/>
                    <w:spacing w:line="280" w:lineRule="exact"/>
                    <w:jc w:val="center"/>
                  </w:pPr>
                  <w:r>
                    <w:t>废气治理</w:t>
                  </w:r>
                </w:p>
              </w:tc>
              <w:tc>
                <w:tcPr>
                  <w:tcW w:w="523" w:type="pct"/>
                  <w:vAlign w:val="center"/>
                </w:tcPr>
                <w:p w14:paraId="5EF5787B">
                  <w:pPr>
                    <w:adjustRightInd w:val="0"/>
                    <w:snapToGrid w:val="0"/>
                    <w:spacing w:line="280" w:lineRule="exact"/>
                    <w:jc w:val="center"/>
                  </w:pPr>
                  <w:r>
                    <w:rPr>
                      <w:kern w:val="0"/>
                      <w:szCs w:val="21"/>
                    </w:rPr>
                    <w:t>喂料、破碎粉尘</w:t>
                  </w:r>
                </w:p>
              </w:tc>
              <w:tc>
                <w:tcPr>
                  <w:tcW w:w="2306" w:type="pct"/>
                  <w:vAlign w:val="center"/>
                </w:tcPr>
                <w:p w14:paraId="13BD20D5">
                  <w:pPr>
                    <w:adjustRightInd w:val="0"/>
                    <w:snapToGrid w:val="0"/>
                    <w:spacing w:line="280" w:lineRule="exact"/>
                    <w:jc w:val="center"/>
                  </w:pPr>
                  <w:r>
                    <w:rPr>
                      <w:szCs w:val="21"/>
                    </w:rPr>
                    <w:t>喂料口三面封闭集气，破碎设备二次封闭集气，废气经1台袋式除尘器处理后共同经1根15m高排气筒DA002排放</w:t>
                  </w:r>
                </w:p>
              </w:tc>
              <w:tc>
                <w:tcPr>
                  <w:tcW w:w="1471" w:type="pct"/>
                  <w:vAlign w:val="center"/>
                </w:tcPr>
                <w:p w14:paraId="59A1405A">
                  <w:pPr>
                    <w:adjustRightInd w:val="0"/>
                    <w:snapToGrid w:val="0"/>
                    <w:spacing w:line="320" w:lineRule="exact"/>
                    <w:jc w:val="center"/>
                    <w:rPr>
                      <w:color w:val="FF0000"/>
                      <w:u w:val="single"/>
                    </w:rPr>
                  </w:pPr>
                  <w:r>
                    <w:rPr>
                      <w:color w:val="FF0000"/>
                      <w:szCs w:val="21"/>
                      <w:u w:val="single"/>
                    </w:rPr>
                    <w:t>新增</w:t>
                  </w:r>
                </w:p>
              </w:tc>
            </w:tr>
            <w:tr w14:paraId="34AF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5C1F99C0">
                  <w:pPr>
                    <w:adjustRightInd w:val="0"/>
                    <w:snapToGrid w:val="0"/>
                    <w:spacing w:line="280" w:lineRule="exact"/>
                    <w:jc w:val="center"/>
                  </w:pPr>
                </w:p>
              </w:tc>
              <w:tc>
                <w:tcPr>
                  <w:tcW w:w="257" w:type="pct"/>
                  <w:vMerge w:val="continue"/>
                  <w:vAlign w:val="center"/>
                </w:tcPr>
                <w:p w14:paraId="435A3869">
                  <w:pPr>
                    <w:adjustRightInd w:val="0"/>
                    <w:snapToGrid w:val="0"/>
                    <w:spacing w:line="280" w:lineRule="exact"/>
                    <w:jc w:val="center"/>
                  </w:pPr>
                </w:p>
              </w:tc>
              <w:tc>
                <w:tcPr>
                  <w:tcW w:w="523" w:type="pct"/>
                  <w:vAlign w:val="center"/>
                </w:tcPr>
                <w:p w14:paraId="17D0B616">
                  <w:pPr>
                    <w:adjustRightInd w:val="0"/>
                    <w:snapToGrid w:val="0"/>
                    <w:spacing w:line="280" w:lineRule="exact"/>
                    <w:jc w:val="center"/>
                  </w:pPr>
                  <w:r>
                    <w:rPr>
                      <w:szCs w:val="21"/>
                    </w:rPr>
                    <w:t>筛分、搅拌</w:t>
                  </w:r>
                  <w:r>
                    <w:rPr>
                      <w:kern w:val="0"/>
                      <w:szCs w:val="21"/>
                    </w:rPr>
                    <w:t>粉尘</w:t>
                  </w:r>
                </w:p>
              </w:tc>
              <w:tc>
                <w:tcPr>
                  <w:tcW w:w="2306" w:type="pct"/>
                  <w:vAlign w:val="center"/>
                </w:tcPr>
                <w:p w14:paraId="7732EFEE">
                  <w:pPr>
                    <w:adjustRightInd w:val="0"/>
                    <w:snapToGrid w:val="0"/>
                    <w:spacing w:line="280" w:lineRule="exact"/>
                    <w:jc w:val="center"/>
                  </w:pPr>
                  <w:r>
                    <w:rPr>
                      <w:szCs w:val="21"/>
                    </w:rPr>
                    <w:t>筛分、搅拌设备二次封闭集气，废气经1台袋式除尘器处理后共同经1根15m高排气筒DA001排放</w:t>
                  </w:r>
                </w:p>
              </w:tc>
              <w:tc>
                <w:tcPr>
                  <w:tcW w:w="1471" w:type="pct"/>
                  <w:vAlign w:val="center"/>
                </w:tcPr>
                <w:p w14:paraId="782B6ADA">
                  <w:pPr>
                    <w:adjustRightInd w:val="0"/>
                    <w:snapToGrid w:val="0"/>
                    <w:spacing w:line="320" w:lineRule="exact"/>
                    <w:jc w:val="center"/>
                    <w:rPr>
                      <w:color w:val="FF0000"/>
                      <w:u w:val="single"/>
                    </w:rPr>
                  </w:pPr>
                  <w:r>
                    <w:rPr>
                      <w:color w:val="FF0000"/>
                      <w:szCs w:val="21"/>
                      <w:u w:val="single"/>
                    </w:rPr>
                    <w:t>新增</w:t>
                  </w:r>
                </w:p>
              </w:tc>
            </w:tr>
            <w:tr w14:paraId="0C37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2F41C028">
                  <w:pPr>
                    <w:adjustRightInd w:val="0"/>
                    <w:snapToGrid w:val="0"/>
                    <w:spacing w:line="280" w:lineRule="exact"/>
                    <w:jc w:val="center"/>
                  </w:pPr>
                </w:p>
              </w:tc>
              <w:tc>
                <w:tcPr>
                  <w:tcW w:w="257" w:type="pct"/>
                  <w:vMerge w:val="continue"/>
                  <w:vAlign w:val="center"/>
                </w:tcPr>
                <w:p w14:paraId="0875906E">
                  <w:pPr>
                    <w:adjustRightInd w:val="0"/>
                    <w:snapToGrid w:val="0"/>
                    <w:spacing w:line="280" w:lineRule="exact"/>
                    <w:jc w:val="center"/>
                  </w:pPr>
                </w:p>
              </w:tc>
              <w:tc>
                <w:tcPr>
                  <w:tcW w:w="523" w:type="pct"/>
                  <w:vAlign w:val="center"/>
                </w:tcPr>
                <w:p w14:paraId="5250F704">
                  <w:pPr>
                    <w:adjustRightInd w:val="0"/>
                    <w:snapToGrid w:val="0"/>
                    <w:spacing w:line="280" w:lineRule="exact"/>
                    <w:jc w:val="center"/>
                  </w:pPr>
                  <w:r>
                    <w:rPr>
                      <w:kern w:val="0"/>
                      <w:szCs w:val="21"/>
                    </w:rPr>
                    <w:t>窑车清理粉尘</w:t>
                  </w:r>
                </w:p>
              </w:tc>
              <w:tc>
                <w:tcPr>
                  <w:tcW w:w="2306" w:type="pct"/>
                  <w:vAlign w:val="center"/>
                </w:tcPr>
                <w:p w14:paraId="213293E5">
                  <w:pPr>
                    <w:adjustRightInd w:val="0"/>
                    <w:snapToGrid w:val="0"/>
                    <w:spacing w:line="280" w:lineRule="exact"/>
                    <w:jc w:val="center"/>
                  </w:pPr>
                  <w:r>
                    <w:rPr>
                      <w:szCs w:val="21"/>
                    </w:rPr>
                    <w:t>经集气罩收集后经1台袋式除尘器处理，处理后的废气引入排气筒DA004排放</w:t>
                  </w:r>
                </w:p>
              </w:tc>
              <w:tc>
                <w:tcPr>
                  <w:tcW w:w="1471" w:type="pct"/>
                  <w:vAlign w:val="center"/>
                </w:tcPr>
                <w:p w14:paraId="2C607A0E">
                  <w:pPr>
                    <w:adjustRightInd w:val="0"/>
                    <w:snapToGrid w:val="0"/>
                    <w:spacing w:line="320" w:lineRule="exact"/>
                    <w:jc w:val="center"/>
                  </w:pPr>
                  <w:r>
                    <w:rPr>
                      <w:szCs w:val="21"/>
                    </w:rPr>
                    <w:t>利用现有</w:t>
                  </w:r>
                </w:p>
              </w:tc>
            </w:tr>
            <w:tr w14:paraId="11FF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390A1EB9">
                  <w:pPr>
                    <w:adjustRightInd w:val="0"/>
                    <w:snapToGrid w:val="0"/>
                    <w:spacing w:line="280" w:lineRule="exact"/>
                    <w:jc w:val="center"/>
                  </w:pPr>
                </w:p>
              </w:tc>
              <w:tc>
                <w:tcPr>
                  <w:tcW w:w="257" w:type="pct"/>
                  <w:vMerge w:val="continue"/>
                  <w:vAlign w:val="center"/>
                </w:tcPr>
                <w:p w14:paraId="544983D6">
                  <w:pPr>
                    <w:adjustRightInd w:val="0"/>
                    <w:snapToGrid w:val="0"/>
                    <w:spacing w:line="280" w:lineRule="exact"/>
                    <w:jc w:val="center"/>
                  </w:pPr>
                </w:p>
              </w:tc>
              <w:tc>
                <w:tcPr>
                  <w:tcW w:w="523" w:type="pct"/>
                  <w:vAlign w:val="center"/>
                </w:tcPr>
                <w:p w14:paraId="2FB778D1">
                  <w:pPr>
                    <w:adjustRightInd w:val="0"/>
                    <w:snapToGrid w:val="0"/>
                    <w:spacing w:line="280" w:lineRule="exact"/>
                    <w:jc w:val="center"/>
                  </w:pPr>
                  <w:r>
                    <w:rPr>
                      <w:spacing w:val="-4"/>
                      <w:szCs w:val="21"/>
                    </w:rPr>
                    <w:t>窑炉烟气</w:t>
                  </w:r>
                </w:p>
              </w:tc>
              <w:tc>
                <w:tcPr>
                  <w:tcW w:w="2306" w:type="pct"/>
                  <w:vAlign w:val="center"/>
                </w:tcPr>
                <w:p w14:paraId="23538069">
                  <w:pPr>
                    <w:adjustRightInd w:val="0"/>
                    <w:snapToGrid w:val="0"/>
                    <w:spacing w:line="280" w:lineRule="exact"/>
                    <w:jc w:val="center"/>
                  </w:pPr>
                  <w:r>
                    <w:rPr>
                      <w:kern w:val="0"/>
                      <w:szCs w:val="21"/>
                    </w:rPr>
                    <w:t>经1套“SNCR脱硝＋石灰-石膏湿法脱硫塔＋湿电除尘器（2台）”处理后经1根18m 高排气筒DA003排放</w:t>
                  </w:r>
                </w:p>
              </w:tc>
              <w:tc>
                <w:tcPr>
                  <w:tcW w:w="1471" w:type="pct"/>
                  <w:vAlign w:val="center"/>
                </w:tcPr>
                <w:p w14:paraId="5572038D">
                  <w:pPr>
                    <w:adjustRightInd w:val="0"/>
                    <w:snapToGrid w:val="0"/>
                    <w:spacing w:line="320" w:lineRule="exact"/>
                    <w:jc w:val="center"/>
                  </w:pPr>
                  <w:r>
                    <w:rPr>
                      <w:szCs w:val="21"/>
                    </w:rPr>
                    <w:t>湿电除尘器利用现有1台，新增1台，脱硫、脱硝设施新增</w:t>
                  </w:r>
                </w:p>
              </w:tc>
            </w:tr>
            <w:tr w14:paraId="29AA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2721C0C3">
                  <w:pPr>
                    <w:adjustRightInd w:val="0"/>
                    <w:snapToGrid w:val="0"/>
                    <w:spacing w:line="280" w:lineRule="exact"/>
                    <w:jc w:val="center"/>
                  </w:pPr>
                </w:p>
              </w:tc>
              <w:tc>
                <w:tcPr>
                  <w:tcW w:w="257" w:type="pct"/>
                  <w:vMerge w:val="continue"/>
                  <w:vAlign w:val="center"/>
                </w:tcPr>
                <w:p w14:paraId="54ECBE39">
                  <w:pPr>
                    <w:adjustRightInd w:val="0"/>
                    <w:snapToGrid w:val="0"/>
                    <w:spacing w:line="280" w:lineRule="exact"/>
                    <w:jc w:val="center"/>
                  </w:pPr>
                </w:p>
              </w:tc>
              <w:tc>
                <w:tcPr>
                  <w:tcW w:w="523" w:type="pct"/>
                  <w:vAlign w:val="center"/>
                </w:tcPr>
                <w:p w14:paraId="194A7231">
                  <w:pPr>
                    <w:adjustRightInd w:val="0"/>
                    <w:snapToGrid w:val="0"/>
                    <w:spacing w:line="280" w:lineRule="exact"/>
                    <w:jc w:val="center"/>
                  </w:pPr>
                  <w:r>
                    <w:rPr>
                      <w:spacing w:val="-4"/>
                      <w:szCs w:val="21"/>
                    </w:rPr>
                    <w:t>污泥储存恶臭</w:t>
                  </w:r>
                </w:p>
              </w:tc>
              <w:tc>
                <w:tcPr>
                  <w:tcW w:w="2306" w:type="pct"/>
                  <w:vAlign w:val="center"/>
                </w:tcPr>
                <w:p w14:paraId="580B8157">
                  <w:pPr>
                    <w:adjustRightInd w:val="0"/>
                    <w:snapToGrid w:val="0"/>
                    <w:spacing w:line="280" w:lineRule="exact"/>
                    <w:jc w:val="center"/>
                  </w:pPr>
                  <w:r>
                    <w:rPr>
                      <w:szCs w:val="21"/>
                    </w:rPr>
                    <w:t>经1套“活性炭吸附装置”</w:t>
                  </w:r>
                  <w:r>
                    <w:rPr>
                      <w:kern w:val="0"/>
                      <w:szCs w:val="21"/>
                    </w:rPr>
                    <w:t>处理后经1根15m 高排气筒DA005排放</w:t>
                  </w:r>
                </w:p>
              </w:tc>
              <w:tc>
                <w:tcPr>
                  <w:tcW w:w="1471" w:type="pct"/>
                  <w:vAlign w:val="center"/>
                </w:tcPr>
                <w:p w14:paraId="4C6DC1A5">
                  <w:pPr>
                    <w:adjustRightInd w:val="0"/>
                    <w:snapToGrid w:val="0"/>
                    <w:spacing w:line="320" w:lineRule="exact"/>
                    <w:jc w:val="center"/>
                  </w:pPr>
                  <w:r>
                    <w:rPr>
                      <w:szCs w:val="21"/>
                    </w:rPr>
                    <w:t>新增</w:t>
                  </w:r>
                </w:p>
              </w:tc>
            </w:tr>
            <w:tr w14:paraId="1C66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1DF31DEA">
                  <w:pPr>
                    <w:adjustRightInd w:val="0"/>
                    <w:snapToGrid w:val="0"/>
                    <w:spacing w:line="280" w:lineRule="exact"/>
                    <w:jc w:val="center"/>
                  </w:pPr>
                </w:p>
              </w:tc>
              <w:tc>
                <w:tcPr>
                  <w:tcW w:w="257" w:type="pct"/>
                  <w:vMerge w:val="continue"/>
                  <w:vAlign w:val="center"/>
                </w:tcPr>
                <w:p w14:paraId="12CF598D">
                  <w:pPr>
                    <w:adjustRightInd w:val="0"/>
                    <w:snapToGrid w:val="0"/>
                    <w:spacing w:line="280" w:lineRule="exact"/>
                    <w:jc w:val="center"/>
                  </w:pPr>
                </w:p>
              </w:tc>
              <w:tc>
                <w:tcPr>
                  <w:tcW w:w="523" w:type="pct"/>
                  <w:vAlign w:val="center"/>
                </w:tcPr>
                <w:p w14:paraId="37AB2AE6">
                  <w:pPr>
                    <w:adjustRightInd w:val="0"/>
                    <w:snapToGrid w:val="0"/>
                    <w:spacing w:line="280" w:lineRule="exact"/>
                    <w:jc w:val="center"/>
                  </w:pPr>
                  <w:r>
                    <w:rPr>
                      <w:szCs w:val="21"/>
                    </w:rPr>
                    <w:t>石灰粉出入仓粉尘</w:t>
                  </w:r>
                </w:p>
              </w:tc>
              <w:tc>
                <w:tcPr>
                  <w:tcW w:w="2306" w:type="pct"/>
                  <w:vAlign w:val="center"/>
                </w:tcPr>
                <w:p w14:paraId="3C9987A1">
                  <w:pPr>
                    <w:adjustRightInd w:val="0"/>
                    <w:snapToGrid w:val="0"/>
                    <w:spacing w:line="280" w:lineRule="exact"/>
                    <w:jc w:val="center"/>
                  </w:pPr>
                  <w:r>
                    <w:rPr>
                      <w:szCs w:val="21"/>
                    </w:rPr>
                    <w:t>经1台仓顶除尘器处理后，通过不低于15m高排气筒DA006排放</w:t>
                  </w:r>
                </w:p>
              </w:tc>
              <w:tc>
                <w:tcPr>
                  <w:tcW w:w="1471" w:type="pct"/>
                  <w:vAlign w:val="center"/>
                </w:tcPr>
                <w:p w14:paraId="68F50FAA">
                  <w:pPr>
                    <w:adjustRightInd w:val="0"/>
                    <w:snapToGrid w:val="0"/>
                    <w:spacing w:line="320" w:lineRule="exact"/>
                    <w:jc w:val="center"/>
                  </w:pPr>
                  <w:r>
                    <w:rPr>
                      <w:szCs w:val="21"/>
                    </w:rPr>
                    <w:t>利用现有除尘器，新增15m高排气筒</w:t>
                  </w:r>
                </w:p>
              </w:tc>
            </w:tr>
            <w:tr w14:paraId="2023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24CF563B">
                  <w:pPr>
                    <w:adjustRightInd w:val="0"/>
                    <w:snapToGrid w:val="0"/>
                    <w:spacing w:line="280" w:lineRule="exact"/>
                    <w:jc w:val="center"/>
                  </w:pPr>
                </w:p>
              </w:tc>
              <w:tc>
                <w:tcPr>
                  <w:tcW w:w="257" w:type="pct"/>
                  <w:vMerge w:val="continue"/>
                  <w:vAlign w:val="center"/>
                </w:tcPr>
                <w:p w14:paraId="412BD6B2">
                  <w:pPr>
                    <w:adjustRightInd w:val="0"/>
                    <w:snapToGrid w:val="0"/>
                    <w:spacing w:line="280" w:lineRule="exact"/>
                    <w:jc w:val="center"/>
                  </w:pPr>
                </w:p>
              </w:tc>
              <w:tc>
                <w:tcPr>
                  <w:tcW w:w="523" w:type="pct"/>
                  <w:vAlign w:val="center"/>
                </w:tcPr>
                <w:p w14:paraId="49D84C85">
                  <w:pPr>
                    <w:adjustRightInd w:val="0"/>
                    <w:snapToGrid w:val="0"/>
                    <w:spacing w:line="280" w:lineRule="exact"/>
                    <w:jc w:val="center"/>
                    <w:rPr>
                      <w:kern w:val="0"/>
                      <w:szCs w:val="21"/>
                    </w:rPr>
                  </w:pPr>
                  <w:r>
                    <w:rPr>
                      <w:kern w:val="0"/>
                      <w:szCs w:val="21"/>
                    </w:rPr>
                    <w:t>物料装卸粉尘</w:t>
                  </w:r>
                </w:p>
              </w:tc>
              <w:tc>
                <w:tcPr>
                  <w:tcW w:w="2306" w:type="pct"/>
                  <w:vAlign w:val="center"/>
                </w:tcPr>
                <w:p w14:paraId="09FC6CB3">
                  <w:pPr>
                    <w:adjustRightInd w:val="0"/>
                    <w:snapToGrid w:val="0"/>
                    <w:spacing w:line="280" w:lineRule="exact"/>
                    <w:jc w:val="center"/>
                    <w:rPr>
                      <w:szCs w:val="21"/>
                    </w:rPr>
                  </w:pPr>
                  <w:r>
                    <w:rPr>
                      <w:szCs w:val="21"/>
                    </w:rPr>
                    <w:fldChar w:fldCharType="begin"/>
                  </w:r>
                  <w:r>
                    <w:rPr>
                      <w:szCs w:val="21"/>
                    </w:rPr>
                    <w:instrText xml:space="preserve">= 1 \* GB3</w:instrText>
                  </w:r>
                  <w:r>
                    <w:rPr>
                      <w:szCs w:val="21"/>
                    </w:rPr>
                    <w:fldChar w:fldCharType="separate"/>
                  </w:r>
                  <w:r>
                    <w:rPr>
                      <w:rFonts w:ascii="Cambria Math" w:hAnsi="Cambria Math" w:cs="Cambria Math"/>
                      <w:szCs w:val="21"/>
                    </w:rPr>
                    <w:t>①</w:t>
                  </w:r>
                  <w:r>
                    <w:rPr>
                      <w:szCs w:val="21"/>
                    </w:rPr>
                    <w:fldChar w:fldCharType="end"/>
                  </w:r>
                  <w:r>
                    <w:rPr>
                      <w:szCs w:val="21"/>
                    </w:rPr>
                    <w:t>原料库、陈化库全密闭，安装硬质卷帘门；</w:t>
                  </w:r>
                  <w:r>
                    <w:rPr>
                      <w:rFonts w:ascii="Cambria Math" w:hAnsi="Cambria Math" w:cs="Cambria Math"/>
                      <w:szCs w:val="21"/>
                    </w:rPr>
                    <w:t>②</w:t>
                  </w:r>
                  <w:r>
                    <w:rPr>
                      <w:szCs w:val="21"/>
                    </w:rPr>
                    <w:t>原料库、陈化库、卸车棚安装雾化喷淋设施</w:t>
                  </w:r>
                </w:p>
              </w:tc>
              <w:tc>
                <w:tcPr>
                  <w:tcW w:w="1471" w:type="pct"/>
                  <w:vAlign w:val="center"/>
                </w:tcPr>
                <w:p w14:paraId="33E2D576">
                  <w:pPr>
                    <w:adjustRightInd w:val="0"/>
                    <w:snapToGrid w:val="0"/>
                    <w:spacing w:line="320" w:lineRule="exact"/>
                    <w:jc w:val="center"/>
                  </w:pPr>
                  <w:r>
                    <w:rPr>
                      <w:szCs w:val="21"/>
                    </w:rPr>
                    <w:t>利用现有</w:t>
                  </w:r>
                </w:p>
              </w:tc>
            </w:tr>
            <w:tr w14:paraId="53DC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074FDE06">
                  <w:pPr>
                    <w:adjustRightInd w:val="0"/>
                    <w:snapToGrid w:val="0"/>
                    <w:spacing w:line="280" w:lineRule="exact"/>
                    <w:jc w:val="center"/>
                  </w:pPr>
                </w:p>
              </w:tc>
              <w:tc>
                <w:tcPr>
                  <w:tcW w:w="257" w:type="pct"/>
                  <w:vMerge w:val="continue"/>
                  <w:vAlign w:val="center"/>
                </w:tcPr>
                <w:p w14:paraId="1E054594">
                  <w:pPr>
                    <w:adjustRightInd w:val="0"/>
                    <w:snapToGrid w:val="0"/>
                    <w:spacing w:line="280" w:lineRule="exact"/>
                    <w:jc w:val="center"/>
                  </w:pPr>
                </w:p>
              </w:tc>
              <w:tc>
                <w:tcPr>
                  <w:tcW w:w="523" w:type="pct"/>
                  <w:vAlign w:val="center"/>
                </w:tcPr>
                <w:p w14:paraId="4B4AF77C">
                  <w:pPr>
                    <w:adjustRightInd w:val="0"/>
                    <w:snapToGrid w:val="0"/>
                    <w:spacing w:line="280" w:lineRule="exact"/>
                    <w:jc w:val="center"/>
                    <w:rPr>
                      <w:kern w:val="0"/>
                      <w:szCs w:val="21"/>
                    </w:rPr>
                  </w:pPr>
                  <w:r>
                    <w:rPr>
                      <w:kern w:val="0"/>
                      <w:szCs w:val="21"/>
                    </w:rPr>
                    <w:t>车辆运输粉尘</w:t>
                  </w:r>
                </w:p>
              </w:tc>
              <w:tc>
                <w:tcPr>
                  <w:tcW w:w="2306" w:type="pct"/>
                  <w:vAlign w:val="center"/>
                </w:tcPr>
                <w:p w14:paraId="16053D25">
                  <w:pPr>
                    <w:adjustRightInd w:val="0"/>
                    <w:snapToGrid w:val="0"/>
                    <w:spacing w:line="280" w:lineRule="exact"/>
                    <w:jc w:val="center"/>
                    <w:rPr>
                      <w:szCs w:val="21"/>
                    </w:rPr>
                  </w:pPr>
                  <w:r>
                    <w:rPr>
                      <w:szCs w:val="21"/>
                    </w:rPr>
                    <w:t>车辆冲洗装置1套＋厂区道路洒水降尘</w:t>
                  </w:r>
                </w:p>
              </w:tc>
              <w:tc>
                <w:tcPr>
                  <w:tcW w:w="1471" w:type="pct"/>
                  <w:vAlign w:val="center"/>
                </w:tcPr>
                <w:p w14:paraId="620779E6">
                  <w:pPr>
                    <w:adjustRightInd w:val="0"/>
                    <w:snapToGrid w:val="0"/>
                    <w:spacing w:line="320" w:lineRule="exact"/>
                    <w:jc w:val="center"/>
                  </w:pPr>
                  <w:r>
                    <w:rPr>
                      <w:szCs w:val="21"/>
                    </w:rPr>
                    <w:t>利用现有</w:t>
                  </w:r>
                </w:p>
              </w:tc>
            </w:tr>
            <w:tr w14:paraId="0813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3CAC008A">
                  <w:pPr>
                    <w:adjustRightInd w:val="0"/>
                    <w:snapToGrid w:val="0"/>
                    <w:spacing w:line="280" w:lineRule="exact"/>
                    <w:jc w:val="center"/>
                  </w:pPr>
                </w:p>
              </w:tc>
              <w:tc>
                <w:tcPr>
                  <w:tcW w:w="257" w:type="pct"/>
                  <w:vMerge w:val="restart"/>
                  <w:vAlign w:val="center"/>
                </w:tcPr>
                <w:p w14:paraId="2D9D8666">
                  <w:pPr>
                    <w:adjustRightInd w:val="0"/>
                    <w:snapToGrid w:val="0"/>
                    <w:spacing w:line="280" w:lineRule="exact"/>
                    <w:jc w:val="center"/>
                  </w:pPr>
                  <w:r>
                    <w:t>废水治理</w:t>
                  </w:r>
                </w:p>
              </w:tc>
              <w:tc>
                <w:tcPr>
                  <w:tcW w:w="523" w:type="pct"/>
                  <w:vAlign w:val="center"/>
                </w:tcPr>
                <w:p w14:paraId="0F39CFD9">
                  <w:pPr>
                    <w:adjustRightInd w:val="0"/>
                    <w:snapToGrid w:val="0"/>
                    <w:spacing w:line="280" w:lineRule="exact"/>
                    <w:jc w:val="center"/>
                  </w:pPr>
                  <w:r>
                    <w:rPr>
                      <w:szCs w:val="21"/>
                    </w:rPr>
                    <w:t>脱硫废水</w:t>
                  </w:r>
                </w:p>
              </w:tc>
              <w:tc>
                <w:tcPr>
                  <w:tcW w:w="2306" w:type="pct"/>
                  <w:vAlign w:val="center"/>
                </w:tcPr>
                <w:p w14:paraId="37E774AD">
                  <w:pPr>
                    <w:adjustRightInd w:val="0"/>
                    <w:snapToGrid w:val="0"/>
                    <w:spacing w:line="280" w:lineRule="exact"/>
                    <w:jc w:val="center"/>
                  </w:pPr>
                  <w:r>
                    <w:rPr>
                      <w:szCs w:val="21"/>
                    </w:rPr>
                    <w:t>经1座</w:t>
                  </w:r>
                  <w:r>
                    <w:rPr>
                      <w:bCs/>
                      <w:szCs w:val="21"/>
                    </w:rPr>
                    <w:t>1200m</w:t>
                  </w:r>
                  <w:r>
                    <w:rPr>
                      <w:bCs/>
                      <w:szCs w:val="21"/>
                      <w:vertAlign w:val="superscript"/>
                    </w:rPr>
                    <w:t>3</w:t>
                  </w:r>
                  <w:r>
                    <w:rPr>
                      <w:bCs/>
                      <w:szCs w:val="21"/>
                    </w:rPr>
                    <w:t>/h“旋流分离+混凝反应+中和+沉淀”工艺脱硫废水处理系统处理后循环利用</w:t>
                  </w:r>
                </w:p>
              </w:tc>
              <w:tc>
                <w:tcPr>
                  <w:tcW w:w="1471" w:type="pct"/>
                  <w:vAlign w:val="center"/>
                </w:tcPr>
                <w:p w14:paraId="4573D735">
                  <w:pPr>
                    <w:adjustRightInd w:val="0"/>
                    <w:snapToGrid w:val="0"/>
                    <w:spacing w:line="320" w:lineRule="exact"/>
                    <w:jc w:val="center"/>
                  </w:pPr>
                  <w:r>
                    <w:rPr>
                      <w:szCs w:val="21"/>
                    </w:rPr>
                    <w:t>新增</w:t>
                  </w:r>
                </w:p>
              </w:tc>
            </w:tr>
            <w:tr w14:paraId="77BA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374A5BA8">
                  <w:pPr>
                    <w:adjustRightInd w:val="0"/>
                    <w:snapToGrid w:val="0"/>
                    <w:spacing w:line="280" w:lineRule="exact"/>
                    <w:jc w:val="center"/>
                  </w:pPr>
                </w:p>
              </w:tc>
              <w:tc>
                <w:tcPr>
                  <w:tcW w:w="257" w:type="pct"/>
                  <w:vMerge w:val="continue"/>
                  <w:vAlign w:val="center"/>
                </w:tcPr>
                <w:p w14:paraId="3AAAFD5F">
                  <w:pPr>
                    <w:adjustRightInd w:val="0"/>
                    <w:snapToGrid w:val="0"/>
                    <w:spacing w:line="280" w:lineRule="exact"/>
                    <w:jc w:val="center"/>
                  </w:pPr>
                </w:p>
              </w:tc>
              <w:tc>
                <w:tcPr>
                  <w:tcW w:w="523" w:type="pct"/>
                  <w:vAlign w:val="center"/>
                </w:tcPr>
                <w:p w14:paraId="4CC6E7F9">
                  <w:pPr>
                    <w:adjustRightInd w:val="0"/>
                    <w:snapToGrid w:val="0"/>
                    <w:spacing w:line="280" w:lineRule="exact"/>
                    <w:jc w:val="center"/>
                  </w:pPr>
                  <w:r>
                    <w:rPr>
                      <w:szCs w:val="21"/>
                    </w:rPr>
                    <w:t>车辆冲洗废水</w:t>
                  </w:r>
                </w:p>
              </w:tc>
              <w:tc>
                <w:tcPr>
                  <w:tcW w:w="2306" w:type="pct"/>
                  <w:vAlign w:val="center"/>
                </w:tcPr>
                <w:p w14:paraId="05BE19B9">
                  <w:pPr>
                    <w:adjustRightInd w:val="0"/>
                    <w:snapToGrid w:val="0"/>
                    <w:spacing w:line="280" w:lineRule="exact"/>
                    <w:jc w:val="center"/>
                  </w:pPr>
                  <w:r>
                    <w:rPr>
                      <w:szCs w:val="21"/>
                    </w:rPr>
                    <w:t>经1座</w:t>
                  </w:r>
                  <w:r>
                    <w:rPr>
                      <w:bCs/>
                      <w:szCs w:val="21"/>
                    </w:rPr>
                    <w:t>20m</w:t>
                  </w:r>
                  <w:r>
                    <w:rPr>
                      <w:bCs/>
                      <w:szCs w:val="21"/>
                      <w:vertAlign w:val="superscript"/>
                    </w:rPr>
                    <w:t>3</w:t>
                  </w:r>
                  <w:r>
                    <w:rPr>
                      <w:bCs/>
                      <w:szCs w:val="21"/>
                    </w:rPr>
                    <w:t>的沉淀池沉淀后回用于车辆冲洗</w:t>
                  </w:r>
                </w:p>
              </w:tc>
              <w:tc>
                <w:tcPr>
                  <w:tcW w:w="1471" w:type="pct"/>
                  <w:vAlign w:val="center"/>
                </w:tcPr>
                <w:p w14:paraId="68ED6EA6">
                  <w:pPr>
                    <w:adjustRightInd w:val="0"/>
                    <w:snapToGrid w:val="0"/>
                    <w:spacing w:line="320" w:lineRule="exact"/>
                    <w:jc w:val="center"/>
                  </w:pPr>
                  <w:r>
                    <w:rPr>
                      <w:szCs w:val="21"/>
                    </w:rPr>
                    <w:t>利用现有</w:t>
                  </w:r>
                </w:p>
              </w:tc>
            </w:tr>
            <w:tr w14:paraId="340B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5D572268">
                  <w:pPr>
                    <w:adjustRightInd w:val="0"/>
                    <w:snapToGrid w:val="0"/>
                    <w:spacing w:line="280" w:lineRule="exact"/>
                    <w:jc w:val="center"/>
                  </w:pPr>
                </w:p>
              </w:tc>
              <w:tc>
                <w:tcPr>
                  <w:tcW w:w="257" w:type="pct"/>
                  <w:vMerge w:val="continue"/>
                  <w:vAlign w:val="center"/>
                </w:tcPr>
                <w:p w14:paraId="72CFD36F">
                  <w:pPr>
                    <w:adjustRightInd w:val="0"/>
                    <w:snapToGrid w:val="0"/>
                    <w:spacing w:line="280" w:lineRule="exact"/>
                    <w:jc w:val="center"/>
                  </w:pPr>
                </w:p>
              </w:tc>
              <w:tc>
                <w:tcPr>
                  <w:tcW w:w="523" w:type="pct"/>
                  <w:vAlign w:val="center"/>
                </w:tcPr>
                <w:p w14:paraId="29EF397E">
                  <w:pPr>
                    <w:adjustRightInd w:val="0"/>
                    <w:snapToGrid w:val="0"/>
                    <w:spacing w:line="280" w:lineRule="exact"/>
                    <w:jc w:val="center"/>
                    <w:rPr>
                      <w:color w:val="EE0000"/>
                      <w:u w:val="single"/>
                    </w:rPr>
                  </w:pPr>
                  <w:r>
                    <w:rPr>
                      <w:bCs/>
                      <w:color w:val="EE0000"/>
                      <w:szCs w:val="21"/>
                      <w:u w:val="single"/>
                    </w:rPr>
                    <w:t>湿电除尘废水</w:t>
                  </w:r>
                </w:p>
              </w:tc>
              <w:tc>
                <w:tcPr>
                  <w:tcW w:w="2306" w:type="pct"/>
                  <w:vAlign w:val="center"/>
                </w:tcPr>
                <w:p w14:paraId="597D6D77">
                  <w:pPr>
                    <w:adjustRightInd w:val="0"/>
                    <w:snapToGrid w:val="0"/>
                    <w:spacing w:line="280" w:lineRule="exact"/>
                    <w:jc w:val="center"/>
                    <w:rPr>
                      <w:color w:val="EE0000"/>
                      <w:u w:val="single"/>
                    </w:rPr>
                  </w:pPr>
                  <w:r>
                    <w:rPr>
                      <w:color w:val="EE0000"/>
                      <w:szCs w:val="21"/>
                      <w:u w:val="single"/>
                    </w:rPr>
                    <w:t>经2座10m</w:t>
                  </w:r>
                  <w:r>
                    <w:rPr>
                      <w:color w:val="EE0000"/>
                      <w:szCs w:val="21"/>
                      <w:u w:val="single"/>
                      <w:vertAlign w:val="superscript"/>
                    </w:rPr>
                    <w:t>3</w:t>
                  </w:r>
                  <w:r>
                    <w:rPr>
                      <w:color w:val="EE0000"/>
                      <w:szCs w:val="21"/>
                      <w:u w:val="single"/>
                    </w:rPr>
                    <w:t>收集池收集后回用于制砖添加水</w:t>
                  </w:r>
                </w:p>
              </w:tc>
              <w:tc>
                <w:tcPr>
                  <w:tcW w:w="1471" w:type="pct"/>
                  <w:vAlign w:val="center"/>
                </w:tcPr>
                <w:p w14:paraId="3BDD4E24">
                  <w:pPr>
                    <w:adjustRightInd w:val="0"/>
                    <w:snapToGrid w:val="0"/>
                    <w:spacing w:line="320" w:lineRule="exact"/>
                    <w:jc w:val="center"/>
                    <w:rPr>
                      <w:color w:val="EE0000"/>
                      <w:u w:val="single"/>
                    </w:rPr>
                  </w:pPr>
                  <w:r>
                    <w:rPr>
                      <w:color w:val="EE0000"/>
                      <w:szCs w:val="21"/>
                      <w:u w:val="single"/>
                    </w:rPr>
                    <w:t>利用现有一座，新增一座</w:t>
                  </w:r>
                </w:p>
              </w:tc>
            </w:tr>
            <w:tr w14:paraId="429D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04FDDA72">
                  <w:pPr>
                    <w:adjustRightInd w:val="0"/>
                    <w:snapToGrid w:val="0"/>
                    <w:spacing w:line="280" w:lineRule="exact"/>
                    <w:jc w:val="center"/>
                  </w:pPr>
                </w:p>
              </w:tc>
              <w:tc>
                <w:tcPr>
                  <w:tcW w:w="257" w:type="pct"/>
                  <w:vMerge w:val="continue"/>
                  <w:vAlign w:val="center"/>
                </w:tcPr>
                <w:p w14:paraId="19B1ED7B">
                  <w:pPr>
                    <w:adjustRightInd w:val="0"/>
                    <w:snapToGrid w:val="0"/>
                    <w:spacing w:line="280" w:lineRule="exact"/>
                    <w:jc w:val="center"/>
                  </w:pPr>
                </w:p>
              </w:tc>
              <w:tc>
                <w:tcPr>
                  <w:tcW w:w="523" w:type="pct"/>
                  <w:vAlign w:val="center"/>
                </w:tcPr>
                <w:p w14:paraId="59F045A6">
                  <w:pPr>
                    <w:adjustRightInd w:val="0"/>
                    <w:snapToGrid w:val="0"/>
                    <w:spacing w:line="280" w:lineRule="exact"/>
                    <w:jc w:val="center"/>
                  </w:pPr>
                  <w:r>
                    <w:rPr>
                      <w:bCs/>
                      <w:szCs w:val="21"/>
                    </w:rPr>
                    <w:t>生活污水</w:t>
                  </w:r>
                </w:p>
              </w:tc>
              <w:tc>
                <w:tcPr>
                  <w:tcW w:w="2306" w:type="pct"/>
                  <w:vAlign w:val="center"/>
                </w:tcPr>
                <w:p w14:paraId="71ACD375">
                  <w:pPr>
                    <w:adjustRightInd w:val="0"/>
                    <w:snapToGrid w:val="0"/>
                    <w:spacing w:line="280" w:lineRule="exact"/>
                    <w:jc w:val="center"/>
                  </w:pPr>
                  <w:r>
                    <w:rPr>
                      <w:bCs/>
                      <w:szCs w:val="21"/>
                    </w:rPr>
                    <w:t>经隔油池+</w:t>
                  </w:r>
                  <w:r>
                    <w:rPr>
                      <w:szCs w:val="21"/>
                    </w:rPr>
                    <w:t>化粪池处理后用定期清掏肥田</w:t>
                  </w:r>
                </w:p>
              </w:tc>
              <w:tc>
                <w:tcPr>
                  <w:tcW w:w="1471" w:type="pct"/>
                  <w:vAlign w:val="center"/>
                </w:tcPr>
                <w:p w14:paraId="0E392DC3">
                  <w:pPr>
                    <w:adjustRightInd w:val="0"/>
                    <w:snapToGrid w:val="0"/>
                    <w:spacing w:line="320" w:lineRule="exact"/>
                    <w:jc w:val="center"/>
                  </w:pPr>
                  <w:r>
                    <w:rPr>
                      <w:szCs w:val="21"/>
                    </w:rPr>
                    <w:t>利用现有</w:t>
                  </w:r>
                </w:p>
              </w:tc>
            </w:tr>
            <w:tr w14:paraId="4B37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596DE5A5">
                  <w:pPr>
                    <w:adjustRightInd w:val="0"/>
                    <w:snapToGrid w:val="0"/>
                    <w:spacing w:line="280" w:lineRule="exact"/>
                    <w:jc w:val="center"/>
                  </w:pPr>
                </w:p>
              </w:tc>
              <w:tc>
                <w:tcPr>
                  <w:tcW w:w="780" w:type="pct"/>
                  <w:gridSpan w:val="2"/>
                  <w:vAlign w:val="center"/>
                </w:tcPr>
                <w:p w14:paraId="42DCDD39">
                  <w:pPr>
                    <w:adjustRightInd w:val="0"/>
                    <w:snapToGrid w:val="0"/>
                    <w:spacing w:line="280" w:lineRule="exact"/>
                    <w:jc w:val="center"/>
                  </w:pPr>
                  <w:r>
                    <w:t>噪声治理</w:t>
                  </w:r>
                </w:p>
              </w:tc>
              <w:tc>
                <w:tcPr>
                  <w:tcW w:w="2306" w:type="pct"/>
                  <w:vAlign w:val="center"/>
                </w:tcPr>
                <w:p w14:paraId="2E1F99EB">
                  <w:pPr>
                    <w:adjustRightInd w:val="0"/>
                    <w:snapToGrid w:val="0"/>
                    <w:spacing w:line="280" w:lineRule="exact"/>
                    <w:jc w:val="center"/>
                  </w:pPr>
                  <w:r>
                    <w:rPr>
                      <w:bCs/>
                      <w:szCs w:val="21"/>
                    </w:rPr>
                    <w:t>基础减振、消声器、隔声</w:t>
                  </w:r>
                </w:p>
              </w:tc>
              <w:tc>
                <w:tcPr>
                  <w:tcW w:w="1471" w:type="pct"/>
                  <w:vAlign w:val="center"/>
                </w:tcPr>
                <w:p w14:paraId="0D60876B">
                  <w:pPr>
                    <w:adjustRightInd w:val="0"/>
                    <w:snapToGrid w:val="0"/>
                    <w:spacing w:line="320" w:lineRule="exact"/>
                    <w:jc w:val="center"/>
                  </w:pPr>
                  <w:r>
                    <w:rPr>
                      <w:szCs w:val="21"/>
                    </w:rPr>
                    <w:t>新增</w:t>
                  </w:r>
                </w:p>
              </w:tc>
            </w:tr>
            <w:tr w14:paraId="3DE5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397FB31E">
                  <w:pPr>
                    <w:adjustRightInd w:val="0"/>
                    <w:snapToGrid w:val="0"/>
                    <w:spacing w:line="280" w:lineRule="exact"/>
                    <w:jc w:val="center"/>
                  </w:pPr>
                </w:p>
              </w:tc>
              <w:tc>
                <w:tcPr>
                  <w:tcW w:w="257" w:type="pct"/>
                  <w:vMerge w:val="restart"/>
                  <w:vAlign w:val="center"/>
                </w:tcPr>
                <w:p w14:paraId="730750C0">
                  <w:pPr>
                    <w:adjustRightInd w:val="0"/>
                    <w:snapToGrid w:val="0"/>
                    <w:spacing w:line="280" w:lineRule="exact"/>
                    <w:jc w:val="center"/>
                  </w:pPr>
                  <w:r>
                    <w:t>固废处置</w:t>
                  </w:r>
                </w:p>
              </w:tc>
              <w:tc>
                <w:tcPr>
                  <w:tcW w:w="523" w:type="pct"/>
                  <w:vAlign w:val="center"/>
                </w:tcPr>
                <w:p w14:paraId="7AB1C132">
                  <w:pPr>
                    <w:adjustRightInd w:val="0"/>
                    <w:snapToGrid w:val="0"/>
                    <w:spacing w:line="280" w:lineRule="exact"/>
                    <w:jc w:val="center"/>
                    <w:rPr>
                      <w:color w:val="EE0000"/>
                      <w:u w:val="single"/>
                    </w:rPr>
                  </w:pPr>
                  <w:r>
                    <w:rPr>
                      <w:color w:val="EE0000"/>
                      <w:szCs w:val="21"/>
                      <w:u w:val="single"/>
                    </w:rPr>
                    <w:t>一般固废</w:t>
                  </w:r>
                </w:p>
              </w:tc>
              <w:tc>
                <w:tcPr>
                  <w:tcW w:w="2306" w:type="pct"/>
                  <w:vAlign w:val="center"/>
                </w:tcPr>
                <w:p w14:paraId="104D874A">
                  <w:pPr>
                    <w:adjustRightInd w:val="0"/>
                    <w:snapToGrid w:val="0"/>
                    <w:spacing w:line="280" w:lineRule="exact"/>
                    <w:jc w:val="left"/>
                    <w:rPr>
                      <w:color w:val="EE0000"/>
                      <w:u w:val="single"/>
                    </w:rPr>
                  </w:pPr>
                  <w:r>
                    <w:rPr>
                      <w:color w:val="EE0000"/>
                      <w:szCs w:val="21"/>
                      <w:u w:val="single"/>
                    </w:rPr>
                    <w:t>原料库设置1座100m</w:t>
                  </w:r>
                  <w:r>
                    <w:rPr>
                      <w:color w:val="EE0000"/>
                      <w:szCs w:val="21"/>
                      <w:u w:val="single"/>
                      <w:vertAlign w:val="superscript"/>
                    </w:rPr>
                    <w:t>2</w:t>
                  </w:r>
                  <w:r>
                    <w:rPr>
                      <w:color w:val="EE0000"/>
                      <w:szCs w:val="21"/>
                      <w:u w:val="single"/>
                    </w:rPr>
                    <w:t>一般固废暂存区。对不合格产品、脱硫石膏和洗车废水沉淀池污泥进行暂存。其中不合格产品、洗车废水沉淀池污泥及时掺入原料回用，脱硫石膏集中外售综合利用</w:t>
                  </w:r>
                </w:p>
              </w:tc>
              <w:tc>
                <w:tcPr>
                  <w:tcW w:w="1471" w:type="pct"/>
                  <w:vAlign w:val="center"/>
                </w:tcPr>
                <w:p w14:paraId="094BD98F">
                  <w:pPr>
                    <w:adjustRightInd w:val="0"/>
                    <w:snapToGrid w:val="0"/>
                    <w:spacing w:line="320" w:lineRule="exact"/>
                    <w:jc w:val="center"/>
                    <w:rPr>
                      <w:color w:val="EE0000"/>
                      <w:u w:val="single"/>
                    </w:rPr>
                  </w:pPr>
                  <w:r>
                    <w:rPr>
                      <w:color w:val="EE0000"/>
                      <w:szCs w:val="21"/>
                      <w:u w:val="single"/>
                    </w:rPr>
                    <w:t>新增</w:t>
                  </w:r>
                </w:p>
              </w:tc>
            </w:tr>
            <w:tr w14:paraId="146C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05E15B98">
                  <w:pPr>
                    <w:adjustRightInd w:val="0"/>
                    <w:snapToGrid w:val="0"/>
                    <w:spacing w:line="280" w:lineRule="exact"/>
                    <w:jc w:val="center"/>
                  </w:pPr>
                </w:p>
              </w:tc>
              <w:tc>
                <w:tcPr>
                  <w:tcW w:w="257" w:type="pct"/>
                  <w:vMerge w:val="continue"/>
                  <w:vAlign w:val="center"/>
                </w:tcPr>
                <w:p w14:paraId="31839935">
                  <w:pPr>
                    <w:adjustRightInd w:val="0"/>
                    <w:snapToGrid w:val="0"/>
                    <w:spacing w:line="280" w:lineRule="exact"/>
                    <w:jc w:val="center"/>
                  </w:pPr>
                </w:p>
              </w:tc>
              <w:tc>
                <w:tcPr>
                  <w:tcW w:w="523" w:type="pct"/>
                  <w:vAlign w:val="center"/>
                </w:tcPr>
                <w:p w14:paraId="20994891">
                  <w:pPr>
                    <w:adjustRightInd w:val="0"/>
                    <w:snapToGrid w:val="0"/>
                    <w:spacing w:line="280" w:lineRule="exact"/>
                    <w:jc w:val="center"/>
                  </w:pPr>
                  <w:r>
                    <w:rPr>
                      <w:szCs w:val="21"/>
                    </w:rPr>
                    <w:t>危险废物</w:t>
                  </w:r>
                </w:p>
              </w:tc>
              <w:tc>
                <w:tcPr>
                  <w:tcW w:w="2306" w:type="pct"/>
                  <w:vAlign w:val="center"/>
                </w:tcPr>
                <w:p w14:paraId="3381B300">
                  <w:pPr>
                    <w:adjustRightInd w:val="0"/>
                    <w:snapToGrid w:val="0"/>
                    <w:spacing w:line="280" w:lineRule="exact"/>
                    <w:jc w:val="left"/>
                  </w:pPr>
                  <w:r>
                    <w:rPr>
                      <w:szCs w:val="21"/>
                    </w:rPr>
                    <w:t>经1座20m</w:t>
                  </w:r>
                  <w:r>
                    <w:rPr>
                      <w:szCs w:val="21"/>
                      <w:vertAlign w:val="superscript"/>
                    </w:rPr>
                    <w:t>2</w:t>
                  </w:r>
                  <w:r>
                    <w:rPr>
                      <w:szCs w:val="21"/>
                    </w:rPr>
                    <w:t>危废暂存间暂存，定期交由有危废处理资质的单位处理</w:t>
                  </w:r>
                </w:p>
              </w:tc>
              <w:tc>
                <w:tcPr>
                  <w:tcW w:w="1471" w:type="pct"/>
                  <w:vAlign w:val="center"/>
                </w:tcPr>
                <w:p w14:paraId="11BCD60D">
                  <w:pPr>
                    <w:adjustRightInd w:val="0"/>
                    <w:snapToGrid w:val="0"/>
                    <w:spacing w:line="320" w:lineRule="exact"/>
                    <w:jc w:val="center"/>
                  </w:pPr>
                  <w:r>
                    <w:rPr>
                      <w:szCs w:val="21"/>
                    </w:rPr>
                    <w:t>利用现有</w:t>
                  </w:r>
                </w:p>
              </w:tc>
            </w:tr>
            <w:tr w14:paraId="53D8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51DA25F3">
                  <w:pPr>
                    <w:adjustRightInd w:val="0"/>
                    <w:snapToGrid w:val="0"/>
                    <w:spacing w:line="280" w:lineRule="exact"/>
                    <w:jc w:val="center"/>
                  </w:pPr>
                </w:p>
              </w:tc>
              <w:tc>
                <w:tcPr>
                  <w:tcW w:w="257" w:type="pct"/>
                  <w:vMerge w:val="continue"/>
                  <w:vAlign w:val="center"/>
                </w:tcPr>
                <w:p w14:paraId="38EEAA07">
                  <w:pPr>
                    <w:adjustRightInd w:val="0"/>
                    <w:snapToGrid w:val="0"/>
                    <w:spacing w:line="280" w:lineRule="exact"/>
                    <w:jc w:val="center"/>
                  </w:pPr>
                </w:p>
              </w:tc>
              <w:tc>
                <w:tcPr>
                  <w:tcW w:w="523" w:type="pct"/>
                  <w:vAlign w:val="center"/>
                </w:tcPr>
                <w:p w14:paraId="36FDA4B6">
                  <w:pPr>
                    <w:adjustRightInd w:val="0"/>
                    <w:snapToGrid w:val="0"/>
                    <w:spacing w:line="280" w:lineRule="exact"/>
                    <w:jc w:val="center"/>
                  </w:pPr>
                  <w:r>
                    <w:rPr>
                      <w:szCs w:val="21"/>
                    </w:rPr>
                    <w:t>生活垃圾</w:t>
                  </w:r>
                </w:p>
              </w:tc>
              <w:tc>
                <w:tcPr>
                  <w:tcW w:w="2306" w:type="pct"/>
                  <w:vAlign w:val="center"/>
                </w:tcPr>
                <w:p w14:paraId="3BA4AF9C">
                  <w:pPr>
                    <w:adjustRightInd w:val="0"/>
                    <w:snapToGrid w:val="0"/>
                    <w:spacing w:line="280" w:lineRule="exact"/>
                    <w:jc w:val="left"/>
                  </w:pPr>
                  <w:r>
                    <w:rPr>
                      <w:szCs w:val="21"/>
                    </w:rPr>
                    <w:t>经垃圾桶收集后，定期交由环卫部门处理</w:t>
                  </w:r>
                </w:p>
              </w:tc>
              <w:tc>
                <w:tcPr>
                  <w:tcW w:w="1471" w:type="pct"/>
                  <w:vAlign w:val="center"/>
                </w:tcPr>
                <w:p w14:paraId="37F1D72D">
                  <w:pPr>
                    <w:adjustRightInd w:val="0"/>
                    <w:snapToGrid w:val="0"/>
                    <w:spacing w:line="320" w:lineRule="exact"/>
                    <w:jc w:val="center"/>
                  </w:pPr>
                  <w:r>
                    <w:rPr>
                      <w:szCs w:val="21"/>
                    </w:rPr>
                    <w:t>部分利用现有，部分新增</w:t>
                  </w:r>
                </w:p>
              </w:tc>
            </w:tr>
          </w:tbl>
          <w:p w14:paraId="485CDC02">
            <w:pPr>
              <w:autoSpaceDE w:val="0"/>
              <w:autoSpaceDN w:val="0"/>
              <w:adjustRightInd w:val="0"/>
              <w:snapToGrid w:val="0"/>
              <w:spacing w:line="520" w:lineRule="exact"/>
              <w:ind w:firstLine="482" w:firstLineChars="200"/>
              <w:rPr>
                <w:color w:val="EE0000"/>
                <w:sz w:val="24"/>
                <w:u w:val="single"/>
              </w:rPr>
            </w:pPr>
            <w:r>
              <w:rPr>
                <w:b/>
                <w:bCs/>
                <w:color w:val="EE0000"/>
                <w:sz w:val="24"/>
                <w:u w:val="single"/>
              </w:rPr>
              <w:t>原料库依托可行性：</w:t>
            </w:r>
            <w:r>
              <w:rPr>
                <w:color w:val="EE0000"/>
                <w:sz w:val="24"/>
                <w:u w:val="single"/>
              </w:rPr>
              <w:t>三兴建材现有一座60m×35m×12m的原料库，内设1座20m×20m×5m的污泥库。</w:t>
            </w:r>
          </w:p>
          <w:p w14:paraId="62568454">
            <w:pPr>
              <w:autoSpaceDE w:val="0"/>
              <w:autoSpaceDN w:val="0"/>
              <w:adjustRightInd w:val="0"/>
              <w:snapToGrid w:val="0"/>
              <w:spacing w:line="520" w:lineRule="exact"/>
              <w:ind w:firstLine="480" w:firstLineChars="200"/>
              <w:rPr>
                <w:color w:val="EE0000"/>
                <w:sz w:val="24"/>
                <w:u w:val="single"/>
              </w:rPr>
            </w:pPr>
            <w:r>
              <w:rPr>
                <w:color w:val="EE0000"/>
                <w:sz w:val="24"/>
                <w:u w:val="single"/>
              </w:rPr>
              <w:t>原料库中煤矸石、建筑垃圾储存面积为1700m</w:t>
            </w:r>
            <w:r>
              <w:rPr>
                <w:color w:val="EE0000"/>
                <w:sz w:val="24"/>
                <w:u w:val="single"/>
                <w:vertAlign w:val="superscript"/>
              </w:rPr>
              <w:t>2</w:t>
            </w:r>
            <w:r>
              <w:rPr>
                <w:color w:val="EE0000"/>
                <w:sz w:val="24"/>
                <w:u w:val="single"/>
              </w:rPr>
              <w:t>、高12m，考虑物料中转、装卸空间及预留高度等，有效容积系数取0.5，即原料库的有效容积（V有效）=理论容积×有效容积系数=25200m</w:t>
            </w:r>
            <w:r>
              <w:rPr>
                <w:color w:val="EE0000"/>
                <w:sz w:val="24"/>
                <w:u w:val="single"/>
                <w:vertAlign w:val="superscript"/>
              </w:rPr>
              <w:t>3</w:t>
            </w:r>
            <w:r>
              <w:rPr>
                <w:color w:val="EE0000"/>
                <w:sz w:val="24"/>
                <w:u w:val="single"/>
              </w:rPr>
              <w:t>×0.5=12600m</w:t>
            </w:r>
            <w:r>
              <w:rPr>
                <w:color w:val="EE0000"/>
                <w:sz w:val="24"/>
                <w:u w:val="single"/>
                <w:vertAlign w:val="superscript"/>
              </w:rPr>
              <w:t>3</w:t>
            </w:r>
            <w:r>
              <w:rPr>
                <w:color w:val="EE0000"/>
                <w:sz w:val="24"/>
                <w:u w:val="single"/>
              </w:rPr>
              <w:t>。各原料单独堆积密度参考：煤矸石1.3~1.5t/m³、建筑垃圾1.4~1.6t/m³，堆积密度取中间值，根据原料配比核算综合堆积密度为1.4t/m³，则原料库可储存约17640t物料，可储存项目约23天的煤矸石、建筑垃圾用量，原料库依托原有可行。</w:t>
            </w:r>
          </w:p>
          <w:p w14:paraId="4F47DB77">
            <w:pPr>
              <w:autoSpaceDE w:val="0"/>
              <w:autoSpaceDN w:val="0"/>
              <w:adjustRightInd w:val="0"/>
              <w:snapToGrid w:val="0"/>
              <w:spacing w:line="520" w:lineRule="exact"/>
              <w:ind w:firstLine="480" w:firstLineChars="200"/>
              <w:rPr>
                <w:rFonts w:eastAsia="黑体"/>
                <w:sz w:val="24"/>
              </w:rPr>
            </w:pPr>
            <w:r>
              <w:rPr>
                <w:color w:val="EE0000"/>
                <w:sz w:val="24"/>
                <w:u w:val="single"/>
              </w:rPr>
              <w:t>污泥库储存面积20m×20m×5m，考虑物料中转、装卸空间及预留高度等，有效容积系数取0.5，即污泥库的有效容积（V有效）=理论容积×有效容积系数=2000m</w:t>
            </w:r>
            <w:r>
              <w:rPr>
                <w:color w:val="EE0000"/>
                <w:sz w:val="24"/>
                <w:u w:val="single"/>
                <w:vertAlign w:val="superscript"/>
              </w:rPr>
              <w:t>3</w:t>
            </w:r>
            <w:r>
              <w:rPr>
                <w:color w:val="EE0000"/>
                <w:sz w:val="24"/>
                <w:u w:val="single"/>
              </w:rPr>
              <w:t>×0.5=1000m</w:t>
            </w:r>
            <w:r>
              <w:rPr>
                <w:color w:val="EE0000"/>
                <w:sz w:val="24"/>
                <w:u w:val="single"/>
                <w:vertAlign w:val="superscript"/>
              </w:rPr>
              <w:t>3</w:t>
            </w:r>
            <w:r>
              <w:rPr>
                <w:color w:val="EE0000"/>
                <w:sz w:val="24"/>
                <w:u w:val="single"/>
              </w:rPr>
              <w:t>。污泥堆积密度1.1~1.3t/m³，评价取1.1t/m³，则污泥库堆存量为1100t，可储存项目约24天的污泥用量，污泥库依托原有可行。</w:t>
            </w:r>
          </w:p>
          <w:p w14:paraId="0017F563">
            <w:pPr>
              <w:autoSpaceDE w:val="0"/>
              <w:autoSpaceDN w:val="0"/>
              <w:adjustRightInd w:val="0"/>
              <w:snapToGrid w:val="0"/>
              <w:spacing w:line="520" w:lineRule="exact"/>
              <w:ind w:firstLine="482" w:firstLineChars="200"/>
              <w:rPr>
                <w:color w:val="EE0000"/>
                <w:sz w:val="24"/>
                <w:u w:val="single"/>
              </w:rPr>
            </w:pPr>
            <w:r>
              <w:rPr>
                <w:b/>
                <w:bCs/>
                <w:color w:val="EE0000"/>
                <w:sz w:val="24"/>
                <w:u w:val="single"/>
              </w:rPr>
              <w:t>陈化库依托可行性：</w:t>
            </w:r>
            <w:r>
              <w:rPr>
                <w:color w:val="EE0000"/>
                <w:sz w:val="24"/>
                <w:u w:val="single"/>
              </w:rPr>
              <w:t>三兴建材现有一座66m×20m×10m的原料库陈化库，考虑物料中转、装卸空间及预留高度等，陈化库的有效容积系数取0.5，即陈化库的有效容积（V有效）=理论容积×有效容积系数=13200m</w:t>
            </w:r>
            <w:r>
              <w:rPr>
                <w:color w:val="EE0000"/>
                <w:sz w:val="24"/>
                <w:u w:val="single"/>
                <w:vertAlign w:val="superscript"/>
              </w:rPr>
              <w:t>3</w:t>
            </w:r>
            <w:r>
              <w:rPr>
                <w:color w:val="EE0000"/>
                <w:sz w:val="24"/>
                <w:u w:val="single"/>
              </w:rPr>
              <w:t>×0.5=6600m</w:t>
            </w:r>
            <w:r>
              <w:rPr>
                <w:color w:val="EE0000"/>
                <w:sz w:val="24"/>
                <w:u w:val="single"/>
                <w:vertAlign w:val="superscript"/>
              </w:rPr>
              <w:t>3</w:t>
            </w:r>
            <w:r>
              <w:rPr>
                <w:color w:val="EE0000"/>
                <w:sz w:val="24"/>
                <w:u w:val="single"/>
              </w:rPr>
              <w:t>。陈化物料含水率约13%，各原料单独堆积密度参考（破碎、筛分、加水后工况）：煤矸石1.4~1.6t/m³、建筑垃圾1.5~1.7t/m³、污泥1.1~1.3t/m³，堆积密度取中间值，根据原料配比核算综合堆积密度为1.5t/m³，则陈化库可陈化约9900t物料，物料陈化时间72h，全年生产时间7920h，可陈化物料批次为110批次/年，可陈化物料量约为108.9万吨/年，本项目原料用量为26.4万吨/年，经破碎、筛分、加水一次搅拌后陈化物料量约为27.98万吨/年，原料库可满足项目陈化需求，依托可行。</w:t>
            </w:r>
          </w:p>
          <w:p w14:paraId="5A38EBD6">
            <w:pPr>
              <w:autoSpaceDE w:val="0"/>
              <w:autoSpaceDN w:val="0"/>
              <w:adjustRightInd w:val="0"/>
              <w:snapToGrid w:val="0"/>
              <w:spacing w:line="520" w:lineRule="exact"/>
              <w:rPr>
                <w:rFonts w:eastAsia="黑体"/>
                <w:sz w:val="24"/>
              </w:rPr>
            </w:pPr>
            <w:r>
              <w:rPr>
                <w:rFonts w:eastAsia="黑体"/>
                <w:sz w:val="24"/>
              </w:rPr>
              <w:t>4、产品方案</w:t>
            </w:r>
          </w:p>
          <w:p w14:paraId="62450592">
            <w:pPr>
              <w:adjustRightInd w:val="0"/>
              <w:snapToGrid w:val="0"/>
              <w:spacing w:line="520" w:lineRule="exact"/>
              <w:ind w:firstLine="480" w:firstLineChars="200"/>
              <w:jc w:val="left"/>
              <w:rPr>
                <w:sz w:val="24"/>
              </w:rPr>
            </w:pPr>
            <w:r>
              <w:rPr>
                <w:sz w:val="24"/>
              </w:rPr>
              <w:t>本项目由三兴建材和六和建材合并重组而成，整合前三兴建材产能为6000万块标砖/年，六和建材产能为6000万块标砖/年，整合后产能为1.2亿块标砖/年，不新增产能。项目产品尺寸允许偏差、外观质量、密度等级、强度等级、孔型孔结构及孔洞率等技术指标均满足《烧结多孔砖和多孔砌块》（GB13544-2011）中相关质量要求，具体产品方案见表2-2：</w:t>
            </w:r>
          </w:p>
          <w:p w14:paraId="54BC578B">
            <w:pPr>
              <w:adjustRightInd w:val="0"/>
              <w:snapToGrid w:val="0"/>
              <w:spacing w:line="520" w:lineRule="exact"/>
              <w:jc w:val="center"/>
              <w:rPr>
                <w:rFonts w:eastAsia="黑体"/>
                <w:bCs/>
                <w:sz w:val="24"/>
              </w:rPr>
            </w:pPr>
            <w:r>
              <w:rPr>
                <w:rFonts w:eastAsia="黑体"/>
                <w:bCs/>
                <w:sz w:val="24"/>
              </w:rPr>
              <w:t>表2-2      项目产品方案</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828"/>
              <w:gridCol w:w="1772"/>
              <w:gridCol w:w="1601"/>
              <w:gridCol w:w="1669"/>
            </w:tblGrid>
            <w:tr w14:paraId="2C8C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7" w:type="pct"/>
                  <w:vMerge w:val="restart"/>
                  <w:vAlign w:val="center"/>
                </w:tcPr>
                <w:p w14:paraId="6FB633C9">
                  <w:pPr>
                    <w:jc w:val="center"/>
                    <w:rPr>
                      <w:kern w:val="0"/>
                      <w:szCs w:val="21"/>
                    </w:rPr>
                  </w:pPr>
                  <w:r>
                    <w:rPr>
                      <w:kern w:val="0"/>
                      <w:szCs w:val="21"/>
                    </w:rPr>
                    <w:t>产品名称</w:t>
                  </w:r>
                </w:p>
              </w:tc>
              <w:tc>
                <w:tcPr>
                  <w:tcW w:w="1081" w:type="pct"/>
                  <w:vMerge w:val="restart"/>
                  <w:vAlign w:val="center"/>
                </w:tcPr>
                <w:p w14:paraId="3BEDA59F">
                  <w:pPr>
                    <w:jc w:val="center"/>
                    <w:rPr>
                      <w:kern w:val="0"/>
                      <w:szCs w:val="21"/>
                    </w:rPr>
                  </w:pPr>
                  <w:r>
                    <w:rPr>
                      <w:kern w:val="0"/>
                      <w:szCs w:val="21"/>
                    </w:rPr>
                    <w:t>规格(mm)</w:t>
                  </w:r>
                </w:p>
              </w:tc>
              <w:tc>
                <w:tcPr>
                  <w:tcW w:w="1048" w:type="pct"/>
                  <w:vMerge w:val="restart"/>
                  <w:vAlign w:val="center"/>
                </w:tcPr>
                <w:p w14:paraId="26F7AB7E">
                  <w:pPr>
                    <w:jc w:val="center"/>
                    <w:rPr>
                      <w:kern w:val="0"/>
                      <w:szCs w:val="21"/>
                    </w:rPr>
                  </w:pPr>
                  <w:r>
                    <w:rPr>
                      <w:kern w:val="0"/>
                      <w:szCs w:val="21"/>
                    </w:rPr>
                    <w:t>重量（kg）</w:t>
                  </w:r>
                </w:p>
              </w:tc>
              <w:tc>
                <w:tcPr>
                  <w:tcW w:w="1934" w:type="pct"/>
                  <w:gridSpan w:val="2"/>
                  <w:vAlign w:val="center"/>
                </w:tcPr>
                <w:p w14:paraId="067AB560">
                  <w:pPr>
                    <w:jc w:val="center"/>
                    <w:rPr>
                      <w:kern w:val="0"/>
                      <w:szCs w:val="21"/>
                    </w:rPr>
                  </w:pPr>
                  <w:r>
                    <w:rPr>
                      <w:kern w:val="0"/>
                      <w:szCs w:val="21"/>
                    </w:rPr>
                    <w:t>产量</w:t>
                  </w:r>
                </w:p>
              </w:tc>
            </w:tr>
            <w:tr w14:paraId="058B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37" w:type="pct"/>
                  <w:vMerge w:val="continue"/>
                  <w:vAlign w:val="center"/>
                </w:tcPr>
                <w:p w14:paraId="351F877C">
                  <w:pPr>
                    <w:jc w:val="center"/>
                    <w:rPr>
                      <w:kern w:val="0"/>
                      <w:szCs w:val="21"/>
                    </w:rPr>
                  </w:pPr>
                </w:p>
              </w:tc>
              <w:tc>
                <w:tcPr>
                  <w:tcW w:w="1081" w:type="pct"/>
                  <w:vMerge w:val="continue"/>
                  <w:vAlign w:val="center"/>
                </w:tcPr>
                <w:p w14:paraId="159D73E5">
                  <w:pPr>
                    <w:jc w:val="center"/>
                    <w:rPr>
                      <w:kern w:val="0"/>
                      <w:szCs w:val="21"/>
                    </w:rPr>
                  </w:pPr>
                </w:p>
              </w:tc>
              <w:tc>
                <w:tcPr>
                  <w:tcW w:w="1048" w:type="pct"/>
                  <w:vMerge w:val="continue"/>
                  <w:vAlign w:val="center"/>
                </w:tcPr>
                <w:p w14:paraId="5473D57B">
                  <w:pPr>
                    <w:jc w:val="center"/>
                    <w:rPr>
                      <w:kern w:val="0"/>
                      <w:szCs w:val="21"/>
                    </w:rPr>
                  </w:pPr>
                </w:p>
              </w:tc>
              <w:tc>
                <w:tcPr>
                  <w:tcW w:w="947" w:type="pct"/>
                  <w:vAlign w:val="center"/>
                </w:tcPr>
                <w:p w14:paraId="7AD1BFD9">
                  <w:pPr>
                    <w:jc w:val="center"/>
                    <w:rPr>
                      <w:kern w:val="0"/>
                      <w:szCs w:val="21"/>
                    </w:rPr>
                  </w:pPr>
                  <w:r>
                    <w:rPr>
                      <w:kern w:val="0"/>
                      <w:szCs w:val="21"/>
                    </w:rPr>
                    <w:t>实际产量</w:t>
                  </w:r>
                </w:p>
              </w:tc>
              <w:tc>
                <w:tcPr>
                  <w:tcW w:w="987" w:type="pct"/>
                  <w:vAlign w:val="center"/>
                </w:tcPr>
                <w:p w14:paraId="5BB9E4D0">
                  <w:pPr>
                    <w:jc w:val="center"/>
                    <w:rPr>
                      <w:kern w:val="0"/>
                      <w:szCs w:val="21"/>
                    </w:rPr>
                  </w:pPr>
                  <w:r>
                    <w:rPr>
                      <w:kern w:val="0"/>
                      <w:szCs w:val="21"/>
                    </w:rPr>
                    <w:t>折标砖产量</w:t>
                  </w:r>
                </w:p>
              </w:tc>
            </w:tr>
            <w:tr w14:paraId="18A8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37" w:type="pct"/>
                  <w:vAlign w:val="center"/>
                </w:tcPr>
                <w:p w14:paraId="60FD97A4">
                  <w:pPr>
                    <w:jc w:val="center"/>
                    <w:rPr>
                      <w:kern w:val="0"/>
                      <w:szCs w:val="21"/>
                    </w:rPr>
                  </w:pPr>
                  <w:r>
                    <w:rPr>
                      <w:kern w:val="0"/>
                      <w:szCs w:val="21"/>
                    </w:rPr>
                    <w:t>烧结多孔砖</w:t>
                  </w:r>
                </w:p>
              </w:tc>
              <w:tc>
                <w:tcPr>
                  <w:tcW w:w="1081" w:type="pct"/>
                  <w:vAlign w:val="center"/>
                </w:tcPr>
                <w:p w14:paraId="7BAF530E">
                  <w:pPr>
                    <w:jc w:val="center"/>
                    <w:rPr>
                      <w:kern w:val="0"/>
                      <w:szCs w:val="21"/>
                    </w:rPr>
                  </w:pPr>
                  <w:r>
                    <w:rPr>
                      <w:kern w:val="0"/>
                      <w:szCs w:val="21"/>
                    </w:rPr>
                    <w:t>240×115×90</w:t>
                  </w:r>
                </w:p>
              </w:tc>
              <w:tc>
                <w:tcPr>
                  <w:tcW w:w="1048" w:type="pct"/>
                  <w:vAlign w:val="center"/>
                </w:tcPr>
                <w:p w14:paraId="1012302F">
                  <w:pPr>
                    <w:jc w:val="center"/>
                    <w:rPr>
                      <w:kern w:val="0"/>
                      <w:szCs w:val="21"/>
                    </w:rPr>
                  </w:pPr>
                  <w:r>
                    <w:rPr>
                      <w:kern w:val="0"/>
                      <w:szCs w:val="21"/>
                    </w:rPr>
                    <w:t>3.2</w:t>
                  </w:r>
                </w:p>
              </w:tc>
              <w:tc>
                <w:tcPr>
                  <w:tcW w:w="947" w:type="pct"/>
                  <w:vAlign w:val="center"/>
                </w:tcPr>
                <w:p w14:paraId="24CF245D">
                  <w:pPr>
                    <w:jc w:val="center"/>
                    <w:rPr>
                      <w:kern w:val="0"/>
                      <w:szCs w:val="21"/>
                    </w:rPr>
                  </w:pPr>
                  <w:r>
                    <w:rPr>
                      <w:kern w:val="0"/>
                      <w:szCs w:val="21"/>
                    </w:rPr>
                    <w:t>4706万块</w:t>
                  </w:r>
                </w:p>
              </w:tc>
              <w:tc>
                <w:tcPr>
                  <w:tcW w:w="987" w:type="pct"/>
                  <w:vAlign w:val="center"/>
                </w:tcPr>
                <w:p w14:paraId="39B2BA7C">
                  <w:pPr>
                    <w:jc w:val="center"/>
                    <w:rPr>
                      <w:kern w:val="0"/>
                      <w:szCs w:val="21"/>
                    </w:rPr>
                  </w:pPr>
                  <w:r>
                    <w:rPr>
                      <w:kern w:val="0"/>
                      <w:szCs w:val="21"/>
                    </w:rPr>
                    <w:t>8000万块</w:t>
                  </w:r>
                </w:p>
              </w:tc>
            </w:tr>
            <w:tr w14:paraId="3448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37" w:type="pct"/>
                  <w:vAlign w:val="center"/>
                </w:tcPr>
                <w:p w14:paraId="2443B0C8">
                  <w:pPr>
                    <w:jc w:val="center"/>
                    <w:rPr>
                      <w:kern w:val="0"/>
                      <w:szCs w:val="21"/>
                    </w:rPr>
                  </w:pPr>
                  <w:r>
                    <w:rPr>
                      <w:kern w:val="0"/>
                      <w:szCs w:val="21"/>
                    </w:rPr>
                    <w:t>烧结多孔砌块</w:t>
                  </w:r>
                </w:p>
              </w:tc>
              <w:tc>
                <w:tcPr>
                  <w:tcW w:w="1081" w:type="pct"/>
                  <w:vAlign w:val="center"/>
                </w:tcPr>
                <w:p w14:paraId="53E1A0A0">
                  <w:pPr>
                    <w:jc w:val="center"/>
                    <w:rPr>
                      <w:kern w:val="0"/>
                      <w:szCs w:val="21"/>
                    </w:rPr>
                  </w:pPr>
                  <w:r>
                    <w:rPr>
                      <w:kern w:val="0"/>
                      <w:szCs w:val="21"/>
                    </w:rPr>
                    <w:t>300×300×200</w:t>
                  </w:r>
                </w:p>
              </w:tc>
              <w:tc>
                <w:tcPr>
                  <w:tcW w:w="1048" w:type="pct"/>
                  <w:vAlign w:val="center"/>
                </w:tcPr>
                <w:p w14:paraId="11DC0E44">
                  <w:pPr>
                    <w:jc w:val="center"/>
                    <w:rPr>
                      <w:kern w:val="0"/>
                      <w:szCs w:val="21"/>
                    </w:rPr>
                  </w:pPr>
                  <w:r>
                    <w:rPr>
                      <w:kern w:val="0"/>
                      <w:szCs w:val="21"/>
                    </w:rPr>
                    <w:t>23</w:t>
                  </w:r>
                </w:p>
              </w:tc>
              <w:tc>
                <w:tcPr>
                  <w:tcW w:w="947" w:type="pct"/>
                  <w:vAlign w:val="center"/>
                </w:tcPr>
                <w:p w14:paraId="421C0F02">
                  <w:pPr>
                    <w:jc w:val="center"/>
                    <w:rPr>
                      <w:kern w:val="0"/>
                      <w:szCs w:val="21"/>
                    </w:rPr>
                  </w:pPr>
                  <w:r>
                    <w:rPr>
                      <w:kern w:val="0"/>
                      <w:szCs w:val="21"/>
                    </w:rPr>
                    <w:t>325万块</w:t>
                  </w:r>
                </w:p>
              </w:tc>
              <w:tc>
                <w:tcPr>
                  <w:tcW w:w="987" w:type="pct"/>
                  <w:vAlign w:val="center"/>
                </w:tcPr>
                <w:p w14:paraId="4978A46E">
                  <w:pPr>
                    <w:jc w:val="center"/>
                    <w:rPr>
                      <w:kern w:val="0"/>
                      <w:szCs w:val="21"/>
                    </w:rPr>
                  </w:pPr>
                  <w:r>
                    <w:rPr>
                      <w:kern w:val="0"/>
                      <w:szCs w:val="21"/>
                    </w:rPr>
                    <w:t>4000万块</w:t>
                  </w:r>
                </w:p>
              </w:tc>
            </w:tr>
            <w:tr w14:paraId="577B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5000" w:type="pct"/>
                  <w:gridSpan w:val="5"/>
                  <w:vAlign w:val="center"/>
                </w:tcPr>
                <w:p w14:paraId="7B99D48A">
                  <w:pPr>
                    <w:jc w:val="left"/>
                    <w:rPr>
                      <w:kern w:val="0"/>
                      <w:szCs w:val="21"/>
                    </w:rPr>
                  </w:pPr>
                  <w:r>
                    <w:rPr>
                      <w:kern w:val="0"/>
                      <w:szCs w:val="21"/>
                    </w:rPr>
                    <w:t>产品总重量约22.53万吨。</w:t>
                  </w:r>
                </w:p>
              </w:tc>
            </w:tr>
          </w:tbl>
          <w:p w14:paraId="11D93A1B">
            <w:pPr>
              <w:autoSpaceDE w:val="0"/>
              <w:autoSpaceDN w:val="0"/>
              <w:adjustRightInd w:val="0"/>
              <w:snapToGrid w:val="0"/>
              <w:spacing w:line="520" w:lineRule="exact"/>
              <w:rPr>
                <w:rFonts w:eastAsia="黑体"/>
                <w:sz w:val="24"/>
              </w:rPr>
            </w:pPr>
            <w:r>
              <w:rPr>
                <w:rFonts w:eastAsia="黑体"/>
                <w:sz w:val="24"/>
              </w:rPr>
              <w:t>5、原辅材料、能源消耗量</w:t>
            </w:r>
          </w:p>
          <w:p w14:paraId="49026691">
            <w:pPr>
              <w:adjustRightInd w:val="0"/>
              <w:snapToGrid w:val="0"/>
              <w:spacing w:line="520" w:lineRule="exact"/>
              <w:jc w:val="left"/>
              <w:rPr>
                <w:rFonts w:eastAsia="黑体"/>
                <w:sz w:val="24"/>
              </w:rPr>
            </w:pPr>
            <w:r>
              <w:rPr>
                <w:rFonts w:eastAsia="黑体"/>
                <w:sz w:val="24"/>
              </w:rPr>
              <w:t>5.1主要原辅材料消耗情况</w:t>
            </w:r>
          </w:p>
          <w:p w14:paraId="4F24E5DC">
            <w:pPr>
              <w:adjustRightInd w:val="0"/>
              <w:snapToGrid w:val="0"/>
              <w:spacing w:line="520" w:lineRule="exact"/>
              <w:ind w:firstLine="480" w:firstLineChars="200"/>
              <w:jc w:val="left"/>
              <w:rPr>
                <w:sz w:val="24"/>
              </w:rPr>
            </w:pPr>
            <w:r>
              <w:rPr>
                <w:sz w:val="24"/>
              </w:rPr>
              <w:t>项目重组改造后全厂主要原辅材料及能源消耗情况见表2-3：</w:t>
            </w:r>
          </w:p>
          <w:p w14:paraId="5596D016">
            <w:pPr>
              <w:adjustRightInd w:val="0"/>
              <w:snapToGrid w:val="0"/>
              <w:spacing w:line="520" w:lineRule="exact"/>
              <w:jc w:val="center"/>
              <w:rPr>
                <w:rFonts w:eastAsia="黑体"/>
                <w:bCs/>
                <w:sz w:val="24"/>
              </w:rPr>
            </w:pPr>
            <w:r>
              <w:rPr>
                <w:rFonts w:eastAsia="黑体"/>
                <w:bCs/>
                <w:sz w:val="24"/>
              </w:rPr>
              <w:t>表2-3     项目主要原辅材料及能源消耗一览表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131"/>
              <w:gridCol w:w="1588"/>
              <w:gridCol w:w="1733"/>
              <w:gridCol w:w="3355"/>
            </w:tblGrid>
            <w:tr w14:paraId="75D3AB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384" w:type="pct"/>
                  <w:vAlign w:val="center"/>
                </w:tcPr>
                <w:p w14:paraId="0E5300A0">
                  <w:pPr>
                    <w:adjustRightInd w:val="0"/>
                    <w:snapToGrid w:val="0"/>
                    <w:jc w:val="center"/>
                    <w:rPr>
                      <w:bCs/>
                      <w:szCs w:val="21"/>
                    </w:rPr>
                  </w:pPr>
                  <w:r>
                    <w:rPr>
                      <w:bCs/>
                      <w:szCs w:val="21"/>
                    </w:rPr>
                    <w:t>序号</w:t>
                  </w:r>
                </w:p>
              </w:tc>
              <w:tc>
                <w:tcPr>
                  <w:tcW w:w="669" w:type="pct"/>
                  <w:vAlign w:val="center"/>
                </w:tcPr>
                <w:p w14:paraId="214BBB64">
                  <w:pPr>
                    <w:adjustRightInd w:val="0"/>
                    <w:snapToGrid w:val="0"/>
                    <w:jc w:val="center"/>
                    <w:rPr>
                      <w:bCs/>
                      <w:szCs w:val="21"/>
                    </w:rPr>
                  </w:pPr>
                  <w:r>
                    <w:rPr>
                      <w:bCs/>
                      <w:szCs w:val="21"/>
                    </w:rPr>
                    <w:t>名称</w:t>
                  </w:r>
                </w:p>
              </w:tc>
              <w:tc>
                <w:tcPr>
                  <w:tcW w:w="939" w:type="pct"/>
                  <w:tcBorders>
                    <w:left w:val="single" w:color="auto" w:sz="4" w:space="0"/>
                  </w:tcBorders>
                  <w:vAlign w:val="center"/>
                </w:tcPr>
                <w:p w14:paraId="2F1504E7">
                  <w:pPr>
                    <w:adjustRightInd w:val="0"/>
                    <w:snapToGrid w:val="0"/>
                    <w:jc w:val="center"/>
                    <w:rPr>
                      <w:bCs/>
                      <w:szCs w:val="21"/>
                    </w:rPr>
                  </w:pPr>
                  <w:r>
                    <w:rPr>
                      <w:bCs/>
                      <w:szCs w:val="21"/>
                    </w:rPr>
                    <w:t>用量</w:t>
                  </w:r>
                </w:p>
              </w:tc>
              <w:tc>
                <w:tcPr>
                  <w:tcW w:w="1025" w:type="pct"/>
                  <w:vAlign w:val="center"/>
                </w:tcPr>
                <w:p w14:paraId="31106FE4">
                  <w:pPr>
                    <w:adjustRightInd w:val="0"/>
                    <w:snapToGrid w:val="0"/>
                    <w:jc w:val="center"/>
                    <w:rPr>
                      <w:bCs/>
                      <w:szCs w:val="21"/>
                    </w:rPr>
                  </w:pPr>
                  <w:r>
                    <w:rPr>
                      <w:bCs/>
                      <w:szCs w:val="21"/>
                    </w:rPr>
                    <w:t>储存方式</w:t>
                  </w:r>
                </w:p>
              </w:tc>
              <w:tc>
                <w:tcPr>
                  <w:tcW w:w="1983" w:type="pct"/>
                  <w:vAlign w:val="center"/>
                </w:tcPr>
                <w:p w14:paraId="490F94FE">
                  <w:pPr>
                    <w:adjustRightInd w:val="0"/>
                    <w:snapToGrid w:val="0"/>
                    <w:jc w:val="center"/>
                    <w:rPr>
                      <w:bCs/>
                      <w:szCs w:val="21"/>
                    </w:rPr>
                  </w:pPr>
                  <w:r>
                    <w:rPr>
                      <w:bCs/>
                      <w:szCs w:val="21"/>
                    </w:rPr>
                    <w:t>备注</w:t>
                  </w:r>
                </w:p>
              </w:tc>
            </w:tr>
            <w:tr w14:paraId="1F49D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384" w:type="pct"/>
                  <w:vAlign w:val="center"/>
                </w:tcPr>
                <w:p w14:paraId="4739C5E7">
                  <w:pPr>
                    <w:adjustRightInd w:val="0"/>
                    <w:snapToGrid w:val="0"/>
                    <w:jc w:val="center"/>
                    <w:rPr>
                      <w:bCs/>
                      <w:szCs w:val="21"/>
                    </w:rPr>
                  </w:pPr>
                  <w:r>
                    <w:rPr>
                      <w:bCs/>
                      <w:szCs w:val="21"/>
                    </w:rPr>
                    <w:t>1</w:t>
                  </w:r>
                </w:p>
              </w:tc>
              <w:tc>
                <w:tcPr>
                  <w:tcW w:w="669" w:type="pct"/>
                  <w:vAlign w:val="center"/>
                </w:tcPr>
                <w:p w14:paraId="0E6A10A1">
                  <w:pPr>
                    <w:adjustRightInd w:val="0"/>
                    <w:snapToGrid w:val="0"/>
                    <w:jc w:val="center"/>
                    <w:rPr>
                      <w:bCs/>
                      <w:szCs w:val="21"/>
                    </w:rPr>
                  </w:pPr>
                  <w:r>
                    <w:rPr>
                      <w:bCs/>
                      <w:szCs w:val="21"/>
                    </w:rPr>
                    <w:t>煤矸石</w:t>
                  </w:r>
                </w:p>
              </w:tc>
              <w:tc>
                <w:tcPr>
                  <w:tcW w:w="939" w:type="pct"/>
                  <w:vAlign w:val="center"/>
                </w:tcPr>
                <w:p w14:paraId="0BDA1B61">
                  <w:pPr>
                    <w:adjustRightInd w:val="0"/>
                    <w:snapToGrid w:val="0"/>
                    <w:jc w:val="center"/>
                    <w:rPr>
                      <w:bCs/>
                      <w:szCs w:val="21"/>
                    </w:rPr>
                  </w:pPr>
                  <w:r>
                    <w:rPr>
                      <w:bCs/>
                      <w:szCs w:val="21"/>
                    </w:rPr>
                    <w:t>20.7万t/a</w:t>
                  </w:r>
                </w:p>
              </w:tc>
              <w:tc>
                <w:tcPr>
                  <w:tcW w:w="1025" w:type="pct"/>
                  <w:vAlign w:val="center"/>
                </w:tcPr>
                <w:p w14:paraId="6DA7788F">
                  <w:pPr>
                    <w:adjustRightInd w:val="0"/>
                    <w:snapToGrid w:val="0"/>
                    <w:jc w:val="center"/>
                    <w:rPr>
                      <w:bCs/>
                      <w:szCs w:val="21"/>
                    </w:rPr>
                  </w:pPr>
                  <w:r>
                    <w:rPr>
                      <w:bCs/>
                      <w:szCs w:val="21"/>
                    </w:rPr>
                    <w:t>封闭原料库储存</w:t>
                  </w:r>
                </w:p>
              </w:tc>
              <w:tc>
                <w:tcPr>
                  <w:tcW w:w="1983" w:type="pct"/>
                  <w:vAlign w:val="center"/>
                </w:tcPr>
                <w:p w14:paraId="7D2C15B6">
                  <w:pPr>
                    <w:adjustRightInd w:val="0"/>
                    <w:snapToGrid w:val="0"/>
                    <w:jc w:val="center"/>
                    <w:rPr>
                      <w:bCs/>
                      <w:szCs w:val="21"/>
                    </w:rPr>
                  </w:pPr>
                  <w:r>
                    <w:rPr>
                      <w:bCs/>
                      <w:szCs w:val="21"/>
                    </w:rPr>
                    <w:t>来源于平顶山市豫通商贸有限公司</w:t>
                  </w:r>
                </w:p>
              </w:tc>
            </w:tr>
            <w:tr w14:paraId="044DE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exact"/>
              </w:trPr>
              <w:tc>
                <w:tcPr>
                  <w:tcW w:w="384" w:type="pct"/>
                  <w:vAlign w:val="center"/>
                </w:tcPr>
                <w:p w14:paraId="6FA3D8E6">
                  <w:pPr>
                    <w:adjustRightInd w:val="0"/>
                    <w:snapToGrid w:val="0"/>
                    <w:jc w:val="center"/>
                    <w:rPr>
                      <w:bCs/>
                      <w:color w:val="FF0000"/>
                      <w:szCs w:val="21"/>
                      <w:u w:val="single"/>
                    </w:rPr>
                  </w:pPr>
                  <w:r>
                    <w:rPr>
                      <w:bCs/>
                      <w:color w:val="FF0000"/>
                      <w:szCs w:val="21"/>
                      <w:u w:val="single"/>
                    </w:rPr>
                    <w:t>2</w:t>
                  </w:r>
                </w:p>
              </w:tc>
              <w:tc>
                <w:tcPr>
                  <w:tcW w:w="669" w:type="pct"/>
                  <w:vAlign w:val="center"/>
                </w:tcPr>
                <w:p w14:paraId="7BC4D9A6">
                  <w:pPr>
                    <w:adjustRightInd w:val="0"/>
                    <w:snapToGrid w:val="0"/>
                    <w:jc w:val="center"/>
                    <w:rPr>
                      <w:bCs/>
                      <w:color w:val="FF0000"/>
                      <w:szCs w:val="21"/>
                      <w:u w:val="single"/>
                    </w:rPr>
                  </w:pPr>
                  <w:r>
                    <w:rPr>
                      <w:bCs/>
                      <w:color w:val="FF0000"/>
                      <w:szCs w:val="21"/>
                      <w:u w:val="single"/>
                    </w:rPr>
                    <w:t>建筑垃圾</w:t>
                  </w:r>
                </w:p>
              </w:tc>
              <w:tc>
                <w:tcPr>
                  <w:tcW w:w="939" w:type="pct"/>
                  <w:tcBorders>
                    <w:bottom w:val="single" w:color="auto" w:sz="4" w:space="0"/>
                  </w:tcBorders>
                  <w:vAlign w:val="center"/>
                </w:tcPr>
                <w:p w14:paraId="76E42B81">
                  <w:pPr>
                    <w:adjustRightInd w:val="0"/>
                    <w:snapToGrid w:val="0"/>
                    <w:jc w:val="center"/>
                    <w:rPr>
                      <w:bCs/>
                      <w:color w:val="FF0000"/>
                      <w:szCs w:val="21"/>
                      <w:u w:val="single"/>
                    </w:rPr>
                  </w:pPr>
                  <w:r>
                    <w:rPr>
                      <w:bCs/>
                      <w:color w:val="FF0000"/>
                      <w:szCs w:val="21"/>
                      <w:u w:val="single"/>
                    </w:rPr>
                    <w:t>4.2万t/a</w:t>
                  </w:r>
                </w:p>
              </w:tc>
              <w:tc>
                <w:tcPr>
                  <w:tcW w:w="1025" w:type="pct"/>
                  <w:tcBorders>
                    <w:bottom w:val="single" w:color="auto" w:sz="4" w:space="0"/>
                  </w:tcBorders>
                  <w:vAlign w:val="center"/>
                </w:tcPr>
                <w:p w14:paraId="55A207A3">
                  <w:pPr>
                    <w:adjustRightInd w:val="0"/>
                    <w:snapToGrid w:val="0"/>
                    <w:jc w:val="center"/>
                    <w:rPr>
                      <w:bCs/>
                      <w:color w:val="EE0000"/>
                      <w:szCs w:val="21"/>
                      <w:u w:val="single"/>
                    </w:rPr>
                  </w:pPr>
                  <w:r>
                    <w:rPr>
                      <w:bCs/>
                      <w:color w:val="EE0000"/>
                      <w:szCs w:val="21"/>
                      <w:u w:val="single"/>
                    </w:rPr>
                    <w:t>封闭原料库储存</w:t>
                  </w:r>
                </w:p>
              </w:tc>
              <w:tc>
                <w:tcPr>
                  <w:tcW w:w="1983" w:type="pct"/>
                  <w:tcBorders>
                    <w:bottom w:val="single" w:color="auto" w:sz="4" w:space="0"/>
                  </w:tcBorders>
                  <w:vAlign w:val="center"/>
                </w:tcPr>
                <w:p w14:paraId="01110087">
                  <w:pPr>
                    <w:adjustRightInd w:val="0"/>
                    <w:snapToGrid w:val="0"/>
                    <w:jc w:val="center"/>
                    <w:rPr>
                      <w:bCs/>
                      <w:color w:val="EE0000"/>
                      <w:szCs w:val="21"/>
                      <w:u w:val="single"/>
                    </w:rPr>
                  </w:pPr>
                  <w:r>
                    <w:rPr>
                      <w:bCs/>
                      <w:color w:val="EE0000"/>
                      <w:szCs w:val="21"/>
                      <w:u w:val="single"/>
                    </w:rPr>
                    <w:t>宝丰县道路、房屋等施工工地产生的废渣土、碎石、砖瓦碎块</w:t>
                  </w:r>
                </w:p>
              </w:tc>
            </w:tr>
            <w:tr w14:paraId="4EBC5F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2" w:hRule="exact"/>
              </w:trPr>
              <w:tc>
                <w:tcPr>
                  <w:tcW w:w="384" w:type="pct"/>
                  <w:vAlign w:val="center"/>
                </w:tcPr>
                <w:p w14:paraId="5BAD80DE">
                  <w:pPr>
                    <w:adjustRightInd w:val="0"/>
                    <w:snapToGrid w:val="0"/>
                    <w:jc w:val="center"/>
                    <w:rPr>
                      <w:bCs/>
                      <w:color w:val="FF0000"/>
                      <w:szCs w:val="21"/>
                      <w:u w:val="single"/>
                    </w:rPr>
                  </w:pPr>
                  <w:r>
                    <w:rPr>
                      <w:bCs/>
                      <w:color w:val="FF0000"/>
                      <w:szCs w:val="21"/>
                      <w:u w:val="single"/>
                    </w:rPr>
                    <w:t>3</w:t>
                  </w:r>
                </w:p>
              </w:tc>
              <w:tc>
                <w:tcPr>
                  <w:tcW w:w="669" w:type="pct"/>
                  <w:vAlign w:val="center"/>
                </w:tcPr>
                <w:p w14:paraId="2A35A6CE">
                  <w:pPr>
                    <w:adjustRightInd w:val="0"/>
                    <w:snapToGrid w:val="0"/>
                    <w:jc w:val="center"/>
                    <w:rPr>
                      <w:bCs/>
                      <w:color w:val="FF0000"/>
                      <w:szCs w:val="21"/>
                      <w:u w:val="single"/>
                    </w:rPr>
                  </w:pPr>
                  <w:r>
                    <w:rPr>
                      <w:bCs/>
                      <w:color w:val="FF0000"/>
                      <w:szCs w:val="21"/>
                      <w:u w:val="single"/>
                    </w:rPr>
                    <w:t>污泥</w:t>
                  </w:r>
                </w:p>
              </w:tc>
              <w:tc>
                <w:tcPr>
                  <w:tcW w:w="939" w:type="pct"/>
                  <w:tcBorders>
                    <w:top w:val="single" w:color="auto" w:sz="4" w:space="0"/>
                  </w:tcBorders>
                  <w:vAlign w:val="center"/>
                </w:tcPr>
                <w:p w14:paraId="10BB2FE3">
                  <w:pPr>
                    <w:adjustRightInd w:val="0"/>
                    <w:snapToGrid w:val="0"/>
                    <w:jc w:val="center"/>
                    <w:rPr>
                      <w:bCs/>
                      <w:color w:val="FF0000"/>
                      <w:szCs w:val="21"/>
                      <w:u w:val="single"/>
                    </w:rPr>
                  </w:pPr>
                  <w:r>
                    <w:rPr>
                      <w:bCs/>
                      <w:color w:val="FF0000"/>
                      <w:szCs w:val="21"/>
                      <w:u w:val="single"/>
                    </w:rPr>
                    <w:t>1.5万t/a</w:t>
                  </w:r>
                </w:p>
              </w:tc>
              <w:tc>
                <w:tcPr>
                  <w:tcW w:w="1025" w:type="pct"/>
                  <w:tcBorders>
                    <w:top w:val="single" w:color="auto" w:sz="4" w:space="0"/>
                  </w:tcBorders>
                  <w:vAlign w:val="center"/>
                </w:tcPr>
                <w:p w14:paraId="1688BD9C">
                  <w:pPr>
                    <w:adjustRightInd w:val="0"/>
                    <w:snapToGrid w:val="0"/>
                    <w:jc w:val="center"/>
                    <w:rPr>
                      <w:bCs/>
                      <w:color w:val="EE0000"/>
                      <w:szCs w:val="21"/>
                      <w:u w:val="single"/>
                    </w:rPr>
                  </w:pPr>
                  <w:r>
                    <w:rPr>
                      <w:bCs/>
                      <w:color w:val="EE0000"/>
                      <w:szCs w:val="21"/>
                      <w:u w:val="single"/>
                    </w:rPr>
                    <w:t>原料库内污泥库储存</w:t>
                  </w:r>
                </w:p>
              </w:tc>
              <w:tc>
                <w:tcPr>
                  <w:tcW w:w="1983" w:type="pct"/>
                  <w:tcBorders>
                    <w:top w:val="single" w:color="auto" w:sz="4" w:space="0"/>
                  </w:tcBorders>
                  <w:vAlign w:val="center"/>
                </w:tcPr>
                <w:p w14:paraId="7828C28C">
                  <w:pPr>
                    <w:adjustRightInd w:val="0"/>
                    <w:snapToGrid w:val="0"/>
                    <w:jc w:val="center"/>
                    <w:rPr>
                      <w:bCs/>
                      <w:color w:val="EE0000"/>
                      <w:szCs w:val="21"/>
                      <w:u w:val="single"/>
                    </w:rPr>
                  </w:pPr>
                  <w:r>
                    <w:rPr>
                      <w:bCs/>
                      <w:color w:val="EE0000"/>
                      <w:szCs w:val="21"/>
                      <w:u w:val="single"/>
                    </w:rPr>
                    <w:t>来源于宝丰县污水处理厂</w:t>
                  </w:r>
                </w:p>
              </w:tc>
            </w:tr>
            <w:tr w14:paraId="242E8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exact"/>
              </w:trPr>
              <w:tc>
                <w:tcPr>
                  <w:tcW w:w="384" w:type="pct"/>
                  <w:vAlign w:val="center"/>
                </w:tcPr>
                <w:p w14:paraId="3CC1561F">
                  <w:pPr>
                    <w:adjustRightInd w:val="0"/>
                    <w:snapToGrid w:val="0"/>
                    <w:jc w:val="center"/>
                    <w:rPr>
                      <w:bCs/>
                      <w:szCs w:val="21"/>
                    </w:rPr>
                  </w:pPr>
                  <w:r>
                    <w:rPr>
                      <w:bCs/>
                      <w:szCs w:val="21"/>
                    </w:rPr>
                    <w:t>4</w:t>
                  </w:r>
                </w:p>
              </w:tc>
              <w:tc>
                <w:tcPr>
                  <w:tcW w:w="669" w:type="pct"/>
                  <w:vAlign w:val="center"/>
                </w:tcPr>
                <w:p w14:paraId="6011A5E7">
                  <w:pPr>
                    <w:adjustRightInd w:val="0"/>
                    <w:snapToGrid w:val="0"/>
                    <w:jc w:val="center"/>
                    <w:rPr>
                      <w:bCs/>
                      <w:color w:val="EE0000"/>
                      <w:szCs w:val="21"/>
                      <w:u w:val="single"/>
                    </w:rPr>
                  </w:pPr>
                  <w:r>
                    <w:rPr>
                      <w:bCs/>
                      <w:color w:val="EE0000"/>
                      <w:szCs w:val="21"/>
                      <w:u w:val="single"/>
                    </w:rPr>
                    <w:t>石灰粉</w:t>
                  </w:r>
                </w:p>
              </w:tc>
              <w:tc>
                <w:tcPr>
                  <w:tcW w:w="939" w:type="pct"/>
                  <w:tcBorders>
                    <w:bottom w:val="single" w:color="auto" w:sz="4" w:space="0"/>
                  </w:tcBorders>
                  <w:vAlign w:val="center"/>
                </w:tcPr>
                <w:p w14:paraId="23CFA7D2">
                  <w:pPr>
                    <w:adjustRightInd w:val="0"/>
                    <w:snapToGrid w:val="0"/>
                    <w:jc w:val="center"/>
                    <w:rPr>
                      <w:bCs/>
                      <w:color w:val="EE0000"/>
                      <w:szCs w:val="21"/>
                      <w:u w:val="single"/>
                    </w:rPr>
                  </w:pPr>
                  <w:r>
                    <w:rPr>
                      <w:bCs/>
                      <w:color w:val="EE0000"/>
                      <w:szCs w:val="21"/>
                      <w:u w:val="single"/>
                    </w:rPr>
                    <w:t>1100t/a</w:t>
                  </w:r>
                </w:p>
              </w:tc>
              <w:tc>
                <w:tcPr>
                  <w:tcW w:w="1025" w:type="pct"/>
                  <w:tcBorders>
                    <w:bottom w:val="single" w:color="auto" w:sz="4" w:space="0"/>
                  </w:tcBorders>
                  <w:vAlign w:val="center"/>
                </w:tcPr>
                <w:p w14:paraId="7E695A2A">
                  <w:pPr>
                    <w:adjustRightInd w:val="0"/>
                    <w:snapToGrid w:val="0"/>
                    <w:jc w:val="center"/>
                    <w:rPr>
                      <w:bCs/>
                      <w:color w:val="EE0000"/>
                      <w:szCs w:val="21"/>
                      <w:u w:val="single"/>
                    </w:rPr>
                  </w:pPr>
                  <w:r>
                    <w:rPr>
                      <w:bCs/>
                      <w:color w:val="EE0000"/>
                      <w:szCs w:val="21"/>
                      <w:u w:val="single"/>
                    </w:rPr>
                    <w:t>10m</w:t>
                  </w:r>
                  <w:r>
                    <w:rPr>
                      <w:bCs/>
                      <w:color w:val="EE0000"/>
                      <w:szCs w:val="21"/>
                      <w:u w:val="single"/>
                      <w:vertAlign w:val="superscript"/>
                    </w:rPr>
                    <w:t>3</w:t>
                  </w:r>
                  <w:r>
                    <w:rPr>
                      <w:bCs/>
                      <w:color w:val="EE0000"/>
                      <w:szCs w:val="21"/>
                      <w:u w:val="single"/>
                    </w:rPr>
                    <w:t>筒仓储存</w:t>
                  </w:r>
                </w:p>
              </w:tc>
              <w:tc>
                <w:tcPr>
                  <w:tcW w:w="1983" w:type="pct"/>
                  <w:tcBorders>
                    <w:bottom w:val="single" w:color="auto" w:sz="4" w:space="0"/>
                  </w:tcBorders>
                  <w:vAlign w:val="center"/>
                </w:tcPr>
                <w:p w14:paraId="1BBFB279">
                  <w:pPr>
                    <w:adjustRightInd w:val="0"/>
                    <w:snapToGrid w:val="0"/>
                    <w:jc w:val="center"/>
                    <w:rPr>
                      <w:bCs/>
                      <w:szCs w:val="21"/>
                    </w:rPr>
                  </w:pPr>
                  <w:r>
                    <w:rPr>
                      <w:bCs/>
                      <w:szCs w:val="21"/>
                    </w:rPr>
                    <w:t>石灰-石膏法脱硫药剂</w:t>
                  </w:r>
                </w:p>
              </w:tc>
            </w:tr>
            <w:tr w14:paraId="06DB83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trPr>
              <w:tc>
                <w:tcPr>
                  <w:tcW w:w="384" w:type="pct"/>
                  <w:vAlign w:val="center"/>
                </w:tcPr>
                <w:p w14:paraId="5FD0B069">
                  <w:pPr>
                    <w:adjustRightInd w:val="0"/>
                    <w:snapToGrid w:val="0"/>
                    <w:jc w:val="center"/>
                    <w:rPr>
                      <w:bCs/>
                      <w:szCs w:val="21"/>
                    </w:rPr>
                  </w:pPr>
                  <w:r>
                    <w:rPr>
                      <w:bCs/>
                      <w:szCs w:val="21"/>
                    </w:rPr>
                    <w:t>5</w:t>
                  </w:r>
                </w:p>
              </w:tc>
              <w:tc>
                <w:tcPr>
                  <w:tcW w:w="669" w:type="pct"/>
                  <w:vAlign w:val="center"/>
                </w:tcPr>
                <w:p w14:paraId="640CA72D">
                  <w:pPr>
                    <w:adjustRightInd w:val="0"/>
                    <w:snapToGrid w:val="0"/>
                    <w:jc w:val="center"/>
                    <w:rPr>
                      <w:bCs/>
                      <w:color w:val="EE0000"/>
                      <w:szCs w:val="21"/>
                      <w:u w:val="single"/>
                    </w:rPr>
                  </w:pPr>
                  <w:r>
                    <w:rPr>
                      <w:bCs/>
                      <w:color w:val="EE0000"/>
                      <w:szCs w:val="21"/>
                      <w:u w:val="single"/>
                    </w:rPr>
                    <w:t>尿素</w:t>
                  </w:r>
                </w:p>
              </w:tc>
              <w:tc>
                <w:tcPr>
                  <w:tcW w:w="939" w:type="pct"/>
                  <w:vAlign w:val="center"/>
                </w:tcPr>
                <w:p w14:paraId="04D43091">
                  <w:pPr>
                    <w:adjustRightInd w:val="0"/>
                    <w:snapToGrid w:val="0"/>
                    <w:jc w:val="center"/>
                    <w:rPr>
                      <w:bCs/>
                      <w:color w:val="EE0000"/>
                      <w:szCs w:val="21"/>
                      <w:u w:val="single"/>
                    </w:rPr>
                  </w:pPr>
                  <w:r>
                    <w:rPr>
                      <w:bCs/>
                      <w:color w:val="EE0000"/>
                      <w:szCs w:val="21"/>
                      <w:u w:val="single"/>
                    </w:rPr>
                    <w:t>60t/a</w:t>
                  </w:r>
                </w:p>
              </w:tc>
              <w:tc>
                <w:tcPr>
                  <w:tcW w:w="1025" w:type="pct"/>
                  <w:vAlign w:val="center"/>
                </w:tcPr>
                <w:p w14:paraId="7D947C5D">
                  <w:pPr>
                    <w:adjustRightInd w:val="0"/>
                    <w:snapToGrid w:val="0"/>
                    <w:jc w:val="center"/>
                    <w:rPr>
                      <w:bCs/>
                      <w:color w:val="EE0000"/>
                      <w:szCs w:val="21"/>
                      <w:u w:val="single"/>
                    </w:rPr>
                  </w:pPr>
                  <w:r>
                    <w:rPr>
                      <w:bCs/>
                      <w:color w:val="EE0000"/>
                      <w:szCs w:val="21"/>
                      <w:u w:val="single"/>
                    </w:rPr>
                    <w:t>50kg/袋装</w:t>
                  </w:r>
                </w:p>
              </w:tc>
              <w:tc>
                <w:tcPr>
                  <w:tcW w:w="1983" w:type="pct"/>
                  <w:vAlign w:val="center"/>
                </w:tcPr>
                <w:p w14:paraId="5972094C">
                  <w:pPr>
                    <w:adjustRightInd w:val="0"/>
                    <w:snapToGrid w:val="0"/>
                    <w:jc w:val="center"/>
                    <w:rPr>
                      <w:bCs/>
                      <w:szCs w:val="21"/>
                    </w:rPr>
                  </w:pPr>
                  <w:r>
                    <w:rPr>
                      <w:bCs/>
                      <w:szCs w:val="21"/>
                    </w:rPr>
                    <w:t>SNCR脱硝还原剂</w:t>
                  </w:r>
                </w:p>
              </w:tc>
            </w:tr>
            <w:tr w14:paraId="526728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trPr>
              <w:tc>
                <w:tcPr>
                  <w:tcW w:w="384" w:type="pct"/>
                  <w:vAlign w:val="center"/>
                </w:tcPr>
                <w:p w14:paraId="1D0F8737">
                  <w:pPr>
                    <w:adjustRightInd w:val="0"/>
                    <w:snapToGrid w:val="0"/>
                    <w:jc w:val="center"/>
                    <w:rPr>
                      <w:bCs/>
                      <w:color w:val="FF0000"/>
                      <w:szCs w:val="21"/>
                      <w:u w:val="single"/>
                    </w:rPr>
                  </w:pPr>
                  <w:r>
                    <w:rPr>
                      <w:bCs/>
                      <w:color w:val="FF0000"/>
                      <w:szCs w:val="21"/>
                      <w:u w:val="single"/>
                    </w:rPr>
                    <w:t>6</w:t>
                  </w:r>
                </w:p>
              </w:tc>
              <w:tc>
                <w:tcPr>
                  <w:tcW w:w="669" w:type="pct"/>
                  <w:vAlign w:val="center"/>
                </w:tcPr>
                <w:p w14:paraId="77C2FD47">
                  <w:pPr>
                    <w:adjustRightInd w:val="0"/>
                    <w:snapToGrid w:val="0"/>
                    <w:jc w:val="center"/>
                    <w:rPr>
                      <w:bCs/>
                      <w:color w:val="FF0000"/>
                      <w:szCs w:val="21"/>
                      <w:u w:val="single"/>
                    </w:rPr>
                  </w:pPr>
                  <w:r>
                    <w:rPr>
                      <w:color w:val="FF0000"/>
                      <w:szCs w:val="21"/>
                      <w:u w:val="single"/>
                    </w:rPr>
                    <w:t>PAM</w:t>
                  </w:r>
                </w:p>
              </w:tc>
              <w:tc>
                <w:tcPr>
                  <w:tcW w:w="939" w:type="pct"/>
                  <w:vAlign w:val="center"/>
                </w:tcPr>
                <w:p w14:paraId="0E7B84C2">
                  <w:pPr>
                    <w:adjustRightInd w:val="0"/>
                    <w:snapToGrid w:val="0"/>
                    <w:jc w:val="center"/>
                    <w:rPr>
                      <w:bCs/>
                      <w:color w:val="FF0000"/>
                      <w:szCs w:val="21"/>
                      <w:u w:val="single"/>
                    </w:rPr>
                  </w:pPr>
                  <w:r>
                    <w:rPr>
                      <w:color w:val="FF0000"/>
                      <w:szCs w:val="21"/>
                      <w:u w:val="single"/>
                    </w:rPr>
                    <w:t>5.0t/a</w:t>
                  </w:r>
                </w:p>
              </w:tc>
              <w:tc>
                <w:tcPr>
                  <w:tcW w:w="1025" w:type="pct"/>
                  <w:vAlign w:val="center"/>
                </w:tcPr>
                <w:p w14:paraId="33A0B29C">
                  <w:pPr>
                    <w:adjustRightInd w:val="0"/>
                    <w:snapToGrid w:val="0"/>
                    <w:jc w:val="center"/>
                    <w:rPr>
                      <w:bCs/>
                      <w:color w:val="FF0000"/>
                      <w:szCs w:val="21"/>
                      <w:u w:val="single"/>
                    </w:rPr>
                  </w:pPr>
                  <w:r>
                    <w:rPr>
                      <w:bCs/>
                      <w:color w:val="FF0000"/>
                      <w:szCs w:val="21"/>
                      <w:u w:val="single"/>
                    </w:rPr>
                    <w:t>20kg/袋装</w:t>
                  </w:r>
                </w:p>
              </w:tc>
              <w:tc>
                <w:tcPr>
                  <w:tcW w:w="1983" w:type="pct"/>
                  <w:vAlign w:val="center"/>
                </w:tcPr>
                <w:p w14:paraId="36F0E3FD">
                  <w:pPr>
                    <w:adjustRightInd w:val="0"/>
                    <w:snapToGrid w:val="0"/>
                    <w:jc w:val="center"/>
                    <w:rPr>
                      <w:bCs/>
                      <w:color w:val="FF0000"/>
                      <w:szCs w:val="21"/>
                      <w:u w:val="single"/>
                    </w:rPr>
                  </w:pPr>
                  <w:r>
                    <w:rPr>
                      <w:bCs/>
                      <w:color w:val="FF0000"/>
                      <w:szCs w:val="21"/>
                      <w:u w:val="single"/>
                    </w:rPr>
                    <w:t>脱硫废水处理絮凝剂</w:t>
                  </w:r>
                </w:p>
              </w:tc>
            </w:tr>
            <w:tr w14:paraId="491DD7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trPr>
              <w:tc>
                <w:tcPr>
                  <w:tcW w:w="384" w:type="pct"/>
                  <w:vAlign w:val="center"/>
                </w:tcPr>
                <w:p w14:paraId="637185DC">
                  <w:pPr>
                    <w:adjustRightInd w:val="0"/>
                    <w:snapToGrid w:val="0"/>
                    <w:jc w:val="center"/>
                    <w:rPr>
                      <w:bCs/>
                      <w:color w:val="FF0000"/>
                      <w:szCs w:val="21"/>
                      <w:u w:val="single"/>
                    </w:rPr>
                  </w:pPr>
                  <w:r>
                    <w:rPr>
                      <w:bCs/>
                      <w:color w:val="FF0000"/>
                      <w:szCs w:val="21"/>
                      <w:u w:val="single"/>
                    </w:rPr>
                    <w:t>7</w:t>
                  </w:r>
                </w:p>
              </w:tc>
              <w:tc>
                <w:tcPr>
                  <w:tcW w:w="669" w:type="pct"/>
                  <w:vAlign w:val="center"/>
                </w:tcPr>
                <w:p w14:paraId="1529253D">
                  <w:pPr>
                    <w:adjustRightInd w:val="0"/>
                    <w:snapToGrid w:val="0"/>
                    <w:jc w:val="center"/>
                    <w:rPr>
                      <w:bCs/>
                      <w:color w:val="FF0000"/>
                      <w:szCs w:val="21"/>
                      <w:u w:val="single"/>
                    </w:rPr>
                  </w:pPr>
                  <w:r>
                    <w:rPr>
                      <w:color w:val="FF0000"/>
                      <w:szCs w:val="21"/>
                      <w:u w:val="single"/>
                    </w:rPr>
                    <w:t>PAC</w:t>
                  </w:r>
                </w:p>
              </w:tc>
              <w:tc>
                <w:tcPr>
                  <w:tcW w:w="939" w:type="pct"/>
                  <w:vAlign w:val="center"/>
                </w:tcPr>
                <w:p w14:paraId="66864BB5">
                  <w:pPr>
                    <w:adjustRightInd w:val="0"/>
                    <w:snapToGrid w:val="0"/>
                    <w:jc w:val="center"/>
                    <w:rPr>
                      <w:bCs/>
                      <w:color w:val="FF0000"/>
                      <w:szCs w:val="21"/>
                      <w:u w:val="single"/>
                    </w:rPr>
                  </w:pPr>
                  <w:r>
                    <w:rPr>
                      <w:color w:val="FF0000"/>
                      <w:szCs w:val="21"/>
                      <w:u w:val="single"/>
                    </w:rPr>
                    <w:t>5.0t/a</w:t>
                  </w:r>
                </w:p>
              </w:tc>
              <w:tc>
                <w:tcPr>
                  <w:tcW w:w="1025" w:type="pct"/>
                  <w:vAlign w:val="center"/>
                </w:tcPr>
                <w:p w14:paraId="49134196">
                  <w:pPr>
                    <w:adjustRightInd w:val="0"/>
                    <w:snapToGrid w:val="0"/>
                    <w:jc w:val="center"/>
                    <w:rPr>
                      <w:bCs/>
                      <w:color w:val="FF0000"/>
                      <w:szCs w:val="21"/>
                      <w:u w:val="single"/>
                    </w:rPr>
                  </w:pPr>
                  <w:r>
                    <w:rPr>
                      <w:bCs/>
                      <w:color w:val="FF0000"/>
                      <w:szCs w:val="21"/>
                      <w:u w:val="single"/>
                    </w:rPr>
                    <w:t>20kg/袋装</w:t>
                  </w:r>
                </w:p>
              </w:tc>
              <w:tc>
                <w:tcPr>
                  <w:tcW w:w="1983" w:type="pct"/>
                  <w:vAlign w:val="center"/>
                </w:tcPr>
                <w:p w14:paraId="02C7E160">
                  <w:pPr>
                    <w:adjustRightInd w:val="0"/>
                    <w:snapToGrid w:val="0"/>
                    <w:jc w:val="center"/>
                    <w:rPr>
                      <w:bCs/>
                      <w:color w:val="FF0000"/>
                      <w:szCs w:val="21"/>
                      <w:u w:val="single"/>
                    </w:rPr>
                  </w:pPr>
                  <w:r>
                    <w:rPr>
                      <w:bCs/>
                      <w:color w:val="FF0000"/>
                      <w:szCs w:val="21"/>
                      <w:u w:val="single"/>
                    </w:rPr>
                    <w:t>脱硫废水处理混凝剂</w:t>
                  </w:r>
                </w:p>
              </w:tc>
            </w:tr>
            <w:tr w14:paraId="2C555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384" w:type="pct"/>
                  <w:vAlign w:val="center"/>
                </w:tcPr>
                <w:p w14:paraId="2E4AC5E6">
                  <w:pPr>
                    <w:adjustRightInd w:val="0"/>
                    <w:snapToGrid w:val="0"/>
                    <w:jc w:val="center"/>
                    <w:rPr>
                      <w:bCs/>
                      <w:szCs w:val="21"/>
                    </w:rPr>
                  </w:pPr>
                  <w:r>
                    <w:rPr>
                      <w:bCs/>
                      <w:szCs w:val="21"/>
                    </w:rPr>
                    <w:t>8</w:t>
                  </w:r>
                </w:p>
              </w:tc>
              <w:tc>
                <w:tcPr>
                  <w:tcW w:w="669" w:type="pct"/>
                  <w:vAlign w:val="center"/>
                </w:tcPr>
                <w:p w14:paraId="0596D6DC">
                  <w:pPr>
                    <w:adjustRightInd w:val="0"/>
                    <w:snapToGrid w:val="0"/>
                    <w:jc w:val="center"/>
                    <w:rPr>
                      <w:bCs/>
                      <w:color w:val="EE0000"/>
                      <w:szCs w:val="21"/>
                      <w:u w:val="single"/>
                    </w:rPr>
                  </w:pPr>
                  <w:r>
                    <w:rPr>
                      <w:bCs/>
                      <w:color w:val="EE0000"/>
                      <w:szCs w:val="21"/>
                      <w:u w:val="single"/>
                    </w:rPr>
                    <w:t>水</w:t>
                  </w:r>
                </w:p>
              </w:tc>
              <w:tc>
                <w:tcPr>
                  <w:tcW w:w="939" w:type="pct"/>
                  <w:vAlign w:val="center"/>
                </w:tcPr>
                <w:p w14:paraId="53D2DCC6">
                  <w:pPr>
                    <w:adjustRightInd w:val="0"/>
                    <w:snapToGrid w:val="0"/>
                    <w:jc w:val="center"/>
                    <w:rPr>
                      <w:bCs/>
                      <w:color w:val="EE0000"/>
                      <w:szCs w:val="21"/>
                      <w:u w:val="single"/>
                    </w:rPr>
                  </w:pPr>
                  <w:r>
                    <w:rPr>
                      <w:bCs/>
                      <w:color w:val="EE0000"/>
                      <w:szCs w:val="21"/>
                      <w:u w:val="single"/>
                    </w:rPr>
                    <w:t>54872.4m</w:t>
                  </w:r>
                  <w:r>
                    <w:rPr>
                      <w:bCs/>
                      <w:color w:val="EE0000"/>
                      <w:szCs w:val="21"/>
                      <w:u w:val="single"/>
                      <w:vertAlign w:val="superscript"/>
                    </w:rPr>
                    <w:t>3</w:t>
                  </w:r>
                  <w:r>
                    <w:rPr>
                      <w:bCs/>
                      <w:color w:val="EE0000"/>
                      <w:szCs w:val="21"/>
                      <w:u w:val="single"/>
                    </w:rPr>
                    <w:t>/a</w:t>
                  </w:r>
                </w:p>
              </w:tc>
              <w:tc>
                <w:tcPr>
                  <w:tcW w:w="1025" w:type="pct"/>
                  <w:vAlign w:val="center"/>
                </w:tcPr>
                <w:p w14:paraId="323D77B9">
                  <w:pPr>
                    <w:adjustRightInd w:val="0"/>
                    <w:snapToGrid w:val="0"/>
                    <w:jc w:val="center"/>
                    <w:rPr>
                      <w:bCs/>
                      <w:szCs w:val="21"/>
                    </w:rPr>
                  </w:pPr>
                  <w:r>
                    <w:rPr>
                      <w:bCs/>
                      <w:szCs w:val="21"/>
                    </w:rPr>
                    <w:t>/</w:t>
                  </w:r>
                </w:p>
              </w:tc>
              <w:tc>
                <w:tcPr>
                  <w:tcW w:w="1983" w:type="pct"/>
                  <w:vAlign w:val="center"/>
                </w:tcPr>
                <w:p w14:paraId="2A702C04">
                  <w:pPr>
                    <w:adjustRightInd w:val="0"/>
                    <w:snapToGrid w:val="0"/>
                    <w:jc w:val="center"/>
                    <w:rPr>
                      <w:bCs/>
                      <w:szCs w:val="21"/>
                    </w:rPr>
                  </w:pPr>
                  <w:r>
                    <w:rPr>
                      <w:bCs/>
                      <w:szCs w:val="21"/>
                    </w:rPr>
                    <w:t>厂区自备水井</w:t>
                  </w:r>
                </w:p>
              </w:tc>
            </w:tr>
            <w:tr w14:paraId="092F21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0" w:hRule="exact"/>
              </w:trPr>
              <w:tc>
                <w:tcPr>
                  <w:tcW w:w="384" w:type="pct"/>
                  <w:vAlign w:val="center"/>
                </w:tcPr>
                <w:p w14:paraId="5FF83754">
                  <w:pPr>
                    <w:adjustRightInd w:val="0"/>
                    <w:snapToGrid w:val="0"/>
                    <w:jc w:val="center"/>
                    <w:rPr>
                      <w:bCs/>
                      <w:szCs w:val="21"/>
                    </w:rPr>
                  </w:pPr>
                  <w:r>
                    <w:rPr>
                      <w:bCs/>
                      <w:szCs w:val="21"/>
                    </w:rPr>
                    <w:t>9</w:t>
                  </w:r>
                </w:p>
              </w:tc>
              <w:tc>
                <w:tcPr>
                  <w:tcW w:w="669" w:type="pct"/>
                  <w:vAlign w:val="center"/>
                </w:tcPr>
                <w:p w14:paraId="506F78EA">
                  <w:pPr>
                    <w:adjustRightInd w:val="0"/>
                    <w:snapToGrid w:val="0"/>
                    <w:jc w:val="center"/>
                    <w:rPr>
                      <w:bCs/>
                      <w:szCs w:val="21"/>
                    </w:rPr>
                  </w:pPr>
                  <w:r>
                    <w:rPr>
                      <w:bCs/>
                      <w:szCs w:val="21"/>
                    </w:rPr>
                    <w:t>电</w:t>
                  </w:r>
                </w:p>
              </w:tc>
              <w:tc>
                <w:tcPr>
                  <w:tcW w:w="939" w:type="pct"/>
                  <w:vAlign w:val="center"/>
                </w:tcPr>
                <w:p w14:paraId="68C8B615">
                  <w:pPr>
                    <w:adjustRightInd w:val="0"/>
                    <w:snapToGrid w:val="0"/>
                    <w:jc w:val="center"/>
                    <w:rPr>
                      <w:bCs/>
                      <w:szCs w:val="21"/>
                    </w:rPr>
                  </w:pPr>
                  <w:r>
                    <w:rPr>
                      <w:bCs/>
                      <w:szCs w:val="21"/>
                    </w:rPr>
                    <w:t>1080万kW•h /a</w:t>
                  </w:r>
                </w:p>
              </w:tc>
              <w:tc>
                <w:tcPr>
                  <w:tcW w:w="1025" w:type="pct"/>
                  <w:vAlign w:val="center"/>
                </w:tcPr>
                <w:p w14:paraId="1834B122">
                  <w:pPr>
                    <w:adjustRightInd w:val="0"/>
                    <w:snapToGrid w:val="0"/>
                    <w:jc w:val="center"/>
                    <w:rPr>
                      <w:bCs/>
                      <w:szCs w:val="21"/>
                    </w:rPr>
                  </w:pPr>
                  <w:r>
                    <w:rPr>
                      <w:bCs/>
                      <w:szCs w:val="21"/>
                    </w:rPr>
                    <w:t>/</w:t>
                  </w:r>
                </w:p>
              </w:tc>
              <w:tc>
                <w:tcPr>
                  <w:tcW w:w="1983" w:type="pct"/>
                  <w:vAlign w:val="center"/>
                </w:tcPr>
                <w:p w14:paraId="173FE489">
                  <w:pPr>
                    <w:adjustRightInd w:val="0"/>
                    <w:snapToGrid w:val="0"/>
                    <w:jc w:val="center"/>
                    <w:rPr>
                      <w:bCs/>
                      <w:szCs w:val="21"/>
                    </w:rPr>
                  </w:pPr>
                  <w:r>
                    <w:rPr>
                      <w:bCs/>
                      <w:szCs w:val="21"/>
                    </w:rPr>
                    <w:t>由市政供电电网供电</w:t>
                  </w:r>
                </w:p>
              </w:tc>
            </w:tr>
            <w:tr w14:paraId="5D07F7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exact"/>
              </w:trPr>
              <w:tc>
                <w:tcPr>
                  <w:tcW w:w="384" w:type="pct"/>
                  <w:vAlign w:val="center"/>
                </w:tcPr>
                <w:p w14:paraId="0B56D66C">
                  <w:pPr>
                    <w:adjustRightInd w:val="0"/>
                    <w:snapToGrid w:val="0"/>
                    <w:jc w:val="center"/>
                    <w:rPr>
                      <w:bCs/>
                      <w:szCs w:val="21"/>
                    </w:rPr>
                  </w:pPr>
                  <w:r>
                    <w:rPr>
                      <w:bCs/>
                      <w:szCs w:val="21"/>
                    </w:rPr>
                    <w:t>10</w:t>
                  </w:r>
                </w:p>
              </w:tc>
              <w:tc>
                <w:tcPr>
                  <w:tcW w:w="669" w:type="pct"/>
                  <w:vAlign w:val="center"/>
                </w:tcPr>
                <w:p w14:paraId="1D6CB59E">
                  <w:pPr>
                    <w:adjustRightInd w:val="0"/>
                    <w:snapToGrid w:val="0"/>
                    <w:jc w:val="center"/>
                    <w:rPr>
                      <w:bCs/>
                      <w:szCs w:val="21"/>
                    </w:rPr>
                  </w:pPr>
                  <w:r>
                    <w:rPr>
                      <w:bCs/>
                      <w:szCs w:val="21"/>
                    </w:rPr>
                    <w:t>天然气</w:t>
                  </w:r>
                </w:p>
              </w:tc>
              <w:tc>
                <w:tcPr>
                  <w:tcW w:w="939" w:type="pct"/>
                  <w:vAlign w:val="center"/>
                </w:tcPr>
                <w:p w14:paraId="6E8033B4">
                  <w:pPr>
                    <w:adjustRightInd w:val="0"/>
                    <w:snapToGrid w:val="0"/>
                    <w:jc w:val="center"/>
                    <w:rPr>
                      <w:bCs/>
                      <w:szCs w:val="21"/>
                    </w:rPr>
                  </w:pPr>
                  <w:r>
                    <w:rPr>
                      <w:bCs/>
                      <w:szCs w:val="21"/>
                    </w:rPr>
                    <w:t>8000m</w:t>
                  </w:r>
                  <w:r>
                    <w:rPr>
                      <w:bCs/>
                      <w:szCs w:val="21"/>
                      <w:vertAlign w:val="superscript"/>
                    </w:rPr>
                    <w:t>3</w:t>
                  </w:r>
                  <w:r>
                    <w:rPr>
                      <w:bCs/>
                      <w:szCs w:val="21"/>
                    </w:rPr>
                    <w:t>/a</w:t>
                  </w:r>
                </w:p>
              </w:tc>
              <w:tc>
                <w:tcPr>
                  <w:tcW w:w="1025" w:type="pct"/>
                  <w:vAlign w:val="center"/>
                </w:tcPr>
                <w:p w14:paraId="0CBD0416">
                  <w:pPr>
                    <w:adjustRightInd w:val="0"/>
                    <w:snapToGrid w:val="0"/>
                    <w:jc w:val="center"/>
                    <w:rPr>
                      <w:bCs/>
                      <w:color w:val="FF0000"/>
                      <w:szCs w:val="21"/>
                      <w:u w:val="single"/>
                    </w:rPr>
                  </w:pPr>
                  <w:r>
                    <w:rPr>
                      <w:bCs/>
                      <w:color w:val="FF0000"/>
                      <w:szCs w:val="21"/>
                      <w:u w:val="single"/>
                    </w:rPr>
                    <w:t>专用燃气罐车运输至厂区直接供气，不暂存</w:t>
                  </w:r>
                </w:p>
              </w:tc>
              <w:tc>
                <w:tcPr>
                  <w:tcW w:w="1983" w:type="pct"/>
                  <w:vAlign w:val="center"/>
                </w:tcPr>
                <w:p w14:paraId="474C8144">
                  <w:pPr>
                    <w:adjustRightInd w:val="0"/>
                    <w:snapToGrid w:val="0"/>
                    <w:jc w:val="center"/>
                    <w:rPr>
                      <w:bCs/>
                      <w:szCs w:val="21"/>
                    </w:rPr>
                  </w:pPr>
                  <w:r>
                    <w:rPr>
                      <w:bCs/>
                      <w:szCs w:val="21"/>
                    </w:rPr>
                    <w:t>隧道窑引燃用，单条隧道窑引燃次数约2次/年，每次点火用量约4000m</w:t>
                  </w:r>
                  <w:r>
                    <w:rPr>
                      <w:bCs/>
                      <w:szCs w:val="21"/>
                      <w:vertAlign w:val="superscript"/>
                    </w:rPr>
                    <w:t>3</w:t>
                  </w:r>
                </w:p>
              </w:tc>
            </w:tr>
          </w:tbl>
          <w:p w14:paraId="21CE4E08">
            <w:pPr>
              <w:adjustRightInd w:val="0"/>
              <w:snapToGrid w:val="0"/>
              <w:spacing w:line="520" w:lineRule="exact"/>
              <w:ind w:firstLine="480" w:firstLineChars="200"/>
              <w:jc w:val="left"/>
              <w:rPr>
                <w:rFonts w:eastAsiaTheme="minorEastAsia"/>
                <w:bCs/>
                <w:kern w:val="0"/>
                <w:sz w:val="24"/>
              </w:rPr>
            </w:pPr>
            <w:r>
              <w:rPr>
                <w:rFonts w:eastAsiaTheme="minorEastAsia"/>
                <w:bCs/>
                <w:kern w:val="0"/>
                <w:sz w:val="24"/>
              </w:rPr>
              <w:t>项目煤矸石来源于平顶山市豫通商贸有限公司，与三兴建材现有工程煤矸石供货方相同，根据三兴建材2025年9月~10月原料分析报告单，煤矸石分析结果见下表。</w:t>
            </w:r>
          </w:p>
          <w:p w14:paraId="1CEDE1C1">
            <w:pPr>
              <w:adjustRightInd w:val="0"/>
              <w:snapToGrid w:val="0"/>
              <w:spacing w:line="520" w:lineRule="exact"/>
              <w:jc w:val="center"/>
              <w:rPr>
                <w:rFonts w:eastAsia="黑体"/>
                <w:bCs/>
                <w:sz w:val="24"/>
              </w:rPr>
            </w:pPr>
            <w:r>
              <w:rPr>
                <w:rFonts w:eastAsia="黑体"/>
                <w:bCs/>
                <w:sz w:val="24"/>
              </w:rPr>
              <w:t>表2-4    项目用原料煤矸石分析结果</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95"/>
              <w:gridCol w:w="1590"/>
              <w:gridCol w:w="1588"/>
              <w:gridCol w:w="1444"/>
              <w:gridCol w:w="2339"/>
            </w:tblGrid>
            <w:tr w14:paraId="2E2CD9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exact"/>
              </w:trPr>
              <w:tc>
                <w:tcPr>
                  <w:tcW w:w="884" w:type="pct"/>
                  <w:vAlign w:val="center"/>
                </w:tcPr>
                <w:p w14:paraId="6CFA771C">
                  <w:pPr>
                    <w:adjustRightInd w:val="0"/>
                    <w:snapToGrid w:val="0"/>
                    <w:jc w:val="center"/>
                    <w:rPr>
                      <w:kern w:val="0"/>
                      <w:szCs w:val="21"/>
                    </w:rPr>
                  </w:pPr>
                  <w:r>
                    <w:rPr>
                      <w:kern w:val="0"/>
                      <w:szCs w:val="21"/>
                    </w:rPr>
                    <w:t>成分名称</w:t>
                  </w:r>
                </w:p>
              </w:tc>
              <w:tc>
                <w:tcPr>
                  <w:tcW w:w="940" w:type="pct"/>
                  <w:tcBorders>
                    <w:right w:val="single" w:color="auto" w:sz="4" w:space="0"/>
                  </w:tcBorders>
                  <w:vAlign w:val="center"/>
                </w:tcPr>
                <w:p w14:paraId="41CA27BA">
                  <w:pPr>
                    <w:adjustRightInd w:val="0"/>
                    <w:snapToGrid w:val="0"/>
                    <w:jc w:val="center"/>
                    <w:rPr>
                      <w:kern w:val="0"/>
                      <w:szCs w:val="21"/>
                    </w:rPr>
                  </w:pPr>
                  <w:r>
                    <w:rPr>
                      <w:kern w:val="0"/>
                      <w:szCs w:val="21"/>
                    </w:rPr>
                    <w:t>CaO</w:t>
                  </w:r>
                </w:p>
              </w:tc>
              <w:tc>
                <w:tcPr>
                  <w:tcW w:w="939" w:type="pct"/>
                  <w:tcBorders>
                    <w:left w:val="single" w:color="auto" w:sz="4" w:space="0"/>
                  </w:tcBorders>
                  <w:vAlign w:val="center"/>
                </w:tcPr>
                <w:p w14:paraId="1F29275D">
                  <w:pPr>
                    <w:adjustRightInd w:val="0"/>
                    <w:snapToGrid w:val="0"/>
                    <w:jc w:val="center"/>
                    <w:rPr>
                      <w:kern w:val="0"/>
                      <w:szCs w:val="21"/>
                    </w:rPr>
                  </w:pPr>
                  <w:r>
                    <w:rPr>
                      <w:kern w:val="0"/>
                      <w:szCs w:val="21"/>
                    </w:rPr>
                    <w:t>Fe</w:t>
                  </w:r>
                  <w:r>
                    <w:rPr>
                      <w:kern w:val="0"/>
                      <w:szCs w:val="21"/>
                      <w:vertAlign w:val="subscript"/>
                    </w:rPr>
                    <w:t>2</w:t>
                  </w:r>
                  <w:r>
                    <w:rPr>
                      <w:kern w:val="0"/>
                      <w:szCs w:val="21"/>
                    </w:rPr>
                    <w:t>O</w:t>
                  </w:r>
                  <w:r>
                    <w:rPr>
                      <w:kern w:val="0"/>
                      <w:szCs w:val="21"/>
                      <w:vertAlign w:val="subscript"/>
                    </w:rPr>
                    <w:t>3</w:t>
                  </w:r>
                </w:p>
              </w:tc>
              <w:tc>
                <w:tcPr>
                  <w:tcW w:w="854" w:type="pct"/>
                  <w:vAlign w:val="center"/>
                </w:tcPr>
                <w:p w14:paraId="5A35439E">
                  <w:pPr>
                    <w:adjustRightInd w:val="0"/>
                    <w:snapToGrid w:val="0"/>
                    <w:jc w:val="center"/>
                    <w:rPr>
                      <w:kern w:val="0"/>
                      <w:szCs w:val="21"/>
                    </w:rPr>
                  </w:pPr>
                  <w:r>
                    <w:rPr>
                      <w:kern w:val="0"/>
                      <w:szCs w:val="21"/>
                    </w:rPr>
                    <w:t>全硫份</w:t>
                  </w:r>
                </w:p>
              </w:tc>
              <w:tc>
                <w:tcPr>
                  <w:tcW w:w="1383" w:type="pct"/>
                  <w:tcBorders>
                    <w:right w:val="single" w:color="auto" w:sz="4" w:space="0"/>
                  </w:tcBorders>
                  <w:vAlign w:val="center"/>
                </w:tcPr>
                <w:p w14:paraId="5CA579AB">
                  <w:pPr>
                    <w:adjustRightInd w:val="0"/>
                    <w:snapToGrid w:val="0"/>
                    <w:jc w:val="center"/>
                    <w:rPr>
                      <w:kern w:val="0"/>
                      <w:szCs w:val="21"/>
                    </w:rPr>
                  </w:pPr>
                  <w:r>
                    <w:rPr>
                      <w:kern w:val="0"/>
                      <w:szCs w:val="21"/>
                    </w:rPr>
                    <w:t>发热量</w:t>
                  </w:r>
                </w:p>
              </w:tc>
            </w:tr>
            <w:tr w14:paraId="008B77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exact"/>
              </w:trPr>
              <w:tc>
                <w:tcPr>
                  <w:tcW w:w="884" w:type="pct"/>
                  <w:vAlign w:val="center"/>
                </w:tcPr>
                <w:p w14:paraId="09AF18F5">
                  <w:pPr>
                    <w:adjustRightInd w:val="0"/>
                    <w:snapToGrid w:val="0"/>
                    <w:jc w:val="center"/>
                    <w:rPr>
                      <w:kern w:val="0"/>
                      <w:szCs w:val="21"/>
                    </w:rPr>
                  </w:pPr>
                  <w:r>
                    <w:rPr>
                      <w:kern w:val="0"/>
                      <w:szCs w:val="21"/>
                    </w:rPr>
                    <w:t>含量（%）</w:t>
                  </w:r>
                </w:p>
              </w:tc>
              <w:tc>
                <w:tcPr>
                  <w:tcW w:w="940" w:type="pct"/>
                  <w:tcBorders>
                    <w:right w:val="single" w:color="auto" w:sz="4" w:space="0"/>
                  </w:tcBorders>
                  <w:vAlign w:val="center"/>
                </w:tcPr>
                <w:p w14:paraId="16BED45A">
                  <w:pPr>
                    <w:adjustRightInd w:val="0"/>
                    <w:snapToGrid w:val="0"/>
                    <w:jc w:val="center"/>
                    <w:rPr>
                      <w:kern w:val="0"/>
                      <w:szCs w:val="21"/>
                    </w:rPr>
                  </w:pPr>
                  <w:r>
                    <w:rPr>
                      <w:kern w:val="0"/>
                      <w:szCs w:val="21"/>
                    </w:rPr>
                    <w:t>1.62~3.63</w:t>
                  </w:r>
                </w:p>
              </w:tc>
              <w:tc>
                <w:tcPr>
                  <w:tcW w:w="939" w:type="pct"/>
                  <w:tcBorders>
                    <w:left w:val="single" w:color="auto" w:sz="4" w:space="0"/>
                  </w:tcBorders>
                  <w:vAlign w:val="center"/>
                </w:tcPr>
                <w:p w14:paraId="284DC372">
                  <w:pPr>
                    <w:adjustRightInd w:val="0"/>
                    <w:snapToGrid w:val="0"/>
                    <w:jc w:val="center"/>
                    <w:rPr>
                      <w:kern w:val="0"/>
                      <w:szCs w:val="21"/>
                    </w:rPr>
                  </w:pPr>
                  <w:r>
                    <w:rPr>
                      <w:kern w:val="0"/>
                      <w:szCs w:val="21"/>
                    </w:rPr>
                    <w:t>4.5~5.04</w:t>
                  </w:r>
                </w:p>
              </w:tc>
              <w:tc>
                <w:tcPr>
                  <w:tcW w:w="854" w:type="pct"/>
                  <w:vAlign w:val="center"/>
                </w:tcPr>
                <w:p w14:paraId="07CD0EE7">
                  <w:pPr>
                    <w:adjustRightInd w:val="0"/>
                    <w:snapToGrid w:val="0"/>
                    <w:jc w:val="center"/>
                    <w:rPr>
                      <w:kern w:val="0"/>
                      <w:szCs w:val="21"/>
                    </w:rPr>
                  </w:pPr>
                  <w:r>
                    <w:rPr>
                      <w:kern w:val="0"/>
                      <w:szCs w:val="21"/>
                    </w:rPr>
                    <w:t>0.12~0.4</w:t>
                  </w:r>
                </w:p>
              </w:tc>
              <w:tc>
                <w:tcPr>
                  <w:tcW w:w="1383" w:type="pct"/>
                  <w:tcBorders>
                    <w:right w:val="single" w:color="auto" w:sz="4" w:space="0"/>
                  </w:tcBorders>
                  <w:vAlign w:val="center"/>
                </w:tcPr>
                <w:p w14:paraId="72D3D8F2">
                  <w:pPr>
                    <w:adjustRightInd w:val="0"/>
                    <w:snapToGrid w:val="0"/>
                    <w:jc w:val="center"/>
                    <w:rPr>
                      <w:kern w:val="0"/>
                      <w:szCs w:val="21"/>
                    </w:rPr>
                  </w:pPr>
                  <w:r>
                    <w:rPr>
                      <w:kern w:val="0"/>
                      <w:szCs w:val="21"/>
                    </w:rPr>
                    <w:t>502~808（大卡/kg）</w:t>
                  </w:r>
                </w:p>
              </w:tc>
            </w:tr>
          </w:tbl>
          <w:p w14:paraId="28046103">
            <w:pPr>
              <w:adjustRightInd w:val="0"/>
              <w:snapToGrid w:val="0"/>
              <w:spacing w:line="520" w:lineRule="exact"/>
              <w:ind w:firstLine="482" w:firstLineChars="200"/>
              <w:jc w:val="left"/>
              <w:rPr>
                <w:color w:val="FF0000"/>
                <w:sz w:val="24"/>
                <w:u w:val="single"/>
              </w:rPr>
            </w:pPr>
            <w:r>
              <w:rPr>
                <w:b/>
                <w:bCs/>
                <w:color w:val="FF0000"/>
                <w:sz w:val="24"/>
                <w:u w:val="single"/>
              </w:rPr>
              <w:t>建筑垃圾：</w:t>
            </w:r>
            <w:r>
              <w:rPr>
                <w:color w:val="FF0000"/>
                <w:sz w:val="24"/>
                <w:u w:val="single"/>
              </w:rPr>
              <w:t>现有工程主要利用煤矸石、页岩生产烧结砖，为进一步节约资源，促进宝丰县建筑垃圾的综合利用，本次改建工程将原料中页岩替换为建筑垃圾。建筑垃圾主要来源于宝丰县道路、房屋施工及拆改时产生的废渣土、碎石、砖瓦碎块等，来料要求不含水泥、钢筋、木头、玻璃等杂物，不沾染废油等危险废物，来料可直接破碎，不须在厂内分拣、筛选加工。</w:t>
            </w:r>
          </w:p>
          <w:p w14:paraId="3FF5F14F">
            <w:pPr>
              <w:autoSpaceDE w:val="0"/>
              <w:autoSpaceDN w:val="0"/>
              <w:adjustRightInd w:val="0"/>
              <w:snapToGrid w:val="0"/>
              <w:spacing w:line="520" w:lineRule="exact"/>
              <w:ind w:firstLine="482" w:firstLineChars="200"/>
              <w:rPr>
                <w:rFonts w:eastAsiaTheme="minorEastAsia"/>
                <w:bCs/>
                <w:kern w:val="0"/>
                <w:sz w:val="24"/>
              </w:rPr>
            </w:pPr>
            <w:r>
              <w:rPr>
                <w:rFonts w:eastAsiaTheme="minorEastAsia"/>
                <w:b/>
                <w:kern w:val="0"/>
                <w:sz w:val="24"/>
              </w:rPr>
              <w:t>石灰粉：</w:t>
            </w:r>
            <w:r>
              <w:rPr>
                <w:rFonts w:eastAsiaTheme="minorEastAsia"/>
                <w:bCs/>
                <w:kern w:val="0"/>
                <w:sz w:val="24"/>
              </w:rPr>
              <w:t>主要成分是氧化钙（CaO），细腻的白色粉末，分子量56、真密度约为3.1~3.4g/cm³，几乎不溶于水，但能与水反应生成氢氧化钙（Ca(OH)₂，即熟石灰），与水混合生成吸收浆液在脱硫塔内与烟气接触混合，烟气中的二氧化硫与浆液中的氢氧化钙生成亚硫酸钙，亚硫酸钙再与鼓入的空气中的氧气反应，产生硫酸钙，该反应是在脱硫塔底部的浆液中进行。</w:t>
            </w:r>
          </w:p>
          <w:p w14:paraId="59373A8A">
            <w:pPr>
              <w:autoSpaceDE w:val="0"/>
              <w:autoSpaceDN w:val="0"/>
              <w:adjustRightInd w:val="0"/>
              <w:snapToGrid w:val="0"/>
              <w:spacing w:line="520" w:lineRule="exact"/>
              <w:ind w:firstLine="482" w:firstLineChars="200"/>
              <w:rPr>
                <w:rFonts w:eastAsiaTheme="minorEastAsia"/>
                <w:bCs/>
                <w:kern w:val="0"/>
                <w:sz w:val="24"/>
              </w:rPr>
            </w:pPr>
            <w:r>
              <w:rPr>
                <w:rFonts w:eastAsiaTheme="minorEastAsia"/>
                <w:b/>
                <w:kern w:val="0"/>
                <w:sz w:val="24"/>
              </w:rPr>
              <w:t>尿素：</w:t>
            </w:r>
            <w:r>
              <w:rPr>
                <w:bCs/>
                <w:sz w:val="24"/>
              </w:rPr>
              <w:t>CO(NH</w:t>
            </w:r>
            <w:r>
              <w:rPr>
                <w:bCs/>
                <w:sz w:val="24"/>
                <w:vertAlign w:val="subscript"/>
              </w:rPr>
              <w:t>2</w:t>
            </w:r>
            <w:r>
              <w:rPr>
                <w:bCs/>
                <w:sz w:val="24"/>
              </w:rPr>
              <w:t>)</w:t>
            </w:r>
            <w:r>
              <w:rPr>
                <w:bCs/>
                <w:sz w:val="24"/>
                <w:vertAlign w:val="subscript"/>
              </w:rPr>
              <w:t>2</w:t>
            </w:r>
            <w:r>
              <w:rPr>
                <w:rFonts w:eastAsiaTheme="minorEastAsia"/>
                <w:bCs/>
                <w:kern w:val="0"/>
                <w:sz w:val="24"/>
              </w:rPr>
              <w:t>，又称碳酰胺，是由碳、氮、氧、氢组成的有机化合物，又称脲，是一种白色晶体。无色或白色针状或棒状结晶体，工业或农业品为白色略带微红色固体颗粒，无臭无味。沸点196.6℃（760mmHg）、闪点72.7℃、熔点132.7℃、水溶性1080g/L（20℃），溶解性：溶于水、甲醇、甲醛、乙醇、液态氨和醇，微溶于乙醚、氯仿，弱碱性。蛋白质代谢分解的主要含氮终产物，也是目前含氮量最高的氮肥。尿素在本项目中做为SNCR脱硝还原剂使用。</w:t>
            </w:r>
          </w:p>
          <w:p w14:paraId="6EBE7C46">
            <w:pPr>
              <w:pStyle w:val="36"/>
              <w:spacing w:after="0" w:line="500" w:lineRule="exact"/>
              <w:ind w:left="0" w:leftChars="0" w:firstLine="482"/>
              <w:rPr>
                <w:bCs/>
                <w:sz w:val="24"/>
                <w:szCs w:val="24"/>
              </w:rPr>
            </w:pPr>
            <w:r>
              <w:rPr>
                <w:b/>
                <w:sz w:val="24"/>
                <w:szCs w:val="24"/>
              </w:rPr>
              <w:t>聚丙烯酰胺简称 PAM：</w:t>
            </w:r>
            <w:r>
              <w:rPr>
                <w:bCs/>
                <w:sz w:val="24"/>
                <w:szCs w:val="24"/>
              </w:rPr>
              <w:t>是一种线型高分子聚合物，化学式为(C</w:t>
            </w:r>
            <w:r>
              <w:rPr>
                <w:bCs/>
                <w:sz w:val="24"/>
                <w:szCs w:val="24"/>
                <w:vertAlign w:val="subscript"/>
              </w:rPr>
              <w:t>3</w:t>
            </w:r>
            <w:r>
              <w:rPr>
                <w:bCs/>
                <w:sz w:val="24"/>
                <w:szCs w:val="24"/>
              </w:rPr>
              <w:t>H</w:t>
            </w:r>
            <w:r>
              <w:rPr>
                <w:bCs/>
                <w:sz w:val="24"/>
                <w:szCs w:val="24"/>
                <w:vertAlign w:val="subscript"/>
              </w:rPr>
              <w:t>5</w:t>
            </w:r>
            <w:r>
              <w:rPr>
                <w:bCs/>
                <w:sz w:val="24"/>
                <w:szCs w:val="24"/>
              </w:rPr>
              <w:t>NO)n。主要分类：阴离子聚丙烯酰胺（APAM），阳离子聚丙烯酰胺（CPAM），非离子聚丙烯酰胺（NPAM）。主要用于各种工业废水的絮凝沉降，沉淀澄清处理，如钢铁厂废水，电镀厂废水，冶金废水，洗煤废水等污水处理、污泥脱水等。还可用于饮用水澄清和净化处理。由于其分子链中含有一定数量的极性基团，它能通过吸附水中悬浮的固体粒子，使粒子间架桥或通过电荷中和使粒子凝聚形成大的絮凝物，故可加速悬浮液中粒子的沉降，有非常明显的加快溶液澄清，促进过滤等效果。无毒无腐蚀性，温度超过 120℃时易分解。</w:t>
            </w:r>
          </w:p>
          <w:p w14:paraId="1CB28224">
            <w:pPr>
              <w:pStyle w:val="36"/>
              <w:spacing w:after="0" w:line="500" w:lineRule="exact"/>
              <w:ind w:left="0" w:leftChars="0" w:firstLine="482"/>
              <w:rPr>
                <w:bCs/>
                <w:sz w:val="24"/>
                <w:szCs w:val="24"/>
              </w:rPr>
            </w:pPr>
            <w:r>
              <w:rPr>
                <w:b/>
                <w:sz w:val="24"/>
                <w:szCs w:val="24"/>
              </w:rPr>
              <w:t>碱式氯化铝简称为 PAC：</w:t>
            </w:r>
            <w:r>
              <w:rPr>
                <w:bCs/>
                <w:sz w:val="24"/>
                <w:szCs w:val="24"/>
              </w:rPr>
              <w:t>是一种无机高分子的高价聚合电解质混凝剂，化学式为[Al</w:t>
            </w:r>
            <w:r>
              <w:rPr>
                <w:bCs/>
                <w:sz w:val="24"/>
                <w:szCs w:val="24"/>
                <w:vertAlign w:val="subscript"/>
              </w:rPr>
              <w:t>2</w:t>
            </w:r>
            <w:r>
              <w:rPr>
                <w:bCs/>
                <w:sz w:val="24"/>
                <w:szCs w:val="24"/>
              </w:rPr>
              <w:t>(OH)nCl(6-n)]m，其中 m 代表聚合程度，n表示 PAC 产品的中性程度。固体产品是白色、淡灰色、淡黄色或棕褐色晶粒或粉末。主要通过压缩双电层、吸附电中和、吸附架桥、沉淀物网捕等机理作用，使水中细微悬浮粒子和胶体离子脱稳，聚集、絮凝、混凝、沉淀，达到净化处理效果。</w:t>
            </w:r>
          </w:p>
          <w:p w14:paraId="36CDADFB">
            <w:pPr>
              <w:autoSpaceDE w:val="0"/>
              <w:autoSpaceDN w:val="0"/>
              <w:adjustRightInd w:val="0"/>
              <w:snapToGrid w:val="0"/>
              <w:spacing w:line="520" w:lineRule="exact"/>
              <w:ind w:firstLine="482" w:firstLineChars="200"/>
              <w:rPr>
                <w:rFonts w:eastAsiaTheme="minorEastAsia"/>
                <w:b/>
                <w:kern w:val="0"/>
                <w:sz w:val="24"/>
              </w:rPr>
            </w:pPr>
            <w:r>
              <w:rPr>
                <w:rFonts w:eastAsiaTheme="minorEastAsia"/>
                <w:b/>
                <w:kern w:val="0"/>
                <w:sz w:val="24"/>
              </w:rPr>
              <w:t>天然气：</w:t>
            </w:r>
            <w:r>
              <w:rPr>
                <w:rFonts w:eastAsiaTheme="minorEastAsia"/>
                <w:bCs/>
                <w:kern w:val="0"/>
                <w:sz w:val="24"/>
              </w:rPr>
              <w:t>项目主要能源消耗为电能，隧道窑点火采用天然气作为燃料，其供应模式为“罐车直供、即用即送”，由专用燃气罐车运输至厂区直接供气，不在厂区设置天然气储罐。项目使用液化天然气满足《液化天然气》（GB/T38753-2020）相关标准要求。</w:t>
            </w:r>
          </w:p>
          <w:p w14:paraId="0B98349A">
            <w:pPr>
              <w:pStyle w:val="13"/>
              <w:adjustRightInd w:val="0"/>
              <w:snapToGrid w:val="0"/>
              <w:spacing w:line="520" w:lineRule="exact"/>
              <w:jc w:val="center"/>
              <w:rPr>
                <w:rFonts w:ascii="Times New Roman" w:hAnsi="Times New Roman" w:cs="Times New Roman"/>
                <w:kern w:val="0"/>
                <w:sz w:val="24"/>
                <w:szCs w:val="24"/>
              </w:rPr>
            </w:pPr>
            <w:r>
              <w:rPr>
                <w:rFonts w:ascii="Times New Roman" w:hAnsi="Times New Roman" w:cs="Times New Roman"/>
                <w:kern w:val="0"/>
                <w:sz w:val="24"/>
                <w:szCs w:val="24"/>
              </w:rPr>
              <w:t>表2-5        液化天然气原料质量标准</w:t>
            </w:r>
          </w:p>
          <w:tbl>
            <w:tblPr>
              <w:tblStyle w:val="37"/>
              <w:tblpPr w:leftFromText="180" w:rightFromText="180" w:vertAnchor="text" w:tblpXSpec="right" w:tblpY="1"/>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500"/>
              <w:gridCol w:w="2009"/>
              <w:gridCol w:w="1718"/>
              <w:gridCol w:w="1426"/>
              <w:gridCol w:w="1803"/>
            </w:tblGrid>
            <w:tr w14:paraId="1482D18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71" w:hRule="atLeast"/>
              </w:trPr>
              <w:tc>
                <w:tcPr>
                  <w:tcW w:w="779" w:type="pct"/>
                  <w:vAlign w:val="center"/>
                </w:tcPr>
                <w:p w14:paraId="6926B72F">
                  <w:pPr>
                    <w:jc w:val="center"/>
                    <w:rPr>
                      <w:szCs w:val="21"/>
                    </w:rPr>
                  </w:pPr>
                  <w:r>
                    <w:rPr>
                      <w:szCs w:val="21"/>
                    </w:rPr>
                    <w:t>标准名称</w:t>
                  </w:r>
                </w:p>
              </w:tc>
              <w:tc>
                <w:tcPr>
                  <w:tcW w:w="4221" w:type="pct"/>
                  <w:gridSpan w:val="4"/>
                  <w:vAlign w:val="center"/>
                </w:tcPr>
                <w:p w14:paraId="0D4E6B9B">
                  <w:pPr>
                    <w:jc w:val="center"/>
                    <w:rPr>
                      <w:szCs w:val="21"/>
                    </w:rPr>
                  </w:pPr>
                  <w:r>
                    <w:rPr>
                      <w:szCs w:val="21"/>
                    </w:rPr>
                    <w:t>3级指标要求</w:t>
                  </w:r>
                </w:p>
              </w:tc>
            </w:tr>
            <w:tr w14:paraId="4D8A616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779" w:type="pct"/>
                  <w:vMerge w:val="restart"/>
                  <w:vAlign w:val="center"/>
                </w:tcPr>
                <w:p w14:paraId="79AC248A">
                  <w:pPr>
                    <w:adjustRightInd w:val="0"/>
                    <w:snapToGrid w:val="0"/>
                    <w:jc w:val="center"/>
                    <w:rPr>
                      <w:szCs w:val="21"/>
                    </w:rPr>
                  </w:pPr>
                  <w:bookmarkStart w:id="10" w:name="OLE_LINK2"/>
                  <w:bookmarkStart w:id="11" w:name="OLE_LINK3"/>
                  <w:r>
                    <w:rPr>
                      <w:szCs w:val="21"/>
                    </w:rPr>
                    <w:t>《液化天然气》（GB/T38753-2020）</w:t>
                  </w:r>
                  <w:bookmarkEnd w:id="10"/>
                  <w:bookmarkEnd w:id="11"/>
                </w:p>
              </w:tc>
              <w:tc>
                <w:tcPr>
                  <w:tcW w:w="1215" w:type="pct"/>
                  <w:vAlign w:val="center"/>
                </w:tcPr>
                <w:p w14:paraId="5C02CACD">
                  <w:pPr>
                    <w:adjustRightInd w:val="0"/>
                    <w:snapToGrid w:val="0"/>
                    <w:jc w:val="center"/>
                    <w:rPr>
                      <w:szCs w:val="21"/>
                    </w:rPr>
                  </w:pPr>
                  <w:r>
                    <w:rPr>
                      <w:szCs w:val="21"/>
                    </w:rPr>
                    <w:t>甲烷摩尔分数/%</w:t>
                  </w:r>
                </w:p>
              </w:tc>
              <w:tc>
                <w:tcPr>
                  <w:tcW w:w="1043" w:type="pct"/>
                  <w:vAlign w:val="center"/>
                </w:tcPr>
                <w:p w14:paraId="722B004C">
                  <w:pPr>
                    <w:adjustRightInd w:val="0"/>
                    <w:snapToGrid w:val="0"/>
                    <w:jc w:val="center"/>
                    <w:rPr>
                      <w:szCs w:val="21"/>
                    </w:rPr>
                  </w:pPr>
                  <w:r>
                    <w:rPr>
                      <w:szCs w:val="21"/>
                    </w:rPr>
                    <w:t>C</w:t>
                  </w:r>
                  <w:r>
                    <w:rPr>
                      <w:szCs w:val="21"/>
                      <w:vertAlign w:val="subscript"/>
                    </w:rPr>
                    <w:t>4</w:t>
                  </w:r>
                  <w:r>
                    <w:rPr>
                      <w:szCs w:val="21"/>
                      <w:vertAlign w:val="superscript"/>
                    </w:rPr>
                    <w:t>+</w:t>
                  </w:r>
                  <w:r>
                    <w:rPr>
                      <w:szCs w:val="21"/>
                    </w:rPr>
                    <w:t>烷烃摩尔分数/%</w:t>
                  </w:r>
                </w:p>
              </w:tc>
              <w:tc>
                <w:tcPr>
                  <w:tcW w:w="870" w:type="pct"/>
                  <w:vAlign w:val="center"/>
                </w:tcPr>
                <w:p w14:paraId="76B75E0A">
                  <w:pPr>
                    <w:adjustRightInd w:val="0"/>
                    <w:snapToGrid w:val="0"/>
                    <w:jc w:val="center"/>
                    <w:rPr>
                      <w:szCs w:val="21"/>
                    </w:rPr>
                  </w:pPr>
                  <w:r>
                    <w:rPr>
                      <w:szCs w:val="21"/>
                    </w:rPr>
                    <w:t>二氧化碳摩尔分数/%</w:t>
                  </w:r>
                </w:p>
              </w:tc>
              <w:tc>
                <w:tcPr>
                  <w:tcW w:w="1093" w:type="pct"/>
                  <w:vAlign w:val="center"/>
                </w:tcPr>
                <w:p w14:paraId="739F9E57">
                  <w:pPr>
                    <w:adjustRightInd w:val="0"/>
                    <w:snapToGrid w:val="0"/>
                    <w:jc w:val="center"/>
                    <w:rPr>
                      <w:szCs w:val="21"/>
                    </w:rPr>
                  </w:pPr>
                  <w:r>
                    <w:rPr>
                      <w:szCs w:val="21"/>
                    </w:rPr>
                    <w:t>氮气摩尔分数/%</w:t>
                  </w:r>
                </w:p>
              </w:tc>
            </w:tr>
            <w:tr w14:paraId="3C9148C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779" w:type="pct"/>
                  <w:vMerge w:val="continue"/>
                  <w:vAlign w:val="center"/>
                </w:tcPr>
                <w:p w14:paraId="50C842C7">
                  <w:pPr>
                    <w:adjustRightInd w:val="0"/>
                    <w:snapToGrid w:val="0"/>
                    <w:jc w:val="center"/>
                    <w:rPr>
                      <w:szCs w:val="21"/>
                    </w:rPr>
                  </w:pPr>
                </w:p>
              </w:tc>
              <w:tc>
                <w:tcPr>
                  <w:tcW w:w="1215" w:type="pct"/>
                  <w:vAlign w:val="center"/>
                </w:tcPr>
                <w:p w14:paraId="2DB69E44">
                  <w:pPr>
                    <w:adjustRightInd w:val="0"/>
                    <w:snapToGrid w:val="0"/>
                    <w:jc w:val="center"/>
                    <w:rPr>
                      <w:szCs w:val="21"/>
                    </w:rPr>
                  </w:pPr>
                  <w:r>
                    <w:rPr>
                      <w:szCs w:val="21"/>
                    </w:rPr>
                    <w:t>86.0~97.5</w:t>
                  </w:r>
                </w:p>
              </w:tc>
              <w:tc>
                <w:tcPr>
                  <w:tcW w:w="1043" w:type="pct"/>
                  <w:vAlign w:val="center"/>
                </w:tcPr>
                <w:p w14:paraId="51E2659A">
                  <w:pPr>
                    <w:adjustRightInd w:val="0"/>
                    <w:snapToGrid w:val="0"/>
                    <w:jc w:val="center"/>
                    <w:rPr>
                      <w:szCs w:val="21"/>
                    </w:rPr>
                  </w:pPr>
                  <w:r>
                    <w:rPr>
                      <w:szCs w:val="21"/>
                    </w:rPr>
                    <w:t>≤2</w:t>
                  </w:r>
                </w:p>
              </w:tc>
              <w:tc>
                <w:tcPr>
                  <w:tcW w:w="870" w:type="pct"/>
                  <w:vAlign w:val="center"/>
                </w:tcPr>
                <w:p w14:paraId="7560A90C">
                  <w:pPr>
                    <w:adjustRightInd w:val="0"/>
                    <w:snapToGrid w:val="0"/>
                    <w:jc w:val="center"/>
                    <w:rPr>
                      <w:szCs w:val="21"/>
                    </w:rPr>
                  </w:pPr>
                  <w:r>
                    <w:rPr>
                      <w:szCs w:val="21"/>
                    </w:rPr>
                    <w:t>≤0.01</w:t>
                  </w:r>
                </w:p>
              </w:tc>
              <w:tc>
                <w:tcPr>
                  <w:tcW w:w="1093" w:type="pct"/>
                  <w:vAlign w:val="center"/>
                </w:tcPr>
                <w:p w14:paraId="184224FA">
                  <w:pPr>
                    <w:adjustRightInd w:val="0"/>
                    <w:snapToGrid w:val="0"/>
                    <w:jc w:val="center"/>
                    <w:rPr>
                      <w:szCs w:val="21"/>
                    </w:rPr>
                  </w:pPr>
                  <w:r>
                    <w:rPr>
                      <w:szCs w:val="21"/>
                    </w:rPr>
                    <w:t>≤1</w:t>
                  </w:r>
                </w:p>
              </w:tc>
            </w:tr>
            <w:tr w14:paraId="5574F34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779" w:type="pct"/>
                  <w:vMerge w:val="continue"/>
                  <w:vAlign w:val="center"/>
                </w:tcPr>
                <w:p w14:paraId="2CA2292D">
                  <w:pPr>
                    <w:adjustRightInd w:val="0"/>
                    <w:snapToGrid w:val="0"/>
                    <w:jc w:val="center"/>
                    <w:rPr>
                      <w:szCs w:val="21"/>
                    </w:rPr>
                  </w:pPr>
                </w:p>
              </w:tc>
              <w:tc>
                <w:tcPr>
                  <w:tcW w:w="1215" w:type="pct"/>
                  <w:vAlign w:val="center"/>
                </w:tcPr>
                <w:p w14:paraId="64127B3D">
                  <w:pPr>
                    <w:adjustRightInd w:val="0"/>
                    <w:snapToGrid w:val="0"/>
                    <w:jc w:val="center"/>
                    <w:rPr>
                      <w:szCs w:val="21"/>
                    </w:rPr>
                  </w:pPr>
                  <w:r>
                    <w:rPr>
                      <w:szCs w:val="21"/>
                    </w:rPr>
                    <w:t>氧气摩尔分数/%</w:t>
                  </w:r>
                </w:p>
              </w:tc>
              <w:tc>
                <w:tcPr>
                  <w:tcW w:w="1043" w:type="pct"/>
                  <w:vAlign w:val="center"/>
                </w:tcPr>
                <w:p w14:paraId="340EAF79">
                  <w:pPr>
                    <w:adjustRightInd w:val="0"/>
                    <w:snapToGrid w:val="0"/>
                    <w:jc w:val="center"/>
                    <w:rPr>
                      <w:szCs w:val="21"/>
                    </w:rPr>
                  </w:pPr>
                  <w:r>
                    <w:rPr>
                      <w:szCs w:val="21"/>
                    </w:rPr>
                    <w:t>总硫含量(以硫计)/(</w:t>
                  </w:r>
                  <w:bookmarkStart w:id="12" w:name="OLE_LINK4"/>
                  <w:r>
                    <w:rPr>
                      <w:szCs w:val="21"/>
                    </w:rPr>
                    <w:t>mg/m</w:t>
                  </w:r>
                  <w:r>
                    <w:rPr>
                      <w:szCs w:val="21"/>
                      <w:vertAlign w:val="superscript"/>
                    </w:rPr>
                    <w:t>3</w:t>
                  </w:r>
                  <w:bookmarkEnd w:id="12"/>
                  <w:r>
                    <w:rPr>
                      <w:szCs w:val="21"/>
                    </w:rPr>
                    <w:t>)</w:t>
                  </w:r>
                </w:p>
              </w:tc>
              <w:tc>
                <w:tcPr>
                  <w:tcW w:w="870" w:type="pct"/>
                  <w:vAlign w:val="center"/>
                </w:tcPr>
                <w:p w14:paraId="326E8668">
                  <w:pPr>
                    <w:adjustRightInd w:val="0"/>
                    <w:snapToGrid w:val="0"/>
                    <w:jc w:val="center"/>
                    <w:rPr>
                      <w:szCs w:val="21"/>
                    </w:rPr>
                  </w:pPr>
                  <w:r>
                    <w:rPr>
                      <w:szCs w:val="21"/>
                    </w:rPr>
                    <w:t>硫化氢含量/( mg/m</w:t>
                  </w:r>
                  <w:r>
                    <w:rPr>
                      <w:szCs w:val="21"/>
                      <w:vertAlign w:val="superscript"/>
                    </w:rPr>
                    <w:t>3</w:t>
                  </w:r>
                  <w:r>
                    <w:rPr>
                      <w:szCs w:val="21"/>
                    </w:rPr>
                    <w:t>)</w:t>
                  </w:r>
                </w:p>
              </w:tc>
              <w:tc>
                <w:tcPr>
                  <w:tcW w:w="1093" w:type="pct"/>
                  <w:vAlign w:val="center"/>
                </w:tcPr>
                <w:p w14:paraId="55270844">
                  <w:pPr>
                    <w:adjustRightInd w:val="0"/>
                    <w:snapToGrid w:val="0"/>
                    <w:jc w:val="center"/>
                    <w:rPr>
                      <w:szCs w:val="21"/>
                    </w:rPr>
                  </w:pPr>
                  <w:r>
                    <w:rPr>
                      <w:szCs w:val="21"/>
                    </w:rPr>
                    <w:t>高位体积发热量/(MJ/m</w:t>
                  </w:r>
                  <w:r>
                    <w:rPr>
                      <w:szCs w:val="21"/>
                      <w:vertAlign w:val="superscript"/>
                    </w:rPr>
                    <w:t>3</w:t>
                  </w:r>
                  <w:r>
                    <w:rPr>
                      <w:szCs w:val="21"/>
                    </w:rPr>
                    <w:t>)</w:t>
                  </w:r>
                </w:p>
              </w:tc>
            </w:tr>
            <w:tr w14:paraId="5CC725C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779" w:type="pct"/>
                  <w:vMerge w:val="continue"/>
                  <w:vAlign w:val="center"/>
                </w:tcPr>
                <w:p w14:paraId="02A64EE1">
                  <w:pPr>
                    <w:adjustRightInd w:val="0"/>
                    <w:snapToGrid w:val="0"/>
                    <w:jc w:val="center"/>
                    <w:rPr>
                      <w:szCs w:val="21"/>
                    </w:rPr>
                  </w:pPr>
                </w:p>
              </w:tc>
              <w:tc>
                <w:tcPr>
                  <w:tcW w:w="1215" w:type="pct"/>
                  <w:vAlign w:val="center"/>
                </w:tcPr>
                <w:p w14:paraId="412CBDEB">
                  <w:pPr>
                    <w:adjustRightInd w:val="0"/>
                    <w:snapToGrid w:val="0"/>
                    <w:jc w:val="center"/>
                    <w:rPr>
                      <w:szCs w:val="21"/>
                    </w:rPr>
                  </w:pPr>
                  <w:r>
                    <w:rPr>
                      <w:szCs w:val="21"/>
                    </w:rPr>
                    <w:t>≤0.1</w:t>
                  </w:r>
                </w:p>
              </w:tc>
              <w:tc>
                <w:tcPr>
                  <w:tcW w:w="1043" w:type="pct"/>
                  <w:vAlign w:val="center"/>
                </w:tcPr>
                <w:p w14:paraId="6C7EB258">
                  <w:pPr>
                    <w:adjustRightInd w:val="0"/>
                    <w:snapToGrid w:val="0"/>
                    <w:jc w:val="center"/>
                    <w:rPr>
                      <w:szCs w:val="21"/>
                    </w:rPr>
                  </w:pPr>
                  <w:r>
                    <w:rPr>
                      <w:szCs w:val="21"/>
                    </w:rPr>
                    <w:t>≤20</w:t>
                  </w:r>
                </w:p>
              </w:tc>
              <w:tc>
                <w:tcPr>
                  <w:tcW w:w="870" w:type="pct"/>
                  <w:vAlign w:val="center"/>
                </w:tcPr>
                <w:p w14:paraId="538CBFDF">
                  <w:pPr>
                    <w:adjustRightInd w:val="0"/>
                    <w:snapToGrid w:val="0"/>
                    <w:jc w:val="center"/>
                    <w:rPr>
                      <w:szCs w:val="21"/>
                    </w:rPr>
                  </w:pPr>
                  <w:r>
                    <w:rPr>
                      <w:szCs w:val="21"/>
                    </w:rPr>
                    <w:t>≤.3.5</w:t>
                  </w:r>
                </w:p>
              </w:tc>
              <w:tc>
                <w:tcPr>
                  <w:tcW w:w="1093" w:type="pct"/>
                  <w:vAlign w:val="center"/>
                </w:tcPr>
                <w:p w14:paraId="59A9A90C">
                  <w:pPr>
                    <w:adjustRightInd w:val="0"/>
                    <w:snapToGrid w:val="0"/>
                    <w:jc w:val="center"/>
                    <w:rPr>
                      <w:szCs w:val="21"/>
                    </w:rPr>
                  </w:pPr>
                  <w:r>
                    <w:rPr>
                      <w:szCs w:val="21"/>
                    </w:rPr>
                    <w:t>≥38.0且≤42.4</w:t>
                  </w:r>
                </w:p>
              </w:tc>
            </w:tr>
          </w:tbl>
          <w:p w14:paraId="59EEC2CC">
            <w:pPr>
              <w:adjustRightInd w:val="0"/>
              <w:snapToGrid w:val="0"/>
              <w:spacing w:line="520" w:lineRule="exact"/>
              <w:jc w:val="left"/>
              <w:rPr>
                <w:rFonts w:eastAsia="黑体"/>
                <w:sz w:val="24"/>
              </w:rPr>
            </w:pPr>
            <w:r>
              <w:rPr>
                <w:rFonts w:eastAsia="黑体"/>
                <w:sz w:val="24"/>
              </w:rPr>
              <w:t>5.2污泥制砖可行性</w:t>
            </w:r>
          </w:p>
          <w:p w14:paraId="32E38B26">
            <w:pPr>
              <w:spacing w:line="500" w:lineRule="exact"/>
              <w:ind w:firstLine="480" w:firstLineChars="200"/>
              <w:rPr>
                <w:bCs/>
                <w:sz w:val="24"/>
              </w:rPr>
            </w:pPr>
            <w:r>
              <w:rPr>
                <w:bCs/>
                <w:sz w:val="24"/>
              </w:rPr>
              <w:t>（1）污泥来源</w:t>
            </w:r>
          </w:p>
          <w:p w14:paraId="63765CEF">
            <w:pPr>
              <w:spacing w:line="500" w:lineRule="exact"/>
              <w:ind w:firstLine="480" w:firstLineChars="200"/>
              <w:rPr>
                <w:sz w:val="24"/>
              </w:rPr>
            </w:pPr>
            <w:r>
              <w:rPr>
                <w:bCs/>
                <w:sz w:val="24"/>
              </w:rPr>
              <w:t>本项目使用的污泥来自宝丰县污水处理厂，不包括栅渣、浮渣和沉砂池砂砾。宝丰县污水处理厂位于</w:t>
            </w:r>
            <w:r>
              <w:rPr>
                <w:sz w:val="24"/>
              </w:rPr>
              <w:t>宝丰县城东四环路与前进路交叉口，净肠河以南，服务范围</w:t>
            </w:r>
            <w:r>
              <w:rPr>
                <w:bCs/>
                <w:sz w:val="24"/>
              </w:rPr>
              <w:t>：西至运河路，北至北环路，东至东四环路，南至南部产业集聚区外围区域，服务面积25.92km</w:t>
            </w:r>
            <w:r>
              <w:rPr>
                <w:bCs/>
                <w:sz w:val="24"/>
                <w:vertAlign w:val="superscript"/>
              </w:rPr>
              <w:t>2</w:t>
            </w:r>
            <w:r>
              <w:rPr>
                <w:bCs/>
                <w:sz w:val="24"/>
              </w:rPr>
              <w:t>，主要收集处理宝丰县新、老城区生活污水。宝丰县污水处理厂一期工程于2005年12月开工建设，2007年1月投入运行，设计规模2万m</w:t>
            </w:r>
            <w:r>
              <w:rPr>
                <w:bCs/>
                <w:sz w:val="24"/>
                <w:vertAlign w:val="superscript"/>
              </w:rPr>
              <w:t>3</w:t>
            </w:r>
            <w:r>
              <w:rPr>
                <w:bCs/>
                <w:sz w:val="24"/>
              </w:rPr>
              <w:t>/d，处理工艺“前置厌氧+奥贝尔氧化沟+反应沉淀池+纤维转盘滤池+二氧化氯消毒”；二期工程于2013年4月开工建设，2015年投入运行，设计规模2万m</w:t>
            </w:r>
            <w:r>
              <w:rPr>
                <w:bCs/>
                <w:sz w:val="24"/>
                <w:vertAlign w:val="superscript"/>
              </w:rPr>
              <w:t>3</w:t>
            </w:r>
            <w:r>
              <w:rPr>
                <w:bCs/>
                <w:sz w:val="24"/>
              </w:rPr>
              <w:t>/d，处理工艺“水解酸化+改良型氧化沟+反应沉淀池+纤维转盘滤池+二氧化氯消毒”，</w:t>
            </w:r>
            <w:r>
              <w:rPr>
                <w:sz w:val="24"/>
              </w:rPr>
              <w:t>出水水质执行《城镇污水处理厂污染物排放标准》（GB18918-2002）一级A标准。</w:t>
            </w:r>
          </w:p>
          <w:p w14:paraId="4B17ADBA">
            <w:pPr>
              <w:spacing w:line="500" w:lineRule="exact"/>
              <w:ind w:firstLine="480" w:firstLineChars="200"/>
              <w:rPr>
                <w:color w:val="FF0000"/>
                <w:sz w:val="32"/>
                <w:u w:val="single"/>
              </w:rPr>
            </w:pPr>
            <w:r>
              <w:rPr>
                <w:color w:val="FF0000"/>
                <w:sz w:val="24"/>
                <w:u w:val="single"/>
              </w:rPr>
              <w:t>本项目采用生活污水处理厂污泥做为原料，根据生态环境部“关于污（废）水处理设施产生污泥危险特性鉴别有关意见的函（环函〔2010〕129号）”：“单纯用于处理城镇生活污水的公共污水处理厂，其产生的污泥通常情况下不具有危险特性，可作为一般固体废物管理。”因此项目使用污泥属于一般固体废物。</w:t>
            </w:r>
          </w:p>
          <w:p w14:paraId="4C6CD7DF">
            <w:pPr>
              <w:spacing w:line="500" w:lineRule="exact"/>
              <w:ind w:firstLine="480" w:firstLineChars="200"/>
              <w:rPr>
                <w:bCs/>
                <w:sz w:val="24"/>
              </w:rPr>
            </w:pPr>
            <w:r>
              <w:rPr>
                <w:bCs/>
                <w:sz w:val="24"/>
              </w:rPr>
              <w:t>（2）污泥泥质</w:t>
            </w:r>
          </w:p>
          <w:p w14:paraId="4ED823A0">
            <w:pPr>
              <w:spacing w:line="500" w:lineRule="exact"/>
              <w:ind w:firstLine="480" w:firstLineChars="200"/>
              <w:rPr>
                <w:bCs/>
                <w:sz w:val="24"/>
              </w:rPr>
            </w:pPr>
            <w:r>
              <w:rPr>
                <w:bCs/>
                <w:sz w:val="24"/>
              </w:rPr>
              <w:t>宝丰县污水处理厂污泥检测结果见下表。</w:t>
            </w:r>
          </w:p>
          <w:p w14:paraId="54DB930E">
            <w:pPr>
              <w:adjustRightInd w:val="0"/>
              <w:snapToGrid w:val="0"/>
              <w:spacing w:line="520" w:lineRule="exact"/>
              <w:jc w:val="center"/>
              <w:rPr>
                <w:rFonts w:eastAsia="黑体"/>
                <w:bCs/>
                <w:sz w:val="24"/>
              </w:rPr>
            </w:pPr>
            <w:r>
              <w:rPr>
                <w:rFonts w:eastAsia="黑体"/>
                <w:bCs/>
                <w:sz w:val="24"/>
              </w:rPr>
              <w:t>表2-6      宝丰县污水处理厂污泥检测结果一览表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2320"/>
              <w:gridCol w:w="3777"/>
            </w:tblGrid>
            <w:tr w14:paraId="0AB4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06A56970">
                  <w:pPr>
                    <w:adjustRightInd w:val="0"/>
                    <w:snapToGrid w:val="0"/>
                    <w:spacing w:line="320" w:lineRule="exact"/>
                    <w:jc w:val="center"/>
                    <w:rPr>
                      <w:bCs/>
                      <w:szCs w:val="21"/>
                    </w:rPr>
                  </w:pPr>
                  <w:r>
                    <w:rPr>
                      <w:bCs/>
                      <w:szCs w:val="21"/>
                    </w:rPr>
                    <w:t>检测项目</w:t>
                  </w:r>
                </w:p>
              </w:tc>
              <w:tc>
                <w:tcPr>
                  <w:tcW w:w="1372" w:type="pct"/>
                  <w:vAlign w:val="center"/>
                </w:tcPr>
                <w:p w14:paraId="12CAB001">
                  <w:pPr>
                    <w:adjustRightInd w:val="0"/>
                    <w:snapToGrid w:val="0"/>
                    <w:spacing w:line="320" w:lineRule="exact"/>
                    <w:jc w:val="center"/>
                    <w:rPr>
                      <w:bCs/>
                      <w:szCs w:val="21"/>
                    </w:rPr>
                  </w:pPr>
                  <w:r>
                    <w:rPr>
                      <w:bCs/>
                      <w:szCs w:val="21"/>
                    </w:rPr>
                    <w:t>检测结果</w:t>
                  </w:r>
                </w:p>
              </w:tc>
              <w:tc>
                <w:tcPr>
                  <w:tcW w:w="2233" w:type="pct"/>
                  <w:vAlign w:val="center"/>
                </w:tcPr>
                <w:p w14:paraId="04CEC054">
                  <w:pPr>
                    <w:adjustRightInd w:val="0"/>
                    <w:snapToGrid w:val="0"/>
                    <w:spacing w:line="320" w:lineRule="exact"/>
                    <w:jc w:val="center"/>
                    <w:rPr>
                      <w:bCs/>
                      <w:szCs w:val="21"/>
                    </w:rPr>
                  </w:pPr>
                  <w:r>
                    <w:rPr>
                      <w:bCs/>
                    </w:rPr>
                    <w:t>《城镇污水处理厂污泥处置  制砖用泥质》（GB/T25031-2010）</w:t>
                  </w:r>
                </w:p>
              </w:tc>
            </w:tr>
            <w:tr w14:paraId="096D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5CAF3991">
                  <w:pPr>
                    <w:adjustRightInd w:val="0"/>
                    <w:snapToGrid w:val="0"/>
                    <w:spacing w:line="320" w:lineRule="exact"/>
                    <w:jc w:val="center"/>
                    <w:rPr>
                      <w:bCs/>
                      <w:szCs w:val="21"/>
                    </w:rPr>
                  </w:pPr>
                  <w:r>
                    <w:rPr>
                      <w:bCs/>
                      <w:szCs w:val="21"/>
                    </w:rPr>
                    <w:t>pH</w:t>
                  </w:r>
                </w:p>
              </w:tc>
              <w:tc>
                <w:tcPr>
                  <w:tcW w:w="1372" w:type="pct"/>
                  <w:vAlign w:val="center"/>
                </w:tcPr>
                <w:p w14:paraId="49405B0C">
                  <w:pPr>
                    <w:adjustRightInd w:val="0"/>
                    <w:snapToGrid w:val="0"/>
                    <w:spacing w:line="320" w:lineRule="exact"/>
                    <w:jc w:val="center"/>
                    <w:rPr>
                      <w:bCs/>
                      <w:szCs w:val="21"/>
                    </w:rPr>
                  </w:pPr>
                  <w:r>
                    <w:rPr>
                      <w:bCs/>
                      <w:szCs w:val="21"/>
                    </w:rPr>
                    <w:t>7.8</w:t>
                  </w:r>
                </w:p>
              </w:tc>
              <w:tc>
                <w:tcPr>
                  <w:tcW w:w="2233" w:type="pct"/>
                  <w:vAlign w:val="center"/>
                </w:tcPr>
                <w:p w14:paraId="44F1C05D">
                  <w:pPr>
                    <w:adjustRightInd w:val="0"/>
                    <w:snapToGrid w:val="0"/>
                    <w:spacing w:line="320" w:lineRule="exact"/>
                    <w:jc w:val="center"/>
                    <w:rPr>
                      <w:bCs/>
                      <w:szCs w:val="21"/>
                    </w:rPr>
                  </w:pPr>
                  <w:r>
                    <w:rPr>
                      <w:bCs/>
                      <w:szCs w:val="21"/>
                    </w:rPr>
                    <w:t>5-10</w:t>
                  </w:r>
                </w:p>
              </w:tc>
            </w:tr>
            <w:tr w14:paraId="7161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496B1AA0">
                  <w:pPr>
                    <w:adjustRightInd w:val="0"/>
                    <w:snapToGrid w:val="0"/>
                    <w:spacing w:line="320" w:lineRule="exact"/>
                    <w:jc w:val="center"/>
                    <w:rPr>
                      <w:bCs/>
                      <w:szCs w:val="21"/>
                    </w:rPr>
                  </w:pPr>
                  <w:r>
                    <w:rPr>
                      <w:bCs/>
                      <w:szCs w:val="21"/>
                    </w:rPr>
                    <w:t>含水率</w:t>
                  </w:r>
                </w:p>
              </w:tc>
              <w:tc>
                <w:tcPr>
                  <w:tcW w:w="1372" w:type="pct"/>
                  <w:vAlign w:val="center"/>
                </w:tcPr>
                <w:p w14:paraId="2CE94BCF">
                  <w:pPr>
                    <w:adjustRightInd w:val="0"/>
                    <w:snapToGrid w:val="0"/>
                    <w:spacing w:line="320" w:lineRule="exact"/>
                    <w:jc w:val="center"/>
                    <w:rPr>
                      <w:bCs/>
                      <w:szCs w:val="21"/>
                    </w:rPr>
                  </w:pPr>
                  <w:r>
                    <w:rPr>
                      <w:bCs/>
                      <w:szCs w:val="21"/>
                    </w:rPr>
                    <w:t>54.3%</w:t>
                  </w:r>
                </w:p>
              </w:tc>
              <w:tc>
                <w:tcPr>
                  <w:tcW w:w="2233" w:type="pct"/>
                  <w:vAlign w:val="center"/>
                </w:tcPr>
                <w:p w14:paraId="0D0E1C51">
                  <w:pPr>
                    <w:adjustRightInd w:val="0"/>
                    <w:snapToGrid w:val="0"/>
                    <w:spacing w:line="320" w:lineRule="exact"/>
                    <w:jc w:val="center"/>
                    <w:rPr>
                      <w:bCs/>
                      <w:szCs w:val="21"/>
                    </w:rPr>
                  </w:pPr>
                  <w:r>
                    <w:rPr>
                      <w:bCs/>
                      <w:szCs w:val="21"/>
                    </w:rPr>
                    <w:t>≤40%</w:t>
                  </w:r>
                </w:p>
              </w:tc>
            </w:tr>
            <w:tr w14:paraId="21A5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353A013E">
                  <w:pPr>
                    <w:adjustRightInd w:val="0"/>
                    <w:snapToGrid w:val="0"/>
                    <w:spacing w:line="320" w:lineRule="exact"/>
                    <w:jc w:val="center"/>
                    <w:rPr>
                      <w:bCs/>
                      <w:szCs w:val="21"/>
                    </w:rPr>
                  </w:pPr>
                  <w:r>
                    <w:rPr>
                      <w:bCs/>
                      <w:szCs w:val="21"/>
                    </w:rPr>
                    <w:t>烧失量</w:t>
                  </w:r>
                </w:p>
              </w:tc>
              <w:tc>
                <w:tcPr>
                  <w:tcW w:w="1372" w:type="pct"/>
                  <w:vAlign w:val="center"/>
                </w:tcPr>
                <w:p w14:paraId="0D4E6D49">
                  <w:pPr>
                    <w:adjustRightInd w:val="0"/>
                    <w:snapToGrid w:val="0"/>
                    <w:spacing w:line="320" w:lineRule="exact"/>
                    <w:jc w:val="center"/>
                    <w:rPr>
                      <w:bCs/>
                      <w:szCs w:val="21"/>
                    </w:rPr>
                  </w:pPr>
                  <w:r>
                    <w:rPr>
                      <w:bCs/>
                      <w:szCs w:val="21"/>
                    </w:rPr>
                    <w:t>49.89%</w:t>
                  </w:r>
                </w:p>
              </w:tc>
              <w:tc>
                <w:tcPr>
                  <w:tcW w:w="2233" w:type="pct"/>
                  <w:vAlign w:val="center"/>
                </w:tcPr>
                <w:p w14:paraId="14C3411F">
                  <w:pPr>
                    <w:adjustRightInd w:val="0"/>
                    <w:snapToGrid w:val="0"/>
                    <w:spacing w:line="320" w:lineRule="exact"/>
                    <w:jc w:val="center"/>
                    <w:rPr>
                      <w:bCs/>
                      <w:szCs w:val="21"/>
                    </w:rPr>
                  </w:pPr>
                  <w:r>
                    <w:rPr>
                      <w:bCs/>
                      <w:szCs w:val="21"/>
                    </w:rPr>
                    <w:t>≤50%</w:t>
                  </w:r>
                </w:p>
              </w:tc>
            </w:tr>
            <w:tr w14:paraId="3933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Merge w:val="restart"/>
                  <w:vAlign w:val="center"/>
                </w:tcPr>
                <w:p w14:paraId="75897412">
                  <w:pPr>
                    <w:adjustRightInd w:val="0"/>
                    <w:snapToGrid w:val="0"/>
                    <w:spacing w:line="320" w:lineRule="exact"/>
                    <w:jc w:val="center"/>
                    <w:rPr>
                      <w:bCs/>
                      <w:szCs w:val="21"/>
                    </w:rPr>
                  </w:pPr>
                  <w:r>
                    <w:rPr>
                      <w:bCs/>
                      <w:szCs w:val="21"/>
                    </w:rPr>
                    <w:t>放射性核素</w:t>
                  </w:r>
                </w:p>
              </w:tc>
              <w:tc>
                <w:tcPr>
                  <w:tcW w:w="1372" w:type="pct"/>
                  <w:vAlign w:val="center"/>
                </w:tcPr>
                <w:p w14:paraId="3536DFBC">
                  <w:pPr>
                    <w:adjustRightInd w:val="0"/>
                    <w:snapToGrid w:val="0"/>
                    <w:spacing w:line="320" w:lineRule="exact"/>
                    <w:jc w:val="center"/>
                    <w:rPr>
                      <w:bCs/>
                      <w:szCs w:val="21"/>
                    </w:rPr>
                  </w:pPr>
                  <w:r>
                    <w:rPr>
                      <w:bCs/>
                      <w:i/>
                      <w:szCs w:val="21"/>
                    </w:rPr>
                    <w:t>I</w:t>
                  </w:r>
                  <w:r>
                    <w:rPr>
                      <w:bCs/>
                      <w:i/>
                      <w:szCs w:val="21"/>
                      <w:vertAlign w:val="subscript"/>
                    </w:rPr>
                    <w:t>RA</w:t>
                  </w:r>
                  <w:r>
                    <w:rPr>
                      <w:bCs/>
                      <w:szCs w:val="21"/>
                    </w:rPr>
                    <w:t>：0.02</w:t>
                  </w:r>
                </w:p>
              </w:tc>
              <w:tc>
                <w:tcPr>
                  <w:tcW w:w="2233" w:type="pct"/>
                  <w:vAlign w:val="center"/>
                </w:tcPr>
                <w:p w14:paraId="1531F941">
                  <w:pPr>
                    <w:adjustRightInd w:val="0"/>
                    <w:snapToGrid w:val="0"/>
                    <w:spacing w:line="320" w:lineRule="exact"/>
                    <w:jc w:val="center"/>
                    <w:rPr>
                      <w:bCs/>
                      <w:szCs w:val="21"/>
                    </w:rPr>
                  </w:pPr>
                  <w:r>
                    <w:rPr>
                      <w:bCs/>
                      <w:i/>
                      <w:szCs w:val="21"/>
                    </w:rPr>
                    <w:t>I</w:t>
                  </w:r>
                  <w:r>
                    <w:rPr>
                      <w:bCs/>
                      <w:i/>
                      <w:szCs w:val="21"/>
                      <w:vertAlign w:val="subscript"/>
                    </w:rPr>
                    <w:t>RA</w:t>
                  </w:r>
                  <w:r>
                    <w:rPr>
                      <w:bCs/>
                      <w:szCs w:val="21"/>
                    </w:rPr>
                    <w:t>≤1.0</w:t>
                  </w:r>
                </w:p>
              </w:tc>
            </w:tr>
            <w:tr w14:paraId="5F7E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Merge w:val="continue"/>
                  <w:vAlign w:val="center"/>
                </w:tcPr>
                <w:p w14:paraId="18A9DF89">
                  <w:pPr>
                    <w:adjustRightInd w:val="0"/>
                    <w:snapToGrid w:val="0"/>
                    <w:spacing w:line="320" w:lineRule="exact"/>
                    <w:jc w:val="center"/>
                    <w:rPr>
                      <w:bCs/>
                      <w:szCs w:val="21"/>
                    </w:rPr>
                  </w:pPr>
                </w:p>
              </w:tc>
              <w:tc>
                <w:tcPr>
                  <w:tcW w:w="1372" w:type="pct"/>
                  <w:vAlign w:val="center"/>
                </w:tcPr>
                <w:p w14:paraId="47F1564C">
                  <w:pPr>
                    <w:adjustRightInd w:val="0"/>
                    <w:snapToGrid w:val="0"/>
                    <w:spacing w:line="320" w:lineRule="exact"/>
                    <w:jc w:val="center"/>
                    <w:rPr>
                      <w:bCs/>
                      <w:szCs w:val="21"/>
                    </w:rPr>
                  </w:pPr>
                  <w:r>
                    <w:rPr>
                      <w:bCs/>
                      <w:i/>
                      <w:szCs w:val="21"/>
                    </w:rPr>
                    <w:t>I</w:t>
                  </w:r>
                  <w:r>
                    <w:rPr>
                      <w:bCs/>
                      <w:i/>
                      <w:szCs w:val="21"/>
                      <w:vertAlign w:val="subscript"/>
                    </w:rPr>
                    <w:t>r</w:t>
                  </w:r>
                  <w:r>
                    <w:rPr>
                      <w:bCs/>
                      <w:szCs w:val="21"/>
                    </w:rPr>
                    <w:t>：0.06</w:t>
                  </w:r>
                </w:p>
              </w:tc>
              <w:tc>
                <w:tcPr>
                  <w:tcW w:w="2233" w:type="pct"/>
                  <w:vAlign w:val="center"/>
                </w:tcPr>
                <w:p w14:paraId="10887F0C">
                  <w:pPr>
                    <w:adjustRightInd w:val="0"/>
                    <w:snapToGrid w:val="0"/>
                    <w:spacing w:line="320" w:lineRule="exact"/>
                    <w:jc w:val="center"/>
                    <w:rPr>
                      <w:bCs/>
                      <w:szCs w:val="21"/>
                    </w:rPr>
                  </w:pPr>
                  <w:r>
                    <w:rPr>
                      <w:bCs/>
                      <w:i/>
                      <w:szCs w:val="21"/>
                    </w:rPr>
                    <w:t>I</w:t>
                  </w:r>
                  <w:r>
                    <w:rPr>
                      <w:bCs/>
                      <w:i/>
                      <w:szCs w:val="21"/>
                      <w:vertAlign w:val="subscript"/>
                    </w:rPr>
                    <w:t>r</w:t>
                  </w:r>
                  <w:r>
                    <w:rPr>
                      <w:bCs/>
                      <w:szCs w:val="21"/>
                    </w:rPr>
                    <w:t>≤1.0</w:t>
                  </w:r>
                </w:p>
              </w:tc>
            </w:tr>
            <w:tr w14:paraId="14B5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1B223BEC">
                  <w:pPr>
                    <w:adjustRightInd w:val="0"/>
                    <w:snapToGrid w:val="0"/>
                    <w:spacing w:line="320" w:lineRule="exact"/>
                    <w:jc w:val="center"/>
                    <w:rPr>
                      <w:bCs/>
                      <w:szCs w:val="21"/>
                    </w:rPr>
                  </w:pPr>
                  <w:r>
                    <w:rPr>
                      <w:bCs/>
                      <w:szCs w:val="21"/>
                    </w:rPr>
                    <w:t>总镉</w:t>
                  </w:r>
                </w:p>
              </w:tc>
              <w:tc>
                <w:tcPr>
                  <w:tcW w:w="1372" w:type="pct"/>
                  <w:vAlign w:val="center"/>
                </w:tcPr>
                <w:p w14:paraId="0B618695">
                  <w:pPr>
                    <w:adjustRightInd w:val="0"/>
                    <w:snapToGrid w:val="0"/>
                    <w:spacing w:line="320" w:lineRule="exact"/>
                    <w:jc w:val="center"/>
                    <w:rPr>
                      <w:bCs/>
                      <w:szCs w:val="21"/>
                    </w:rPr>
                  </w:pPr>
                  <w:r>
                    <w:rPr>
                      <w:bCs/>
                      <w:szCs w:val="21"/>
                    </w:rPr>
                    <w:t>ND</w:t>
                  </w:r>
                </w:p>
              </w:tc>
              <w:tc>
                <w:tcPr>
                  <w:tcW w:w="2233" w:type="pct"/>
                  <w:vAlign w:val="center"/>
                </w:tcPr>
                <w:p w14:paraId="3774BE4C">
                  <w:pPr>
                    <w:adjustRightInd w:val="0"/>
                    <w:snapToGrid w:val="0"/>
                    <w:spacing w:line="320" w:lineRule="exact"/>
                    <w:jc w:val="center"/>
                    <w:rPr>
                      <w:bCs/>
                      <w:szCs w:val="21"/>
                    </w:rPr>
                  </w:pPr>
                  <w:r>
                    <w:rPr>
                      <w:bCs/>
                      <w:szCs w:val="21"/>
                    </w:rPr>
                    <w:t>＜20mg/kg</w:t>
                  </w:r>
                </w:p>
              </w:tc>
            </w:tr>
            <w:tr w14:paraId="0276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08178DE5">
                  <w:pPr>
                    <w:adjustRightInd w:val="0"/>
                    <w:snapToGrid w:val="0"/>
                    <w:spacing w:line="320" w:lineRule="exact"/>
                    <w:jc w:val="center"/>
                    <w:rPr>
                      <w:bCs/>
                      <w:szCs w:val="21"/>
                    </w:rPr>
                  </w:pPr>
                  <w:r>
                    <w:rPr>
                      <w:bCs/>
                      <w:szCs w:val="21"/>
                    </w:rPr>
                    <w:t>总汞</w:t>
                  </w:r>
                </w:p>
              </w:tc>
              <w:tc>
                <w:tcPr>
                  <w:tcW w:w="1372" w:type="pct"/>
                  <w:vAlign w:val="center"/>
                </w:tcPr>
                <w:p w14:paraId="0AAB3727">
                  <w:pPr>
                    <w:adjustRightInd w:val="0"/>
                    <w:snapToGrid w:val="0"/>
                    <w:spacing w:line="320" w:lineRule="exact"/>
                    <w:jc w:val="center"/>
                    <w:rPr>
                      <w:bCs/>
                      <w:szCs w:val="21"/>
                    </w:rPr>
                  </w:pPr>
                  <w:r>
                    <w:rPr>
                      <w:bCs/>
                      <w:szCs w:val="21"/>
                    </w:rPr>
                    <w:t>1.73mg/kg</w:t>
                  </w:r>
                </w:p>
              </w:tc>
              <w:tc>
                <w:tcPr>
                  <w:tcW w:w="2233" w:type="pct"/>
                  <w:vAlign w:val="center"/>
                </w:tcPr>
                <w:p w14:paraId="656F860B">
                  <w:pPr>
                    <w:adjustRightInd w:val="0"/>
                    <w:snapToGrid w:val="0"/>
                    <w:spacing w:line="320" w:lineRule="exact"/>
                    <w:jc w:val="center"/>
                    <w:rPr>
                      <w:bCs/>
                      <w:szCs w:val="21"/>
                    </w:rPr>
                  </w:pPr>
                  <w:r>
                    <w:rPr>
                      <w:bCs/>
                      <w:szCs w:val="21"/>
                    </w:rPr>
                    <w:t>＜5mg/kg</w:t>
                  </w:r>
                </w:p>
              </w:tc>
            </w:tr>
            <w:tr w14:paraId="55E2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0CB4C64E">
                  <w:pPr>
                    <w:adjustRightInd w:val="0"/>
                    <w:snapToGrid w:val="0"/>
                    <w:spacing w:line="320" w:lineRule="exact"/>
                    <w:jc w:val="center"/>
                    <w:rPr>
                      <w:bCs/>
                      <w:szCs w:val="21"/>
                    </w:rPr>
                  </w:pPr>
                  <w:r>
                    <w:rPr>
                      <w:bCs/>
                      <w:szCs w:val="21"/>
                    </w:rPr>
                    <w:t>总铅</w:t>
                  </w:r>
                </w:p>
              </w:tc>
              <w:tc>
                <w:tcPr>
                  <w:tcW w:w="1372" w:type="pct"/>
                  <w:vAlign w:val="center"/>
                </w:tcPr>
                <w:p w14:paraId="0E284335">
                  <w:pPr>
                    <w:adjustRightInd w:val="0"/>
                    <w:snapToGrid w:val="0"/>
                    <w:spacing w:line="320" w:lineRule="exact"/>
                    <w:jc w:val="center"/>
                    <w:rPr>
                      <w:bCs/>
                      <w:szCs w:val="21"/>
                    </w:rPr>
                  </w:pPr>
                  <w:r>
                    <w:rPr>
                      <w:bCs/>
                      <w:szCs w:val="21"/>
                    </w:rPr>
                    <w:t>62.4mg/kg</w:t>
                  </w:r>
                </w:p>
              </w:tc>
              <w:tc>
                <w:tcPr>
                  <w:tcW w:w="2233" w:type="pct"/>
                  <w:vAlign w:val="center"/>
                </w:tcPr>
                <w:p w14:paraId="39A6FA72">
                  <w:pPr>
                    <w:adjustRightInd w:val="0"/>
                    <w:snapToGrid w:val="0"/>
                    <w:spacing w:line="320" w:lineRule="exact"/>
                    <w:jc w:val="center"/>
                    <w:rPr>
                      <w:bCs/>
                      <w:szCs w:val="21"/>
                    </w:rPr>
                  </w:pPr>
                  <w:r>
                    <w:rPr>
                      <w:bCs/>
                      <w:szCs w:val="21"/>
                    </w:rPr>
                    <w:t>＜300mg/kg</w:t>
                  </w:r>
                </w:p>
              </w:tc>
            </w:tr>
            <w:tr w14:paraId="1943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78D8C843">
                  <w:pPr>
                    <w:adjustRightInd w:val="0"/>
                    <w:snapToGrid w:val="0"/>
                    <w:spacing w:line="320" w:lineRule="exact"/>
                    <w:jc w:val="center"/>
                    <w:rPr>
                      <w:bCs/>
                      <w:szCs w:val="21"/>
                    </w:rPr>
                  </w:pPr>
                  <w:r>
                    <w:rPr>
                      <w:bCs/>
                      <w:szCs w:val="21"/>
                    </w:rPr>
                    <w:t>总铬</w:t>
                  </w:r>
                </w:p>
              </w:tc>
              <w:tc>
                <w:tcPr>
                  <w:tcW w:w="1372" w:type="pct"/>
                  <w:vAlign w:val="center"/>
                </w:tcPr>
                <w:p w14:paraId="2F87BE15">
                  <w:pPr>
                    <w:adjustRightInd w:val="0"/>
                    <w:snapToGrid w:val="0"/>
                    <w:spacing w:line="320" w:lineRule="exact"/>
                    <w:jc w:val="center"/>
                    <w:rPr>
                      <w:bCs/>
                      <w:szCs w:val="21"/>
                    </w:rPr>
                  </w:pPr>
                  <w:r>
                    <w:rPr>
                      <w:bCs/>
                      <w:szCs w:val="21"/>
                    </w:rPr>
                    <w:t>51.3mg/kg</w:t>
                  </w:r>
                </w:p>
              </w:tc>
              <w:tc>
                <w:tcPr>
                  <w:tcW w:w="2233" w:type="pct"/>
                  <w:vAlign w:val="center"/>
                </w:tcPr>
                <w:p w14:paraId="0593FC55">
                  <w:pPr>
                    <w:adjustRightInd w:val="0"/>
                    <w:snapToGrid w:val="0"/>
                    <w:spacing w:line="320" w:lineRule="exact"/>
                    <w:jc w:val="center"/>
                    <w:rPr>
                      <w:bCs/>
                      <w:szCs w:val="21"/>
                    </w:rPr>
                  </w:pPr>
                  <w:r>
                    <w:rPr>
                      <w:bCs/>
                      <w:szCs w:val="21"/>
                    </w:rPr>
                    <w:t>＜1000mg/kg</w:t>
                  </w:r>
                </w:p>
              </w:tc>
            </w:tr>
            <w:tr w14:paraId="6A3D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5E0FF96E">
                  <w:pPr>
                    <w:adjustRightInd w:val="0"/>
                    <w:snapToGrid w:val="0"/>
                    <w:spacing w:line="320" w:lineRule="exact"/>
                    <w:jc w:val="center"/>
                    <w:rPr>
                      <w:bCs/>
                      <w:szCs w:val="21"/>
                    </w:rPr>
                  </w:pPr>
                  <w:r>
                    <w:rPr>
                      <w:bCs/>
                      <w:szCs w:val="21"/>
                    </w:rPr>
                    <w:t>总砷</w:t>
                  </w:r>
                </w:p>
              </w:tc>
              <w:tc>
                <w:tcPr>
                  <w:tcW w:w="1372" w:type="pct"/>
                  <w:vAlign w:val="center"/>
                </w:tcPr>
                <w:p w14:paraId="25E0DE35">
                  <w:pPr>
                    <w:adjustRightInd w:val="0"/>
                    <w:snapToGrid w:val="0"/>
                    <w:spacing w:line="320" w:lineRule="exact"/>
                    <w:jc w:val="center"/>
                    <w:rPr>
                      <w:bCs/>
                      <w:szCs w:val="21"/>
                    </w:rPr>
                  </w:pPr>
                  <w:r>
                    <w:rPr>
                      <w:bCs/>
                      <w:szCs w:val="21"/>
                    </w:rPr>
                    <w:t>5.19mg/kg</w:t>
                  </w:r>
                </w:p>
              </w:tc>
              <w:tc>
                <w:tcPr>
                  <w:tcW w:w="2233" w:type="pct"/>
                  <w:vAlign w:val="center"/>
                </w:tcPr>
                <w:p w14:paraId="3EB96AA6">
                  <w:pPr>
                    <w:adjustRightInd w:val="0"/>
                    <w:snapToGrid w:val="0"/>
                    <w:spacing w:line="320" w:lineRule="exact"/>
                    <w:jc w:val="center"/>
                    <w:rPr>
                      <w:bCs/>
                      <w:szCs w:val="21"/>
                    </w:rPr>
                  </w:pPr>
                  <w:r>
                    <w:rPr>
                      <w:bCs/>
                      <w:szCs w:val="21"/>
                    </w:rPr>
                    <w:t>＜75mg/kg</w:t>
                  </w:r>
                </w:p>
              </w:tc>
            </w:tr>
            <w:tr w14:paraId="420C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4B2D7E1F">
                  <w:pPr>
                    <w:adjustRightInd w:val="0"/>
                    <w:snapToGrid w:val="0"/>
                    <w:spacing w:line="320" w:lineRule="exact"/>
                    <w:jc w:val="center"/>
                    <w:rPr>
                      <w:bCs/>
                      <w:szCs w:val="21"/>
                    </w:rPr>
                  </w:pPr>
                  <w:r>
                    <w:rPr>
                      <w:bCs/>
                      <w:szCs w:val="21"/>
                    </w:rPr>
                    <w:t>总镍</w:t>
                  </w:r>
                </w:p>
              </w:tc>
              <w:tc>
                <w:tcPr>
                  <w:tcW w:w="1372" w:type="pct"/>
                  <w:vAlign w:val="center"/>
                </w:tcPr>
                <w:p w14:paraId="2B4C3FA2">
                  <w:pPr>
                    <w:adjustRightInd w:val="0"/>
                    <w:snapToGrid w:val="0"/>
                    <w:spacing w:line="320" w:lineRule="exact"/>
                    <w:jc w:val="center"/>
                    <w:rPr>
                      <w:bCs/>
                      <w:szCs w:val="21"/>
                    </w:rPr>
                  </w:pPr>
                  <w:r>
                    <w:rPr>
                      <w:bCs/>
                      <w:szCs w:val="21"/>
                    </w:rPr>
                    <w:t>ND</w:t>
                  </w:r>
                </w:p>
              </w:tc>
              <w:tc>
                <w:tcPr>
                  <w:tcW w:w="2233" w:type="pct"/>
                  <w:vAlign w:val="center"/>
                </w:tcPr>
                <w:p w14:paraId="2731F18F">
                  <w:pPr>
                    <w:adjustRightInd w:val="0"/>
                    <w:snapToGrid w:val="0"/>
                    <w:spacing w:line="320" w:lineRule="exact"/>
                    <w:jc w:val="center"/>
                    <w:rPr>
                      <w:bCs/>
                      <w:szCs w:val="21"/>
                    </w:rPr>
                  </w:pPr>
                  <w:r>
                    <w:rPr>
                      <w:bCs/>
                      <w:szCs w:val="21"/>
                    </w:rPr>
                    <w:t>＜200mg/kg</w:t>
                  </w:r>
                </w:p>
              </w:tc>
            </w:tr>
            <w:tr w14:paraId="6402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0052064F">
                  <w:pPr>
                    <w:adjustRightInd w:val="0"/>
                    <w:snapToGrid w:val="0"/>
                    <w:spacing w:line="320" w:lineRule="exact"/>
                    <w:jc w:val="center"/>
                    <w:rPr>
                      <w:bCs/>
                      <w:szCs w:val="21"/>
                    </w:rPr>
                  </w:pPr>
                  <w:r>
                    <w:rPr>
                      <w:bCs/>
                      <w:szCs w:val="21"/>
                    </w:rPr>
                    <w:t>总锌</w:t>
                  </w:r>
                </w:p>
              </w:tc>
              <w:tc>
                <w:tcPr>
                  <w:tcW w:w="1372" w:type="pct"/>
                  <w:vAlign w:val="center"/>
                </w:tcPr>
                <w:p w14:paraId="65C8C4FC">
                  <w:pPr>
                    <w:adjustRightInd w:val="0"/>
                    <w:snapToGrid w:val="0"/>
                    <w:spacing w:line="320" w:lineRule="exact"/>
                    <w:jc w:val="center"/>
                    <w:rPr>
                      <w:bCs/>
                      <w:szCs w:val="21"/>
                    </w:rPr>
                  </w:pPr>
                  <w:r>
                    <w:rPr>
                      <w:bCs/>
                      <w:szCs w:val="21"/>
                    </w:rPr>
                    <w:t>2120mg/kg</w:t>
                  </w:r>
                </w:p>
              </w:tc>
              <w:tc>
                <w:tcPr>
                  <w:tcW w:w="2233" w:type="pct"/>
                  <w:vAlign w:val="center"/>
                </w:tcPr>
                <w:p w14:paraId="6239F1E8">
                  <w:pPr>
                    <w:adjustRightInd w:val="0"/>
                    <w:snapToGrid w:val="0"/>
                    <w:spacing w:line="320" w:lineRule="exact"/>
                    <w:jc w:val="center"/>
                    <w:rPr>
                      <w:bCs/>
                      <w:szCs w:val="21"/>
                    </w:rPr>
                  </w:pPr>
                  <w:r>
                    <w:rPr>
                      <w:bCs/>
                      <w:szCs w:val="21"/>
                    </w:rPr>
                    <w:t>＜4000mg/kg</w:t>
                  </w:r>
                </w:p>
              </w:tc>
            </w:tr>
            <w:tr w14:paraId="6CF0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42347652">
                  <w:pPr>
                    <w:adjustRightInd w:val="0"/>
                    <w:snapToGrid w:val="0"/>
                    <w:spacing w:line="320" w:lineRule="exact"/>
                    <w:jc w:val="center"/>
                    <w:rPr>
                      <w:bCs/>
                      <w:szCs w:val="21"/>
                    </w:rPr>
                  </w:pPr>
                  <w:r>
                    <w:rPr>
                      <w:bCs/>
                      <w:szCs w:val="21"/>
                    </w:rPr>
                    <w:t>总铜</w:t>
                  </w:r>
                </w:p>
              </w:tc>
              <w:tc>
                <w:tcPr>
                  <w:tcW w:w="1372" w:type="pct"/>
                  <w:vAlign w:val="center"/>
                </w:tcPr>
                <w:p w14:paraId="71AC0D8A">
                  <w:pPr>
                    <w:adjustRightInd w:val="0"/>
                    <w:snapToGrid w:val="0"/>
                    <w:spacing w:line="320" w:lineRule="exact"/>
                    <w:jc w:val="center"/>
                    <w:rPr>
                      <w:bCs/>
                      <w:szCs w:val="21"/>
                    </w:rPr>
                  </w:pPr>
                  <w:r>
                    <w:rPr>
                      <w:bCs/>
                      <w:szCs w:val="21"/>
                    </w:rPr>
                    <w:t>246mg/kg</w:t>
                  </w:r>
                </w:p>
              </w:tc>
              <w:tc>
                <w:tcPr>
                  <w:tcW w:w="2233" w:type="pct"/>
                  <w:vAlign w:val="center"/>
                </w:tcPr>
                <w:p w14:paraId="70905A98">
                  <w:pPr>
                    <w:adjustRightInd w:val="0"/>
                    <w:snapToGrid w:val="0"/>
                    <w:spacing w:line="320" w:lineRule="exact"/>
                    <w:jc w:val="center"/>
                    <w:rPr>
                      <w:bCs/>
                      <w:szCs w:val="21"/>
                    </w:rPr>
                  </w:pPr>
                  <w:r>
                    <w:rPr>
                      <w:bCs/>
                      <w:szCs w:val="21"/>
                    </w:rPr>
                    <w:t>＜1500mg/kg</w:t>
                  </w:r>
                </w:p>
              </w:tc>
            </w:tr>
            <w:tr w14:paraId="15AD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5FEABBEE">
                  <w:pPr>
                    <w:adjustRightInd w:val="0"/>
                    <w:snapToGrid w:val="0"/>
                    <w:spacing w:line="320" w:lineRule="exact"/>
                    <w:jc w:val="center"/>
                    <w:rPr>
                      <w:bCs/>
                      <w:szCs w:val="21"/>
                    </w:rPr>
                  </w:pPr>
                  <w:r>
                    <w:rPr>
                      <w:bCs/>
                      <w:szCs w:val="21"/>
                    </w:rPr>
                    <w:t>矿物油</w:t>
                  </w:r>
                </w:p>
              </w:tc>
              <w:tc>
                <w:tcPr>
                  <w:tcW w:w="1372" w:type="pct"/>
                  <w:vAlign w:val="center"/>
                </w:tcPr>
                <w:p w14:paraId="4B3877A5">
                  <w:pPr>
                    <w:adjustRightInd w:val="0"/>
                    <w:snapToGrid w:val="0"/>
                    <w:spacing w:line="320" w:lineRule="exact"/>
                    <w:jc w:val="center"/>
                    <w:rPr>
                      <w:bCs/>
                      <w:szCs w:val="21"/>
                    </w:rPr>
                  </w:pPr>
                  <w:r>
                    <w:rPr>
                      <w:bCs/>
                      <w:szCs w:val="21"/>
                    </w:rPr>
                    <w:t>2mg/kg</w:t>
                  </w:r>
                </w:p>
              </w:tc>
              <w:tc>
                <w:tcPr>
                  <w:tcW w:w="2233" w:type="pct"/>
                  <w:vAlign w:val="center"/>
                </w:tcPr>
                <w:p w14:paraId="5052DB25">
                  <w:pPr>
                    <w:adjustRightInd w:val="0"/>
                    <w:snapToGrid w:val="0"/>
                    <w:spacing w:line="320" w:lineRule="exact"/>
                    <w:jc w:val="center"/>
                    <w:rPr>
                      <w:bCs/>
                      <w:szCs w:val="21"/>
                    </w:rPr>
                  </w:pPr>
                  <w:r>
                    <w:rPr>
                      <w:bCs/>
                      <w:szCs w:val="21"/>
                    </w:rPr>
                    <w:t>＜3000mg/kg</w:t>
                  </w:r>
                </w:p>
              </w:tc>
            </w:tr>
            <w:tr w14:paraId="07B9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4C1CCFDD">
                  <w:pPr>
                    <w:adjustRightInd w:val="0"/>
                    <w:snapToGrid w:val="0"/>
                    <w:spacing w:line="320" w:lineRule="exact"/>
                    <w:jc w:val="center"/>
                    <w:rPr>
                      <w:bCs/>
                      <w:szCs w:val="21"/>
                    </w:rPr>
                  </w:pPr>
                  <w:r>
                    <w:rPr>
                      <w:bCs/>
                      <w:szCs w:val="21"/>
                    </w:rPr>
                    <w:t>挥发酚</w:t>
                  </w:r>
                </w:p>
              </w:tc>
              <w:tc>
                <w:tcPr>
                  <w:tcW w:w="1372" w:type="pct"/>
                  <w:vAlign w:val="center"/>
                </w:tcPr>
                <w:p w14:paraId="085F36F7">
                  <w:pPr>
                    <w:adjustRightInd w:val="0"/>
                    <w:snapToGrid w:val="0"/>
                    <w:spacing w:line="320" w:lineRule="exact"/>
                    <w:jc w:val="center"/>
                    <w:rPr>
                      <w:bCs/>
                      <w:szCs w:val="21"/>
                    </w:rPr>
                  </w:pPr>
                  <w:r>
                    <w:rPr>
                      <w:bCs/>
                      <w:szCs w:val="21"/>
                    </w:rPr>
                    <w:t>0.34mg/kg</w:t>
                  </w:r>
                </w:p>
              </w:tc>
              <w:tc>
                <w:tcPr>
                  <w:tcW w:w="2233" w:type="pct"/>
                  <w:vAlign w:val="center"/>
                </w:tcPr>
                <w:p w14:paraId="47CC67DD">
                  <w:pPr>
                    <w:adjustRightInd w:val="0"/>
                    <w:snapToGrid w:val="0"/>
                    <w:spacing w:line="320" w:lineRule="exact"/>
                    <w:jc w:val="center"/>
                    <w:rPr>
                      <w:bCs/>
                      <w:szCs w:val="21"/>
                    </w:rPr>
                  </w:pPr>
                  <w:r>
                    <w:rPr>
                      <w:bCs/>
                      <w:szCs w:val="21"/>
                    </w:rPr>
                    <w:t>＜40mg/kg</w:t>
                  </w:r>
                </w:p>
              </w:tc>
            </w:tr>
            <w:tr w14:paraId="2E99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pct"/>
                  <w:vAlign w:val="center"/>
                </w:tcPr>
                <w:p w14:paraId="6E339342">
                  <w:pPr>
                    <w:adjustRightInd w:val="0"/>
                    <w:snapToGrid w:val="0"/>
                    <w:spacing w:line="320" w:lineRule="exact"/>
                    <w:jc w:val="center"/>
                    <w:rPr>
                      <w:bCs/>
                      <w:szCs w:val="21"/>
                    </w:rPr>
                  </w:pPr>
                  <w:r>
                    <w:rPr>
                      <w:bCs/>
                      <w:szCs w:val="21"/>
                    </w:rPr>
                    <w:t>总氰化物</w:t>
                  </w:r>
                </w:p>
              </w:tc>
              <w:tc>
                <w:tcPr>
                  <w:tcW w:w="1372" w:type="pct"/>
                  <w:vAlign w:val="center"/>
                </w:tcPr>
                <w:p w14:paraId="4BA55020">
                  <w:pPr>
                    <w:adjustRightInd w:val="0"/>
                    <w:snapToGrid w:val="0"/>
                    <w:spacing w:line="320" w:lineRule="exact"/>
                    <w:jc w:val="center"/>
                    <w:rPr>
                      <w:bCs/>
                      <w:szCs w:val="21"/>
                    </w:rPr>
                  </w:pPr>
                  <w:r>
                    <w:rPr>
                      <w:bCs/>
                      <w:szCs w:val="21"/>
                    </w:rPr>
                    <w:t>0.56mg/kg</w:t>
                  </w:r>
                </w:p>
              </w:tc>
              <w:tc>
                <w:tcPr>
                  <w:tcW w:w="2233" w:type="pct"/>
                  <w:vAlign w:val="center"/>
                </w:tcPr>
                <w:p w14:paraId="1FFFACED">
                  <w:pPr>
                    <w:adjustRightInd w:val="0"/>
                    <w:snapToGrid w:val="0"/>
                    <w:spacing w:line="320" w:lineRule="exact"/>
                    <w:jc w:val="center"/>
                    <w:rPr>
                      <w:bCs/>
                      <w:szCs w:val="21"/>
                    </w:rPr>
                  </w:pPr>
                  <w:r>
                    <w:rPr>
                      <w:bCs/>
                      <w:szCs w:val="21"/>
                    </w:rPr>
                    <w:t>＜10mg/kg</w:t>
                  </w:r>
                </w:p>
              </w:tc>
            </w:tr>
          </w:tbl>
          <w:p w14:paraId="5A00BAC5">
            <w:pPr>
              <w:spacing w:line="500" w:lineRule="exact"/>
              <w:ind w:firstLine="480" w:firstLineChars="200"/>
              <w:rPr>
                <w:bCs/>
                <w:sz w:val="24"/>
              </w:rPr>
            </w:pPr>
            <w:r>
              <w:rPr>
                <w:bCs/>
                <w:sz w:val="24"/>
              </w:rPr>
              <w:t>由检测结果可知，宝丰县污水处理厂污泥除含水率外，其他检测项目均可以满足《城镇污水处理厂污泥处置  制砖用泥质》（GB/T25031-2010）的相关要求。</w:t>
            </w:r>
          </w:p>
          <w:p w14:paraId="690A07CF">
            <w:pPr>
              <w:spacing w:line="500" w:lineRule="exact"/>
              <w:ind w:firstLine="480" w:firstLineChars="200"/>
              <w:rPr>
                <w:bCs/>
                <w:sz w:val="24"/>
              </w:rPr>
            </w:pPr>
            <w:r>
              <w:rPr>
                <w:bCs/>
                <w:sz w:val="24"/>
              </w:rPr>
              <w:t>经与建设单位沟通，污泥进厂后，设专门的污泥储存库储存。运输和储存过程中会有一定量的水分散失。另外，污泥通过螺旋输送机直接送至搅拌机搅拌，搅拌过程中需加入一定量的水，只需适当降低搅拌加水量即可解决污泥的含水率高的问题。本项目污泥使用量约为2.60%（干污泥在原料中质量占比），搅拌后的物料需在陈化库中陈化3d，故污泥含水率高于40%，对实际生产影响不大。</w:t>
            </w:r>
          </w:p>
          <w:p w14:paraId="49385770">
            <w:pPr>
              <w:autoSpaceDE w:val="0"/>
              <w:autoSpaceDN w:val="0"/>
              <w:adjustRightInd w:val="0"/>
              <w:snapToGrid w:val="0"/>
              <w:spacing w:line="520" w:lineRule="exact"/>
              <w:ind w:firstLine="480" w:firstLineChars="200"/>
              <w:rPr>
                <w:bCs/>
                <w:sz w:val="24"/>
              </w:rPr>
            </w:pPr>
            <w:r>
              <w:rPr>
                <w:bCs/>
                <w:sz w:val="24"/>
              </w:rPr>
              <w:t>（3）污泥制砖工艺可行性分析</w:t>
            </w:r>
          </w:p>
          <w:p w14:paraId="50335961">
            <w:pPr>
              <w:autoSpaceDE w:val="0"/>
              <w:autoSpaceDN w:val="0"/>
              <w:adjustRightInd w:val="0"/>
              <w:snapToGrid w:val="0"/>
              <w:spacing w:line="520" w:lineRule="exact"/>
              <w:ind w:firstLine="480" w:firstLineChars="200"/>
              <w:rPr>
                <w:bCs/>
                <w:sz w:val="24"/>
              </w:rPr>
            </w:pPr>
            <w:r>
              <w:rPr>
                <w:bCs/>
                <w:sz w:val="24"/>
              </w:rPr>
              <w:t>采用污泥作为原料烧制砖属于常见的污泥资源化再利用技术。污泥是一种粘土质资源，烧制过程中，污泥中的有机污染物组分、致病性组分被去除，污泥性质彻底稳定、固化在砖体内，达到处置和资源化利用目的。</w:t>
            </w:r>
          </w:p>
          <w:p w14:paraId="0001ACCD">
            <w:pPr>
              <w:autoSpaceDE w:val="0"/>
              <w:autoSpaceDN w:val="0"/>
              <w:adjustRightInd w:val="0"/>
              <w:snapToGrid w:val="0"/>
              <w:spacing w:line="520" w:lineRule="exact"/>
              <w:ind w:firstLine="480" w:firstLineChars="200"/>
              <w:rPr>
                <w:bCs/>
                <w:sz w:val="24"/>
              </w:rPr>
            </w:pPr>
            <w:r>
              <w:rPr>
                <w:bCs/>
                <w:sz w:val="24"/>
              </w:rPr>
              <w:t>根据《利用城市污泥生产烧结砖的生产试验报告》(砖瓦2018年第11期)在制砖原料中添加污泥(5%~20%)后，制成的砖强度符合《普通烧结砖》(GB/T5101-2017)及《烧结空心砖和空心砌块》(GB13545-2003)中标准要求当污泥的掺量超过20%时，砖坯收缩变形严重，无法再加大污泥的配比例。</w:t>
            </w:r>
          </w:p>
          <w:p w14:paraId="7C78AEB5">
            <w:pPr>
              <w:autoSpaceDE w:val="0"/>
              <w:autoSpaceDN w:val="0"/>
              <w:adjustRightInd w:val="0"/>
              <w:snapToGrid w:val="0"/>
              <w:spacing w:line="520" w:lineRule="exact"/>
              <w:ind w:firstLine="480" w:firstLineChars="200"/>
              <w:rPr>
                <w:rFonts w:eastAsia="黑体"/>
                <w:sz w:val="24"/>
              </w:rPr>
            </w:pPr>
            <w:r>
              <w:rPr>
                <w:bCs/>
                <w:sz w:val="24"/>
              </w:rPr>
              <w:t>根据《城镇污水处理厂污泥处置  制砖用泥质》（GB/T25031-2010）：将处理后污泥与其他制砖原料混合时,污泥(以干污泥计)与制砖总原料的重量比(wt%)，即混合比例应小于或等于10%。在工艺条件允许或产品需要的情况下,混合比例可适当提高。本项目干污泥占制砖原料总量的2.60%，可满足该混合比例要求。</w:t>
            </w:r>
          </w:p>
          <w:p w14:paraId="07E85691">
            <w:pPr>
              <w:spacing w:line="500" w:lineRule="exact"/>
              <w:ind w:firstLine="480" w:firstLineChars="200"/>
              <w:rPr>
                <w:bCs/>
                <w:sz w:val="24"/>
              </w:rPr>
            </w:pPr>
            <w:r>
              <w:rPr>
                <w:bCs/>
                <w:sz w:val="24"/>
              </w:rPr>
              <w:t>（4）污泥入厂管理要求</w:t>
            </w:r>
          </w:p>
          <w:p w14:paraId="247110E2">
            <w:pPr>
              <w:spacing w:line="500" w:lineRule="exact"/>
              <w:ind w:firstLine="480" w:firstLineChars="200"/>
              <w:rPr>
                <w:bCs/>
                <w:sz w:val="24"/>
              </w:rPr>
            </w:pPr>
            <w:r>
              <w:rPr>
                <w:bCs/>
                <w:sz w:val="24"/>
              </w:rPr>
              <w:fldChar w:fldCharType="begin"/>
            </w:r>
            <w:r>
              <w:rPr>
                <w:bCs/>
                <w:sz w:val="24"/>
              </w:rPr>
              <w:instrText xml:space="preserve"> = 1 \* GB3 </w:instrText>
            </w:r>
            <w:r>
              <w:rPr>
                <w:bCs/>
                <w:sz w:val="24"/>
              </w:rPr>
              <w:fldChar w:fldCharType="separate"/>
            </w:r>
            <w:r>
              <w:rPr>
                <w:rFonts w:ascii="Cambria Math" w:hAnsi="Cambria Math" w:cs="Cambria Math"/>
                <w:bCs/>
                <w:sz w:val="24"/>
              </w:rPr>
              <w:t>①</w:t>
            </w:r>
            <w:r>
              <w:rPr>
                <w:bCs/>
                <w:sz w:val="24"/>
              </w:rPr>
              <w:fldChar w:fldCharType="end"/>
            </w:r>
            <w:r>
              <w:rPr>
                <w:bCs/>
                <w:sz w:val="24"/>
              </w:rPr>
              <w:t>评价要求建设单位对污泥来源严格把控，做好污泥入厂管理，污泥须经检测，满足《城镇污水处理厂污泥处置 制砖用泥质》(GB/T25031-2010)中有关泥质标准要求后方可入厂，不得涉及《国家危险废物名录》中的危险废物，严禁使用危险废物作为项目制砖原料，本项目使用宝丰县污水处理厂污泥，禁止使用其他类型污水处理厂污泥作为原料。</w:t>
            </w:r>
          </w:p>
          <w:p w14:paraId="20A18206">
            <w:pPr>
              <w:spacing w:line="500" w:lineRule="exact"/>
              <w:ind w:firstLine="480" w:firstLineChars="200"/>
              <w:rPr>
                <w:bCs/>
                <w:sz w:val="24"/>
              </w:rPr>
            </w:pPr>
            <w:r>
              <w:rPr>
                <w:bCs/>
                <w:sz w:val="24"/>
              </w:rPr>
              <w:fldChar w:fldCharType="begin"/>
            </w:r>
            <w:r>
              <w:rPr>
                <w:bCs/>
                <w:sz w:val="24"/>
              </w:rPr>
              <w:instrText xml:space="preserve"> = 2 \* GB3 </w:instrText>
            </w:r>
            <w:r>
              <w:rPr>
                <w:bCs/>
                <w:sz w:val="24"/>
              </w:rPr>
              <w:fldChar w:fldCharType="separate"/>
            </w:r>
            <w:r>
              <w:rPr>
                <w:rFonts w:ascii="Cambria Math" w:hAnsi="Cambria Math" w:cs="Cambria Math"/>
                <w:bCs/>
                <w:sz w:val="24"/>
              </w:rPr>
              <w:t>②</w:t>
            </w:r>
            <w:r>
              <w:rPr>
                <w:bCs/>
                <w:sz w:val="24"/>
              </w:rPr>
              <w:fldChar w:fldCharType="end"/>
            </w:r>
            <w:r>
              <w:rPr>
                <w:bCs/>
                <w:sz w:val="24"/>
              </w:rPr>
              <w:t>当污泥来源发生变化时，须对污泥重新进行检测。污泥中污染物浓度应满足《城镇污水处理厂污泥处置 制砖用泥质》(GB/T25031-2010)中污染物限值，属于一般固废，方可作为本项目原料使用，无检测报告或检测不达标的污泥禁止作为本项目原料；含水率较高（＞60%）的稀态污泥禁止接收。</w:t>
            </w:r>
          </w:p>
          <w:p w14:paraId="2BC439B0">
            <w:pPr>
              <w:spacing w:line="500" w:lineRule="exact"/>
              <w:ind w:firstLine="480" w:firstLineChars="200"/>
              <w:rPr>
                <w:bCs/>
                <w:sz w:val="24"/>
              </w:rPr>
            </w:pPr>
            <w:r>
              <w:rPr>
                <w:bCs/>
                <w:sz w:val="24"/>
              </w:rPr>
              <w:fldChar w:fldCharType="begin"/>
            </w:r>
            <w:r>
              <w:rPr>
                <w:bCs/>
                <w:sz w:val="24"/>
              </w:rPr>
              <w:instrText xml:space="preserve"> = 3 \* GB3 </w:instrText>
            </w:r>
            <w:r>
              <w:rPr>
                <w:bCs/>
                <w:sz w:val="24"/>
              </w:rPr>
              <w:fldChar w:fldCharType="separate"/>
            </w:r>
            <w:r>
              <w:rPr>
                <w:rFonts w:ascii="Cambria Math" w:hAnsi="Cambria Math" w:cs="Cambria Math"/>
                <w:bCs/>
                <w:sz w:val="24"/>
              </w:rPr>
              <w:t>③</w:t>
            </w:r>
            <w:r>
              <w:rPr>
                <w:bCs/>
                <w:sz w:val="24"/>
              </w:rPr>
              <w:fldChar w:fldCharType="end"/>
            </w:r>
            <w:r>
              <w:rPr>
                <w:bCs/>
                <w:sz w:val="24"/>
              </w:rPr>
              <w:t>评价建议建设单位在厂区安装监控设备，记录污泥从进场到烧制成砖全过程视频资料。项目污泥合同、检测报告、污泥台账、转运联单、视频影像等资料应妥善保存。</w:t>
            </w:r>
          </w:p>
          <w:p w14:paraId="16CFC1D8">
            <w:pPr>
              <w:spacing w:line="500" w:lineRule="exact"/>
              <w:ind w:firstLine="480" w:firstLineChars="200"/>
              <w:rPr>
                <w:bCs/>
                <w:sz w:val="24"/>
              </w:rPr>
            </w:pPr>
            <w:r>
              <w:rPr>
                <w:bCs/>
                <w:sz w:val="24"/>
              </w:rPr>
              <w:t>（5）污泥运输与储存</w:t>
            </w:r>
          </w:p>
          <w:p w14:paraId="11679768">
            <w:pPr>
              <w:autoSpaceDE w:val="0"/>
              <w:autoSpaceDN w:val="0"/>
              <w:adjustRightInd w:val="0"/>
              <w:snapToGrid w:val="0"/>
              <w:spacing w:line="520" w:lineRule="exact"/>
              <w:ind w:firstLine="480" w:firstLineChars="200"/>
              <w:rPr>
                <w:bCs/>
                <w:sz w:val="24"/>
              </w:rPr>
            </w:pPr>
            <w:r>
              <w:rPr>
                <w:bCs/>
                <w:sz w:val="24"/>
              </w:rPr>
              <w:t>项目污泥通过专用密闭污泥运输车运输，确保运输过程中不会造成污泥的泄漏、渗漏和抛洒，同时确保运输过程中不会产生异味。由于污泥运输为密闭状态，对运输路线及周边产生不利影响较轻。密闭污泥运输车入厂后进入污泥储存库，将污泥卸至污泥库污泥池内。污泥库整体封闭，臭气集中收集经活性炭吸附装置处理后排放。</w:t>
            </w:r>
          </w:p>
          <w:p w14:paraId="514E1ED5">
            <w:pPr>
              <w:autoSpaceDE w:val="0"/>
              <w:autoSpaceDN w:val="0"/>
              <w:adjustRightInd w:val="0"/>
              <w:snapToGrid w:val="0"/>
              <w:spacing w:line="520" w:lineRule="exact"/>
              <w:rPr>
                <w:rFonts w:eastAsia="黑体"/>
                <w:sz w:val="24"/>
              </w:rPr>
            </w:pPr>
            <w:r>
              <w:rPr>
                <w:rFonts w:eastAsia="黑体"/>
                <w:sz w:val="24"/>
              </w:rPr>
              <w:t>6、生产设备</w:t>
            </w:r>
          </w:p>
          <w:p w14:paraId="6EA1265D">
            <w:pPr>
              <w:adjustRightInd w:val="0"/>
              <w:snapToGrid w:val="0"/>
              <w:spacing w:line="520" w:lineRule="exact"/>
              <w:ind w:firstLine="480" w:firstLineChars="200"/>
              <w:rPr>
                <w:bCs/>
                <w:color w:val="EE0000"/>
                <w:sz w:val="24"/>
              </w:rPr>
            </w:pPr>
            <w:r>
              <w:rPr>
                <w:bCs/>
                <w:sz w:val="24"/>
              </w:rPr>
              <w:t>项目选址位于三兴建材现有院内，拆除现有</w:t>
            </w:r>
            <w:r>
              <w:rPr>
                <w:bCs/>
                <w:color w:val="EE0000"/>
                <w:sz w:val="24"/>
                <w:u w:val="single"/>
              </w:rPr>
              <w:t>生产能力6000万标砖/年的干燥、焙烧窑，新建生产能力达到12000万标砖/年的干燥、焙烧窑，并增加破碎机、筛分机、给料机、皮带输送机等</w:t>
            </w:r>
            <w:r>
              <w:rPr>
                <w:bCs/>
                <w:sz w:val="24"/>
              </w:rPr>
              <w:t>，使项目建成后达到全厂年产1.2亿块标砖的生产能力。</w:t>
            </w:r>
          </w:p>
          <w:p w14:paraId="05E347BD">
            <w:pPr>
              <w:adjustRightInd w:val="0"/>
              <w:snapToGrid w:val="0"/>
              <w:spacing w:line="520" w:lineRule="exact"/>
              <w:jc w:val="center"/>
              <w:rPr>
                <w:rStyle w:val="222"/>
                <w:bCs/>
                <w:color w:val="EE0000"/>
                <w:u w:val="single"/>
              </w:rPr>
            </w:pPr>
          </w:p>
          <w:p w14:paraId="07766DF7">
            <w:pPr>
              <w:adjustRightInd w:val="0"/>
              <w:snapToGrid w:val="0"/>
              <w:spacing w:line="520" w:lineRule="exact"/>
              <w:jc w:val="center"/>
              <w:rPr>
                <w:rStyle w:val="222"/>
                <w:bCs/>
                <w:color w:val="EE0000"/>
                <w:u w:val="single"/>
              </w:rPr>
            </w:pPr>
            <w:r>
              <w:rPr>
                <w:rStyle w:val="222"/>
                <w:bCs/>
                <w:color w:val="EE0000"/>
                <w:u w:val="single"/>
              </w:rPr>
              <w:t xml:space="preserve">表2-7 </w:t>
            </w:r>
            <w:r>
              <w:rPr>
                <w:rStyle w:val="222"/>
                <w:color w:val="EE0000"/>
                <w:u w:val="single"/>
              </w:rPr>
              <w:t xml:space="preserve">  </w:t>
            </w:r>
            <w:r>
              <w:rPr>
                <w:rStyle w:val="222"/>
                <w:bCs/>
                <w:color w:val="EE0000"/>
                <w:u w:val="single"/>
              </w:rPr>
              <w:t xml:space="preserve">    项目主要生产设备一览表</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434"/>
              <w:gridCol w:w="1541"/>
              <w:gridCol w:w="1351"/>
              <w:gridCol w:w="758"/>
              <w:gridCol w:w="1622"/>
              <w:gridCol w:w="1120"/>
              <w:gridCol w:w="1196"/>
            </w:tblGrid>
            <w:tr w14:paraId="2BC0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7" w:type="pct"/>
                  <w:vAlign w:val="center"/>
                </w:tcPr>
                <w:p w14:paraId="42098FFC">
                  <w:pPr>
                    <w:adjustRightInd w:val="0"/>
                    <w:snapToGrid w:val="0"/>
                    <w:jc w:val="center"/>
                    <w:rPr>
                      <w:bCs/>
                      <w:color w:val="EE0000"/>
                      <w:u w:val="single"/>
                    </w:rPr>
                  </w:pPr>
                  <w:r>
                    <w:rPr>
                      <w:bCs/>
                      <w:color w:val="EE0000"/>
                      <w:u w:val="single"/>
                    </w:rPr>
                    <w:t>序号</w:t>
                  </w:r>
                </w:p>
              </w:tc>
              <w:tc>
                <w:tcPr>
                  <w:tcW w:w="257" w:type="pct"/>
                  <w:vAlign w:val="center"/>
                </w:tcPr>
                <w:p w14:paraId="03E57C9C">
                  <w:pPr>
                    <w:adjustRightInd w:val="0"/>
                    <w:snapToGrid w:val="0"/>
                    <w:jc w:val="center"/>
                    <w:rPr>
                      <w:bCs/>
                      <w:color w:val="EE0000"/>
                      <w:u w:val="single"/>
                    </w:rPr>
                  </w:pPr>
                  <w:r>
                    <w:rPr>
                      <w:bCs/>
                      <w:color w:val="EE0000"/>
                      <w:u w:val="single"/>
                    </w:rPr>
                    <w:t>位置</w:t>
                  </w:r>
                </w:p>
              </w:tc>
              <w:tc>
                <w:tcPr>
                  <w:tcW w:w="911" w:type="pct"/>
                  <w:vAlign w:val="center"/>
                </w:tcPr>
                <w:p w14:paraId="15EA19C8">
                  <w:pPr>
                    <w:adjustRightInd w:val="0"/>
                    <w:snapToGrid w:val="0"/>
                    <w:spacing w:line="320" w:lineRule="exact"/>
                    <w:jc w:val="center"/>
                    <w:rPr>
                      <w:bCs/>
                      <w:color w:val="EE0000"/>
                      <w:u w:val="single"/>
                    </w:rPr>
                  </w:pPr>
                  <w:r>
                    <w:rPr>
                      <w:bCs/>
                      <w:color w:val="EE0000"/>
                      <w:u w:val="single"/>
                    </w:rPr>
                    <w:t>设备名称</w:t>
                  </w:r>
                </w:p>
              </w:tc>
              <w:tc>
                <w:tcPr>
                  <w:tcW w:w="799" w:type="pct"/>
                  <w:vAlign w:val="center"/>
                </w:tcPr>
                <w:p w14:paraId="50EBCE78">
                  <w:pPr>
                    <w:adjustRightInd w:val="0"/>
                    <w:snapToGrid w:val="0"/>
                    <w:spacing w:line="320" w:lineRule="exact"/>
                    <w:jc w:val="center"/>
                    <w:rPr>
                      <w:bCs/>
                      <w:color w:val="EE0000"/>
                      <w:u w:val="single"/>
                    </w:rPr>
                  </w:pPr>
                  <w:r>
                    <w:rPr>
                      <w:bCs/>
                      <w:color w:val="EE0000"/>
                      <w:u w:val="single"/>
                    </w:rPr>
                    <w:t>型号/规格</w:t>
                  </w:r>
                </w:p>
              </w:tc>
              <w:tc>
                <w:tcPr>
                  <w:tcW w:w="1407" w:type="pct"/>
                  <w:gridSpan w:val="2"/>
                  <w:vAlign w:val="center"/>
                </w:tcPr>
                <w:p w14:paraId="3C2BC44E">
                  <w:pPr>
                    <w:adjustRightInd w:val="0"/>
                    <w:snapToGrid w:val="0"/>
                    <w:spacing w:line="320" w:lineRule="exact"/>
                    <w:jc w:val="center"/>
                    <w:rPr>
                      <w:bCs/>
                      <w:color w:val="EE0000"/>
                      <w:u w:val="single"/>
                    </w:rPr>
                  </w:pPr>
                  <w:r>
                    <w:rPr>
                      <w:bCs/>
                      <w:color w:val="EE0000"/>
                      <w:u w:val="single"/>
                    </w:rPr>
                    <w:t>数量</w:t>
                  </w:r>
                </w:p>
              </w:tc>
              <w:tc>
                <w:tcPr>
                  <w:tcW w:w="1369" w:type="pct"/>
                  <w:gridSpan w:val="2"/>
                  <w:vAlign w:val="center"/>
                </w:tcPr>
                <w:p w14:paraId="5BD8EB1B">
                  <w:pPr>
                    <w:adjustRightInd w:val="0"/>
                    <w:snapToGrid w:val="0"/>
                    <w:spacing w:line="320" w:lineRule="exact"/>
                    <w:jc w:val="center"/>
                    <w:rPr>
                      <w:bCs/>
                      <w:color w:val="EE0000"/>
                      <w:u w:val="single"/>
                    </w:rPr>
                  </w:pPr>
                  <w:r>
                    <w:rPr>
                      <w:bCs/>
                      <w:color w:val="EE0000"/>
                      <w:u w:val="single"/>
                    </w:rPr>
                    <w:t>生产能力</w:t>
                  </w:r>
                </w:p>
              </w:tc>
            </w:tr>
            <w:tr w14:paraId="20F3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7" w:type="pct"/>
                  <w:vAlign w:val="center"/>
                </w:tcPr>
                <w:p w14:paraId="0C97749B">
                  <w:pPr>
                    <w:adjustRightInd w:val="0"/>
                    <w:snapToGrid w:val="0"/>
                    <w:spacing w:line="320" w:lineRule="exact"/>
                    <w:jc w:val="center"/>
                    <w:rPr>
                      <w:bCs/>
                      <w:color w:val="EE0000"/>
                      <w:u w:val="single"/>
                    </w:rPr>
                  </w:pPr>
                  <w:r>
                    <w:rPr>
                      <w:bCs/>
                      <w:color w:val="EE0000"/>
                      <w:u w:val="single"/>
                    </w:rPr>
                    <w:t>1</w:t>
                  </w:r>
                </w:p>
              </w:tc>
              <w:tc>
                <w:tcPr>
                  <w:tcW w:w="257" w:type="pct"/>
                  <w:vMerge w:val="restart"/>
                  <w:vAlign w:val="center"/>
                </w:tcPr>
                <w:p w14:paraId="29610B0B">
                  <w:pPr>
                    <w:adjustRightInd w:val="0"/>
                    <w:snapToGrid w:val="0"/>
                    <w:jc w:val="center"/>
                    <w:rPr>
                      <w:bCs/>
                      <w:color w:val="EE0000"/>
                      <w:u w:val="single"/>
                    </w:rPr>
                  </w:pPr>
                  <w:r>
                    <w:rPr>
                      <w:bCs/>
                      <w:color w:val="EE0000"/>
                      <w:u w:val="single"/>
                    </w:rPr>
                    <w:t>原料库</w:t>
                  </w:r>
                </w:p>
              </w:tc>
              <w:tc>
                <w:tcPr>
                  <w:tcW w:w="911" w:type="pct"/>
                  <w:vAlign w:val="center"/>
                </w:tcPr>
                <w:p w14:paraId="0AF16956">
                  <w:pPr>
                    <w:adjustRightInd w:val="0"/>
                    <w:snapToGrid w:val="0"/>
                    <w:spacing w:line="320" w:lineRule="exact"/>
                    <w:jc w:val="center"/>
                    <w:rPr>
                      <w:bCs/>
                      <w:color w:val="EE0000"/>
                      <w:u w:val="single"/>
                    </w:rPr>
                  </w:pPr>
                  <w:r>
                    <w:rPr>
                      <w:bCs/>
                      <w:color w:val="EE0000"/>
                      <w:u w:val="single"/>
                    </w:rPr>
                    <w:t>刮板机</w:t>
                  </w:r>
                </w:p>
              </w:tc>
              <w:tc>
                <w:tcPr>
                  <w:tcW w:w="799" w:type="pct"/>
                  <w:vAlign w:val="center"/>
                </w:tcPr>
                <w:p w14:paraId="6A62AE87">
                  <w:pPr>
                    <w:adjustRightInd w:val="0"/>
                    <w:snapToGrid w:val="0"/>
                    <w:spacing w:line="320" w:lineRule="exact"/>
                    <w:jc w:val="center"/>
                    <w:rPr>
                      <w:bCs/>
                      <w:color w:val="EE0000"/>
                      <w:u w:val="single"/>
                    </w:rPr>
                  </w:pPr>
                  <w:r>
                    <w:rPr>
                      <w:bCs/>
                      <w:color w:val="EE0000"/>
                      <w:u w:val="single"/>
                    </w:rPr>
                    <w:t>/</w:t>
                  </w:r>
                </w:p>
              </w:tc>
              <w:tc>
                <w:tcPr>
                  <w:tcW w:w="448" w:type="pct"/>
                  <w:vAlign w:val="center"/>
                </w:tcPr>
                <w:p w14:paraId="66CE6A46">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62622C51">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6C459348">
                  <w:pPr>
                    <w:adjustRightInd w:val="0"/>
                    <w:snapToGrid w:val="0"/>
                    <w:spacing w:line="320" w:lineRule="exact"/>
                    <w:jc w:val="center"/>
                    <w:rPr>
                      <w:bCs/>
                      <w:color w:val="EE0000"/>
                      <w:u w:val="single"/>
                    </w:rPr>
                  </w:pPr>
                  <w:r>
                    <w:rPr>
                      <w:bCs/>
                      <w:color w:val="EE0000"/>
                      <w:u w:val="single"/>
                    </w:rPr>
                    <w:t>/</w:t>
                  </w:r>
                </w:p>
              </w:tc>
              <w:tc>
                <w:tcPr>
                  <w:tcW w:w="707" w:type="pct"/>
                  <w:vAlign w:val="center"/>
                </w:tcPr>
                <w:p w14:paraId="17CFFB97">
                  <w:pPr>
                    <w:adjustRightInd w:val="0"/>
                    <w:snapToGrid w:val="0"/>
                    <w:jc w:val="center"/>
                    <w:rPr>
                      <w:bCs/>
                      <w:color w:val="EE0000"/>
                      <w:u w:val="single"/>
                    </w:rPr>
                  </w:pPr>
                  <w:r>
                    <w:rPr>
                      <w:bCs/>
                      <w:color w:val="EE0000"/>
                      <w:u w:val="single"/>
                    </w:rPr>
                    <w:t>/</w:t>
                  </w:r>
                </w:p>
              </w:tc>
            </w:tr>
            <w:tr w14:paraId="4144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57" w:type="pct"/>
                  <w:vAlign w:val="center"/>
                </w:tcPr>
                <w:p w14:paraId="38E286F9">
                  <w:pPr>
                    <w:adjustRightInd w:val="0"/>
                    <w:snapToGrid w:val="0"/>
                    <w:spacing w:line="320" w:lineRule="exact"/>
                    <w:jc w:val="center"/>
                    <w:rPr>
                      <w:bCs/>
                      <w:color w:val="EE0000"/>
                      <w:u w:val="single"/>
                    </w:rPr>
                  </w:pPr>
                  <w:r>
                    <w:rPr>
                      <w:bCs/>
                      <w:color w:val="EE0000"/>
                      <w:u w:val="single"/>
                    </w:rPr>
                    <w:t>2</w:t>
                  </w:r>
                </w:p>
              </w:tc>
              <w:tc>
                <w:tcPr>
                  <w:tcW w:w="257" w:type="pct"/>
                  <w:vMerge w:val="continue"/>
                  <w:vAlign w:val="center"/>
                </w:tcPr>
                <w:p w14:paraId="6560DED0">
                  <w:pPr>
                    <w:adjustRightInd w:val="0"/>
                    <w:snapToGrid w:val="0"/>
                    <w:spacing w:line="320" w:lineRule="exact"/>
                    <w:jc w:val="center"/>
                    <w:rPr>
                      <w:bCs/>
                      <w:color w:val="EE0000"/>
                      <w:u w:val="single"/>
                    </w:rPr>
                  </w:pPr>
                </w:p>
              </w:tc>
              <w:tc>
                <w:tcPr>
                  <w:tcW w:w="911" w:type="pct"/>
                  <w:vAlign w:val="center"/>
                </w:tcPr>
                <w:p w14:paraId="5050C207">
                  <w:pPr>
                    <w:adjustRightInd w:val="0"/>
                    <w:snapToGrid w:val="0"/>
                    <w:spacing w:line="320" w:lineRule="exact"/>
                    <w:jc w:val="center"/>
                    <w:rPr>
                      <w:bCs/>
                      <w:color w:val="EE0000"/>
                      <w:u w:val="single"/>
                    </w:rPr>
                  </w:pPr>
                  <w:r>
                    <w:rPr>
                      <w:bCs/>
                      <w:color w:val="EE0000"/>
                      <w:u w:val="single"/>
                    </w:rPr>
                    <w:t>螺旋输送机</w:t>
                  </w:r>
                </w:p>
              </w:tc>
              <w:tc>
                <w:tcPr>
                  <w:tcW w:w="799" w:type="pct"/>
                  <w:vAlign w:val="center"/>
                </w:tcPr>
                <w:p w14:paraId="45307909">
                  <w:pPr>
                    <w:adjustRightInd w:val="0"/>
                    <w:snapToGrid w:val="0"/>
                    <w:spacing w:line="320" w:lineRule="exact"/>
                    <w:jc w:val="center"/>
                    <w:rPr>
                      <w:bCs/>
                      <w:color w:val="EE0000"/>
                      <w:u w:val="single"/>
                    </w:rPr>
                  </w:pPr>
                  <w:r>
                    <w:rPr>
                      <w:bCs/>
                      <w:color w:val="EE0000"/>
                      <w:u w:val="single"/>
                    </w:rPr>
                    <w:t>/</w:t>
                  </w:r>
                </w:p>
              </w:tc>
              <w:tc>
                <w:tcPr>
                  <w:tcW w:w="448" w:type="pct"/>
                  <w:vAlign w:val="center"/>
                </w:tcPr>
                <w:p w14:paraId="6FA016B9">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3BA7798F">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03FFD4EB">
                  <w:pPr>
                    <w:adjustRightInd w:val="0"/>
                    <w:snapToGrid w:val="0"/>
                    <w:spacing w:line="320" w:lineRule="exact"/>
                    <w:jc w:val="center"/>
                    <w:rPr>
                      <w:bCs/>
                      <w:color w:val="EE0000"/>
                      <w:u w:val="single"/>
                    </w:rPr>
                  </w:pPr>
                  <w:r>
                    <w:rPr>
                      <w:bCs/>
                      <w:color w:val="EE0000"/>
                      <w:u w:val="single"/>
                    </w:rPr>
                    <w:t>/</w:t>
                  </w:r>
                </w:p>
              </w:tc>
              <w:tc>
                <w:tcPr>
                  <w:tcW w:w="707" w:type="pct"/>
                  <w:vAlign w:val="center"/>
                </w:tcPr>
                <w:p w14:paraId="6B94A9D8">
                  <w:pPr>
                    <w:adjustRightInd w:val="0"/>
                    <w:snapToGrid w:val="0"/>
                    <w:jc w:val="center"/>
                    <w:rPr>
                      <w:bCs/>
                      <w:color w:val="EE0000"/>
                      <w:u w:val="single"/>
                    </w:rPr>
                  </w:pPr>
                  <w:r>
                    <w:rPr>
                      <w:bCs/>
                      <w:color w:val="EE0000"/>
                      <w:u w:val="single"/>
                    </w:rPr>
                    <w:t>/</w:t>
                  </w:r>
                </w:p>
              </w:tc>
            </w:tr>
            <w:tr w14:paraId="0EC9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57" w:type="pct"/>
                  <w:vAlign w:val="center"/>
                </w:tcPr>
                <w:p w14:paraId="635BD978">
                  <w:pPr>
                    <w:adjustRightInd w:val="0"/>
                    <w:snapToGrid w:val="0"/>
                    <w:spacing w:line="320" w:lineRule="exact"/>
                    <w:jc w:val="center"/>
                    <w:rPr>
                      <w:bCs/>
                      <w:color w:val="EE0000"/>
                      <w:u w:val="single"/>
                    </w:rPr>
                  </w:pPr>
                  <w:r>
                    <w:rPr>
                      <w:bCs/>
                      <w:color w:val="EE0000"/>
                      <w:u w:val="single"/>
                    </w:rPr>
                    <w:t>3</w:t>
                  </w:r>
                </w:p>
              </w:tc>
              <w:tc>
                <w:tcPr>
                  <w:tcW w:w="257" w:type="pct"/>
                  <w:vMerge w:val="continue"/>
                  <w:vAlign w:val="center"/>
                </w:tcPr>
                <w:p w14:paraId="55B2CA34">
                  <w:pPr>
                    <w:adjustRightInd w:val="0"/>
                    <w:snapToGrid w:val="0"/>
                    <w:spacing w:line="320" w:lineRule="exact"/>
                    <w:jc w:val="center"/>
                    <w:rPr>
                      <w:bCs/>
                      <w:color w:val="EE0000"/>
                      <w:u w:val="single"/>
                    </w:rPr>
                  </w:pPr>
                </w:p>
              </w:tc>
              <w:tc>
                <w:tcPr>
                  <w:tcW w:w="911" w:type="pct"/>
                  <w:vAlign w:val="center"/>
                </w:tcPr>
                <w:p w14:paraId="4703FF29">
                  <w:pPr>
                    <w:adjustRightInd w:val="0"/>
                    <w:snapToGrid w:val="0"/>
                    <w:spacing w:line="320" w:lineRule="exact"/>
                    <w:jc w:val="center"/>
                    <w:rPr>
                      <w:bCs/>
                      <w:color w:val="EE0000"/>
                      <w:u w:val="single"/>
                    </w:rPr>
                  </w:pPr>
                  <w:r>
                    <w:rPr>
                      <w:bCs/>
                      <w:color w:val="EE0000"/>
                      <w:u w:val="single"/>
                    </w:rPr>
                    <w:t>板式给料机</w:t>
                  </w:r>
                </w:p>
              </w:tc>
              <w:tc>
                <w:tcPr>
                  <w:tcW w:w="799" w:type="pct"/>
                  <w:vAlign w:val="center"/>
                </w:tcPr>
                <w:p w14:paraId="7F60B2AA">
                  <w:pPr>
                    <w:adjustRightInd w:val="0"/>
                    <w:snapToGrid w:val="0"/>
                    <w:spacing w:line="320" w:lineRule="exact"/>
                    <w:jc w:val="center"/>
                    <w:rPr>
                      <w:bCs/>
                      <w:color w:val="EE0000"/>
                      <w:u w:val="single"/>
                    </w:rPr>
                  </w:pPr>
                  <w:r>
                    <w:rPr>
                      <w:bCs/>
                      <w:color w:val="EE0000"/>
                      <w:u w:val="single"/>
                    </w:rPr>
                    <w:t>/</w:t>
                  </w:r>
                </w:p>
              </w:tc>
              <w:tc>
                <w:tcPr>
                  <w:tcW w:w="448" w:type="pct"/>
                  <w:vAlign w:val="center"/>
                </w:tcPr>
                <w:p w14:paraId="3BB31DBE">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4CEAFADA">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6188D0C5">
                  <w:pPr>
                    <w:adjustRightInd w:val="0"/>
                    <w:snapToGrid w:val="0"/>
                    <w:spacing w:line="320" w:lineRule="exact"/>
                    <w:jc w:val="center"/>
                    <w:rPr>
                      <w:bCs/>
                      <w:color w:val="EE0000"/>
                      <w:u w:val="single"/>
                    </w:rPr>
                  </w:pPr>
                  <w:r>
                    <w:rPr>
                      <w:bCs/>
                      <w:color w:val="EE0000"/>
                      <w:u w:val="single"/>
                    </w:rPr>
                    <w:t>100t/h·台</w:t>
                  </w:r>
                </w:p>
              </w:tc>
              <w:tc>
                <w:tcPr>
                  <w:tcW w:w="707" w:type="pct"/>
                  <w:vAlign w:val="center"/>
                </w:tcPr>
                <w:p w14:paraId="58BE1219">
                  <w:pPr>
                    <w:adjustRightInd w:val="0"/>
                    <w:snapToGrid w:val="0"/>
                    <w:spacing w:line="320" w:lineRule="exact"/>
                    <w:jc w:val="center"/>
                    <w:rPr>
                      <w:bCs/>
                      <w:color w:val="EE0000"/>
                      <w:u w:val="single"/>
                    </w:rPr>
                  </w:pPr>
                  <w:r>
                    <w:rPr>
                      <w:bCs/>
                      <w:color w:val="EE0000"/>
                      <w:u w:val="single"/>
                    </w:rPr>
                    <w:t>528000t/a</w:t>
                  </w:r>
                </w:p>
              </w:tc>
            </w:tr>
            <w:tr w14:paraId="6359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57" w:type="pct"/>
                  <w:vAlign w:val="center"/>
                </w:tcPr>
                <w:p w14:paraId="0594F4ED">
                  <w:pPr>
                    <w:adjustRightInd w:val="0"/>
                    <w:snapToGrid w:val="0"/>
                    <w:spacing w:line="320" w:lineRule="exact"/>
                    <w:jc w:val="center"/>
                    <w:rPr>
                      <w:bCs/>
                      <w:color w:val="EE0000"/>
                      <w:u w:val="single"/>
                    </w:rPr>
                  </w:pPr>
                  <w:r>
                    <w:rPr>
                      <w:bCs/>
                      <w:color w:val="EE0000"/>
                      <w:u w:val="single"/>
                    </w:rPr>
                    <w:t>4</w:t>
                  </w:r>
                </w:p>
              </w:tc>
              <w:tc>
                <w:tcPr>
                  <w:tcW w:w="257" w:type="pct"/>
                  <w:vMerge w:val="restart"/>
                  <w:vAlign w:val="center"/>
                </w:tcPr>
                <w:p w14:paraId="3E84D79A">
                  <w:pPr>
                    <w:adjustRightInd w:val="0"/>
                    <w:snapToGrid w:val="0"/>
                    <w:spacing w:line="320" w:lineRule="exact"/>
                    <w:jc w:val="center"/>
                    <w:rPr>
                      <w:bCs/>
                      <w:color w:val="EE0000"/>
                      <w:u w:val="single"/>
                    </w:rPr>
                  </w:pPr>
                  <w:r>
                    <w:rPr>
                      <w:bCs/>
                      <w:color w:val="EE0000"/>
                      <w:u w:val="single"/>
                    </w:rPr>
                    <w:t>破碎车间</w:t>
                  </w:r>
                </w:p>
              </w:tc>
              <w:tc>
                <w:tcPr>
                  <w:tcW w:w="911" w:type="pct"/>
                  <w:vAlign w:val="center"/>
                </w:tcPr>
                <w:p w14:paraId="09500EEF">
                  <w:pPr>
                    <w:adjustRightInd w:val="0"/>
                    <w:snapToGrid w:val="0"/>
                    <w:spacing w:line="320" w:lineRule="exact"/>
                    <w:jc w:val="center"/>
                    <w:rPr>
                      <w:bCs/>
                      <w:color w:val="EE0000"/>
                      <w:u w:val="single"/>
                    </w:rPr>
                  </w:pPr>
                  <w:r>
                    <w:rPr>
                      <w:bCs/>
                      <w:color w:val="EE0000"/>
                      <w:u w:val="single"/>
                    </w:rPr>
                    <w:t>锤式破碎机</w:t>
                  </w:r>
                </w:p>
              </w:tc>
              <w:tc>
                <w:tcPr>
                  <w:tcW w:w="799" w:type="pct"/>
                  <w:vAlign w:val="center"/>
                </w:tcPr>
                <w:p w14:paraId="5F598E16">
                  <w:pPr>
                    <w:adjustRightInd w:val="0"/>
                    <w:snapToGrid w:val="0"/>
                    <w:spacing w:line="320" w:lineRule="exact"/>
                    <w:jc w:val="center"/>
                    <w:rPr>
                      <w:bCs/>
                      <w:color w:val="EE0000"/>
                      <w:u w:val="single"/>
                    </w:rPr>
                  </w:pPr>
                  <w:r>
                    <w:rPr>
                      <w:bCs/>
                      <w:color w:val="EE0000"/>
                      <w:u w:val="single"/>
                    </w:rPr>
                    <w:t>CP1000×800</w:t>
                  </w:r>
                </w:p>
              </w:tc>
              <w:tc>
                <w:tcPr>
                  <w:tcW w:w="448" w:type="pct"/>
                  <w:vAlign w:val="center"/>
                </w:tcPr>
                <w:p w14:paraId="09ACC2BA">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1FFB963D">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49A41621">
                  <w:pPr>
                    <w:adjustRightInd w:val="0"/>
                    <w:snapToGrid w:val="0"/>
                    <w:spacing w:line="320" w:lineRule="exact"/>
                    <w:jc w:val="center"/>
                    <w:rPr>
                      <w:bCs/>
                      <w:color w:val="EE0000"/>
                      <w:u w:val="single"/>
                    </w:rPr>
                  </w:pPr>
                  <w:r>
                    <w:rPr>
                      <w:bCs/>
                      <w:color w:val="EE0000"/>
                      <w:u w:val="single"/>
                    </w:rPr>
                    <w:t>80t/h·台</w:t>
                  </w:r>
                </w:p>
              </w:tc>
              <w:tc>
                <w:tcPr>
                  <w:tcW w:w="707" w:type="pct"/>
                  <w:vAlign w:val="center"/>
                </w:tcPr>
                <w:p w14:paraId="43B72027">
                  <w:pPr>
                    <w:adjustRightInd w:val="0"/>
                    <w:snapToGrid w:val="0"/>
                    <w:spacing w:line="320" w:lineRule="exact"/>
                    <w:jc w:val="center"/>
                    <w:rPr>
                      <w:bCs/>
                      <w:color w:val="EE0000"/>
                      <w:u w:val="single"/>
                    </w:rPr>
                  </w:pPr>
                  <w:r>
                    <w:rPr>
                      <w:bCs/>
                      <w:color w:val="EE0000"/>
                      <w:u w:val="single"/>
                    </w:rPr>
                    <w:t>422400t/a</w:t>
                  </w:r>
                </w:p>
              </w:tc>
            </w:tr>
            <w:tr w14:paraId="62CD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57" w:type="pct"/>
                  <w:vAlign w:val="center"/>
                </w:tcPr>
                <w:p w14:paraId="1EBF8839">
                  <w:pPr>
                    <w:adjustRightInd w:val="0"/>
                    <w:snapToGrid w:val="0"/>
                    <w:spacing w:line="320" w:lineRule="exact"/>
                    <w:jc w:val="center"/>
                    <w:rPr>
                      <w:bCs/>
                      <w:color w:val="EE0000"/>
                      <w:u w:val="single"/>
                    </w:rPr>
                  </w:pPr>
                  <w:r>
                    <w:rPr>
                      <w:bCs/>
                      <w:color w:val="EE0000"/>
                      <w:u w:val="single"/>
                    </w:rPr>
                    <w:t>5</w:t>
                  </w:r>
                </w:p>
              </w:tc>
              <w:tc>
                <w:tcPr>
                  <w:tcW w:w="257" w:type="pct"/>
                  <w:vMerge w:val="continue"/>
                  <w:vAlign w:val="center"/>
                </w:tcPr>
                <w:p w14:paraId="34D9C701">
                  <w:pPr>
                    <w:adjustRightInd w:val="0"/>
                    <w:snapToGrid w:val="0"/>
                    <w:spacing w:line="320" w:lineRule="exact"/>
                    <w:jc w:val="center"/>
                    <w:rPr>
                      <w:bCs/>
                      <w:color w:val="EE0000"/>
                      <w:u w:val="single"/>
                    </w:rPr>
                  </w:pPr>
                </w:p>
              </w:tc>
              <w:tc>
                <w:tcPr>
                  <w:tcW w:w="911" w:type="pct"/>
                  <w:vAlign w:val="center"/>
                </w:tcPr>
                <w:p w14:paraId="21B4321A">
                  <w:pPr>
                    <w:adjustRightInd w:val="0"/>
                    <w:snapToGrid w:val="0"/>
                    <w:spacing w:line="320" w:lineRule="exact"/>
                    <w:jc w:val="center"/>
                    <w:rPr>
                      <w:bCs/>
                      <w:color w:val="EE0000"/>
                      <w:u w:val="single"/>
                    </w:rPr>
                  </w:pPr>
                  <w:r>
                    <w:rPr>
                      <w:bCs/>
                      <w:color w:val="EE0000"/>
                      <w:u w:val="single"/>
                    </w:rPr>
                    <w:t>皮带输送机</w:t>
                  </w:r>
                </w:p>
              </w:tc>
              <w:tc>
                <w:tcPr>
                  <w:tcW w:w="799" w:type="pct"/>
                  <w:vAlign w:val="center"/>
                </w:tcPr>
                <w:p w14:paraId="18F2E6E4">
                  <w:pPr>
                    <w:adjustRightInd w:val="0"/>
                    <w:snapToGrid w:val="0"/>
                    <w:spacing w:line="320" w:lineRule="exact"/>
                    <w:jc w:val="center"/>
                    <w:rPr>
                      <w:bCs/>
                      <w:color w:val="EE0000"/>
                      <w:u w:val="single"/>
                    </w:rPr>
                  </w:pPr>
                  <w:r>
                    <w:rPr>
                      <w:bCs/>
                      <w:color w:val="EE0000"/>
                      <w:u w:val="single"/>
                    </w:rPr>
                    <w:t>/</w:t>
                  </w:r>
                </w:p>
              </w:tc>
              <w:tc>
                <w:tcPr>
                  <w:tcW w:w="448" w:type="pct"/>
                  <w:vAlign w:val="center"/>
                </w:tcPr>
                <w:p w14:paraId="39906B55">
                  <w:pPr>
                    <w:adjustRightInd w:val="0"/>
                    <w:snapToGrid w:val="0"/>
                    <w:spacing w:line="320" w:lineRule="exact"/>
                    <w:jc w:val="center"/>
                    <w:rPr>
                      <w:bCs/>
                      <w:color w:val="EE0000"/>
                      <w:u w:val="single"/>
                    </w:rPr>
                  </w:pPr>
                  <w:r>
                    <w:rPr>
                      <w:bCs/>
                      <w:color w:val="EE0000"/>
                      <w:u w:val="single"/>
                    </w:rPr>
                    <w:t>2台</w:t>
                  </w:r>
                </w:p>
              </w:tc>
              <w:tc>
                <w:tcPr>
                  <w:tcW w:w="959" w:type="pct"/>
                  <w:vAlign w:val="center"/>
                </w:tcPr>
                <w:p w14:paraId="77477D39">
                  <w:pPr>
                    <w:adjustRightInd w:val="0"/>
                    <w:snapToGrid w:val="0"/>
                    <w:spacing w:line="320" w:lineRule="exact"/>
                    <w:jc w:val="center"/>
                    <w:rPr>
                      <w:bCs/>
                      <w:color w:val="EE0000"/>
                      <w:u w:val="single"/>
                    </w:rPr>
                  </w:pPr>
                  <w:r>
                    <w:rPr>
                      <w:bCs/>
                      <w:color w:val="EE0000"/>
                      <w:u w:val="single"/>
                    </w:rPr>
                    <w:t>利用现有1台，新增1台</w:t>
                  </w:r>
                </w:p>
              </w:tc>
              <w:tc>
                <w:tcPr>
                  <w:tcW w:w="662" w:type="pct"/>
                  <w:vAlign w:val="center"/>
                </w:tcPr>
                <w:p w14:paraId="583397E7">
                  <w:pPr>
                    <w:adjustRightInd w:val="0"/>
                    <w:snapToGrid w:val="0"/>
                    <w:spacing w:line="320" w:lineRule="exact"/>
                    <w:jc w:val="center"/>
                    <w:rPr>
                      <w:bCs/>
                      <w:color w:val="EE0000"/>
                      <w:u w:val="single"/>
                    </w:rPr>
                  </w:pPr>
                  <w:r>
                    <w:rPr>
                      <w:bCs/>
                      <w:color w:val="EE0000"/>
                      <w:u w:val="single"/>
                    </w:rPr>
                    <w:t>/</w:t>
                  </w:r>
                </w:p>
              </w:tc>
              <w:tc>
                <w:tcPr>
                  <w:tcW w:w="707" w:type="pct"/>
                  <w:vAlign w:val="center"/>
                </w:tcPr>
                <w:p w14:paraId="74725FB0">
                  <w:pPr>
                    <w:adjustRightInd w:val="0"/>
                    <w:snapToGrid w:val="0"/>
                    <w:spacing w:line="320" w:lineRule="exact"/>
                    <w:jc w:val="center"/>
                    <w:rPr>
                      <w:bCs/>
                      <w:color w:val="EE0000"/>
                      <w:u w:val="single"/>
                    </w:rPr>
                  </w:pPr>
                  <w:r>
                    <w:rPr>
                      <w:bCs/>
                      <w:color w:val="EE0000"/>
                      <w:u w:val="single"/>
                    </w:rPr>
                    <w:t>/</w:t>
                  </w:r>
                </w:p>
              </w:tc>
            </w:tr>
            <w:tr w14:paraId="3601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03295A0A">
                  <w:pPr>
                    <w:adjustRightInd w:val="0"/>
                    <w:snapToGrid w:val="0"/>
                    <w:spacing w:line="320" w:lineRule="exact"/>
                    <w:jc w:val="center"/>
                    <w:rPr>
                      <w:bCs/>
                      <w:color w:val="EE0000"/>
                      <w:u w:val="single"/>
                    </w:rPr>
                  </w:pPr>
                  <w:r>
                    <w:rPr>
                      <w:bCs/>
                      <w:color w:val="EE0000"/>
                      <w:u w:val="single"/>
                    </w:rPr>
                    <w:t>6</w:t>
                  </w:r>
                </w:p>
              </w:tc>
              <w:tc>
                <w:tcPr>
                  <w:tcW w:w="257" w:type="pct"/>
                  <w:vMerge w:val="restart"/>
                  <w:vAlign w:val="center"/>
                </w:tcPr>
                <w:p w14:paraId="646FF2F9">
                  <w:pPr>
                    <w:adjustRightInd w:val="0"/>
                    <w:snapToGrid w:val="0"/>
                    <w:spacing w:line="320" w:lineRule="exact"/>
                    <w:jc w:val="center"/>
                    <w:rPr>
                      <w:bCs/>
                      <w:color w:val="EE0000"/>
                      <w:u w:val="single"/>
                    </w:rPr>
                  </w:pPr>
                  <w:r>
                    <w:rPr>
                      <w:bCs/>
                      <w:color w:val="EE0000"/>
                      <w:u w:val="single"/>
                    </w:rPr>
                    <w:t>混料车间</w:t>
                  </w:r>
                </w:p>
              </w:tc>
              <w:tc>
                <w:tcPr>
                  <w:tcW w:w="911" w:type="pct"/>
                  <w:vAlign w:val="center"/>
                </w:tcPr>
                <w:p w14:paraId="35C913EB">
                  <w:pPr>
                    <w:adjustRightInd w:val="0"/>
                    <w:snapToGrid w:val="0"/>
                    <w:spacing w:line="320" w:lineRule="exact"/>
                    <w:jc w:val="center"/>
                    <w:rPr>
                      <w:bCs/>
                      <w:color w:val="EE0000"/>
                      <w:u w:val="single"/>
                    </w:rPr>
                  </w:pPr>
                  <w:r>
                    <w:rPr>
                      <w:bCs/>
                      <w:color w:val="EE0000"/>
                      <w:u w:val="single"/>
                    </w:rPr>
                    <w:t>滚筒筛</w:t>
                  </w:r>
                </w:p>
              </w:tc>
              <w:tc>
                <w:tcPr>
                  <w:tcW w:w="799" w:type="pct"/>
                  <w:vAlign w:val="center"/>
                </w:tcPr>
                <w:p w14:paraId="7E0DEBEB">
                  <w:pPr>
                    <w:adjustRightInd w:val="0"/>
                    <w:snapToGrid w:val="0"/>
                    <w:spacing w:line="320" w:lineRule="exact"/>
                    <w:jc w:val="center"/>
                    <w:rPr>
                      <w:bCs/>
                      <w:color w:val="EE0000"/>
                      <w:u w:val="single"/>
                    </w:rPr>
                  </w:pPr>
                  <w:r>
                    <w:rPr>
                      <w:bCs/>
                      <w:color w:val="EE0000"/>
                      <w:u w:val="single"/>
                    </w:rPr>
                    <w:t>/</w:t>
                  </w:r>
                </w:p>
              </w:tc>
              <w:tc>
                <w:tcPr>
                  <w:tcW w:w="448" w:type="pct"/>
                  <w:vAlign w:val="center"/>
                </w:tcPr>
                <w:p w14:paraId="7720967F">
                  <w:pPr>
                    <w:adjustRightInd w:val="0"/>
                    <w:snapToGrid w:val="0"/>
                    <w:spacing w:line="320" w:lineRule="exact"/>
                    <w:jc w:val="center"/>
                    <w:rPr>
                      <w:bCs/>
                      <w:color w:val="EE0000"/>
                      <w:u w:val="single"/>
                    </w:rPr>
                  </w:pPr>
                  <w:r>
                    <w:rPr>
                      <w:bCs/>
                      <w:color w:val="EE0000"/>
                      <w:u w:val="single"/>
                    </w:rPr>
                    <w:t>2台</w:t>
                  </w:r>
                </w:p>
              </w:tc>
              <w:tc>
                <w:tcPr>
                  <w:tcW w:w="959" w:type="pct"/>
                  <w:vAlign w:val="center"/>
                </w:tcPr>
                <w:p w14:paraId="570E3633">
                  <w:pPr>
                    <w:adjustRightInd w:val="0"/>
                    <w:snapToGrid w:val="0"/>
                    <w:spacing w:line="320" w:lineRule="exact"/>
                    <w:jc w:val="center"/>
                    <w:rPr>
                      <w:bCs/>
                      <w:color w:val="EE0000"/>
                      <w:u w:val="single"/>
                    </w:rPr>
                  </w:pPr>
                  <w:r>
                    <w:rPr>
                      <w:bCs/>
                      <w:color w:val="EE0000"/>
                      <w:u w:val="single"/>
                    </w:rPr>
                    <w:t>新增</w:t>
                  </w:r>
                </w:p>
              </w:tc>
              <w:tc>
                <w:tcPr>
                  <w:tcW w:w="662" w:type="pct"/>
                  <w:vAlign w:val="center"/>
                </w:tcPr>
                <w:p w14:paraId="2A5AFBAB">
                  <w:pPr>
                    <w:adjustRightInd w:val="0"/>
                    <w:snapToGrid w:val="0"/>
                    <w:spacing w:line="320" w:lineRule="exact"/>
                    <w:jc w:val="center"/>
                    <w:rPr>
                      <w:bCs/>
                      <w:color w:val="EE0000"/>
                      <w:u w:val="single"/>
                    </w:rPr>
                  </w:pPr>
                  <w:r>
                    <w:rPr>
                      <w:bCs/>
                      <w:color w:val="EE0000"/>
                      <w:u w:val="single"/>
                    </w:rPr>
                    <w:t>40t/h·台</w:t>
                  </w:r>
                </w:p>
              </w:tc>
              <w:tc>
                <w:tcPr>
                  <w:tcW w:w="707" w:type="pct"/>
                  <w:vAlign w:val="center"/>
                </w:tcPr>
                <w:p w14:paraId="383A775B">
                  <w:pPr>
                    <w:adjustRightInd w:val="0"/>
                    <w:snapToGrid w:val="0"/>
                    <w:spacing w:line="320" w:lineRule="exact"/>
                    <w:jc w:val="center"/>
                    <w:rPr>
                      <w:bCs/>
                      <w:color w:val="EE0000"/>
                      <w:u w:val="single"/>
                    </w:rPr>
                  </w:pPr>
                  <w:r>
                    <w:rPr>
                      <w:bCs/>
                      <w:color w:val="EE0000"/>
                      <w:u w:val="single"/>
                    </w:rPr>
                    <w:t>422400t/a</w:t>
                  </w:r>
                </w:p>
              </w:tc>
            </w:tr>
            <w:tr w14:paraId="328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77DF67EB">
                  <w:pPr>
                    <w:adjustRightInd w:val="0"/>
                    <w:snapToGrid w:val="0"/>
                    <w:spacing w:line="320" w:lineRule="exact"/>
                    <w:jc w:val="center"/>
                    <w:rPr>
                      <w:bCs/>
                      <w:color w:val="EE0000"/>
                      <w:u w:val="single"/>
                    </w:rPr>
                  </w:pPr>
                  <w:r>
                    <w:rPr>
                      <w:color w:val="EE0000"/>
                      <w:u w:val="single"/>
                    </w:rPr>
                    <w:t>7</w:t>
                  </w:r>
                </w:p>
              </w:tc>
              <w:tc>
                <w:tcPr>
                  <w:tcW w:w="257" w:type="pct"/>
                  <w:vMerge w:val="continue"/>
                  <w:vAlign w:val="center"/>
                </w:tcPr>
                <w:p w14:paraId="50A294A3">
                  <w:pPr>
                    <w:adjustRightInd w:val="0"/>
                    <w:snapToGrid w:val="0"/>
                    <w:spacing w:line="320" w:lineRule="exact"/>
                    <w:jc w:val="center"/>
                    <w:rPr>
                      <w:bCs/>
                      <w:color w:val="EE0000"/>
                      <w:u w:val="single"/>
                    </w:rPr>
                  </w:pPr>
                </w:p>
              </w:tc>
              <w:tc>
                <w:tcPr>
                  <w:tcW w:w="911" w:type="pct"/>
                  <w:vAlign w:val="center"/>
                </w:tcPr>
                <w:p w14:paraId="082D0B35">
                  <w:pPr>
                    <w:adjustRightInd w:val="0"/>
                    <w:snapToGrid w:val="0"/>
                    <w:spacing w:line="320" w:lineRule="exact"/>
                    <w:jc w:val="center"/>
                    <w:rPr>
                      <w:bCs/>
                      <w:color w:val="EE0000"/>
                      <w:u w:val="single"/>
                    </w:rPr>
                  </w:pPr>
                  <w:r>
                    <w:rPr>
                      <w:bCs/>
                      <w:color w:val="EE0000"/>
                      <w:u w:val="single"/>
                    </w:rPr>
                    <w:t>双轴搅拌机</w:t>
                  </w:r>
                </w:p>
              </w:tc>
              <w:tc>
                <w:tcPr>
                  <w:tcW w:w="799" w:type="pct"/>
                  <w:vAlign w:val="center"/>
                </w:tcPr>
                <w:p w14:paraId="4313A980">
                  <w:pPr>
                    <w:adjustRightInd w:val="0"/>
                    <w:snapToGrid w:val="0"/>
                    <w:spacing w:line="320" w:lineRule="exact"/>
                    <w:jc w:val="center"/>
                    <w:rPr>
                      <w:bCs/>
                      <w:color w:val="EE0000"/>
                      <w:u w:val="single"/>
                    </w:rPr>
                  </w:pPr>
                  <w:r>
                    <w:rPr>
                      <w:bCs/>
                      <w:color w:val="EE0000"/>
                      <w:u w:val="single"/>
                    </w:rPr>
                    <w:t>/</w:t>
                  </w:r>
                </w:p>
              </w:tc>
              <w:tc>
                <w:tcPr>
                  <w:tcW w:w="448" w:type="pct"/>
                  <w:vAlign w:val="center"/>
                </w:tcPr>
                <w:p w14:paraId="645A64A5">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1F8065BA">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5CC65ABB">
                  <w:pPr>
                    <w:adjustRightInd w:val="0"/>
                    <w:snapToGrid w:val="0"/>
                    <w:spacing w:line="320" w:lineRule="exact"/>
                    <w:jc w:val="center"/>
                    <w:rPr>
                      <w:bCs/>
                      <w:color w:val="EE0000"/>
                      <w:u w:val="single"/>
                    </w:rPr>
                  </w:pPr>
                  <w:r>
                    <w:rPr>
                      <w:bCs/>
                      <w:color w:val="EE0000"/>
                      <w:u w:val="single"/>
                    </w:rPr>
                    <w:t>60t/h·台</w:t>
                  </w:r>
                </w:p>
              </w:tc>
              <w:tc>
                <w:tcPr>
                  <w:tcW w:w="707" w:type="pct"/>
                  <w:vAlign w:val="center"/>
                </w:tcPr>
                <w:p w14:paraId="7AD40347">
                  <w:pPr>
                    <w:adjustRightInd w:val="0"/>
                    <w:snapToGrid w:val="0"/>
                    <w:spacing w:line="320" w:lineRule="exact"/>
                    <w:jc w:val="center"/>
                    <w:rPr>
                      <w:bCs/>
                      <w:color w:val="EE0000"/>
                      <w:u w:val="single"/>
                    </w:rPr>
                  </w:pPr>
                  <w:r>
                    <w:rPr>
                      <w:bCs/>
                      <w:color w:val="EE0000"/>
                      <w:u w:val="single"/>
                    </w:rPr>
                    <w:t>316800t/a</w:t>
                  </w:r>
                </w:p>
              </w:tc>
            </w:tr>
            <w:tr w14:paraId="30F6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257DFEDB">
                  <w:pPr>
                    <w:adjustRightInd w:val="0"/>
                    <w:snapToGrid w:val="0"/>
                    <w:spacing w:line="320" w:lineRule="exact"/>
                    <w:jc w:val="center"/>
                    <w:rPr>
                      <w:bCs/>
                      <w:color w:val="EE0000"/>
                      <w:u w:val="single"/>
                    </w:rPr>
                  </w:pPr>
                  <w:r>
                    <w:rPr>
                      <w:color w:val="EE0000"/>
                      <w:u w:val="single"/>
                    </w:rPr>
                    <w:t>8</w:t>
                  </w:r>
                </w:p>
              </w:tc>
              <w:tc>
                <w:tcPr>
                  <w:tcW w:w="257" w:type="pct"/>
                  <w:vMerge w:val="continue"/>
                  <w:vAlign w:val="center"/>
                </w:tcPr>
                <w:p w14:paraId="6DA6DCCA">
                  <w:pPr>
                    <w:adjustRightInd w:val="0"/>
                    <w:snapToGrid w:val="0"/>
                    <w:spacing w:line="320" w:lineRule="exact"/>
                    <w:jc w:val="center"/>
                    <w:rPr>
                      <w:bCs/>
                      <w:color w:val="EE0000"/>
                      <w:u w:val="single"/>
                    </w:rPr>
                  </w:pPr>
                </w:p>
              </w:tc>
              <w:tc>
                <w:tcPr>
                  <w:tcW w:w="911" w:type="pct"/>
                  <w:vAlign w:val="center"/>
                </w:tcPr>
                <w:p w14:paraId="35712B4B">
                  <w:pPr>
                    <w:adjustRightInd w:val="0"/>
                    <w:snapToGrid w:val="0"/>
                    <w:spacing w:line="320" w:lineRule="exact"/>
                    <w:jc w:val="center"/>
                    <w:rPr>
                      <w:bCs/>
                      <w:color w:val="EE0000"/>
                      <w:u w:val="single"/>
                    </w:rPr>
                  </w:pPr>
                  <w:r>
                    <w:rPr>
                      <w:bCs/>
                      <w:color w:val="EE0000"/>
                      <w:u w:val="single"/>
                    </w:rPr>
                    <w:t>皮带输送机</w:t>
                  </w:r>
                </w:p>
              </w:tc>
              <w:tc>
                <w:tcPr>
                  <w:tcW w:w="799" w:type="pct"/>
                  <w:vAlign w:val="center"/>
                </w:tcPr>
                <w:p w14:paraId="5196A41A">
                  <w:pPr>
                    <w:adjustRightInd w:val="0"/>
                    <w:snapToGrid w:val="0"/>
                    <w:spacing w:line="320" w:lineRule="exact"/>
                    <w:jc w:val="center"/>
                    <w:rPr>
                      <w:bCs/>
                      <w:color w:val="EE0000"/>
                      <w:u w:val="single"/>
                    </w:rPr>
                  </w:pPr>
                  <w:r>
                    <w:rPr>
                      <w:bCs/>
                      <w:color w:val="EE0000"/>
                      <w:u w:val="single"/>
                    </w:rPr>
                    <w:t>/</w:t>
                  </w:r>
                </w:p>
              </w:tc>
              <w:tc>
                <w:tcPr>
                  <w:tcW w:w="448" w:type="pct"/>
                  <w:vAlign w:val="center"/>
                </w:tcPr>
                <w:p w14:paraId="1B225AB4">
                  <w:pPr>
                    <w:adjustRightInd w:val="0"/>
                    <w:snapToGrid w:val="0"/>
                    <w:spacing w:line="320" w:lineRule="exact"/>
                    <w:jc w:val="center"/>
                    <w:rPr>
                      <w:bCs/>
                      <w:color w:val="EE0000"/>
                      <w:u w:val="single"/>
                    </w:rPr>
                  </w:pPr>
                  <w:r>
                    <w:rPr>
                      <w:bCs/>
                      <w:color w:val="EE0000"/>
                      <w:u w:val="single"/>
                    </w:rPr>
                    <w:t>5台</w:t>
                  </w:r>
                </w:p>
              </w:tc>
              <w:tc>
                <w:tcPr>
                  <w:tcW w:w="959" w:type="pct"/>
                  <w:vAlign w:val="center"/>
                </w:tcPr>
                <w:p w14:paraId="61995F89">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7BFB002E">
                  <w:pPr>
                    <w:adjustRightInd w:val="0"/>
                    <w:snapToGrid w:val="0"/>
                    <w:spacing w:line="320" w:lineRule="exact"/>
                    <w:jc w:val="center"/>
                    <w:rPr>
                      <w:bCs/>
                      <w:color w:val="EE0000"/>
                      <w:u w:val="single"/>
                    </w:rPr>
                  </w:pPr>
                  <w:r>
                    <w:rPr>
                      <w:bCs/>
                      <w:color w:val="EE0000"/>
                      <w:u w:val="single"/>
                    </w:rPr>
                    <w:t>/</w:t>
                  </w:r>
                </w:p>
              </w:tc>
              <w:tc>
                <w:tcPr>
                  <w:tcW w:w="707" w:type="pct"/>
                  <w:vAlign w:val="center"/>
                </w:tcPr>
                <w:p w14:paraId="0FFE7C64">
                  <w:pPr>
                    <w:adjustRightInd w:val="0"/>
                    <w:snapToGrid w:val="0"/>
                    <w:spacing w:line="320" w:lineRule="exact"/>
                    <w:jc w:val="center"/>
                    <w:rPr>
                      <w:bCs/>
                      <w:color w:val="EE0000"/>
                      <w:u w:val="single"/>
                    </w:rPr>
                  </w:pPr>
                  <w:r>
                    <w:rPr>
                      <w:bCs/>
                      <w:color w:val="EE0000"/>
                      <w:u w:val="single"/>
                    </w:rPr>
                    <w:t>/</w:t>
                  </w:r>
                </w:p>
              </w:tc>
            </w:tr>
            <w:tr w14:paraId="7937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57" w:type="pct"/>
                  <w:vAlign w:val="center"/>
                </w:tcPr>
                <w:p w14:paraId="0697E81B">
                  <w:pPr>
                    <w:adjustRightInd w:val="0"/>
                    <w:snapToGrid w:val="0"/>
                    <w:spacing w:line="320" w:lineRule="exact"/>
                    <w:jc w:val="center"/>
                    <w:rPr>
                      <w:bCs/>
                      <w:color w:val="EE0000"/>
                      <w:u w:val="single"/>
                    </w:rPr>
                  </w:pPr>
                  <w:r>
                    <w:rPr>
                      <w:color w:val="EE0000"/>
                      <w:u w:val="single"/>
                    </w:rPr>
                    <w:t>9</w:t>
                  </w:r>
                </w:p>
              </w:tc>
              <w:tc>
                <w:tcPr>
                  <w:tcW w:w="257" w:type="pct"/>
                  <w:vMerge w:val="continue"/>
                  <w:vAlign w:val="center"/>
                </w:tcPr>
                <w:p w14:paraId="0CAFF5D4">
                  <w:pPr>
                    <w:adjustRightInd w:val="0"/>
                    <w:snapToGrid w:val="0"/>
                    <w:spacing w:line="320" w:lineRule="exact"/>
                    <w:jc w:val="center"/>
                    <w:rPr>
                      <w:bCs/>
                      <w:color w:val="EE0000"/>
                      <w:u w:val="single"/>
                    </w:rPr>
                  </w:pPr>
                </w:p>
              </w:tc>
              <w:tc>
                <w:tcPr>
                  <w:tcW w:w="911" w:type="pct"/>
                  <w:vAlign w:val="center"/>
                </w:tcPr>
                <w:p w14:paraId="55768B53">
                  <w:pPr>
                    <w:adjustRightInd w:val="0"/>
                    <w:snapToGrid w:val="0"/>
                    <w:spacing w:line="320" w:lineRule="exact"/>
                    <w:jc w:val="center"/>
                    <w:rPr>
                      <w:bCs/>
                      <w:color w:val="EE0000"/>
                      <w:u w:val="single"/>
                    </w:rPr>
                  </w:pPr>
                  <w:r>
                    <w:rPr>
                      <w:bCs/>
                      <w:color w:val="EE0000"/>
                      <w:u w:val="single"/>
                    </w:rPr>
                    <w:t>双级破碎机</w:t>
                  </w:r>
                </w:p>
              </w:tc>
              <w:tc>
                <w:tcPr>
                  <w:tcW w:w="799" w:type="pct"/>
                  <w:vAlign w:val="center"/>
                </w:tcPr>
                <w:p w14:paraId="3FCBC9AB">
                  <w:pPr>
                    <w:adjustRightInd w:val="0"/>
                    <w:snapToGrid w:val="0"/>
                    <w:spacing w:line="320" w:lineRule="exact"/>
                    <w:jc w:val="center"/>
                    <w:rPr>
                      <w:bCs/>
                      <w:color w:val="EE0000"/>
                      <w:u w:val="single"/>
                    </w:rPr>
                  </w:pPr>
                  <w:r>
                    <w:rPr>
                      <w:bCs/>
                      <w:color w:val="EE0000"/>
                      <w:u w:val="single"/>
                    </w:rPr>
                    <w:t>88型加重</w:t>
                  </w:r>
                </w:p>
              </w:tc>
              <w:tc>
                <w:tcPr>
                  <w:tcW w:w="448" w:type="pct"/>
                  <w:vAlign w:val="center"/>
                </w:tcPr>
                <w:p w14:paraId="080468C9">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2BD3BCD5">
                  <w:pPr>
                    <w:adjustRightInd w:val="0"/>
                    <w:snapToGrid w:val="0"/>
                    <w:spacing w:line="320" w:lineRule="exact"/>
                    <w:jc w:val="center"/>
                    <w:rPr>
                      <w:bCs/>
                      <w:color w:val="EE0000"/>
                      <w:u w:val="single"/>
                    </w:rPr>
                  </w:pPr>
                  <w:r>
                    <w:rPr>
                      <w:bCs/>
                      <w:color w:val="EE0000"/>
                      <w:u w:val="single"/>
                    </w:rPr>
                    <w:t>新增</w:t>
                  </w:r>
                </w:p>
              </w:tc>
              <w:tc>
                <w:tcPr>
                  <w:tcW w:w="662" w:type="pct"/>
                  <w:vAlign w:val="center"/>
                </w:tcPr>
                <w:p w14:paraId="0AEA870E">
                  <w:pPr>
                    <w:adjustRightInd w:val="0"/>
                    <w:snapToGrid w:val="0"/>
                    <w:spacing w:line="320" w:lineRule="exact"/>
                    <w:jc w:val="center"/>
                    <w:rPr>
                      <w:bCs/>
                      <w:color w:val="EE0000"/>
                      <w:u w:val="single"/>
                    </w:rPr>
                  </w:pPr>
                  <w:r>
                    <w:rPr>
                      <w:bCs/>
                      <w:color w:val="EE0000"/>
                      <w:u w:val="single"/>
                    </w:rPr>
                    <w:t>30t/h·台</w:t>
                  </w:r>
                </w:p>
              </w:tc>
              <w:tc>
                <w:tcPr>
                  <w:tcW w:w="707" w:type="pct"/>
                  <w:vAlign w:val="center"/>
                </w:tcPr>
                <w:p w14:paraId="2C349B52">
                  <w:pPr>
                    <w:adjustRightInd w:val="0"/>
                    <w:snapToGrid w:val="0"/>
                    <w:spacing w:line="320" w:lineRule="exact"/>
                    <w:jc w:val="center"/>
                    <w:rPr>
                      <w:bCs/>
                      <w:color w:val="EE0000"/>
                      <w:u w:val="single"/>
                    </w:rPr>
                  </w:pPr>
                  <w:r>
                    <w:rPr>
                      <w:bCs/>
                      <w:color w:val="EE0000"/>
                      <w:u w:val="single"/>
                    </w:rPr>
                    <w:t>158400t/a</w:t>
                  </w:r>
                </w:p>
              </w:tc>
            </w:tr>
            <w:tr w14:paraId="2C60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53B2D5C9">
                  <w:pPr>
                    <w:adjustRightInd w:val="0"/>
                    <w:snapToGrid w:val="0"/>
                    <w:spacing w:line="320" w:lineRule="exact"/>
                    <w:jc w:val="center"/>
                    <w:rPr>
                      <w:bCs/>
                      <w:color w:val="EE0000"/>
                      <w:u w:val="single"/>
                    </w:rPr>
                  </w:pPr>
                  <w:r>
                    <w:rPr>
                      <w:color w:val="EE0000"/>
                      <w:u w:val="single"/>
                    </w:rPr>
                    <w:t>10</w:t>
                  </w:r>
                </w:p>
              </w:tc>
              <w:tc>
                <w:tcPr>
                  <w:tcW w:w="257" w:type="pct"/>
                  <w:vMerge w:val="restart"/>
                  <w:vAlign w:val="center"/>
                </w:tcPr>
                <w:p w14:paraId="0EC072E3">
                  <w:pPr>
                    <w:adjustRightInd w:val="0"/>
                    <w:snapToGrid w:val="0"/>
                    <w:spacing w:line="320" w:lineRule="exact"/>
                    <w:jc w:val="center"/>
                    <w:rPr>
                      <w:bCs/>
                      <w:color w:val="EE0000"/>
                      <w:u w:val="single"/>
                    </w:rPr>
                  </w:pPr>
                  <w:r>
                    <w:rPr>
                      <w:bCs/>
                      <w:color w:val="EE0000"/>
                      <w:u w:val="single"/>
                    </w:rPr>
                    <w:t>陈化库</w:t>
                  </w:r>
                </w:p>
              </w:tc>
              <w:tc>
                <w:tcPr>
                  <w:tcW w:w="911" w:type="pct"/>
                  <w:vAlign w:val="center"/>
                </w:tcPr>
                <w:p w14:paraId="08043367">
                  <w:pPr>
                    <w:adjustRightInd w:val="0"/>
                    <w:snapToGrid w:val="0"/>
                    <w:spacing w:line="320" w:lineRule="exact"/>
                    <w:jc w:val="center"/>
                    <w:rPr>
                      <w:bCs/>
                      <w:color w:val="EE0000"/>
                      <w:u w:val="single"/>
                    </w:rPr>
                  </w:pPr>
                  <w:r>
                    <w:rPr>
                      <w:bCs/>
                      <w:color w:val="EE0000"/>
                      <w:u w:val="single"/>
                    </w:rPr>
                    <w:t>斗式提升机</w:t>
                  </w:r>
                </w:p>
              </w:tc>
              <w:tc>
                <w:tcPr>
                  <w:tcW w:w="799" w:type="pct"/>
                  <w:vAlign w:val="center"/>
                </w:tcPr>
                <w:p w14:paraId="2434AE17">
                  <w:pPr>
                    <w:adjustRightInd w:val="0"/>
                    <w:snapToGrid w:val="0"/>
                    <w:spacing w:line="320" w:lineRule="exact"/>
                    <w:jc w:val="center"/>
                    <w:rPr>
                      <w:bCs/>
                      <w:color w:val="EE0000"/>
                      <w:u w:val="single"/>
                    </w:rPr>
                  </w:pPr>
                  <w:r>
                    <w:rPr>
                      <w:bCs/>
                      <w:color w:val="EE0000"/>
                      <w:u w:val="single"/>
                    </w:rPr>
                    <w:t>TH400</w:t>
                  </w:r>
                </w:p>
              </w:tc>
              <w:tc>
                <w:tcPr>
                  <w:tcW w:w="448" w:type="pct"/>
                  <w:vAlign w:val="center"/>
                </w:tcPr>
                <w:p w14:paraId="140780A0">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1BCA23BD">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7BBDA2CB">
                  <w:pPr>
                    <w:adjustRightInd w:val="0"/>
                    <w:snapToGrid w:val="0"/>
                    <w:spacing w:line="320" w:lineRule="exact"/>
                    <w:jc w:val="center"/>
                    <w:rPr>
                      <w:bCs/>
                      <w:color w:val="EE0000"/>
                      <w:u w:val="single"/>
                    </w:rPr>
                  </w:pPr>
                  <w:r>
                    <w:rPr>
                      <w:bCs/>
                      <w:color w:val="EE0000"/>
                      <w:u w:val="single"/>
                    </w:rPr>
                    <w:t>/</w:t>
                  </w:r>
                </w:p>
              </w:tc>
              <w:tc>
                <w:tcPr>
                  <w:tcW w:w="707" w:type="pct"/>
                  <w:vAlign w:val="center"/>
                </w:tcPr>
                <w:p w14:paraId="7EDE2C8C">
                  <w:pPr>
                    <w:adjustRightInd w:val="0"/>
                    <w:snapToGrid w:val="0"/>
                    <w:spacing w:line="320" w:lineRule="exact"/>
                    <w:jc w:val="center"/>
                    <w:rPr>
                      <w:bCs/>
                      <w:color w:val="EE0000"/>
                      <w:u w:val="single"/>
                    </w:rPr>
                  </w:pPr>
                  <w:r>
                    <w:rPr>
                      <w:bCs/>
                      <w:color w:val="EE0000"/>
                      <w:u w:val="single"/>
                    </w:rPr>
                    <w:t>/</w:t>
                  </w:r>
                </w:p>
              </w:tc>
            </w:tr>
            <w:tr w14:paraId="66F6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79FD4251">
                  <w:pPr>
                    <w:adjustRightInd w:val="0"/>
                    <w:snapToGrid w:val="0"/>
                    <w:spacing w:line="320" w:lineRule="exact"/>
                    <w:jc w:val="center"/>
                    <w:rPr>
                      <w:bCs/>
                      <w:color w:val="EE0000"/>
                      <w:u w:val="single"/>
                    </w:rPr>
                  </w:pPr>
                  <w:r>
                    <w:rPr>
                      <w:color w:val="EE0000"/>
                      <w:u w:val="single"/>
                    </w:rPr>
                    <w:t>11</w:t>
                  </w:r>
                </w:p>
              </w:tc>
              <w:tc>
                <w:tcPr>
                  <w:tcW w:w="257" w:type="pct"/>
                  <w:vMerge w:val="continue"/>
                  <w:vAlign w:val="center"/>
                </w:tcPr>
                <w:p w14:paraId="03E60CC6">
                  <w:pPr>
                    <w:adjustRightInd w:val="0"/>
                    <w:snapToGrid w:val="0"/>
                    <w:spacing w:line="320" w:lineRule="exact"/>
                    <w:jc w:val="center"/>
                    <w:rPr>
                      <w:bCs/>
                      <w:color w:val="EE0000"/>
                      <w:u w:val="single"/>
                    </w:rPr>
                  </w:pPr>
                </w:p>
              </w:tc>
              <w:tc>
                <w:tcPr>
                  <w:tcW w:w="911" w:type="pct"/>
                  <w:vAlign w:val="center"/>
                </w:tcPr>
                <w:p w14:paraId="2B84B869">
                  <w:pPr>
                    <w:adjustRightInd w:val="0"/>
                    <w:snapToGrid w:val="0"/>
                    <w:spacing w:line="320" w:lineRule="exact"/>
                    <w:jc w:val="center"/>
                    <w:rPr>
                      <w:bCs/>
                      <w:color w:val="EE0000"/>
                      <w:u w:val="single"/>
                    </w:rPr>
                  </w:pPr>
                  <w:r>
                    <w:rPr>
                      <w:bCs/>
                      <w:color w:val="EE0000"/>
                      <w:u w:val="single"/>
                    </w:rPr>
                    <w:t>移动式布料机</w:t>
                  </w:r>
                </w:p>
              </w:tc>
              <w:tc>
                <w:tcPr>
                  <w:tcW w:w="799" w:type="pct"/>
                  <w:vAlign w:val="center"/>
                </w:tcPr>
                <w:p w14:paraId="1DA35BA1">
                  <w:pPr>
                    <w:adjustRightInd w:val="0"/>
                    <w:snapToGrid w:val="0"/>
                    <w:spacing w:line="320" w:lineRule="exact"/>
                    <w:jc w:val="center"/>
                    <w:rPr>
                      <w:bCs/>
                      <w:color w:val="EE0000"/>
                      <w:u w:val="single"/>
                    </w:rPr>
                  </w:pPr>
                  <w:r>
                    <w:rPr>
                      <w:bCs/>
                      <w:color w:val="EE0000"/>
                      <w:u w:val="single"/>
                    </w:rPr>
                    <w:t>PN500×30</w:t>
                  </w:r>
                </w:p>
              </w:tc>
              <w:tc>
                <w:tcPr>
                  <w:tcW w:w="448" w:type="pct"/>
                  <w:vAlign w:val="center"/>
                </w:tcPr>
                <w:p w14:paraId="1EFEEDE8">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3B60EE44">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6F6ECE71">
                  <w:pPr>
                    <w:adjustRightInd w:val="0"/>
                    <w:snapToGrid w:val="0"/>
                    <w:spacing w:line="320" w:lineRule="exact"/>
                    <w:jc w:val="center"/>
                    <w:rPr>
                      <w:bCs/>
                      <w:color w:val="EE0000"/>
                      <w:u w:val="single"/>
                    </w:rPr>
                  </w:pPr>
                  <w:r>
                    <w:rPr>
                      <w:bCs/>
                      <w:color w:val="EE0000"/>
                      <w:u w:val="single"/>
                    </w:rPr>
                    <w:t>/</w:t>
                  </w:r>
                </w:p>
              </w:tc>
              <w:tc>
                <w:tcPr>
                  <w:tcW w:w="707" w:type="pct"/>
                  <w:vAlign w:val="center"/>
                </w:tcPr>
                <w:p w14:paraId="34F99C86">
                  <w:pPr>
                    <w:adjustRightInd w:val="0"/>
                    <w:snapToGrid w:val="0"/>
                    <w:spacing w:line="320" w:lineRule="exact"/>
                    <w:jc w:val="center"/>
                    <w:rPr>
                      <w:bCs/>
                      <w:color w:val="EE0000"/>
                      <w:u w:val="single"/>
                    </w:rPr>
                  </w:pPr>
                  <w:r>
                    <w:rPr>
                      <w:bCs/>
                      <w:color w:val="EE0000"/>
                      <w:u w:val="single"/>
                    </w:rPr>
                    <w:t>/</w:t>
                  </w:r>
                </w:p>
              </w:tc>
            </w:tr>
            <w:tr w14:paraId="16FF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57" w:type="pct"/>
                  <w:vAlign w:val="center"/>
                </w:tcPr>
                <w:p w14:paraId="19936008">
                  <w:pPr>
                    <w:adjustRightInd w:val="0"/>
                    <w:snapToGrid w:val="0"/>
                    <w:spacing w:line="320" w:lineRule="exact"/>
                    <w:jc w:val="center"/>
                    <w:rPr>
                      <w:bCs/>
                      <w:color w:val="EE0000"/>
                      <w:u w:val="single"/>
                    </w:rPr>
                  </w:pPr>
                  <w:r>
                    <w:rPr>
                      <w:color w:val="EE0000"/>
                      <w:u w:val="single"/>
                    </w:rPr>
                    <w:t>12</w:t>
                  </w:r>
                </w:p>
              </w:tc>
              <w:tc>
                <w:tcPr>
                  <w:tcW w:w="257" w:type="pct"/>
                  <w:vMerge w:val="continue"/>
                  <w:vAlign w:val="center"/>
                </w:tcPr>
                <w:p w14:paraId="45D7CF39">
                  <w:pPr>
                    <w:adjustRightInd w:val="0"/>
                    <w:snapToGrid w:val="0"/>
                    <w:spacing w:line="320" w:lineRule="exact"/>
                    <w:jc w:val="center"/>
                    <w:rPr>
                      <w:bCs/>
                      <w:color w:val="EE0000"/>
                      <w:u w:val="single"/>
                    </w:rPr>
                  </w:pPr>
                </w:p>
              </w:tc>
              <w:tc>
                <w:tcPr>
                  <w:tcW w:w="911" w:type="pct"/>
                  <w:vAlign w:val="center"/>
                </w:tcPr>
                <w:p w14:paraId="0335A004">
                  <w:pPr>
                    <w:adjustRightInd w:val="0"/>
                    <w:snapToGrid w:val="0"/>
                    <w:spacing w:line="320" w:lineRule="exact"/>
                    <w:jc w:val="center"/>
                    <w:rPr>
                      <w:bCs/>
                      <w:color w:val="EE0000"/>
                      <w:u w:val="single"/>
                    </w:rPr>
                  </w:pPr>
                  <w:r>
                    <w:rPr>
                      <w:bCs/>
                      <w:color w:val="EE0000"/>
                      <w:u w:val="single"/>
                    </w:rPr>
                    <w:t>强力搅拌机</w:t>
                  </w:r>
                </w:p>
              </w:tc>
              <w:tc>
                <w:tcPr>
                  <w:tcW w:w="799" w:type="pct"/>
                  <w:vAlign w:val="center"/>
                </w:tcPr>
                <w:p w14:paraId="3B4878EB">
                  <w:pPr>
                    <w:adjustRightInd w:val="0"/>
                    <w:snapToGrid w:val="0"/>
                    <w:spacing w:line="320" w:lineRule="exact"/>
                    <w:jc w:val="center"/>
                    <w:rPr>
                      <w:bCs/>
                      <w:color w:val="EE0000"/>
                      <w:u w:val="single"/>
                    </w:rPr>
                  </w:pPr>
                  <w:r>
                    <w:rPr>
                      <w:bCs/>
                      <w:color w:val="EE0000"/>
                      <w:u w:val="single"/>
                    </w:rPr>
                    <w:t>Pj400</w:t>
                  </w:r>
                </w:p>
              </w:tc>
              <w:tc>
                <w:tcPr>
                  <w:tcW w:w="448" w:type="pct"/>
                  <w:vAlign w:val="center"/>
                </w:tcPr>
                <w:p w14:paraId="6653A371">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1D5D36B9">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636F4CFA">
                  <w:pPr>
                    <w:adjustRightInd w:val="0"/>
                    <w:snapToGrid w:val="0"/>
                    <w:spacing w:line="320" w:lineRule="exact"/>
                    <w:jc w:val="center"/>
                    <w:rPr>
                      <w:bCs/>
                      <w:color w:val="EE0000"/>
                      <w:u w:val="single"/>
                    </w:rPr>
                  </w:pPr>
                  <w:bookmarkStart w:id="13" w:name="OLE_LINK6"/>
                  <w:r>
                    <w:rPr>
                      <w:bCs/>
                      <w:color w:val="EE0000"/>
                      <w:u w:val="single"/>
                    </w:rPr>
                    <w:t>60t/h·台</w:t>
                  </w:r>
                  <w:bookmarkEnd w:id="13"/>
                </w:p>
              </w:tc>
              <w:tc>
                <w:tcPr>
                  <w:tcW w:w="707" w:type="pct"/>
                  <w:vAlign w:val="center"/>
                </w:tcPr>
                <w:p w14:paraId="31B20F40">
                  <w:pPr>
                    <w:adjustRightInd w:val="0"/>
                    <w:snapToGrid w:val="0"/>
                    <w:spacing w:line="320" w:lineRule="exact"/>
                    <w:jc w:val="center"/>
                    <w:rPr>
                      <w:bCs/>
                      <w:color w:val="EE0000"/>
                      <w:u w:val="single"/>
                    </w:rPr>
                  </w:pPr>
                  <w:bookmarkStart w:id="14" w:name="OLE_LINK7"/>
                  <w:r>
                    <w:rPr>
                      <w:bCs/>
                      <w:color w:val="EE0000"/>
                      <w:u w:val="single"/>
                    </w:rPr>
                    <w:t>316800t/a</w:t>
                  </w:r>
                  <w:bookmarkEnd w:id="14"/>
                </w:p>
              </w:tc>
            </w:tr>
            <w:tr w14:paraId="7A2D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72009679">
                  <w:pPr>
                    <w:adjustRightInd w:val="0"/>
                    <w:snapToGrid w:val="0"/>
                    <w:spacing w:line="320" w:lineRule="exact"/>
                    <w:jc w:val="center"/>
                    <w:rPr>
                      <w:bCs/>
                      <w:color w:val="EE0000"/>
                      <w:u w:val="single"/>
                    </w:rPr>
                  </w:pPr>
                  <w:r>
                    <w:rPr>
                      <w:color w:val="EE0000"/>
                      <w:u w:val="single"/>
                    </w:rPr>
                    <w:t>13</w:t>
                  </w:r>
                </w:p>
              </w:tc>
              <w:tc>
                <w:tcPr>
                  <w:tcW w:w="257" w:type="pct"/>
                  <w:vMerge w:val="continue"/>
                  <w:vAlign w:val="center"/>
                </w:tcPr>
                <w:p w14:paraId="1B99949F">
                  <w:pPr>
                    <w:adjustRightInd w:val="0"/>
                    <w:snapToGrid w:val="0"/>
                    <w:spacing w:line="320" w:lineRule="exact"/>
                    <w:jc w:val="center"/>
                    <w:rPr>
                      <w:bCs/>
                      <w:color w:val="EE0000"/>
                      <w:u w:val="single"/>
                    </w:rPr>
                  </w:pPr>
                </w:p>
              </w:tc>
              <w:tc>
                <w:tcPr>
                  <w:tcW w:w="911" w:type="pct"/>
                  <w:vAlign w:val="center"/>
                </w:tcPr>
                <w:p w14:paraId="6DE76A8E">
                  <w:pPr>
                    <w:adjustRightInd w:val="0"/>
                    <w:snapToGrid w:val="0"/>
                    <w:spacing w:line="320" w:lineRule="exact"/>
                    <w:jc w:val="center"/>
                    <w:rPr>
                      <w:bCs/>
                      <w:color w:val="EE0000"/>
                      <w:u w:val="single"/>
                    </w:rPr>
                  </w:pPr>
                  <w:bookmarkStart w:id="15" w:name="OLE_LINK1"/>
                  <w:r>
                    <w:rPr>
                      <w:bCs/>
                      <w:color w:val="EE0000"/>
                      <w:u w:val="single"/>
                    </w:rPr>
                    <w:t>多斗挖掘机</w:t>
                  </w:r>
                  <w:bookmarkEnd w:id="15"/>
                </w:p>
              </w:tc>
              <w:tc>
                <w:tcPr>
                  <w:tcW w:w="799" w:type="pct"/>
                  <w:vAlign w:val="center"/>
                </w:tcPr>
                <w:p w14:paraId="61EFBEC6">
                  <w:pPr>
                    <w:adjustRightInd w:val="0"/>
                    <w:snapToGrid w:val="0"/>
                    <w:spacing w:line="320" w:lineRule="exact"/>
                    <w:jc w:val="center"/>
                    <w:rPr>
                      <w:bCs/>
                      <w:color w:val="EE0000"/>
                      <w:u w:val="single"/>
                    </w:rPr>
                  </w:pPr>
                  <w:bookmarkStart w:id="16" w:name="OLE_LINK5"/>
                  <w:r>
                    <w:rPr>
                      <w:bCs/>
                      <w:color w:val="EE0000"/>
                      <w:u w:val="single"/>
                    </w:rPr>
                    <w:t>DWY40-890</w:t>
                  </w:r>
                  <w:bookmarkEnd w:id="16"/>
                </w:p>
              </w:tc>
              <w:tc>
                <w:tcPr>
                  <w:tcW w:w="448" w:type="pct"/>
                  <w:vAlign w:val="center"/>
                </w:tcPr>
                <w:p w14:paraId="45768F11">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262A3C5D">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6A3B4DFB">
                  <w:pPr>
                    <w:adjustRightInd w:val="0"/>
                    <w:snapToGrid w:val="0"/>
                    <w:spacing w:line="320" w:lineRule="exact"/>
                    <w:jc w:val="center"/>
                    <w:rPr>
                      <w:bCs/>
                      <w:color w:val="EE0000"/>
                      <w:u w:val="single"/>
                    </w:rPr>
                  </w:pPr>
                  <w:bookmarkStart w:id="17" w:name="OLE_LINK10"/>
                  <w:r>
                    <w:rPr>
                      <w:bCs/>
                      <w:color w:val="EE0000"/>
                      <w:u w:val="single"/>
                    </w:rPr>
                    <w:t>60t/h·台</w:t>
                  </w:r>
                  <w:bookmarkEnd w:id="17"/>
                </w:p>
              </w:tc>
              <w:tc>
                <w:tcPr>
                  <w:tcW w:w="707" w:type="pct"/>
                  <w:vAlign w:val="center"/>
                </w:tcPr>
                <w:p w14:paraId="705B508C">
                  <w:pPr>
                    <w:adjustRightInd w:val="0"/>
                    <w:snapToGrid w:val="0"/>
                    <w:spacing w:line="320" w:lineRule="exact"/>
                    <w:jc w:val="center"/>
                    <w:rPr>
                      <w:bCs/>
                      <w:color w:val="EE0000"/>
                      <w:u w:val="single"/>
                    </w:rPr>
                  </w:pPr>
                  <w:bookmarkStart w:id="18" w:name="OLE_LINK11"/>
                  <w:r>
                    <w:rPr>
                      <w:bCs/>
                      <w:color w:val="EE0000"/>
                      <w:u w:val="single"/>
                    </w:rPr>
                    <w:t>316800t/a</w:t>
                  </w:r>
                  <w:bookmarkEnd w:id="18"/>
                </w:p>
              </w:tc>
            </w:tr>
            <w:tr w14:paraId="1B7C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4F2CA772">
                  <w:pPr>
                    <w:adjustRightInd w:val="0"/>
                    <w:snapToGrid w:val="0"/>
                    <w:spacing w:line="320" w:lineRule="exact"/>
                    <w:jc w:val="center"/>
                    <w:rPr>
                      <w:bCs/>
                      <w:color w:val="EE0000"/>
                      <w:u w:val="single"/>
                    </w:rPr>
                  </w:pPr>
                  <w:r>
                    <w:rPr>
                      <w:color w:val="EE0000"/>
                      <w:u w:val="single"/>
                    </w:rPr>
                    <w:t>14</w:t>
                  </w:r>
                </w:p>
              </w:tc>
              <w:tc>
                <w:tcPr>
                  <w:tcW w:w="257" w:type="pct"/>
                  <w:vMerge w:val="continue"/>
                  <w:vAlign w:val="center"/>
                </w:tcPr>
                <w:p w14:paraId="7F2091B5">
                  <w:pPr>
                    <w:adjustRightInd w:val="0"/>
                    <w:snapToGrid w:val="0"/>
                    <w:spacing w:line="320" w:lineRule="exact"/>
                    <w:jc w:val="center"/>
                    <w:rPr>
                      <w:bCs/>
                      <w:color w:val="EE0000"/>
                      <w:u w:val="single"/>
                    </w:rPr>
                  </w:pPr>
                </w:p>
              </w:tc>
              <w:tc>
                <w:tcPr>
                  <w:tcW w:w="911" w:type="pct"/>
                  <w:vAlign w:val="center"/>
                </w:tcPr>
                <w:p w14:paraId="1F82D008">
                  <w:pPr>
                    <w:adjustRightInd w:val="0"/>
                    <w:snapToGrid w:val="0"/>
                    <w:spacing w:line="320" w:lineRule="exact"/>
                    <w:jc w:val="center"/>
                    <w:rPr>
                      <w:bCs/>
                      <w:color w:val="EE0000"/>
                      <w:u w:val="single"/>
                    </w:rPr>
                  </w:pPr>
                  <w:bookmarkStart w:id="19" w:name="OLE_LINK8"/>
                  <w:r>
                    <w:rPr>
                      <w:bCs/>
                      <w:color w:val="EE0000"/>
                      <w:u w:val="single"/>
                    </w:rPr>
                    <w:t>圆盘给料机</w:t>
                  </w:r>
                  <w:bookmarkEnd w:id="19"/>
                </w:p>
              </w:tc>
              <w:tc>
                <w:tcPr>
                  <w:tcW w:w="799" w:type="pct"/>
                  <w:vAlign w:val="center"/>
                </w:tcPr>
                <w:p w14:paraId="78737F5F">
                  <w:pPr>
                    <w:adjustRightInd w:val="0"/>
                    <w:snapToGrid w:val="0"/>
                    <w:spacing w:line="320" w:lineRule="exact"/>
                    <w:jc w:val="center"/>
                    <w:rPr>
                      <w:bCs/>
                      <w:color w:val="EE0000"/>
                      <w:u w:val="single"/>
                    </w:rPr>
                  </w:pPr>
                  <w:bookmarkStart w:id="20" w:name="OLE_LINK9"/>
                  <w:r>
                    <w:rPr>
                      <w:bCs/>
                      <w:color w:val="EE0000"/>
                      <w:u w:val="single"/>
                    </w:rPr>
                    <w:t>DB10-1-3</w:t>
                  </w:r>
                  <w:bookmarkEnd w:id="20"/>
                </w:p>
              </w:tc>
              <w:tc>
                <w:tcPr>
                  <w:tcW w:w="448" w:type="pct"/>
                  <w:vAlign w:val="center"/>
                </w:tcPr>
                <w:p w14:paraId="01EA4FC2">
                  <w:pPr>
                    <w:adjustRightInd w:val="0"/>
                    <w:snapToGrid w:val="0"/>
                    <w:spacing w:line="320" w:lineRule="exact"/>
                    <w:jc w:val="center"/>
                    <w:rPr>
                      <w:bCs/>
                      <w:color w:val="EE0000"/>
                      <w:u w:val="single"/>
                    </w:rPr>
                  </w:pPr>
                  <w:r>
                    <w:rPr>
                      <w:bCs/>
                      <w:color w:val="EE0000"/>
                      <w:u w:val="single"/>
                    </w:rPr>
                    <w:t>3台</w:t>
                  </w:r>
                </w:p>
              </w:tc>
              <w:tc>
                <w:tcPr>
                  <w:tcW w:w="959" w:type="pct"/>
                  <w:vAlign w:val="center"/>
                </w:tcPr>
                <w:p w14:paraId="539E95AA">
                  <w:pPr>
                    <w:adjustRightInd w:val="0"/>
                    <w:snapToGrid w:val="0"/>
                    <w:spacing w:line="320" w:lineRule="exact"/>
                    <w:jc w:val="center"/>
                    <w:rPr>
                      <w:bCs/>
                      <w:color w:val="EE0000"/>
                      <w:u w:val="single"/>
                    </w:rPr>
                  </w:pPr>
                  <w:r>
                    <w:rPr>
                      <w:bCs/>
                      <w:color w:val="EE0000"/>
                      <w:u w:val="single"/>
                    </w:rPr>
                    <w:t>利用现有2台，新增1台</w:t>
                  </w:r>
                </w:p>
              </w:tc>
              <w:tc>
                <w:tcPr>
                  <w:tcW w:w="662" w:type="pct"/>
                  <w:vAlign w:val="center"/>
                </w:tcPr>
                <w:p w14:paraId="20A8A2FF">
                  <w:pPr>
                    <w:adjustRightInd w:val="0"/>
                    <w:snapToGrid w:val="0"/>
                    <w:spacing w:line="320" w:lineRule="exact"/>
                    <w:jc w:val="center"/>
                    <w:rPr>
                      <w:bCs/>
                      <w:color w:val="EE0000"/>
                      <w:u w:val="single"/>
                    </w:rPr>
                  </w:pPr>
                  <w:r>
                    <w:rPr>
                      <w:bCs/>
                      <w:color w:val="EE0000"/>
                      <w:u w:val="single"/>
                    </w:rPr>
                    <w:t>20t/h·台</w:t>
                  </w:r>
                </w:p>
              </w:tc>
              <w:tc>
                <w:tcPr>
                  <w:tcW w:w="707" w:type="pct"/>
                  <w:vAlign w:val="center"/>
                </w:tcPr>
                <w:p w14:paraId="15027CDA">
                  <w:pPr>
                    <w:adjustRightInd w:val="0"/>
                    <w:snapToGrid w:val="0"/>
                    <w:spacing w:line="320" w:lineRule="exact"/>
                    <w:jc w:val="center"/>
                    <w:rPr>
                      <w:bCs/>
                      <w:color w:val="EE0000"/>
                      <w:u w:val="single"/>
                    </w:rPr>
                  </w:pPr>
                  <w:r>
                    <w:rPr>
                      <w:bCs/>
                      <w:color w:val="EE0000"/>
                      <w:u w:val="single"/>
                    </w:rPr>
                    <w:t>316800t/a</w:t>
                  </w:r>
                </w:p>
              </w:tc>
            </w:tr>
            <w:tr w14:paraId="66DA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106B41C6">
                  <w:pPr>
                    <w:adjustRightInd w:val="0"/>
                    <w:snapToGrid w:val="0"/>
                    <w:spacing w:line="320" w:lineRule="exact"/>
                    <w:jc w:val="center"/>
                    <w:rPr>
                      <w:bCs/>
                      <w:color w:val="EE0000"/>
                      <w:u w:val="single"/>
                    </w:rPr>
                  </w:pPr>
                  <w:r>
                    <w:rPr>
                      <w:color w:val="EE0000"/>
                      <w:u w:val="single"/>
                    </w:rPr>
                    <w:t>15</w:t>
                  </w:r>
                </w:p>
              </w:tc>
              <w:tc>
                <w:tcPr>
                  <w:tcW w:w="257" w:type="pct"/>
                  <w:vMerge w:val="restart"/>
                  <w:vAlign w:val="center"/>
                </w:tcPr>
                <w:p w14:paraId="7DC6FB34">
                  <w:pPr>
                    <w:adjustRightInd w:val="0"/>
                    <w:snapToGrid w:val="0"/>
                    <w:spacing w:line="320" w:lineRule="exact"/>
                    <w:jc w:val="center"/>
                    <w:rPr>
                      <w:bCs/>
                      <w:color w:val="EE0000"/>
                      <w:u w:val="single"/>
                    </w:rPr>
                  </w:pPr>
                  <w:r>
                    <w:rPr>
                      <w:bCs/>
                      <w:color w:val="EE0000"/>
                      <w:u w:val="single"/>
                    </w:rPr>
                    <w:t>成型车间</w:t>
                  </w:r>
                </w:p>
              </w:tc>
              <w:tc>
                <w:tcPr>
                  <w:tcW w:w="911" w:type="pct"/>
                  <w:vAlign w:val="center"/>
                </w:tcPr>
                <w:p w14:paraId="559FF585">
                  <w:pPr>
                    <w:adjustRightInd w:val="0"/>
                    <w:snapToGrid w:val="0"/>
                    <w:spacing w:line="320" w:lineRule="exact"/>
                    <w:jc w:val="center"/>
                    <w:rPr>
                      <w:bCs/>
                      <w:color w:val="EE0000"/>
                      <w:u w:val="single"/>
                    </w:rPr>
                  </w:pPr>
                  <w:r>
                    <w:rPr>
                      <w:bCs/>
                      <w:color w:val="EE0000"/>
                      <w:u w:val="single"/>
                    </w:rPr>
                    <w:t>箱式给料机</w:t>
                  </w:r>
                </w:p>
              </w:tc>
              <w:tc>
                <w:tcPr>
                  <w:tcW w:w="799" w:type="pct"/>
                  <w:vAlign w:val="center"/>
                </w:tcPr>
                <w:p w14:paraId="749AE46D">
                  <w:pPr>
                    <w:adjustRightInd w:val="0"/>
                    <w:snapToGrid w:val="0"/>
                    <w:spacing w:line="320" w:lineRule="exact"/>
                    <w:jc w:val="center"/>
                    <w:rPr>
                      <w:bCs/>
                      <w:color w:val="EE0000"/>
                      <w:u w:val="single"/>
                    </w:rPr>
                  </w:pPr>
                  <w:r>
                    <w:rPr>
                      <w:bCs/>
                      <w:color w:val="EE0000"/>
                      <w:u w:val="single"/>
                    </w:rPr>
                    <w:t>/</w:t>
                  </w:r>
                </w:p>
              </w:tc>
              <w:tc>
                <w:tcPr>
                  <w:tcW w:w="448" w:type="pct"/>
                  <w:vAlign w:val="center"/>
                </w:tcPr>
                <w:p w14:paraId="753A2620">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0E8427A7">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0F7273E5">
                  <w:pPr>
                    <w:adjustRightInd w:val="0"/>
                    <w:snapToGrid w:val="0"/>
                    <w:spacing w:line="320" w:lineRule="exact"/>
                    <w:jc w:val="center"/>
                    <w:rPr>
                      <w:b/>
                      <w:color w:val="EE0000"/>
                      <w:u w:val="single"/>
                    </w:rPr>
                  </w:pPr>
                  <w:r>
                    <w:rPr>
                      <w:bCs/>
                      <w:color w:val="EE0000"/>
                      <w:u w:val="single"/>
                    </w:rPr>
                    <w:t>/</w:t>
                  </w:r>
                </w:p>
              </w:tc>
              <w:tc>
                <w:tcPr>
                  <w:tcW w:w="707" w:type="pct"/>
                  <w:vAlign w:val="center"/>
                </w:tcPr>
                <w:p w14:paraId="52D595A1">
                  <w:pPr>
                    <w:adjustRightInd w:val="0"/>
                    <w:snapToGrid w:val="0"/>
                    <w:spacing w:line="320" w:lineRule="exact"/>
                    <w:jc w:val="center"/>
                    <w:rPr>
                      <w:bCs/>
                      <w:color w:val="EE0000"/>
                      <w:u w:val="single"/>
                    </w:rPr>
                  </w:pPr>
                  <w:r>
                    <w:rPr>
                      <w:bCs/>
                      <w:color w:val="EE0000"/>
                      <w:u w:val="single"/>
                    </w:rPr>
                    <w:t>/</w:t>
                  </w:r>
                </w:p>
              </w:tc>
            </w:tr>
            <w:tr w14:paraId="5DA2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5BE38E52">
                  <w:pPr>
                    <w:adjustRightInd w:val="0"/>
                    <w:snapToGrid w:val="0"/>
                    <w:spacing w:line="320" w:lineRule="exact"/>
                    <w:jc w:val="center"/>
                    <w:rPr>
                      <w:bCs/>
                      <w:color w:val="EE0000"/>
                      <w:u w:val="single"/>
                    </w:rPr>
                  </w:pPr>
                  <w:r>
                    <w:rPr>
                      <w:color w:val="EE0000"/>
                      <w:u w:val="single"/>
                    </w:rPr>
                    <w:t>16</w:t>
                  </w:r>
                </w:p>
              </w:tc>
              <w:tc>
                <w:tcPr>
                  <w:tcW w:w="257" w:type="pct"/>
                  <w:vMerge w:val="continue"/>
                  <w:vAlign w:val="center"/>
                </w:tcPr>
                <w:p w14:paraId="43D7BB47">
                  <w:pPr>
                    <w:adjustRightInd w:val="0"/>
                    <w:snapToGrid w:val="0"/>
                    <w:spacing w:line="320" w:lineRule="exact"/>
                    <w:jc w:val="center"/>
                    <w:rPr>
                      <w:bCs/>
                      <w:color w:val="EE0000"/>
                      <w:u w:val="single"/>
                    </w:rPr>
                  </w:pPr>
                </w:p>
              </w:tc>
              <w:tc>
                <w:tcPr>
                  <w:tcW w:w="911" w:type="pct"/>
                  <w:vAlign w:val="center"/>
                </w:tcPr>
                <w:p w14:paraId="46386451">
                  <w:pPr>
                    <w:adjustRightInd w:val="0"/>
                    <w:snapToGrid w:val="0"/>
                    <w:spacing w:line="320" w:lineRule="exact"/>
                    <w:jc w:val="center"/>
                    <w:rPr>
                      <w:bCs/>
                      <w:color w:val="EE0000"/>
                      <w:u w:val="single"/>
                    </w:rPr>
                  </w:pPr>
                  <w:r>
                    <w:rPr>
                      <w:bCs/>
                      <w:color w:val="EE0000"/>
                      <w:u w:val="single"/>
                    </w:rPr>
                    <w:t>强力搅拌机</w:t>
                  </w:r>
                </w:p>
              </w:tc>
              <w:tc>
                <w:tcPr>
                  <w:tcW w:w="799" w:type="pct"/>
                  <w:vAlign w:val="center"/>
                </w:tcPr>
                <w:p w14:paraId="7C6D42E0">
                  <w:pPr>
                    <w:adjustRightInd w:val="0"/>
                    <w:snapToGrid w:val="0"/>
                    <w:spacing w:line="320" w:lineRule="exact"/>
                    <w:jc w:val="center"/>
                    <w:rPr>
                      <w:bCs/>
                      <w:color w:val="EE0000"/>
                      <w:u w:val="single"/>
                    </w:rPr>
                  </w:pPr>
                  <w:r>
                    <w:rPr>
                      <w:bCs/>
                      <w:color w:val="EE0000"/>
                      <w:u w:val="single"/>
                    </w:rPr>
                    <w:t>Pj400</w:t>
                  </w:r>
                </w:p>
              </w:tc>
              <w:tc>
                <w:tcPr>
                  <w:tcW w:w="448" w:type="pct"/>
                  <w:vAlign w:val="center"/>
                </w:tcPr>
                <w:p w14:paraId="06AB8836">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249F63B2">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64930567">
                  <w:pPr>
                    <w:adjustRightInd w:val="0"/>
                    <w:snapToGrid w:val="0"/>
                    <w:spacing w:line="320" w:lineRule="exact"/>
                    <w:jc w:val="center"/>
                    <w:rPr>
                      <w:b/>
                      <w:color w:val="EE0000"/>
                      <w:u w:val="single"/>
                    </w:rPr>
                  </w:pPr>
                  <w:r>
                    <w:rPr>
                      <w:bCs/>
                      <w:color w:val="EE0000"/>
                      <w:u w:val="single"/>
                    </w:rPr>
                    <w:t>60t/h·台</w:t>
                  </w:r>
                </w:p>
              </w:tc>
              <w:tc>
                <w:tcPr>
                  <w:tcW w:w="707" w:type="pct"/>
                  <w:vAlign w:val="center"/>
                </w:tcPr>
                <w:p w14:paraId="7D952467">
                  <w:pPr>
                    <w:adjustRightInd w:val="0"/>
                    <w:snapToGrid w:val="0"/>
                    <w:spacing w:line="320" w:lineRule="exact"/>
                    <w:jc w:val="center"/>
                    <w:rPr>
                      <w:bCs/>
                      <w:color w:val="EE0000"/>
                      <w:u w:val="single"/>
                    </w:rPr>
                  </w:pPr>
                  <w:r>
                    <w:rPr>
                      <w:bCs/>
                      <w:color w:val="EE0000"/>
                      <w:u w:val="single"/>
                    </w:rPr>
                    <w:t>316800t/a</w:t>
                  </w:r>
                </w:p>
              </w:tc>
            </w:tr>
            <w:tr w14:paraId="465D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3FB1504C">
                  <w:pPr>
                    <w:adjustRightInd w:val="0"/>
                    <w:snapToGrid w:val="0"/>
                    <w:spacing w:line="320" w:lineRule="exact"/>
                    <w:jc w:val="center"/>
                    <w:rPr>
                      <w:bCs/>
                      <w:color w:val="EE0000"/>
                      <w:u w:val="single"/>
                    </w:rPr>
                  </w:pPr>
                  <w:r>
                    <w:rPr>
                      <w:color w:val="EE0000"/>
                      <w:u w:val="single"/>
                    </w:rPr>
                    <w:t>17</w:t>
                  </w:r>
                </w:p>
              </w:tc>
              <w:tc>
                <w:tcPr>
                  <w:tcW w:w="257" w:type="pct"/>
                  <w:vMerge w:val="continue"/>
                  <w:vAlign w:val="center"/>
                </w:tcPr>
                <w:p w14:paraId="10625312">
                  <w:pPr>
                    <w:adjustRightInd w:val="0"/>
                    <w:snapToGrid w:val="0"/>
                    <w:spacing w:line="320" w:lineRule="exact"/>
                    <w:jc w:val="center"/>
                    <w:rPr>
                      <w:bCs/>
                      <w:color w:val="EE0000"/>
                      <w:u w:val="single"/>
                    </w:rPr>
                  </w:pPr>
                </w:p>
              </w:tc>
              <w:tc>
                <w:tcPr>
                  <w:tcW w:w="911" w:type="pct"/>
                  <w:vAlign w:val="center"/>
                </w:tcPr>
                <w:p w14:paraId="27199CC0">
                  <w:pPr>
                    <w:adjustRightInd w:val="0"/>
                    <w:snapToGrid w:val="0"/>
                    <w:spacing w:line="320" w:lineRule="exact"/>
                    <w:jc w:val="center"/>
                    <w:rPr>
                      <w:bCs/>
                      <w:color w:val="EE0000"/>
                      <w:u w:val="single"/>
                    </w:rPr>
                  </w:pPr>
                  <w:r>
                    <w:rPr>
                      <w:bCs/>
                      <w:color w:val="EE0000"/>
                      <w:u w:val="single"/>
                    </w:rPr>
                    <w:t>搅拌挤出机</w:t>
                  </w:r>
                </w:p>
              </w:tc>
              <w:tc>
                <w:tcPr>
                  <w:tcW w:w="799" w:type="pct"/>
                  <w:vAlign w:val="center"/>
                </w:tcPr>
                <w:p w14:paraId="1C9F48F8">
                  <w:pPr>
                    <w:adjustRightInd w:val="0"/>
                    <w:snapToGrid w:val="0"/>
                    <w:spacing w:line="320" w:lineRule="exact"/>
                    <w:jc w:val="center"/>
                    <w:rPr>
                      <w:bCs/>
                      <w:color w:val="EE0000"/>
                      <w:u w:val="single"/>
                    </w:rPr>
                  </w:pPr>
                  <w:r>
                    <w:rPr>
                      <w:bCs/>
                      <w:color w:val="EE0000"/>
                      <w:u w:val="single"/>
                    </w:rPr>
                    <w:t>DJJ300A</w:t>
                  </w:r>
                </w:p>
              </w:tc>
              <w:tc>
                <w:tcPr>
                  <w:tcW w:w="448" w:type="pct"/>
                  <w:vAlign w:val="center"/>
                </w:tcPr>
                <w:p w14:paraId="25BF160E">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1F371F93">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665FC002">
                  <w:pPr>
                    <w:adjustRightInd w:val="0"/>
                    <w:snapToGrid w:val="0"/>
                    <w:spacing w:line="320" w:lineRule="exact"/>
                    <w:jc w:val="center"/>
                    <w:rPr>
                      <w:bCs/>
                      <w:color w:val="EE0000"/>
                      <w:u w:val="single"/>
                    </w:rPr>
                  </w:pPr>
                  <w:r>
                    <w:rPr>
                      <w:bCs/>
                      <w:color w:val="EE0000"/>
                      <w:u w:val="single"/>
                    </w:rPr>
                    <w:t>60t/h·台</w:t>
                  </w:r>
                </w:p>
              </w:tc>
              <w:tc>
                <w:tcPr>
                  <w:tcW w:w="707" w:type="pct"/>
                  <w:vAlign w:val="center"/>
                </w:tcPr>
                <w:p w14:paraId="2EBDE743">
                  <w:pPr>
                    <w:adjustRightInd w:val="0"/>
                    <w:snapToGrid w:val="0"/>
                    <w:spacing w:line="320" w:lineRule="exact"/>
                    <w:jc w:val="center"/>
                    <w:rPr>
                      <w:bCs/>
                      <w:color w:val="EE0000"/>
                      <w:u w:val="single"/>
                    </w:rPr>
                  </w:pPr>
                  <w:r>
                    <w:rPr>
                      <w:bCs/>
                      <w:color w:val="EE0000"/>
                      <w:u w:val="single"/>
                    </w:rPr>
                    <w:t>316800t/a</w:t>
                  </w:r>
                </w:p>
              </w:tc>
            </w:tr>
            <w:tr w14:paraId="455C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142D5410">
                  <w:pPr>
                    <w:adjustRightInd w:val="0"/>
                    <w:snapToGrid w:val="0"/>
                    <w:spacing w:line="320" w:lineRule="exact"/>
                    <w:jc w:val="center"/>
                    <w:rPr>
                      <w:bCs/>
                      <w:color w:val="EE0000"/>
                      <w:u w:val="single"/>
                    </w:rPr>
                  </w:pPr>
                  <w:r>
                    <w:rPr>
                      <w:color w:val="EE0000"/>
                      <w:u w:val="single"/>
                    </w:rPr>
                    <w:t>18</w:t>
                  </w:r>
                </w:p>
              </w:tc>
              <w:tc>
                <w:tcPr>
                  <w:tcW w:w="257" w:type="pct"/>
                  <w:vMerge w:val="continue"/>
                  <w:vAlign w:val="center"/>
                </w:tcPr>
                <w:p w14:paraId="29FEAE13">
                  <w:pPr>
                    <w:adjustRightInd w:val="0"/>
                    <w:snapToGrid w:val="0"/>
                    <w:spacing w:line="320" w:lineRule="exact"/>
                    <w:jc w:val="center"/>
                    <w:rPr>
                      <w:bCs/>
                      <w:color w:val="EE0000"/>
                      <w:u w:val="single"/>
                    </w:rPr>
                  </w:pPr>
                </w:p>
              </w:tc>
              <w:tc>
                <w:tcPr>
                  <w:tcW w:w="911" w:type="pct"/>
                  <w:vAlign w:val="center"/>
                </w:tcPr>
                <w:p w14:paraId="2A68D496">
                  <w:pPr>
                    <w:adjustRightInd w:val="0"/>
                    <w:snapToGrid w:val="0"/>
                    <w:spacing w:line="320" w:lineRule="exact"/>
                    <w:jc w:val="center"/>
                    <w:rPr>
                      <w:bCs/>
                      <w:color w:val="EE0000"/>
                      <w:u w:val="single"/>
                    </w:rPr>
                  </w:pPr>
                  <w:r>
                    <w:rPr>
                      <w:bCs/>
                      <w:color w:val="EE0000"/>
                      <w:u w:val="single"/>
                    </w:rPr>
                    <w:t>真空挤砖机</w:t>
                  </w:r>
                </w:p>
              </w:tc>
              <w:tc>
                <w:tcPr>
                  <w:tcW w:w="799" w:type="pct"/>
                  <w:vAlign w:val="center"/>
                </w:tcPr>
                <w:p w14:paraId="12B0557D">
                  <w:pPr>
                    <w:adjustRightInd w:val="0"/>
                    <w:snapToGrid w:val="0"/>
                    <w:spacing w:line="320" w:lineRule="exact"/>
                    <w:jc w:val="center"/>
                    <w:rPr>
                      <w:bCs/>
                      <w:color w:val="EE0000"/>
                      <w:u w:val="single"/>
                    </w:rPr>
                  </w:pPr>
                  <w:r>
                    <w:rPr>
                      <w:bCs/>
                      <w:color w:val="EE0000"/>
                      <w:u w:val="single"/>
                    </w:rPr>
                    <w:t>JZK60Y-35</w:t>
                  </w:r>
                </w:p>
              </w:tc>
              <w:tc>
                <w:tcPr>
                  <w:tcW w:w="448" w:type="pct"/>
                  <w:vAlign w:val="center"/>
                </w:tcPr>
                <w:p w14:paraId="11CC4B78">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75589DF9">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363006B1">
                  <w:pPr>
                    <w:adjustRightInd w:val="0"/>
                    <w:snapToGrid w:val="0"/>
                    <w:spacing w:line="320" w:lineRule="exact"/>
                    <w:jc w:val="center"/>
                    <w:rPr>
                      <w:bCs/>
                      <w:color w:val="EE0000"/>
                      <w:u w:val="single"/>
                    </w:rPr>
                  </w:pPr>
                  <w:r>
                    <w:rPr>
                      <w:bCs/>
                      <w:color w:val="EE0000"/>
                      <w:u w:val="single"/>
                    </w:rPr>
                    <w:t>2.2万块标砖/h·台</w:t>
                  </w:r>
                </w:p>
              </w:tc>
              <w:tc>
                <w:tcPr>
                  <w:tcW w:w="707" w:type="pct"/>
                  <w:vAlign w:val="center"/>
                </w:tcPr>
                <w:p w14:paraId="6577F0C4">
                  <w:pPr>
                    <w:adjustRightInd w:val="0"/>
                    <w:snapToGrid w:val="0"/>
                    <w:spacing w:line="320" w:lineRule="exact"/>
                    <w:jc w:val="center"/>
                    <w:rPr>
                      <w:bCs/>
                      <w:color w:val="EE0000"/>
                      <w:u w:val="single"/>
                    </w:rPr>
                  </w:pPr>
                  <w:r>
                    <w:rPr>
                      <w:bCs/>
                      <w:color w:val="EE0000"/>
                      <w:u w:val="single"/>
                    </w:rPr>
                    <w:t>17424万块标砖/年</w:t>
                  </w:r>
                </w:p>
              </w:tc>
            </w:tr>
            <w:tr w14:paraId="4EAB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0716A713">
                  <w:pPr>
                    <w:adjustRightInd w:val="0"/>
                    <w:snapToGrid w:val="0"/>
                    <w:spacing w:line="320" w:lineRule="exact"/>
                    <w:jc w:val="center"/>
                    <w:rPr>
                      <w:bCs/>
                      <w:color w:val="EE0000"/>
                      <w:u w:val="single"/>
                    </w:rPr>
                  </w:pPr>
                  <w:r>
                    <w:rPr>
                      <w:color w:val="EE0000"/>
                      <w:u w:val="single"/>
                    </w:rPr>
                    <w:t>19</w:t>
                  </w:r>
                </w:p>
              </w:tc>
              <w:tc>
                <w:tcPr>
                  <w:tcW w:w="257" w:type="pct"/>
                  <w:vMerge w:val="continue"/>
                  <w:vAlign w:val="center"/>
                </w:tcPr>
                <w:p w14:paraId="0B143941">
                  <w:pPr>
                    <w:adjustRightInd w:val="0"/>
                    <w:snapToGrid w:val="0"/>
                    <w:spacing w:line="320" w:lineRule="exact"/>
                    <w:jc w:val="center"/>
                    <w:rPr>
                      <w:bCs/>
                      <w:color w:val="EE0000"/>
                      <w:u w:val="single"/>
                    </w:rPr>
                  </w:pPr>
                </w:p>
              </w:tc>
              <w:tc>
                <w:tcPr>
                  <w:tcW w:w="911" w:type="pct"/>
                  <w:vAlign w:val="center"/>
                </w:tcPr>
                <w:p w14:paraId="21E532AE">
                  <w:pPr>
                    <w:adjustRightInd w:val="0"/>
                    <w:snapToGrid w:val="0"/>
                    <w:spacing w:line="320" w:lineRule="exact"/>
                    <w:jc w:val="center"/>
                    <w:rPr>
                      <w:bCs/>
                      <w:color w:val="EE0000"/>
                      <w:u w:val="single"/>
                    </w:rPr>
                  </w:pPr>
                  <w:r>
                    <w:rPr>
                      <w:bCs/>
                      <w:color w:val="EE0000"/>
                      <w:u w:val="single"/>
                    </w:rPr>
                    <w:t>切坯机</w:t>
                  </w:r>
                </w:p>
              </w:tc>
              <w:tc>
                <w:tcPr>
                  <w:tcW w:w="799" w:type="pct"/>
                  <w:vAlign w:val="center"/>
                </w:tcPr>
                <w:p w14:paraId="70D5FC4C">
                  <w:pPr>
                    <w:adjustRightInd w:val="0"/>
                    <w:snapToGrid w:val="0"/>
                    <w:spacing w:line="320" w:lineRule="exact"/>
                    <w:jc w:val="center"/>
                    <w:rPr>
                      <w:bCs/>
                      <w:color w:val="EE0000"/>
                      <w:u w:val="single"/>
                    </w:rPr>
                  </w:pPr>
                  <w:r>
                    <w:rPr>
                      <w:bCs/>
                      <w:color w:val="EE0000"/>
                      <w:u w:val="single"/>
                    </w:rPr>
                    <w:t>/</w:t>
                  </w:r>
                </w:p>
              </w:tc>
              <w:tc>
                <w:tcPr>
                  <w:tcW w:w="448" w:type="pct"/>
                  <w:vAlign w:val="center"/>
                </w:tcPr>
                <w:p w14:paraId="5C3CED90">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25E0791C">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48CEBA41">
                  <w:pPr>
                    <w:adjustRightInd w:val="0"/>
                    <w:snapToGrid w:val="0"/>
                    <w:spacing w:line="320" w:lineRule="exact"/>
                    <w:jc w:val="center"/>
                    <w:rPr>
                      <w:bCs/>
                      <w:color w:val="EE0000"/>
                      <w:u w:val="single"/>
                    </w:rPr>
                  </w:pPr>
                  <w:r>
                    <w:rPr>
                      <w:bCs/>
                      <w:color w:val="EE0000"/>
                      <w:u w:val="single"/>
                    </w:rPr>
                    <w:t>2.2万块标砖/h·台</w:t>
                  </w:r>
                </w:p>
              </w:tc>
              <w:tc>
                <w:tcPr>
                  <w:tcW w:w="707" w:type="pct"/>
                  <w:vAlign w:val="center"/>
                </w:tcPr>
                <w:p w14:paraId="28729431">
                  <w:pPr>
                    <w:adjustRightInd w:val="0"/>
                    <w:snapToGrid w:val="0"/>
                    <w:spacing w:line="320" w:lineRule="exact"/>
                    <w:jc w:val="center"/>
                    <w:rPr>
                      <w:bCs/>
                      <w:color w:val="EE0000"/>
                      <w:u w:val="single"/>
                    </w:rPr>
                  </w:pPr>
                  <w:r>
                    <w:rPr>
                      <w:bCs/>
                      <w:color w:val="EE0000"/>
                      <w:u w:val="single"/>
                    </w:rPr>
                    <w:t>17424万块标砖/年</w:t>
                  </w:r>
                </w:p>
              </w:tc>
            </w:tr>
            <w:tr w14:paraId="44CD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327D6E79">
                  <w:pPr>
                    <w:adjustRightInd w:val="0"/>
                    <w:snapToGrid w:val="0"/>
                    <w:spacing w:line="320" w:lineRule="exact"/>
                    <w:jc w:val="center"/>
                    <w:rPr>
                      <w:bCs/>
                      <w:color w:val="EE0000"/>
                      <w:u w:val="single"/>
                    </w:rPr>
                  </w:pPr>
                  <w:r>
                    <w:rPr>
                      <w:color w:val="EE0000"/>
                      <w:u w:val="single"/>
                    </w:rPr>
                    <w:t>20</w:t>
                  </w:r>
                </w:p>
              </w:tc>
              <w:tc>
                <w:tcPr>
                  <w:tcW w:w="257" w:type="pct"/>
                  <w:vMerge w:val="continue"/>
                  <w:vAlign w:val="center"/>
                </w:tcPr>
                <w:p w14:paraId="1103DAA5">
                  <w:pPr>
                    <w:adjustRightInd w:val="0"/>
                    <w:snapToGrid w:val="0"/>
                    <w:spacing w:line="320" w:lineRule="exact"/>
                    <w:jc w:val="center"/>
                    <w:rPr>
                      <w:bCs/>
                      <w:color w:val="EE0000"/>
                      <w:u w:val="single"/>
                    </w:rPr>
                  </w:pPr>
                </w:p>
              </w:tc>
              <w:tc>
                <w:tcPr>
                  <w:tcW w:w="911" w:type="pct"/>
                  <w:vAlign w:val="center"/>
                </w:tcPr>
                <w:p w14:paraId="5BE7B8BE">
                  <w:pPr>
                    <w:adjustRightInd w:val="0"/>
                    <w:snapToGrid w:val="0"/>
                    <w:spacing w:line="320" w:lineRule="exact"/>
                    <w:jc w:val="center"/>
                    <w:rPr>
                      <w:bCs/>
                      <w:color w:val="EE0000"/>
                      <w:u w:val="single"/>
                    </w:rPr>
                  </w:pPr>
                  <w:r>
                    <w:rPr>
                      <w:bCs/>
                      <w:color w:val="EE0000"/>
                      <w:u w:val="single"/>
                    </w:rPr>
                    <w:t>自动码坯机</w:t>
                  </w:r>
                </w:p>
              </w:tc>
              <w:tc>
                <w:tcPr>
                  <w:tcW w:w="799" w:type="pct"/>
                  <w:vAlign w:val="center"/>
                </w:tcPr>
                <w:p w14:paraId="63A731D4">
                  <w:pPr>
                    <w:adjustRightInd w:val="0"/>
                    <w:snapToGrid w:val="0"/>
                    <w:spacing w:line="320" w:lineRule="exact"/>
                    <w:jc w:val="center"/>
                    <w:rPr>
                      <w:bCs/>
                      <w:color w:val="EE0000"/>
                      <w:u w:val="single"/>
                    </w:rPr>
                  </w:pPr>
                  <w:r>
                    <w:rPr>
                      <w:bCs/>
                      <w:color w:val="EE0000"/>
                      <w:u w:val="single"/>
                    </w:rPr>
                    <w:t>/</w:t>
                  </w:r>
                </w:p>
              </w:tc>
              <w:tc>
                <w:tcPr>
                  <w:tcW w:w="448" w:type="pct"/>
                  <w:vAlign w:val="center"/>
                </w:tcPr>
                <w:p w14:paraId="202F85EF">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31A3EF6A">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5EEE7B53">
                  <w:pPr>
                    <w:adjustRightInd w:val="0"/>
                    <w:snapToGrid w:val="0"/>
                    <w:spacing w:line="320" w:lineRule="exact"/>
                    <w:jc w:val="center"/>
                    <w:rPr>
                      <w:bCs/>
                      <w:color w:val="EE0000"/>
                      <w:u w:val="single"/>
                    </w:rPr>
                  </w:pPr>
                  <w:r>
                    <w:rPr>
                      <w:bCs/>
                      <w:color w:val="EE0000"/>
                      <w:u w:val="single"/>
                    </w:rPr>
                    <w:t xml:space="preserve">3万块标砖/h·台 </w:t>
                  </w:r>
                </w:p>
              </w:tc>
              <w:tc>
                <w:tcPr>
                  <w:tcW w:w="707" w:type="pct"/>
                  <w:vAlign w:val="center"/>
                </w:tcPr>
                <w:p w14:paraId="5A31D539">
                  <w:pPr>
                    <w:adjustRightInd w:val="0"/>
                    <w:snapToGrid w:val="0"/>
                    <w:spacing w:line="320" w:lineRule="exact"/>
                    <w:jc w:val="center"/>
                    <w:rPr>
                      <w:bCs/>
                      <w:color w:val="EE0000"/>
                      <w:u w:val="single"/>
                    </w:rPr>
                  </w:pPr>
                  <w:r>
                    <w:rPr>
                      <w:bCs/>
                      <w:color w:val="EE0000"/>
                      <w:u w:val="single"/>
                    </w:rPr>
                    <w:t>23760万块标砖/年</w:t>
                  </w:r>
                </w:p>
              </w:tc>
            </w:tr>
            <w:tr w14:paraId="1C5B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57" w:type="pct"/>
                  <w:vAlign w:val="center"/>
                </w:tcPr>
                <w:p w14:paraId="289B7571">
                  <w:pPr>
                    <w:adjustRightInd w:val="0"/>
                    <w:snapToGrid w:val="0"/>
                    <w:spacing w:line="320" w:lineRule="exact"/>
                    <w:jc w:val="center"/>
                    <w:rPr>
                      <w:bCs/>
                      <w:color w:val="EE0000"/>
                      <w:u w:val="single"/>
                    </w:rPr>
                  </w:pPr>
                  <w:r>
                    <w:rPr>
                      <w:color w:val="EE0000"/>
                      <w:u w:val="single"/>
                    </w:rPr>
                    <w:t>21</w:t>
                  </w:r>
                </w:p>
              </w:tc>
              <w:tc>
                <w:tcPr>
                  <w:tcW w:w="257" w:type="pct"/>
                  <w:vMerge w:val="continue"/>
                  <w:vAlign w:val="center"/>
                </w:tcPr>
                <w:p w14:paraId="6EF53DE6">
                  <w:pPr>
                    <w:adjustRightInd w:val="0"/>
                    <w:snapToGrid w:val="0"/>
                    <w:spacing w:line="320" w:lineRule="exact"/>
                    <w:jc w:val="center"/>
                    <w:rPr>
                      <w:bCs/>
                      <w:color w:val="EE0000"/>
                      <w:u w:val="single"/>
                    </w:rPr>
                  </w:pPr>
                </w:p>
              </w:tc>
              <w:tc>
                <w:tcPr>
                  <w:tcW w:w="911" w:type="pct"/>
                  <w:vAlign w:val="center"/>
                </w:tcPr>
                <w:p w14:paraId="51549631">
                  <w:pPr>
                    <w:adjustRightInd w:val="0"/>
                    <w:snapToGrid w:val="0"/>
                    <w:spacing w:line="320" w:lineRule="exact"/>
                    <w:jc w:val="center"/>
                    <w:rPr>
                      <w:bCs/>
                      <w:color w:val="EE0000"/>
                      <w:u w:val="single"/>
                    </w:rPr>
                  </w:pPr>
                  <w:r>
                    <w:rPr>
                      <w:bCs/>
                      <w:color w:val="EE0000"/>
                      <w:u w:val="single"/>
                    </w:rPr>
                    <w:t>皮带输送机</w:t>
                  </w:r>
                </w:p>
              </w:tc>
              <w:tc>
                <w:tcPr>
                  <w:tcW w:w="799" w:type="pct"/>
                  <w:vAlign w:val="center"/>
                </w:tcPr>
                <w:p w14:paraId="3512B689">
                  <w:pPr>
                    <w:adjustRightInd w:val="0"/>
                    <w:snapToGrid w:val="0"/>
                    <w:spacing w:line="320" w:lineRule="exact"/>
                    <w:jc w:val="center"/>
                    <w:rPr>
                      <w:bCs/>
                      <w:color w:val="EE0000"/>
                      <w:u w:val="single"/>
                    </w:rPr>
                  </w:pPr>
                  <w:r>
                    <w:rPr>
                      <w:bCs/>
                      <w:color w:val="EE0000"/>
                      <w:u w:val="single"/>
                    </w:rPr>
                    <w:t>/</w:t>
                  </w:r>
                </w:p>
              </w:tc>
              <w:tc>
                <w:tcPr>
                  <w:tcW w:w="448" w:type="pct"/>
                  <w:vAlign w:val="center"/>
                </w:tcPr>
                <w:p w14:paraId="29F16C5B">
                  <w:pPr>
                    <w:adjustRightInd w:val="0"/>
                    <w:snapToGrid w:val="0"/>
                    <w:spacing w:line="320" w:lineRule="exact"/>
                    <w:jc w:val="center"/>
                    <w:rPr>
                      <w:bCs/>
                      <w:color w:val="EE0000"/>
                      <w:u w:val="single"/>
                    </w:rPr>
                  </w:pPr>
                  <w:r>
                    <w:rPr>
                      <w:bCs/>
                      <w:color w:val="EE0000"/>
                      <w:u w:val="single"/>
                    </w:rPr>
                    <w:t>3台</w:t>
                  </w:r>
                </w:p>
              </w:tc>
              <w:tc>
                <w:tcPr>
                  <w:tcW w:w="959" w:type="pct"/>
                  <w:vAlign w:val="center"/>
                </w:tcPr>
                <w:p w14:paraId="0A150116">
                  <w:pPr>
                    <w:adjustRightInd w:val="0"/>
                    <w:snapToGrid w:val="0"/>
                    <w:spacing w:line="320" w:lineRule="exact"/>
                    <w:jc w:val="center"/>
                    <w:rPr>
                      <w:bCs/>
                      <w:color w:val="EE0000"/>
                      <w:u w:val="single"/>
                    </w:rPr>
                  </w:pPr>
                  <w:r>
                    <w:rPr>
                      <w:bCs/>
                      <w:color w:val="EE0000"/>
                      <w:u w:val="single"/>
                    </w:rPr>
                    <w:t>利用现有2台，新增1台</w:t>
                  </w:r>
                </w:p>
              </w:tc>
              <w:tc>
                <w:tcPr>
                  <w:tcW w:w="662" w:type="pct"/>
                  <w:vAlign w:val="center"/>
                </w:tcPr>
                <w:p w14:paraId="16201919">
                  <w:pPr>
                    <w:adjustRightInd w:val="0"/>
                    <w:snapToGrid w:val="0"/>
                    <w:spacing w:line="320" w:lineRule="exact"/>
                    <w:jc w:val="center"/>
                    <w:rPr>
                      <w:bCs/>
                      <w:color w:val="EE0000"/>
                      <w:u w:val="single"/>
                    </w:rPr>
                  </w:pPr>
                  <w:r>
                    <w:rPr>
                      <w:bCs/>
                      <w:color w:val="EE0000"/>
                      <w:u w:val="single"/>
                    </w:rPr>
                    <w:t>/</w:t>
                  </w:r>
                </w:p>
              </w:tc>
              <w:tc>
                <w:tcPr>
                  <w:tcW w:w="707" w:type="pct"/>
                  <w:vAlign w:val="center"/>
                </w:tcPr>
                <w:p w14:paraId="2DD69695">
                  <w:pPr>
                    <w:adjustRightInd w:val="0"/>
                    <w:snapToGrid w:val="0"/>
                    <w:spacing w:line="320" w:lineRule="exact"/>
                    <w:jc w:val="center"/>
                    <w:rPr>
                      <w:bCs/>
                      <w:color w:val="EE0000"/>
                      <w:u w:val="single"/>
                    </w:rPr>
                  </w:pPr>
                  <w:r>
                    <w:rPr>
                      <w:bCs/>
                      <w:color w:val="EE0000"/>
                      <w:u w:val="single"/>
                    </w:rPr>
                    <w:t>/</w:t>
                  </w:r>
                </w:p>
              </w:tc>
            </w:tr>
            <w:tr w14:paraId="7275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7" w:type="pct"/>
                  <w:vAlign w:val="center"/>
                </w:tcPr>
                <w:p w14:paraId="018E158A">
                  <w:pPr>
                    <w:adjustRightInd w:val="0"/>
                    <w:snapToGrid w:val="0"/>
                    <w:spacing w:line="320" w:lineRule="exact"/>
                    <w:jc w:val="center"/>
                    <w:rPr>
                      <w:bCs/>
                      <w:color w:val="EE0000"/>
                      <w:u w:val="single"/>
                    </w:rPr>
                  </w:pPr>
                  <w:r>
                    <w:rPr>
                      <w:color w:val="EE0000"/>
                      <w:u w:val="single"/>
                    </w:rPr>
                    <w:t>22</w:t>
                  </w:r>
                </w:p>
              </w:tc>
              <w:tc>
                <w:tcPr>
                  <w:tcW w:w="257" w:type="pct"/>
                  <w:vMerge w:val="restart"/>
                  <w:vAlign w:val="center"/>
                </w:tcPr>
                <w:p w14:paraId="42DD0B3A">
                  <w:pPr>
                    <w:adjustRightInd w:val="0"/>
                    <w:snapToGrid w:val="0"/>
                    <w:spacing w:line="320" w:lineRule="exact"/>
                    <w:jc w:val="center"/>
                    <w:rPr>
                      <w:bCs/>
                      <w:color w:val="EE0000"/>
                      <w:u w:val="single"/>
                    </w:rPr>
                  </w:pPr>
                  <w:r>
                    <w:rPr>
                      <w:bCs/>
                      <w:color w:val="EE0000"/>
                      <w:u w:val="single"/>
                    </w:rPr>
                    <w:t>焙烧车间</w:t>
                  </w:r>
                </w:p>
              </w:tc>
              <w:tc>
                <w:tcPr>
                  <w:tcW w:w="911" w:type="pct"/>
                  <w:vAlign w:val="center"/>
                </w:tcPr>
                <w:p w14:paraId="35047D79">
                  <w:pPr>
                    <w:adjustRightInd w:val="0"/>
                    <w:snapToGrid w:val="0"/>
                    <w:spacing w:line="320" w:lineRule="exact"/>
                    <w:jc w:val="center"/>
                    <w:rPr>
                      <w:bCs/>
                      <w:color w:val="EE0000"/>
                      <w:u w:val="single"/>
                    </w:rPr>
                  </w:pPr>
                  <w:r>
                    <w:rPr>
                      <w:bCs/>
                      <w:color w:val="EE0000"/>
                      <w:u w:val="single"/>
                    </w:rPr>
                    <w:t>干燥隧道窑</w:t>
                  </w:r>
                </w:p>
              </w:tc>
              <w:tc>
                <w:tcPr>
                  <w:tcW w:w="799" w:type="pct"/>
                  <w:vAlign w:val="center"/>
                </w:tcPr>
                <w:p w14:paraId="084E6241">
                  <w:pPr>
                    <w:adjustRightInd w:val="0"/>
                    <w:snapToGrid w:val="0"/>
                    <w:spacing w:line="320" w:lineRule="exact"/>
                    <w:jc w:val="center"/>
                    <w:rPr>
                      <w:bCs/>
                      <w:color w:val="EE0000"/>
                      <w:u w:val="single"/>
                    </w:rPr>
                  </w:pPr>
                  <w:r>
                    <w:rPr>
                      <w:bCs/>
                      <w:color w:val="EE0000"/>
                      <w:u w:val="single"/>
                    </w:rPr>
                    <w:t>74.5m×6.9m（内宽）×2.7m（内高）</w:t>
                  </w:r>
                </w:p>
              </w:tc>
              <w:tc>
                <w:tcPr>
                  <w:tcW w:w="448" w:type="pct"/>
                  <w:vAlign w:val="center"/>
                </w:tcPr>
                <w:p w14:paraId="421BFC2E">
                  <w:pPr>
                    <w:adjustRightInd w:val="0"/>
                    <w:snapToGrid w:val="0"/>
                    <w:spacing w:line="320" w:lineRule="exact"/>
                    <w:jc w:val="center"/>
                    <w:rPr>
                      <w:bCs/>
                      <w:color w:val="EE0000"/>
                      <w:u w:val="single"/>
                    </w:rPr>
                  </w:pPr>
                  <w:r>
                    <w:rPr>
                      <w:bCs/>
                      <w:color w:val="EE0000"/>
                      <w:u w:val="single"/>
                    </w:rPr>
                    <w:t>1条</w:t>
                  </w:r>
                </w:p>
              </w:tc>
              <w:tc>
                <w:tcPr>
                  <w:tcW w:w="959" w:type="pct"/>
                  <w:vAlign w:val="center"/>
                </w:tcPr>
                <w:p w14:paraId="7B3CB6AD">
                  <w:pPr>
                    <w:adjustRightInd w:val="0"/>
                    <w:snapToGrid w:val="0"/>
                    <w:spacing w:line="320" w:lineRule="exact"/>
                    <w:jc w:val="center"/>
                    <w:rPr>
                      <w:bCs/>
                      <w:color w:val="EE0000"/>
                      <w:u w:val="single"/>
                    </w:rPr>
                  </w:pPr>
                  <w:r>
                    <w:rPr>
                      <w:bCs/>
                      <w:color w:val="EE0000"/>
                      <w:u w:val="single"/>
                    </w:rPr>
                    <w:t>新增</w:t>
                  </w:r>
                </w:p>
              </w:tc>
              <w:tc>
                <w:tcPr>
                  <w:tcW w:w="662" w:type="pct"/>
                  <w:vAlign w:val="center"/>
                </w:tcPr>
                <w:p w14:paraId="1DBB1C11">
                  <w:pPr>
                    <w:adjustRightInd w:val="0"/>
                    <w:snapToGrid w:val="0"/>
                    <w:spacing w:line="320" w:lineRule="exact"/>
                    <w:jc w:val="center"/>
                    <w:rPr>
                      <w:bCs/>
                      <w:color w:val="EE0000"/>
                      <w:u w:val="single"/>
                    </w:rPr>
                  </w:pPr>
                  <w:r>
                    <w:rPr>
                      <w:bCs/>
                      <w:color w:val="EE0000"/>
                      <w:u w:val="single"/>
                    </w:rPr>
                    <w:t>372552块标砖/天</w:t>
                  </w:r>
                </w:p>
              </w:tc>
              <w:tc>
                <w:tcPr>
                  <w:tcW w:w="707" w:type="pct"/>
                  <w:vAlign w:val="center"/>
                </w:tcPr>
                <w:p w14:paraId="46A63CC3">
                  <w:pPr>
                    <w:adjustRightInd w:val="0"/>
                    <w:snapToGrid w:val="0"/>
                    <w:spacing w:line="320" w:lineRule="exact"/>
                    <w:jc w:val="center"/>
                    <w:rPr>
                      <w:bCs/>
                      <w:color w:val="EE0000"/>
                      <w:u w:val="single"/>
                    </w:rPr>
                  </w:pPr>
                  <w:r>
                    <w:rPr>
                      <w:bCs/>
                      <w:color w:val="EE0000"/>
                      <w:u w:val="single"/>
                    </w:rPr>
                    <w:t>122942160块标砖/年</w:t>
                  </w:r>
                </w:p>
              </w:tc>
            </w:tr>
            <w:tr w14:paraId="6F2C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57" w:type="pct"/>
                  <w:vAlign w:val="center"/>
                </w:tcPr>
                <w:p w14:paraId="310612B3">
                  <w:pPr>
                    <w:adjustRightInd w:val="0"/>
                    <w:snapToGrid w:val="0"/>
                    <w:spacing w:line="320" w:lineRule="exact"/>
                    <w:jc w:val="center"/>
                    <w:rPr>
                      <w:bCs/>
                      <w:color w:val="EE0000"/>
                      <w:u w:val="single"/>
                    </w:rPr>
                  </w:pPr>
                  <w:r>
                    <w:rPr>
                      <w:color w:val="EE0000"/>
                      <w:u w:val="single"/>
                    </w:rPr>
                    <w:t>23</w:t>
                  </w:r>
                </w:p>
              </w:tc>
              <w:tc>
                <w:tcPr>
                  <w:tcW w:w="257" w:type="pct"/>
                  <w:vMerge w:val="continue"/>
                  <w:vAlign w:val="center"/>
                </w:tcPr>
                <w:p w14:paraId="5108331F">
                  <w:pPr>
                    <w:adjustRightInd w:val="0"/>
                    <w:snapToGrid w:val="0"/>
                    <w:spacing w:line="320" w:lineRule="exact"/>
                    <w:jc w:val="center"/>
                    <w:rPr>
                      <w:bCs/>
                      <w:color w:val="EE0000"/>
                      <w:u w:val="single"/>
                    </w:rPr>
                  </w:pPr>
                </w:p>
              </w:tc>
              <w:tc>
                <w:tcPr>
                  <w:tcW w:w="911" w:type="pct"/>
                  <w:vAlign w:val="center"/>
                </w:tcPr>
                <w:p w14:paraId="429DFAC9">
                  <w:pPr>
                    <w:adjustRightInd w:val="0"/>
                    <w:snapToGrid w:val="0"/>
                    <w:spacing w:line="320" w:lineRule="exact"/>
                    <w:jc w:val="center"/>
                    <w:rPr>
                      <w:bCs/>
                      <w:color w:val="EE0000"/>
                      <w:u w:val="single"/>
                    </w:rPr>
                  </w:pPr>
                  <w:r>
                    <w:rPr>
                      <w:bCs/>
                      <w:color w:val="EE0000"/>
                      <w:u w:val="single"/>
                    </w:rPr>
                    <w:t>干燥窑顶车机</w:t>
                  </w:r>
                </w:p>
              </w:tc>
              <w:tc>
                <w:tcPr>
                  <w:tcW w:w="799" w:type="pct"/>
                  <w:vAlign w:val="center"/>
                </w:tcPr>
                <w:p w14:paraId="41AAD8A5">
                  <w:pPr>
                    <w:adjustRightInd w:val="0"/>
                    <w:snapToGrid w:val="0"/>
                    <w:spacing w:line="320" w:lineRule="exact"/>
                    <w:jc w:val="center"/>
                    <w:rPr>
                      <w:bCs/>
                      <w:color w:val="EE0000"/>
                      <w:u w:val="single"/>
                    </w:rPr>
                  </w:pPr>
                  <w:r>
                    <w:rPr>
                      <w:bCs/>
                      <w:color w:val="EE0000"/>
                      <w:u w:val="single"/>
                    </w:rPr>
                    <w:t>YBS-30-16</w:t>
                  </w:r>
                </w:p>
              </w:tc>
              <w:tc>
                <w:tcPr>
                  <w:tcW w:w="448" w:type="pct"/>
                  <w:vAlign w:val="center"/>
                </w:tcPr>
                <w:p w14:paraId="524613CC">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1D7E0E14">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14706264">
                  <w:pPr>
                    <w:adjustRightInd w:val="0"/>
                    <w:snapToGrid w:val="0"/>
                    <w:spacing w:line="320" w:lineRule="exact"/>
                    <w:jc w:val="center"/>
                    <w:rPr>
                      <w:bCs/>
                      <w:color w:val="EE0000"/>
                      <w:u w:val="single"/>
                    </w:rPr>
                  </w:pPr>
                  <w:r>
                    <w:rPr>
                      <w:bCs/>
                      <w:color w:val="EE0000"/>
                      <w:u w:val="single"/>
                    </w:rPr>
                    <w:t>/</w:t>
                  </w:r>
                </w:p>
              </w:tc>
              <w:tc>
                <w:tcPr>
                  <w:tcW w:w="707" w:type="pct"/>
                  <w:vAlign w:val="center"/>
                </w:tcPr>
                <w:p w14:paraId="65725B7D">
                  <w:pPr>
                    <w:adjustRightInd w:val="0"/>
                    <w:snapToGrid w:val="0"/>
                    <w:spacing w:line="320" w:lineRule="exact"/>
                    <w:jc w:val="center"/>
                    <w:rPr>
                      <w:bCs/>
                      <w:color w:val="EE0000"/>
                      <w:u w:val="single"/>
                    </w:rPr>
                  </w:pPr>
                  <w:r>
                    <w:rPr>
                      <w:bCs/>
                      <w:color w:val="EE0000"/>
                      <w:u w:val="single"/>
                    </w:rPr>
                    <w:t>/</w:t>
                  </w:r>
                </w:p>
              </w:tc>
            </w:tr>
            <w:tr w14:paraId="162D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217D3C34">
                  <w:pPr>
                    <w:adjustRightInd w:val="0"/>
                    <w:snapToGrid w:val="0"/>
                    <w:spacing w:line="320" w:lineRule="exact"/>
                    <w:jc w:val="center"/>
                    <w:rPr>
                      <w:bCs/>
                      <w:color w:val="EE0000"/>
                      <w:u w:val="single"/>
                    </w:rPr>
                  </w:pPr>
                  <w:r>
                    <w:rPr>
                      <w:color w:val="EE0000"/>
                      <w:u w:val="single"/>
                    </w:rPr>
                    <w:t>24</w:t>
                  </w:r>
                </w:p>
              </w:tc>
              <w:tc>
                <w:tcPr>
                  <w:tcW w:w="257" w:type="pct"/>
                  <w:vMerge w:val="continue"/>
                  <w:vAlign w:val="center"/>
                </w:tcPr>
                <w:p w14:paraId="5C7B6989">
                  <w:pPr>
                    <w:adjustRightInd w:val="0"/>
                    <w:snapToGrid w:val="0"/>
                    <w:spacing w:line="320" w:lineRule="exact"/>
                    <w:jc w:val="center"/>
                    <w:rPr>
                      <w:bCs/>
                      <w:color w:val="EE0000"/>
                      <w:u w:val="single"/>
                    </w:rPr>
                  </w:pPr>
                </w:p>
              </w:tc>
              <w:tc>
                <w:tcPr>
                  <w:tcW w:w="911" w:type="pct"/>
                  <w:vAlign w:val="center"/>
                </w:tcPr>
                <w:p w14:paraId="058C9406">
                  <w:pPr>
                    <w:adjustRightInd w:val="0"/>
                    <w:snapToGrid w:val="0"/>
                    <w:spacing w:line="320" w:lineRule="exact"/>
                    <w:jc w:val="center"/>
                    <w:rPr>
                      <w:bCs/>
                      <w:color w:val="EE0000"/>
                      <w:u w:val="single"/>
                    </w:rPr>
                  </w:pPr>
                  <w:r>
                    <w:rPr>
                      <w:bCs/>
                      <w:color w:val="EE0000"/>
                      <w:spacing w:val="-10"/>
                      <w:u w:val="single"/>
                    </w:rPr>
                    <w:t>干燥窑出口拉引机</w:t>
                  </w:r>
                </w:p>
              </w:tc>
              <w:tc>
                <w:tcPr>
                  <w:tcW w:w="799" w:type="pct"/>
                  <w:vAlign w:val="center"/>
                </w:tcPr>
                <w:p w14:paraId="7D176931">
                  <w:pPr>
                    <w:adjustRightInd w:val="0"/>
                    <w:snapToGrid w:val="0"/>
                    <w:spacing w:line="320" w:lineRule="exact"/>
                    <w:jc w:val="center"/>
                    <w:rPr>
                      <w:bCs/>
                      <w:color w:val="EE0000"/>
                      <w:u w:val="single"/>
                    </w:rPr>
                  </w:pPr>
                  <w:r>
                    <w:rPr>
                      <w:bCs/>
                      <w:color w:val="EE0000"/>
                      <w:u w:val="single"/>
                    </w:rPr>
                    <w:t>LYS-40</w:t>
                  </w:r>
                </w:p>
              </w:tc>
              <w:tc>
                <w:tcPr>
                  <w:tcW w:w="448" w:type="pct"/>
                  <w:vAlign w:val="center"/>
                </w:tcPr>
                <w:p w14:paraId="062B73CA">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6E78541E">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36298EB6">
                  <w:pPr>
                    <w:adjustRightInd w:val="0"/>
                    <w:snapToGrid w:val="0"/>
                    <w:spacing w:line="320" w:lineRule="exact"/>
                    <w:jc w:val="center"/>
                    <w:rPr>
                      <w:bCs/>
                      <w:color w:val="EE0000"/>
                      <w:u w:val="single"/>
                    </w:rPr>
                  </w:pPr>
                  <w:r>
                    <w:rPr>
                      <w:bCs/>
                      <w:color w:val="EE0000"/>
                      <w:u w:val="single"/>
                    </w:rPr>
                    <w:t>/</w:t>
                  </w:r>
                </w:p>
              </w:tc>
              <w:tc>
                <w:tcPr>
                  <w:tcW w:w="707" w:type="pct"/>
                  <w:vAlign w:val="center"/>
                </w:tcPr>
                <w:p w14:paraId="4C05D0F1">
                  <w:pPr>
                    <w:adjustRightInd w:val="0"/>
                    <w:snapToGrid w:val="0"/>
                    <w:spacing w:line="320" w:lineRule="exact"/>
                    <w:jc w:val="center"/>
                    <w:rPr>
                      <w:bCs/>
                      <w:color w:val="EE0000"/>
                      <w:u w:val="single"/>
                    </w:rPr>
                  </w:pPr>
                  <w:r>
                    <w:rPr>
                      <w:bCs/>
                      <w:color w:val="EE0000"/>
                      <w:u w:val="single"/>
                    </w:rPr>
                    <w:t>/</w:t>
                  </w:r>
                </w:p>
              </w:tc>
            </w:tr>
            <w:tr w14:paraId="7E4F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57" w:type="pct"/>
                  <w:vAlign w:val="center"/>
                </w:tcPr>
                <w:p w14:paraId="6CD7EBAD">
                  <w:pPr>
                    <w:adjustRightInd w:val="0"/>
                    <w:snapToGrid w:val="0"/>
                    <w:spacing w:line="320" w:lineRule="exact"/>
                    <w:jc w:val="center"/>
                    <w:rPr>
                      <w:bCs/>
                      <w:color w:val="EE0000"/>
                      <w:u w:val="single"/>
                    </w:rPr>
                  </w:pPr>
                  <w:r>
                    <w:rPr>
                      <w:color w:val="EE0000"/>
                      <w:u w:val="single"/>
                    </w:rPr>
                    <w:t>25</w:t>
                  </w:r>
                </w:p>
              </w:tc>
              <w:tc>
                <w:tcPr>
                  <w:tcW w:w="257" w:type="pct"/>
                  <w:vMerge w:val="continue"/>
                  <w:vAlign w:val="center"/>
                </w:tcPr>
                <w:p w14:paraId="32794921">
                  <w:pPr>
                    <w:adjustRightInd w:val="0"/>
                    <w:snapToGrid w:val="0"/>
                    <w:spacing w:line="320" w:lineRule="exact"/>
                    <w:jc w:val="center"/>
                    <w:rPr>
                      <w:bCs/>
                      <w:color w:val="EE0000"/>
                      <w:u w:val="single"/>
                    </w:rPr>
                  </w:pPr>
                </w:p>
              </w:tc>
              <w:tc>
                <w:tcPr>
                  <w:tcW w:w="911" w:type="pct"/>
                  <w:vAlign w:val="center"/>
                </w:tcPr>
                <w:p w14:paraId="71F7456F">
                  <w:pPr>
                    <w:adjustRightInd w:val="0"/>
                    <w:snapToGrid w:val="0"/>
                    <w:spacing w:line="320" w:lineRule="exact"/>
                    <w:jc w:val="center"/>
                    <w:rPr>
                      <w:bCs/>
                      <w:color w:val="EE0000"/>
                      <w:u w:val="single"/>
                    </w:rPr>
                  </w:pPr>
                  <w:r>
                    <w:rPr>
                      <w:bCs/>
                      <w:color w:val="EE0000"/>
                      <w:u w:val="single"/>
                    </w:rPr>
                    <w:t>焙烧隧道窑</w:t>
                  </w:r>
                </w:p>
              </w:tc>
              <w:tc>
                <w:tcPr>
                  <w:tcW w:w="799" w:type="pct"/>
                  <w:vAlign w:val="center"/>
                </w:tcPr>
                <w:p w14:paraId="362FBA59">
                  <w:pPr>
                    <w:adjustRightInd w:val="0"/>
                    <w:snapToGrid w:val="0"/>
                    <w:spacing w:line="320" w:lineRule="exact"/>
                    <w:jc w:val="center"/>
                    <w:rPr>
                      <w:bCs/>
                      <w:color w:val="EE0000"/>
                      <w:u w:val="single"/>
                    </w:rPr>
                  </w:pPr>
                  <w:r>
                    <w:rPr>
                      <w:bCs/>
                      <w:color w:val="EE0000"/>
                      <w:u w:val="single"/>
                    </w:rPr>
                    <w:t>156m×6.9m（内宽）×2.65m（内高）</w:t>
                  </w:r>
                </w:p>
              </w:tc>
              <w:tc>
                <w:tcPr>
                  <w:tcW w:w="448" w:type="pct"/>
                  <w:vAlign w:val="center"/>
                </w:tcPr>
                <w:p w14:paraId="600CA818">
                  <w:pPr>
                    <w:adjustRightInd w:val="0"/>
                    <w:snapToGrid w:val="0"/>
                    <w:spacing w:line="320" w:lineRule="exact"/>
                    <w:jc w:val="center"/>
                    <w:rPr>
                      <w:bCs/>
                      <w:color w:val="EE0000"/>
                      <w:u w:val="single"/>
                    </w:rPr>
                  </w:pPr>
                  <w:r>
                    <w:rPr>
                      <w:bCs/>
                      <w:color w:val="EE0000"/>
                      <w:u w:val="single"/>
                    </w:rPr>
                    <w:t>1条</w:t>
                  </w:r>
                </w:p>
              </w:tc>
              <w:tc>
                <w:tcPr>
                  <w:tcW w:w="959" w:type="pct"/>
                  <w:vAlign w:val="center"/>
                </w:tcPr>
                <w:p w14:paraId="42FE253B">
                  <w:pPr>
                    <w:adjustRightInd w:val="0"/>
                    <w:snapToGrid w:val="0"/>
                    <w:spacing w:line="320" w:lineRule="exact"/>
                    <w:jc w:val="center"/>
                    <w:rPr>
                      <w:bCs/>
                      <w:color w:val="EE0000"/>
                      <w:u w:val="single"/>
                    </w:rPr>
                  </w:pPr>
                  <w:r>
                    <w:rPr>
                      <w:bCs/>
                      <w:color w:val="EE0000"/>
                      <w:u w:val="single"/>
                    </w:rPr>
                    <w:t>新增</w:t>
                  </w:r>
                </w:p>
              </w:tc>
              <w:tc>
                <w:tcPr>
                  <w:tcW w:w="662" w:type="pct"/>
                  <w:vAlign w:val="center"/>
                </w:tcPr>
                <w:p w14:paraId="12769975">
                  <w:pPr>
                    <w:adjustRightInd w:val="0"/>
                    <w:snapToGrid w:val="0"/>
                    <w:spacing w:line="320" w:lineRule="exact"/>
                    <w:jc w:val="center"/>
                    <w:rPr>
                      <w:bCs/>
                      <w:color w:val="EE0000"/>
                      <w:u w:val="single"/>
                    </w:rPr>
                  </w:pPr>
                  <w:r>
                    <w:rPr>
                      <w:bCs/>
                      <w:color w:val="EE0000"/>
                      <w:u w:val="single"/>
                    </w:rPr>
                    <w:t>372552万块标砖/天</w:t>
                  </w:r>
                </w:p>
              </w:tc>
              <w:tc>
                <w:tcPr>
                  <w:tcW w:w="707" w:type="pct"/>
                  <w:vAlign w:val="center"/>
                </w:tcPr>
                <w:p w14:paraId="609990A9">
                  <w:pPr>
                    <w:adjustRightInd w:val="0"/>
                    <w:snapToGrid w:val="0"/>
                    <w:spacing w:line="320" w:lineRule="exact"/>
                    <w:jc w:val="center"/>
                    <w:rPr>
                      <w:bCs/>
                      <w:color w:val="EE0000"/>
                      <w:u w:val="single"/>
                    </w:rPr>
                  </w:pPr>
                  <w:r>
                    <w:rPr>
                      <w:bCs/>
                      <w:color w:val="EE0000"/>
                      <w:u w:val="single"/>
                    </w:rPr>
                    <w:t>122942160块标砖/年</w:t>
                  </w:r>
                </w:p>
              </w:tc>
            </w:tr>
            <w:tr w14:paraId="2DBD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4CA65FE5">
                  <w:pPr>
                    <w:adjustRightInd w:val="0"/>
                    <w:snapToGrid w:val="0"/>
                    <w:spacing w:line="320" w:lineRule="exact"/>
                    <w:jc w:val="center"/>
                    <w:rPr>
                      <w:bCs/>
                      <w:color w:val="EE0000"/>
                      <w:u w:val="single"/>
                    </w:rPr>
                  </w:pPr>
                  <w:r>
                    <w:rPr>
                      <w:color w:val="EE0000"/>
                      <w:u w:val="single"/>
                    </w:rPr>
                    <w:t>26</w:t>
                  </w:r>
                </w:p>
              </w:tc>
              <w:tc>
                <w:tcPr>
                  <w:tcW w:w="257" w:type="pct"/>
                  <w:vMerge w:val="continue"/>
                  <w:vAlign w:val="center"/>
                </w:tcPr>
                <w:p w14:paraId="25B9C436">
                  <w:pPr>
                    <w:adjustRightInd w:val="0"/>
                    <w:snapToGrid w:val="0"/>
                    <w:spacing w:line="320" w:lineRule="exact"/>
                    <w:jc w:val="center"/>
                    <w:rPr>
                      <w:bCs/>
                      <w:color w:val="EE0000"/>
                      <w:u w:val="single"/>
                    </w:rPr>
                  </w:pPr>
                </w:p>
              </w:tc>
              <w:tc>
                <w:tcPr>
                  <w:tcW w:w="911" w:type="pct"/>
                  <w:vAlign w:val="center"/>
                </w:tcPr>
                <w:p w14:paraId="62A9144C">
                  <w:pPr>
                    <w:adjustRightInd w:val="0"/>
                    <w:snapToGrid w:val="0"/>
                    <w:spacing w:line="320" w:lineRule="exact"/>
                    <w:jc w:val="center"/>
                    <w:rPr>
                      <w:bCs/>
                      <w:color w:val="EE0000"/>
                      <w:u w:val="single"/>
                    </w:rPr>
                  </w:pPr>
                  <w:r>
                    <w:rPr>
                      <w:bCs/>
                      <w:color w:val="EE0000"/>
                      <w:u w:val="single"/>
                    </w:rPr>
                    <w:t>摆渡车</w:t>
                  </w:r>
                </w:p>
              </w:tc>
              <w:tc>
                <w:tcPr>
                  <w:tcW w:w="799" w:type="pct"/>
                  <w:vAlign w:val="center"/>
                </w:tcPr>
                <w:p w14:paraId="0B7C88CB">
                  <w:pPr>
                    <w:adjustRightInd w:val="0"/>
                    <w:snapToGrid w:val="0"/>
                    <w:spacing w:line="320" w:lineRule="exact"/>
                    <w:jc w:val="center"/>
                    <w:rPr>
                      <w:bCs/>
                      <w:color w:val="EE0000"/>
                      <w:u w:val="single"/>
                    </w:rPr>
                  </w:pPr>
                  <w:r>
                    <w:rPr>
                      <w:bCs/>
                      <w:color w:val="EE0000"/>
                      <w:u w:val="single"/>
                    </w:rPr>
                    <w:t>BDC69</w:t>
                  </w:r>
                </w:p>
              </w:tc>
              <w:tc>
                <w:tcPr>
                  <w:tcW w:w="448" w:type="pct"/>
                  <w:vAlign w:val="center"/>
                </w:tcPr>
                <w:p w14:paraId="43989DC6">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002348B8">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278CF8A6">
                  <w:pPr>
                    <w:adjustRightInd w:val="0"/>
                    <w:snapToGrid w:val="0"/>
                    <w:spacing w:line="320" w:lineRule="exact"/>
                    <w:jc w:val="center"/>
                    <w:rPr>
                      <w:bCs/>
                      <w:color w:val="EE0000"/>
                      <w:u w:val="single"/>
                    </w:rPr>
                  </w:pPr>
                  <w:r>
                    <w:rPr>
                      <w:bCs/>
                      <w:color w:val="EE0000"/>
                      <w:u w:val="single"/>
                    </w:rPr>
                    <w:t>/</w:t>
                  </w:r>
                </w:p>
              </w:tc>
              <w:tc>
                <w:tcPr>
                  <w:tcW w:w="707" w:type="pct"/>
                  <w:vAlign w:val="center"/>
                </w:tcPr>
                <w:p w14:paraId="50E9A073">
                  <w:pPr>
                    <w:adjustRightInd w:val="0"/>
                    <w:snapToGrid w:val="0"/>
                    <w:spacing w:line="320" w:lineRule="exact"/>
                    <w:jc w:val="center"/>
                    <w:rPr>
                      <w:bCs/>
                      <w:color w:val="FF0000"/>
                      <w:u w:val="single"/>
                    </w:rPr>
                  </w:pPr>
                  <w:r>
                    <w:rPr>
                      <w:color w:val="FF0000"/>
                      <w:u w:val="single"/>
                    </w:rPr>
                    <w:t>/</w:t>
                  </w:r>
                </w:p>
              </w:tc>
            </w:tr>
            <w:tr w14:paraId="3111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5281B4BF">
                  <w:pPr>
                    <w:adjustRightInd w:val="0"/>
                    <w:snapToGrid w:val="0"/>
                    <w:spacing w:line="320" w:lineRule="exact"/>
                    <w:jc w:val="center"/>
                    <w:rPr>
                      <w:bCs/>
                      <w:color w:val="EE0000"/>
                      <w:u w:val="single"/>
                    </w:rPr>
                  </w:pPr>
                  <w:r>
                    <w:rPr>
                      <w:color w:val="EE0000"/>
                      <w:u w:val="single"/>
                    </w:rPr>
                    <w:t>27</w:t>
                  </w:r>
                </w:p>
              </w:tc>
              <w:tc>
                <w:tcPr>
                  <w:tcW w:w="257" w:type="pct"/>
                  <w:vMerge w:val="continue"/>
                  <w:vAlign w:val="center"/>
                </w:tcPr>
                <w:p w14:paraId="54FFDD4D">
                  <w:pPr>
                    <w:adjustRightInd w:val="0"/>
                    <w:snapToGrid w:val="0"/>
                    <w:spacing w:line="320" w:lineRule="exact"/>
                    <w:jc w:val="center"/>
                    <w:rPr>
                      <w:bCs/>
                      <w:color w:val="EE0000"/>
                      <w:u w:val="single"/>
                    </w:rPr>
                  </w:pPr>
                </w:p>
              </w:tc>
              <w:tc>
                <w:tcPr>
                  <w:tcW w:w="911" w:type="pct"/>
                  <w:vAlign w:val="center"/>
                </w:tcPr>
                <w:p w14:paraId="76D9AB9C">
                  <w:pPr>
                    <w:adjustRightInd w:val="0"/>
                    <w:snapToGrid w:val="0"/>
                    <w:spacing w:line="320" w:lineRule="exact"/>
                    <w:jc w:val="center"/>
                    <w:rPr>
                      <w:bCs/>
                      <w:color w:val="EE0000"/>
                      <w:spacing w:val="-10"/>
                      <w:u w:val="single"/>
                    </w:rPr>
                  </w:pPr>
                  <w:r>
                    <w:rPr>
                      <w:bCs/>
                      <w:color w:val="EE0000"/>
                      <w:spacing w:val="-10"/>
                      <w:u w:val="single"/>
                    </w:rPr>
                    <w:t>焙烧窑出口拉引机</w:t>
                  </w:r>
                </w:p>
              </w:tc>
              <w:tc>
                <w:tcPr>
                  <w:tcW w:w="799" w:type="pct"/>
                  <w:vAlign w:val="center"/>
                </w:tcPr>
                <w:p w14:paraId="17997B4E">
                  <w:pPr>
                    <w:adjustRightInd w:val="0"/>
                    <w:snapToGrid w:val="0"/>
                    <w:spacing w:line="320" w:lineRule="exact"/>
                    <w:jc w:val="center"/>
                    <w:rPr>
                      <w:bCs/>
                      <w:color w:val="EE0000"/>
                      <w:u w:val="single"/>
                    </w:rPr>
                  </w:pPr>
                  <w:r>
                    <w:rPr>
                      <w:bCs/>
                      <w:color w:val="EE0000"/>
                      <w:u w:val="single"/>
                    </w:rPr>
                    <w:t>LYS-40</w:t>
                  </w:r>
                </w:p>
              </w:tc>
              <w:tc>
                <w:tcPr>
                  <w:tcW w:w="448" w:type="pct"/>
                  <w:vAlign w:val="center"/>
                </w:tcPr>
                <w:p w14:paraId="761C2E15">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510E8794">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393831FA">
                  <w:pPr>
                    <w:adjustRightInd w:val="0"/>
                    <w:snapToGrid w:val="0"/>
                    <w:spacing w:line="320" w:lineRule="exact"/>
                    <w:jc w:val="center"/>
                    <w:rPr>
                      <w:bCs/>
                      <w:color w:val="EE0000"/>
                      <w:u w:val="single"/>
                    </w:rPr>
                  </w:pPr>
                  <w:r>
                    <w:rPr>
                      <w:bCs/>
                      <w:color w:val="EE0000"/>
                      <w:u w:val="single"/>
                    </w:rPr>
                    <w:t>/</w:t>
                  </w:r>
                </w:p>
              </w:tc>
              <w:tc>
                <w:tcPr>
                  <w:tcW w:w="707" w:type="pct"/>
                  <w:vAlign w:val="center"/>
                </w:tcPr>
                <w:p w14:paraId="3220D829">
                  <w:pPr>
                    <w:adjustRightInd w:val="0"/>
                    <w:snapToGrid w:val="0"/>
                    <w:spacing w:line="320" w:lineRule="exact"/>
                    <w:jc w:val="center"/>
                    <w:rPr>
                      <w:bCs/>
                      <w:color w:val="FF0000"/>
                      <w:u w:val="single"/>
                    </w:rPr>
                  </w:pPr>
                  <w:r>
                    <w:rPr>
                      <w:color w:val="FF0000"/>
                      <w:u w:val="single"/>
                    </w:rPr>
                    <w:t>/</w:t>
                  </w:r>
                </w:p>
              </w:tc>
            </w:tr>
            <w:tr w14:paraId="5295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0563E337">
                  <w:pPr>
                    <w:adjustRightInd w:val="0"/>
                    <w:snapToGrid w:val="0"/>
                    <w:spacing w:line="320" w:lineRule="exact"/>
                    <w:jc w:val="center"/>
                    <w:rPr>
                      <w:bCs/>
                      <w:color w:val="EE0000"/>
                      <w:u w:val="single"/>
                    </w:rPr>
                  </w:pPr>
                  <w:r>
                    <w:rPr>
                      <w:color w:val="EE0000"/>
                      <w:u w:val="single"/>
                    </w:rPr>
                    <w:t>28</w:t>
                  </w:r>
                </w:p>
              </w:tc>
              <w:tc>
                <w:tcPr>
                  <w:tcW w:w="257" w:type="pct"/>
                  <w:vMerge w:val="continue"/>
                  <w:vAlign w:val="center"/>
                </w:tcPr>
                <w:p w14:paraId="6410689B">
                  <w:pPr>
                    <w:adjustRightInd w:val="0"/>
                    <w:snapToGrid w:val="0"/>
                    <w:spacing w:line="320" w:lineRule="exact"/>
                    <w:jc w:val="center"/>
                    <w:rPr>
                      <w:bCs/>
                      <w:color w:val="EE0000"/>
                      <w:u w:val="single"/>
                    </w:rPr>
                  </w:pPr>
                </w:p>
              </w:tc>
              <w:tc>
                <w:tcPr>
                  <w:tcW w:w="911" w:type="pct"/>
                  <w:vAlign w:val="center"/>
                </w:tcPr>
                <w:p w14:paraId="6489E1EA">
                  <w:pPr>
                    <w:adjustRightInd w:val="0"/>
                    <w:snapToGrid w:val="0"/>
                    <w:spacing w:line="320" w:lineRule="exact"/>
                    <w:jc w:val="center"/>
                    <w:rPr>
                      <w:bCs/>
                      <w:color w:val="EE0000"/>
                      <w:u w:val="single"/>
                    </w:rPr>
                  </w:pPr>
                  <w:r>
                    <w:rPr>
                      <w:bCs/>
                      <w:color w:val="EE0000"/>
                      <w:u w:val="single"/>
                    </w:rPr>
                    <w:t>步进机</w:t>
                  </w:r>
                </w:p>
              </w:tc>
              <w:tc>
                <w:tcPr>
                  <w:tcW w:w="799" w:type="pct"/>
                  <w:vAlign w:val="center"/>
                </w:tcPr>
                <w:p w14:paraId="18ACC585">
                  <w:pPr>
                    <w:adjustRightInd w:val="0"/>
                    <w:snapToGrid w:val="0"/>
                    <w:spacing w:line="320" w:lineRule="exact"/>
                    <w:jc w:val="center"/>
                    <w:rPr>
                      <w:bCs/>
                      <w:color w:val="EE0000"/>
                      <w:u w:val="single"/>
                    </w:rPr>
                  </w:pPr>
                  <w:r>
                    <w:rPr>
                      <w:bCs/>
                      <w:color w:val="EE0000"/>
                      <w:u w:val="single"/>
                    </w:rPr>
                    <w:t>YBS-30-16</w:t>
                  </w:r>
                </w:p>
              </w:tc>
              <w:tc>
                <w:tcPr>
                  <w:tcW w:w="448" w:type="pct"/>
                  <w:vAlign w:val="center"/>
                </w:tcPr>
                <w:p w14:paraId="37224E4B">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3F70C7B3">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6CA9ED4A">
                  <w:pPr>
                    <w:adjustRightInd w:val="0"/>
                    <w:snapToGrid w:val="0"/>
                    <w:spacing w:line="320" w:lineRule="exact"/>
                    <w:jc w:val="center"/>
                    <w:rPr>
                      <w:bCs/>
                      <w:color w:val="EE0000"/>
                      <w:u w:val="single"/>
                    </w:rPr>
                  </w:pPr>
                  <w:r>
                    <w:rPr>
                      <w:bCs/>
                      <w:color w:val="EE0000"/>
                      <w:u w:val="single"/>
                    </w:rPr>
                    <w:t>/</w:t>
                  </w:r>
                </w:p>
              </w:tc>
              <w:tc>
                <w:tcPr>
                  <w:tcW w:w="707" w:type="pct"/>
                  <w:vAlign w:val="center"/>
                </w:tcPr>
                <w:p w14:paraId="3A2257F5">
                  <w:pPr>
                    <w:adjustRightInd w:val="0"/>
                    <w:snapToGrid w:val="0"/>
                    <w:spacing w:line="320" w:lineRule="exact"/>
                    <w:jc w:val="center"/>
                    <w:rPr>
                      <w:bCs/>
                      <w:color w:val="FF0000"/>
                      <w:u w:val="single"/>
                    </w:rPr>
                  </w:pPr>
                  <w:r>
                    <w:rPr>
                      <w:color w:val="FF0000"/>
                      <w:u w:val="single"/>
                    </w:rPr>
                    <w:t>/</w:t>
                  </w:r>
                </w:p>
              </w:tc>
            </w:tr>
            <w:tr w14:paraId="4A0F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3D3ECBFB">
                  <w:pPr>
                    <w:adjustRightInd w:val="0"/>
                    <w:snapToGrid w:val="0"/>
                    <w:spacing w:line="320" w:lineRule="exact"/>
                    <w:jc w:val="center"/>
                    <w:rPr>
                      <w:bCs/>
                      <w:color w:val="EE0000"/>
                      <w:u w:val="single"/>
                    </w:rPr>
                  </w:pPr>
                  <w:r>
                    <w:rPr>
                      <w:color w:val="EE0000"/>
                      <w:u w:val="single"/>
                    </w:rPr>
                    <w:t>29</w:t>
                  </w:r>
                </w:p>
              </w:tc>
              <w:tc>
                <w:tcPr>
                  <w:tcW w:w="257" w:type="pct"/>
                  <w:vMerge w:val="continue"/>
                  <w:vAlign w:val="center"/>
                </w:tcPr>
                <w:p w14:paraId="2D2433DA">
                  <w:pPr>
                    <w:adjustRightInd w:val="0"/>
                    <w:snapToGrid w:val="0"/>
                    <w:spacing w:line="320" w:lineRule="exact"/>
                    <w:jc w:val="center"/>
                    <w:rPr>
                      <w:bCs/>
                      <w:color w:val="EE0000"/>
                      <w:u w:val="single"/>
                    </w:rPr>
                  </w:pPr>
                </w:p>
              </w:tc>
              <w:tc>
                <w:tcPr>
                  <w:tcW w:w="911" w:type="pct"/>
                  <w:vAlign w:val="center"/>
                </w:tcPr>
                <w:p w14:paraId="60E5F99A">
                  <w:pPr>
                    <w:adjustRightInd w:val="0"/>
                    <w:snapToGrid w:val="0"/>
                    <w:spacing w:line="320" w:lineRule="exact"/>
                    <w:jc w:val="center"/>
                    <w:rPr>
                      <w:bCs/>
                      <w:color w:val="EE0000"/>
                      <w:u w:val="single"/>
                    </w:rPr>
                  </w:pPr>
                  <w:r>
                    <w:rPr>
                      <w:bCs/>
                      <w:color w:val="EE0000"/>
                      <w:u w:val="single"/>
                    </w:rPr>
                    <w:t>焙烧窑顶车机</w:t>
                  </w:r>
                </w:p>
              </w:tc>
              <w:tc>
                <w:tcPr>
                  <w:tcW w:w="799" w:type="pct"/>
                  <w:vAlign w:val="center"/>
                </w:tcPr>
                <w:p w14:paraId="71A566C1">
                  <w:pPr>
                    <w:adjustRightInd w:val="0"/>
                    <w:snapToGrid w:val="0"/>
                    <w:spacing w:line="320" w:lineRule="exact"/>
                    <w:jc w:val="center"/>
                    <w:rPr>
                      <w:bCs/>
                      <w:color w:val="EE0000"/>
                      <w:u w:val="single"/>
                    </w:rPr>
                  </w:pPr>
                  <w:r>
                    <w:rPr>
                      <w:bCs/>
                      <w:color w:val="EE0000"/>
                      <w:u w:val="single"/>
                    </w:rPr>
                    <w:t>YDS-70-15</w:t>
                  </w:r>
                </w:p>
              </w:tc>
              <w:tc>
                <w:tcPr>
                  <w:tcW w:w="448" w:type="pct"/>
                  <w:vAlign w:val="center"/>
                </w:tcPr>
                <w:p w14:paraId="7163E3D6">
                  <w:pPr>
                    <w:adjustRightInd w:val="0"/>
                    <w:snapToGrid w:val="0"/>
                    <w:spacing w:line="320" w:lineRule="exact"/>
                    <w:jc w:val="center"/>
                    <w:rPr>
                      <w:bCs/>
                      <w:color w:val="EE0000"/>
                      <w:u w:val="single"/>
                    </w:rPr>
                  </w:pPr>
                  <w:r>
                    <w:rPr>
                      <w:bCs/>
                      <w:color w:val="EE0000"/>
                      <w:u w:val="single"/>
                    </w:rPr>
                    <w:t>1台</w:t>
                  </w:r>
                </w:p>
              </w:tc>
              <w:tc>
                <w:tcPr>
                  <w:tcW w:w="959" w:type="pct"/>
                  <w:vAlign w:val="center"/>
                </w:tcPr>
                <w:p w14:paraId="65E4C4D9">
                  <w:pPr>
                    <w:adjustRightInd w:val="0"/>
                    <w:snapToGrid w:val="0"/>
                    <w:spacing w:line="320" w:lineRule="exact"/>
                    <w:jc w:val="center"/>
                    <w:rPr>
                      <w:bCs/>
                      <w:color w:val="EE0000"/>
                      <w:u w:val="single"/>
                    </w:rPr>
                  </w:pPr>
                  <w:r>
                    <w:rPr>
                      <w:bCs/>
                      <w:color w:val="EE0000"/>
                      <w:u w:val="single"/>
                    </w:rPr>
                    <w:t>利用现有</w:t>
                  </w:r>
                </w:p>
              </w:tc>
              <w:tc>
                <w:tcPr>
                  <w:tcW w:w="662" w:type="pct"/>
                  <w:vAlign w:val="center"/>
                </w:tcPr>
                <w:p w14:paraId="1AD8B932">
                  <w:pPr>
                    <w:adjustRightInd w:val="0"/>
                    <w:snapToGrid w:val="0"/>
                    <w:spacing w:line="320" w:lineRule="exact"/>
                    <w:jc w:val="center"/>
                    <w:rPr>
                      <w:bCs/>
                      <w:color w:val="EE0000"/>
                      <w:u w:val="single"/>
                    </w:rPr>
                  </w:pPr>
                  <w:r>
                    <w:rPr>
                      <w:bCs/>
                      <w:color w:val="EE0000"/>
                      <w:u w:val="single"/>
                    </w:rPr>
                    <w:t>/</w:t>
                  </w:r>
                </w:p>
              </w:tc>
              <w:tc>
                <w:tcPr>
                  <w:tcW w:w="707" w:type="pct"/>
                  <w:vAlign w:val="center"/>
                </w:tcPr>
                <w:p w14:paraId="20286DF9">
                  <w:pPr>
                    <w:adjustRightInd w:val="0"/>
                    <w:snapToGrid w:val="0"/>
                    <w:spacing w:line="320" w:lineRule="exact"/>
                    <w:jc w:val="center"/>
                    <w:rPr>
                      <w:bCs/>
                      <w:color w:val="FF0000"/>
                      <w:u w:val="single"/>
                    </w:rPr>
                  </w:pPr>
                  <w:r>
                    <w:rPr>
                      <w:color w:val="FF0000"/>
                      <w:u w:val="single"/>
                    </w:rPr>
                    <w:t>/</w:t>
                  </w:r>
                </w:p>
              </w:tc>
            </w:tr>
          </w:tbl>
          <w:p w14:paraId="548158CC">
            <w:pPr>
              <w:adjustRightInd w:val="0"/>
              <w:snapToGrid w:val="0"/>
              <w:spacing w:line="520" w:lineRule="exact"/>
              <w:ind w:firstLine="482" w:firstLineChars="200"/>
              <w:rPr>
                <w:b/>
                <w:color w:val="EE0000"/>
                <w:sz w:val="24"/>
                <w:u w:val="single"/>
              </w:rPr>
            </w:pPr>
            <w:r>
              <w:rPr>
                <w:b/>
                <w:color w:val="EE0000"/>
                <w:sz w:val="24"/>
                <w:u w:val="single"/>
              </w:rPr>
              <w:t>破碎、混料车间产能核算：</w:t>
            </w:r>
            <w:r>
              <w:rPr>
                <w:bCs/>
                <w:color w:val="EE0000"/>
                <w:sz w:val="24"/>
                <w:u w:val="single"/>
              </w:rPr>
              <w:t>本次改建新增双级破碎机和滚筒筛，改建完成后破碎、混料车间共1台锤式破碎机、1台双级破碎机、2台滚筒筛，破碎、混料车间设计工作时间5280h，运营期满负荷生产情况下，锤式破碎机最多可处理42.24万吨物料/年，滚筒筛最多可处理42.24万吨物料/年，双级破碎机仅破碎未通过滚筒筛粗粒径返料，最多可处理15.84万吨物料/年，双轴搅拌机最多可处理31.68万吨物料/年。本项目煤矸石、建筑垃圾用量总计24.9万吨/年，经锤式破碎后未通过滚筒筛返回双级破碎机破碎的物料量约为7.47万吨/年，一次搅拌工序加水后的物料量约为27.98万吨/年，破碎、筛分、搅拌等设备可满足项目生产需求。</w:t>
            </w:r>
          </w:p>
          <w:p w14:paraId="6C8465C1">
            <w:pPr>
              <w:adjustRightInd w:val="0"/>
              <w:snapToGrid w:val="0"/>
              <w:spacing w:line="520" w:lineRule="exact"/>
              <w:ind w:firstLine="482" w:firstLineChars="200"/>
              <w:rPr>
                <w:b/>
                <w:color w:val="EE0000"/>
                <w:sz w:val="24"/>
                <w:u w:val="single"/>
              </w:rPr>
            </w:pPr>
            <w:r>
              <w:rPr>
                <w:b/>
                <w:color w:val="EE0000"/>
                <w:sz w:val="24"/>
                <w:u w:val="single"/>
              </w:rPr>
              <w:t>陈化库产能核算：</w:t>
            </w:r>
            <w:r>
              <w:rPr>
                <w:bCs/>
                <w:color w:val="EE0000"/>
                <w:sz w:val="24"/>
                <w:u w:val="single"/>
              </w:rPr>
              <w:t>项目</w:t>
            </w:r>
            <w:r>
              <w:rPr>
                <w:color w:val="EE0000"/>
                <w:sz w:val="24"/>
                <w:u w:val="single"/>
              </w:rPr>
              <w:t>经破碎、筛分、加水一次搅拌后陈化物料量约为27.98万吨/年，</w:t>
            </w:r>
            <w:r>
              <w:rPr>
                <w:bCs/>
                <w:color w:val="EE0000"/>
                <w:sz w:val="24"/>
                <w:u w:val="single"/>
              </w:rPr>
              <w:t>根据上文分析，</w:t>
            </w:r>
            <w:r>
              <w:rPr>
                <w:color w:val="EE0000"/>
                <w:sz w:val="24"/>
                <w:u w:val="single"/>
              </w:rPr>
              <w:t>项目陈化库可陈化物料量约为108.9万吨/年，</w:t>
            </w:r>
            <w:r>
              <w:rPr>
                <w:bCs/>
                <w:color w:val="EE0000"/>
                <w:sz w:val="24"/>
                <w:u w:val="single"/>
              </w:rPr>
              <w:t>陈化库内多斗挖掘机、强力搅拌机、给料机等最多可处理31.68万吨物料/年，可满足项目生产需求。</w:t>
            </w:r>
          </w:p>
          <w:p w14:paraId="6D2CFDE2">
            <w:pPr>
              <w:adjustRightInd w:val="0"/>
              <w:snapToGrid w:val="0"/>
              <w:spacing w:line="520" w:lineRule="exact"/>
              <w:ind w:firstLine="482" w:firstLineChars="200"/>
              <w:rPr>
                <w:bCs/>
                <w:color w:val="EE0000"/>
                <w:sz w:val="24"/>
                <w:u w:val="single"/>
              </w:rPr>
            </w:pPr>
            <w:r>
              <w:rPr>
                <w:b/>
                <w:color w:val="EE0000"/>
                <w:sz w:val="24"/>
                <w:u w:val="single"/>
              </w:rPr>
              <w:t>成型车间产能核算：</w:t>
            </w:r>
            <w:r>
              <w:rPr>
                <w:bCs/>
                <w:color w:val="EE0000"/>
                <w:sz w:val="24"/>
                <w:u w:val="single"/>
              </w:rPr>
              <w:t>本次技改完成后成型车间工作时间7920h/a，运营期满负荷生产情况下，真空挤砖机最多可生产17424万块标砖（湿坯）/年，切坯机最多可生产17424万块标砖（湿坯）/年，自动码坯机最多可生产23760万块标砖（湿坯）/年，可满足项目生产需求。</w:t>
            </w:r>
          </w:p>
          <w:p w14:paraId="21C37928">
            <w:pPr>
              <w:adjustRightInd w:val="0"/>
              <w:snapToGrid w:val="0"/>
              <w:spacing w:line="520" w:lineRule="exact"/>
              <w:ind w:firstLine="482" w:firstLineChars="200"/>
              <w:rPr>
                <w:b/>
                <w:color w:val="EE0000"/>
                <w:sz w:val="24"/>
                <w:u w:val="single"/>
              </w:rPr>
            </w:pPr>
            <w:r>
              <w:rPr>
                <w:b/>
                <w:color w:val="EE0000"/>
                <w:sz w:val="24"/>
                <w:u w:val="single"/>
              </w:rPr>
              <w:t>焙烧车间产能核算：</w:t>
            </w:r>
            <w:r>
              <w:rPr>
                <w:bCs/>
                <w:color w:val="EE0000"/>
                <w:sz w:val="24"/>
                <w:u w:val="single"/>
              </w:rPr>
              <w:t>项目拆除现有干燥窑、焙烧窑，重建一条长74.5m、内宽6.9m、内高2.7m的干燥窑，一条长156m、内宽6.9m、内高2.65m的焙烧窑，该种窑炉规格下，窑车码坯量为15523块折标砖/车，每1小时出一车砖坯，则窑炉生产能力为372552块折标砖/天、122942160块折标砖/年，可满足全厂年产1.2亿块折标砖的生产需求。</w:t>
            </w:r>
          </w:p>
          <w:p w14:paraId="523E9096">
            <w:pPr>
              <w:adjustRightInd w:val="0"/>
              <w:snapToGrid w:val="0"/>
              <w:spacing w:line="520" w:lineRule="exact"/>
              <w:rPr>
                <w:rFonts w:eastAsia="黑体"/>
                <w:sz w:val="24"/>
              </w:rPr>
            </w:pPr>
            <w:r>
              <w:rPr>
                <w:rFonts w:eastAsia="黑体"/>
                <w:sz w:val="24"/>
              </w:rPr>
              <w:t>7、公用工程</w:t>
            </w:r>
          </w:p>
          <w:p w14:paraId="453DA142">
            <w:pPr>
              <w:adjustRightInd w:val="0"/>
              <w:snapToGrid w:val="0"/>
              <w:spacing w:line="520" w:lineRule="exact"/>
              <w:ind w:firstLine="480" w:firstLineChars="200"/>
              <w:rPr>
                <w:bCs/>
                <w:sz w:val="24"/>
              </w:rPr>
            </w:pPr>
            <w:r>
              <w:rPr>
                <w:bCs/>
                <w:sz w:val="24"/>
              </w:rPr>
              <w:t>（1）给排水</w:t>
            </w:r>
          </w:p>
          <w:p w14:paraId="363F8E83">
            <w:pPr>
              <w:adjustRightInd w:val="0"/>
              <w:snapToGrid w:val="0"/>
              <w:spacing w:line="520" w:lineRule="exact"/>
              <w:ind w:firstLine="480" w:firstLineChars="200"/>
              <w:rPr>
                <w:bCs/>
                <w:sz w:val="24"/>
              </w:rPr>
            </w:pPr>
            <w:r>
              <w:rPr>
                <w:bCs/>
                <w:sz w:val="24"/>
              </w:rPr>
              <w:t>项目用水主要为生活用水、制砖用水、车间抑尘用水、道路抑尘用水、车辆冲洗用水、湿电除尘用水、脱硫系统用水、脱硝系统用水。其中制砖用水、车间抑尘用水、道路抑尘用水、脱硝系统用水进入物料或蒸发，不产生废水，项目废水主要为生活污水、车辆冲洗废水、湿电除尘废水、脱硫系统废水。</w:t>
            </w:r>
          </w:p>
          <w:p w14:paraId="081A0ED5">
            <w:pPr>
              <w:adjustRightInd w:val="0"/>
              <w:snapToGrid w:val="0"/>
              <w:spacing w:line="500" w:lineRule="exact"/>
              <w:ind w:firstLine="480" w:firstLineChars="200"/>
              <w:rPr>
                <w:bCs/>
                <w:sz w:val="24"/>
              </w:rPr>
            </w:pPr>
            <w:r>
              <w:rPr>
                <w:bCs/>
                <w:sz w:val="24"/>
              </w:rPr>
              <w:fldChar w:fldCharType="begin"/>
            </w:r>
            <w:r>
              <w:rPr>
                <w:bCs/>
                <w:sz w:val="24"/>
              </w:rPr>
              <w:instrText xml:space="preserve">= 1 \* GB3</w:instrText>
            </w:r>
            <w:r>
              <w:rPr>
                <w:bCs/>
                <w:sz w:val="24"/>
              </w:rPr>
              <w:fldChar w:fldCharType="separate"/>
            </w:r>
            <w:r>
              <w:rPr>
                <w:rFonts w:ascii="Cambria Math" w:hAnsi="Cambria Math" w:cs="Cambria Math"/>
                <w:bCs/>
                <w:sz w:val="24"/>
              </w:rPr>
              <w:t>①</w:t>
            </w:r>
            <w:r>
              <w:rPr>
                <w:bCs/>
                <w:sz w:val="24"/>
              </w:rPr>
              <w:fldChar w:fldCharType="end"/>
            </w:r>
            <w:r>
              <w:rPr>
                <w:bCs/>
                <w:sz w:val="24"/>
              </w:rPr>
              <w:t>生活用水及排水</w:t>
            </w:r>
          </w:p>
          <w:p w14:paraId="0E2058F1">
            <w:pPr>
              <w:spacing w:line="500" w:lineRule="exact"/>
              <w:ind w:firstLine="480" w:firstLineChars="200"/>
              <w:rPr>
                <w:bCs/>
                <w:sz w:val="24"/>
                <w:lang w:bidi="ar"/>
              </w:rPr>
            </w:pPr>
            <w:r>
              <w:rPr>
                <w:bCs/>
                <w:sz w:val="24"/>
              </w:rPr>
              <w:t>项目劳动定员60人，年工作330d，每天3班，在厂区食宿。</w:t>
            </w:r>
            <w:r>
              <w:rPr>
                <w:bCs/>
                <w:sz w:val="24"/>
                <w:lang w:bidi="ar"/>
              </w:rPr>
              <w:t>参考《河南省地方标准-工业与城镇生活用水定额》（DB41T385-2020），生活用水按60L/（人•d）计算，则生活用水量为3.6m</w:t>
            </w:r>
            <w:r>
              <w:rPr>
                <w:bCs/>
                <w:sz w:val="24"/>
                <w:vertAlign w:val="superscript"/>
                <w:lang w:bidi="ar"/>
              </w:rPr>
              <w:t>3</w:t>
            </w:r>
            <w:r>
              <w:rPr>
                <w:bCs/>
                <w:sz w:val="24"/>
                <w:lang w:bidi="ar"/>
              </w:rPr>
              <w:t>/d，1188m</w:t>
            </w:r>
            <w:r>
              <w:rPr>
                <w:bCs/>
                <w:sz w:val="24"/>
                <w:vertAlign w:val="superscript"/>
                <w:lang w:bidi="ar"/>
              </w:rPr>
              <w:t>3</w:t>
            </w:r>
            <w:r>
              <w:rPr>
                <w:bCs/>
                <w:sz w:val="24"/>
                <w:lang w:bidi="ar"/>
              </w:rPr>
              <w:t>/a。产污系数按照0.8核算，则员工生活污水产生量为2.88m</w:t>
            </w:r>
            <w:r>
              <w:rPr>
                <w:bCs/>
                <w:sz w:val="24"/>
                <w:vertAlign w:val="superscript"/>
                <w:lang w:bidi="ar"/>
              </w:rPr>
              <w:t>3</w:t>
            </w:r>
            <w:r>
              <w:rPr>
                <w:bCs/>
                <w:sz w:val="24"/>
                <w:lang w:bidi="ar"/>
              </w:rPr>
              <w:t>/d，其中食堂污水为0.48m</w:t>
            </w:r>
            <w:r>
              <w:rPr>
                <w:bCs/>
                <w:sz w:val="24"/>
                <w:vertAlign w:val="superscript"/>
                <w:lang w:bidi="ar"/>
              </w:rPr>
              <w:t>3</w:t>
            </w:r>
            <w:r>
              <w:rPr>
                <w:bCs/>
                <w:sz w:val="24"/>
                <w:lang w:bidi="ar"/>
              </w:rPr>
              <w:t>/d，其他生活污水2.4m</w:t>
            </w:r>
            <w:r>
              <w:rPr>
                <w:bCs/>
                <w:sz w:val="24"/>
                <w:vertAlign w:val="superscript"/>
                <w:lang w:bidi="ar"/>
              </w:rPr>
              <w:t>3</w:t>
            </w:r>
            <w:r>
              <w:rPr>
                <w:bCs/>
                <w:sz w:val="24"/>
                <w:lang w:bidi="ar"/>
              </w:rPr>
              <w:t>/d。食堂污水经一座10m</w:t>
            </w:r>
            <w:r>
              <w:rPr>
                <w:bCs/>
                <w:sz w:val="24"/>
                <w:vertAlign w:val="superscript"/>
                <w:lang w:bidi="ar"/>
              </w:rPr>
              <w:t>3</w:t>
            </w:r>
            <w:r>
              <w:rPr>
                <w:bCs/>
                <w:sz w:val="24"/>
                <w:lang w:bidi="ar"/>
              </w:rPr>
              <w:t>隔油池处理后与其他生活污水共同进入一座50m</w:t>
            </w:r>
            <w:r>
              <w:rPr>
                <w:bCs/>
                <w:sz w:val="24"/>
                <w:vertAlign w:val="superscript"/>
                <w:lang w:bidi="ar"/>
              </w:rPr>
              <w:t>3</w:t>
            </w:r>
            <w:r>
              <w:rPr>
                <w:bCs/>
                <w:sz w:val="24"/>
                <w:lang w:bidi="ar"/>
              </w:rPr>
              <w:t>的化粪池处理，定期清掏肥田不外排。</w:t>
            </w:r>
          </w:p>
          <w:p w14:paraId="3F9A00F2">
            <w:pPr>
              <w:adjustRightInd w:val="0"/>
              <w:snapToGrid w:val="0"/>
              <w:spacing w:line="500" w:lineRule="exact"/>
              <w:ind w:firstLine="480" w:firstLineChars="200"/>
              <w:rPr>
                <w:bCs/>
                <w:sz w:val="24"/>
              </w:rPr>
            </w:pPr>
            <w:r>
              <w:rPr>
                <w:bCs/>
                <w:sz w:val="24"/>
              </w:rPr>
              <w:fldChar w:fldCharType="begin"/>
            </w:r>
            <w:r>
              <w:rPr>
                <w:bCs/>
                <w:sz w:val="24"/>
              </w:rPr>
              <w:instrText xml:space="preserve">= 2 \* GB3</w:instrText>
            </w:r>
            <w:r>
              <w:rPr>
                <w:bCs/>
                <w:sz w:val="24"/>
              </w:rPr>
              <w:fldChar w:fldCharType="separate"/>
            </w:r>
            <w:r>
              <w:rPr>
                <w:rFonts w:ascii="Cambria Math" w:hAnsi="Cambria Math" w:cs="Cambria Math"/>
                <w:bCs/>
                <w:sz w:val="24"/>
              </w:rPr>
              <w:t>②</w:t>
            </w:r>
            <w:r>
              <w:rPr>
                <w:bCs/>
                <w:sz w:val="24"/>
              </w:rPr>
              <w:fldChar w:fldCharType="end"/>
            </w:r>
            <w:r>
              <w:rPr>
                <w:bCs/>
                <w:sz w:val="24"/>
              </w:rPr>
              <w:t>制砖用水</w:t>
            </w:r>
          </w:p>
          <w:p w14:paraId="7C2E41A6">
            <w:pPr>
              <w:adjustRightInd w:val="0"/>
              <w:snapToGrid w:val="0"/>
              <w:spacing w:line="500" w:lineRule="exact"/>
              <w:ind w:firstLine="480" w:firstLineChars="200"/>
              <w:rPr>
                <w:color w:val="EE0000"/>
                <w:sz w:val="24"/>
                <w:u w:val="single"/>
              </w:rPr>
            </w:pPr>
            <w:r>
              <w:rPr>
                <w:color w:val="EE0000"/>
                <w:sz w:val="24"/>
                <w:u w:val="single"/>
              </w:rPr>
              <w:t>项目原料煤矸石、建筑垃圾含水率约5%，污泥含水率约54.3%，煤矸石用量20.7万t/a、建筑垃圾用量4.2万t/a、污泥用量1.5万t/a，</w:t>
            </w:r>
          </w:p>
          <w:p w14:paraId="12232CF7">
            <w:pPr>
              <w:adjustRightInd w:val="0"/>
              <w:snapToGrid w:val="0"/>
              <w:spacing w:line="500" w:lineRule="exact"/>
              <w:ind w:firstLine="480" w:firstLineChars="200"/>
              <w:rPr>
                <w:sz w:val="24"/>
              </w:rPr>
            </w:pPr>
            <w:r>
              <w:rPr>
                <w:color w:val="EE0000"/>
                <w:sz w:val="24"/>
                <w:u w:val="single"/>
              </w:rPr>
              <w:t>制砖前需要加水使物料达到适宜挤出的塑性状态，该状态含水率约控制在15%，去除原料本身的含水率，经核算另须添加水量为22441m</w:t>
            </w:r>
            <w:r>
              <w:rPr>
                <w:color w:val="EE0000"/>
                <w:sz w:val="24"/>
                <w:u w:val="single"/>
                <w:vertAlign w:val="superscript"/>
              </w:rPr>
              <w:t>3</w:t>
            </w:r>
            <w:r>
              <w:rPr>
                <w:color w:val="EE0000"/>
                <w:sz w:val="24"/>
                <w:u w:val="single"/>
              </w:rPr>
              <w:t>/a、68m</w:t>
            </w:r>
            <w:r>
              <w:rPr>
                <w:color w:val="EE0000"/>
                <w:sz w:val="24"/>
                <w:u w:val="single"/>
                <w:vertAlign w:val="superscript"/>
              </w:rPr>
              <w:t>3</w:t>
            </w:r>
            <w:r>
              <w:rPr>
                <w:color w:val="EE0000"/>
                <w:sz w:val="24"/>
                <w:u w:val="single"/>
              </w:rPr>
              <w:t>/d，其中原料库、陈化库抑尘添加水10m</w:t>
            </w:r>
            <w:r>
              <w:rPr>
                <w:color w:val="EE0000"/>
                <w:sz w:val="24"/>
                <w:u w:val="single"/>
                <w:vertAlign w:val="superscript"/>
              </w:rPr>
              <w:t>3</w:t>
            </w:r>
            <w:r>
              <w:rPr>
                <w:color w:val="EE0000"/>
                <w:sz w:val="24"/>
                <w:u w:val="single"/>
              </w:rPr>
              <w:t>/d、湿电除尘器废水回用15m</w:t>
            </w:r>
            <w:r>
              <w:rPr>
                <w:color w:val="EE0000"/>
                <w:sz w:val="24"/>
                <w:u w:val="single"/>
                <w:vertAlign w:val="superscript"/>
              </w:rPr>
              <w:t>3</w:t>
            </w:r>
            <w:r>
              <w:rPr>
                <w:color w:val="EE0000"/>
                <w:sz w:val="24"/>
                <w:u w:val="single"/>
              </w:rPr>
              <w:t>/d，须在搅拌过程中添加新水量为43m</w:t>
            </w:r>
            <w:r>
              <w:rPr>
                <w:color w:val="EE0000"/>
                <w:sz w:val="24"/>
                <w:u w:val="single"/>
                <w:vertAlign w:val="superscript"/>
              </w:rPr>
              <w:t>3</w:t>
            </w:r>
            <w:r>
              <w:rPr>
                <w:color w:val="EE0000"/>
                <w:sz w:val="24"/>
                <w:u w:val="single"/>
              </w:rPr>
              <w:t>/d，该部分水全部进入物料，不产生废水。</w:t>
            </w:r>
          </w:p>
          <w:p w14:paraId="190EBA34">
            <w:pPr>
              <w:adjustRightInd w:val="0"/>
              <w:snapToGrid w:val="0"/>
              <w:spacing w:line="500" w:lineRule="exact"/>
              <w:ind w:firstLine="480" w:firstLineChars="200"/>
              <w:rPr>
                <w:bCs/>
                <w:sz w:val="24"/>
              </w:rPr>
            </w:pPr>
            <w:r>
              <w:rPr>
                <w:bCs/>
                <w:sz w:val="24"/>
              </w:rPr>
              <w:fldChar w:fldCharType="begin"/>
            </w:r>
            <w:r>
              <w:rPr>
                <w:bCs/>
                <w:sz w:val="24"/>
              </w:rPr>
              <w:instrText xml:space="preserve"> = 3 \* GB3 </w:instrText>
            </w:r>
            <w:r>
              <w:rPr>
                <w:bCs/>
                <w:sz w:val="24"/>
              </w:rPr>
              <w:fldChar w:fldCharType="separate"/>
            </w:r>
            <w:r>
              <w:rPr>
                <w:rFonts w:ascii="Cambria Math" w:hAnsi="Cambria Math" w:cs="Cambria Math"/>
                <w:bCs/>
                <w:sz w:val="24"/>
              </w:rPr>
              <w:t>③</w:t>
            </w:r>
            <w:r>
              <w:rPr>
                <w:bCs/>
                <w:sz w:val="24"/>
              </w:rPr>
              <w:fldChar w:fldCharType="end"/>
            </w:r>
            <w:r>
              <w:rPr>
                <w:bCs/>
                <w:sz w:val="24"/>
              </w:rPr>
              <w:t>车间抑尘用水</w:t>
            </w:r>
          </w:p>
          <w:p w14:paraId="353186D5">
            <w:pPr>
              <w:adjustRightInd w:val="0"/>
              <w:snapToGrid w:val="0"/>
              <w:spacing w:line="500" w:lineRule="exact"/>
              <w:ind w:firstLine="480" w:firstLineChars="200"/>
              <w:rPr>
                <w:bCs/>
                <w:color w:val="EE0000"/>
                <w:sz w:val="24"/>
                <w:u w:val="single"/>
              </w:rPr>
            </w:pPr>
            <w:r>
              <w:rPr>
                <w:bCs/>
                <w:sz w:val="24"/>
              </w:rPr>
              <w:t>原料库、陈化库、卸车棚等安装雾化抑尘装置，项目依托三兴建材现有原料库、陈化库、卸车棚，</w:t>
            </w:r>
            <w:r>
              <w:rPr>
                <w:sz w:val="24"/>
              </w:rPr>
              <w:t>结合三兴建材现有工程生产数据，</w:t>
            </w:r>
            <w:r>
              <w:rPr>
                <w:color w:val="EE0000"/>
                <w:sz w:val="24"/>
                <w:u w:val="single"/>
              </w:rPr>
              <w:t>原料库、陈化库雾化喷淋总用水量约10m</w:t>
            </w:r>
            <w:r>
              <w:rPr>
                <w:color w:val="EE0000"/>
                <w:sz w:val="24"/>
                <w:u w:val="single"/>
                <w:vertAlign w:val="superscript"/>
              </w:rPr>
              <w:t>3</w:t>
            </w:r>
            <w:r>
              <w:rPr>
                <w:color w:val="EE0000"/>
                <w:sz w:val="24"/>
                <w:u w:val="single"/>
              </w:rPr>
              <w:t>/d，该部分水分主要进入物料；卸车棚雾化喷淋用水量约2m</w:t>
            </w:r>
            <w:r>
              <w:rPr>
                <w:color w:val="EE0000"/>
                <w:sz w:val="24"/>
                <w:u w:val="single"/>
                <w:vertAlign w:val="superscript"/>
              </w:rPr>
              <w:t>3</w:t>
            </w:r>
            <w:r>
              <w:rPr>
                <w:color w:val="EE0000"/>
                <w:sz w:val="24"/>
                <w:u w:val="single"/>
              </w:rPr>
              <w:t>/d，该部分水分主要蒸发散失，不产生废水。</w:t>
            </w:r>
          </w:p>
          <w:p w14:paraId="6DD1583A">
            <w:pPr>
              <w:adjustRightInd w:val="0"/>
              <w:snapToGrid w:val="0"/>
              <w:spacing w:line="520" w:lineRule="exact"/>
              <w:ind w:firstLine="480" w:firstLineChars="200"/>
              <w:rPr>
                <w:bCs/>
                <w:sz w:val="24"/>
              </w:rPr>
            </w:pPr>
            <w:r>
              <w:rPr>
                <w:bCs/>
                <w:sz w:val="24"/>
              </w:rPr>
              <w:fldChar w:fldCharType="begin"/>
            </w:r>
            <w:r>
              <w:rPr>
                <w:bCs/>
                <w:sz w:val="24"/>
              </w:rPr>
              <w:instrText xml:space="preserve"> = 4 \* GB3 </w:instrText>
            </w:r>
            <w:r>
              <w:rPr>
                <w:bCs/>
                <w:sz w:val="24"/>
              </w:rPr>
              <w:fldChar w:fldCharType="separate"/>
            </w:r>
            <w:r>
              <w:rPr>
                <w:rFonts w:ascii="Cambria Math" w:hAnsi="Cambria Math" w:cs="Cambria Math"/>
                <w:bCs/>
                <w:sz w:val="24"/>
              </w:rPr>
              <w:t>④</w:t>
            </w:r>
            <w:r>
              <w:rPr>
                <w:bCs/>
                <w:sz w:val="24"/>
              </w:rPr>
              <w:fldChar w:fldCharType="end"/>
            </w:r>
            <w:r>
              <w:rPr>
                <w:bCs/>
                <w:sz w:val="24"/>
              </w:rPr>
              <w:t>道路抑尘用水</w:t>
            </w:r>
          </w:p>
          <w:p w14:paraId="1BE3CB75">
            <w:pPr>
              <w:adjustRightInd w:val="0"/>
              <w:snapToGrid w:val="0"/>
              <w:spacing w:line="520" w:lineRule="exact"/>
              <w:ind w:firstLine="480" w:firstLineChars="200"/>
              <w:rPr>
                <w:bCs/>
                <w:sz w:val="24"/>
              </w:rPr>
            </w:pPr>
            <w:r>
              <w:rPr>
                <w:sz w:val="24"/>
              </w:rPr>
              <w:t>厂区路面采用移动式雾炮机喷雾洒水降尘，</w:t>
            </w:r>
            <w:r>
              <w:rPr>
                <w:bCs/>
                <w:sz w:val="24"/>
              </w:rPr>
              <w:t>项目依托三兴建材现有厂区进行建设，</w:t>
            </w:r>
            <w:r>
              <w:rPr>
                <w:sz w:val="24"/>
              </w:rPr>
              <w:t>结合三兴建材现有工程生产数据，道路抑尘用水量约5m</w:t>
            </w:r>
            <w:r>
              <w:rPr>
                <w:sz w:val="24"/>
                <w:vertAlign w:val="superscript"/>
              </w:rPr>
              <w:t>3</w:t>
            </w:r>
            <w:r>
              <w:rPr>
                <w:sz w:val="24"/>
              </w:rPr>
              <w:t>/d，该部分水蒸发或被地表吸收，不产生废水。</w:t>
            </w:r>
          </w:p>
          <w:p w14:paraId="07526382">
            <w:pPr>
              <w:adjustRightInd w:val="0"/>
              <w:snapToGrid w:val="0"/>
              <w:spacing w:line="520" w:lineRule="exact"/>
              <w:ind w:firstLine="480" w:firstLineChars="200"/>
              <w:rPr>
                <w:bCs/>
                <w:sz w:val="24"/>
              </w:rPr>
            </w:pPr>
            <w:r>
              <w:rPr>
                <w:bCs/>
                <w:sz w:val="24"/>
              </w:rPr>
              <w:fldChar w:fldCharType="begin"/>
            </w:r>
            <w:r>
              <w:rPr>
                <w:bCs/>
                <w:sz w:val="24"/>
              </w:rPr>
              <w:instrText xml:space="preserve"> = 5 \* GB3 </w:instrText>
            </w:r>
            <w:r>
              <w:rPr>
                <w:bCs/>
                <w:sz w:val="24"/>
              </w:rPr>
              <w:fldChar w:fldCharType="separate"/>
            </w:r>
            <w:r>
              <w:rPr>
                <w:rFonts w:ascii="Cambria Math" w:hAnsi="Cambria Math" w:cs="Cambria Math"/>
                <w:bCs/>
                <w:sz w:val="24"/>
              </w:rPr>
              <w:t>⑤</w:t>
            </w:r>
            <w:r>
              <w:rPr>
                <w:bCs/>
                <w:sz w:val="24"/>
              </w:rPr>
              <w:fldChar w:fldCharType="end"/>
            </w:r>
            <w:r>
              <w:rPr>
                <w:bCs/>
                <w:sz w:val="24"/>
              </w:rPr>
              <w:t>车辆冲洗用水</w:t>
            </w:r>
          </w:p>
          <w:p w14:paraId="67E621D6">
            <w:pPr>
              <w:adjustRightInd w:val="0"/>
              <w:snapToGrid w:val="0"/>
              <w:spacing w:line="520" w:lineRule="exact"/>
              <w:ind w:firstLine="480" w:firstLineChars="200"/>
              <w:rPr>
                <w:bCs/>
                <w:color w:val="EE0000"/>
                <w:sz w:val="24"/>
              </w:rPr>
            </w:pPr>
            <w:r>
              <w:rPr>
                <w:sz w:val="24"/>
              </w:rPr>
              <w:t>项目原料总用量约26.4万t/a，产品总重量约22.53万t/a，满负荷工况下原料、产品运输车次为12233次/年，每辆车进、出厂区都要进行冲洗，参考《河南省地方标准工业与城镇生活用水定额》（DB41/T385-2020）大中型车冲洗用水定额为70L/（辆·次），则项目车辆冲洗用水量约为1712.6m</w:t>
            </w:r>
            <w:r>
              <w:rPr>
                <w:sz w:val="24"/>
                <w:vertAlign w:val="superscript"/>
              </w:rPr>
              <w:t>3</w:t>
            </w:r>
            <w:r>
              <w:rPr>
                <w:sz w:val="24"/>
              </w:rPr>
              <w:t>/a（5.2m</w:t>
            </w:r>
            <w:r>
              <w:rPr>
                <w:sz w:val="24"/>
                <w:vertAlign w:val="superscript"/>
              </w:rPr>
              <w:t>3</w:t>
            </w:r>
            <w:r>
              <w:rPr>
                <w:sz w:val="24"/>
              </w:rPr>
              <w:t>/d），由于蒸发、车辆带走造成废水损失率按20%计，产生冲洗废水4.16m</w:t>
            </w:r>
            <w:r>
              <w:rPr>
                <w:sz w:val="24"/>
                <w:vertAlign w:val="superscript"/>
              </w:rPr>
              <w:t>3</w:t>
            </w:r>
            <w:r>
              <w:rPr>
                <w:sz w:val="24"/>
              </w:rPr>
              <w:t>/d，冲洗废水经一座</w:t>
            </w:r>
            <w:r>
              <w:rPr>
                <w:bCs/>
                <w:sz w:val="24"/>
              </w:rPr>
              <w:t>20m</w:t>
            </w:r>
            <w:r>
              <w:rPr>
                <w:bCs/>
                <w:sz w:val="24"/>
                <w:vertAlign w:val="superscript"/>
              </w:rPr>
              <w:t>3</w:t>
            </w:r>
            <w:r>
              <w:rPr>
                <w:bCs/>
                <w:sz w:val="24"/>
              </w:rPr>
              <w:t>的沉淀池沉淀后循环使用。</w:t>
            </w:r>
          </w:p>
          <w:p w14:paraId="3694263B">
            <w:pPr>
              <w:adjustRightInd w:val="0"/>
              <w:snapToGrid w:val="0"/>
              <w:spacing w:line="520" w:lineRule="exact"/>
              <w:ind w:firstLine="480" w:firstLineChars="200"/>
              <w:rPr>
                <w:bCs/>
                <w:sz w:val="24"/>
              </w:rPr>
            </w:pPr>
            <w:r>
              <w:rPr>
                <w:bCs/>
                <w:sz w:val="24"/>
              </w:rPr>
              <w:fldChar w:fldCharType="begin"/>
            </w:r>
            <w:r>
              <w:rPr>
                <w:bCs/>
                <w:sz w:val="24"/>
              </w:rPr>
              <w:instrText xml:space="preserve"> = 6 \* GB3 </w:instrText>
            </w:r>
            <w:r>
              <w:rPr>
                <w:bCs/>
                <w:sz w:val="24"/>
              </w:rPr>
              <w:fldChar w:fldCharType="separate"/>
            </w:r>
            <w:r>
              <w:rPr>
                <w:rFonts w:ascii="Cambria Math" w:hAnsi="Cambria Math" w:cs="Cambria Math"/>
                <w:bCs/>
                <w:sz w:val="24"/>
              </w:rPr>
              <w:t>⑥</w:t>
            </w:r>
            <w:r>
              <w:rPr>
                <w:bCs/>
                <w:sz w:val="24"/>
              </w:rPr>
              <w:fldChar w:fldCharType="end"/>
            </w:r>
            <w:r>
              <w:rPr>
                <w:bCs/>
                <w:sz w:val="24"/>
              </w:rPr>
              <w:t>湿电除尘用水</w:t>
            </w:r>
          </w:p>
          <w:p w14:paraId="2617127B">
            <w:pPr>
              <w:adjustRightInd w:val="0"/>
              <w:snapToGrid w:val="0"/>
              <w:spacing w:line="520" w:lineRule="exact"/>
              <w:ind w:firstLine="480" w:firstLineChars="200"/>
              <w:rPr>
                <w:bCs/>
                <w:sz w:val="24"/>
              </w:rPr>
            </w:pPr>
            <w:r>
              <w:rPr>
                <w:bCs/>
                <w:sz w:val="24"/>
              </w:rPr>
              <w:t>本项目湿电除尘器在运行过程中，需要定时对除尘器极板进行清灰作业，清灰采用水冲洗，冲洗水流在极板上形成均匀水膜，将捕获的粉尘彻底冲刷下来并排走，从而有效避免极板结垢或粉尘二次飞扬。项目每天需要对两台湿电除尘器极板进行一次自动冲洗，每次冲洗用水量约为10t，冲洗废水产生量为10</w:t>
            </w:r>
            <w:r>
              <w:rPr>
                <w:sz w:val="24"/>
              </w:rPr>
              <w:t>m</w:t>
            </w:r>
            <w:r>
              <w:rPr>
                <w:sz w:val="24"/>
                <w:vertAlign w:val="superscript"/>
              </w:rPr>
              <w:t>3</w:t>
            </w:r>
            <w:r>
              <w:rPr>
                <w:bCs/>
                <w:sz w:val="24"/>
              </w:rPr>
              <w:t>/d，另外烟气中的液态水雾、含湿粉尘颗粒随粉尘一起被电场捕捉，最终随冲洗水排出，废水产生总量约15</w:t>
            </w:r>
            <w:r>
              <w:rPr>
                <w:sz w:val="24"/>
              </w:rPr>
              <w:t>m</w:t>
            </w:r>
            <w:r>
              <w:rPr>
                <w:sz w:val="24"/>
                <w:vertAlign w:val="superscript"/>
              </w:rPr>
              <w:t>3</w:t>
            </w:r>
            <w:r>
              <w:rPr>
                <w:bCs/>
                <w:sz w:val="24"/>
              </w:rPr>
              <w:t>/d，湿电除尘器下方设置有冲洗水池，冲洗含尘废水收集后作为制砖用水综合利用，不外排。</w:t>
            </w:r>
          </w:p>
          <w:p w14:paraId="279E39BB">
            <w:pPr>
              <w:adjustRightInd w:val="0"/>
              <w:snapToGrid w:val="0"/>
              <w:spacing w:line="520" w:lineRule="exact"/>
              <w:ind w:firstLine="480" w:firstLineChars="200"/>
              <w:rPr>
                <w:bCs/>
                <w:sz w:val="24"/>
              </w:rPr>
            </w:pPr>
            <w:r>
              <w:rPr>
                <w:bCs/>
                <w:sz w:val="24"/>
              </w:rPr>
              <w:fldChar w:fldCharType="begin"/>
            </w:r>
            <w:r>
              <w:rPr>
                <w:bCs/>
                <w:sz w:val="24"/>
              </w:rPr>
              <w:instrText xml:space="preserve"> = 7 \* GB3 </w:instrText>
            </w:r>
            <w:r>
              <w:rPr>
                <w:bCs/>
                <w:sz w:val="24"/>
              </w:rPr>
              <w:fldChar w:fldCharType="separate"/>
            </w:r>
            <w:r>
              <w:rPr>
                <w:rFonts w:ascii="Cambria Math" w:hAnsi="Cambria Math" w:cs="Cambria Math"/>
                <w:bCs/>
                <w:sz w:val="24"/>
              </w:rPr>
              <w:t>⑦</w:t>
            </w:r>
            <w:r>
              <w:rPr>
                <w:bCs/>
                <w:sz w:val="24"/>
              </w:rPr>
              <w:fldChar w:fldCharType="end"/>
            </w:r>
            <w:r>
              <w:rPr>
                <w:bCs/>
                <w:sz w:val="24"/>
              </w:rPr>
              <w:t>脱硝系统用水</w:t>
            </w:r>
          </w:p>
          <w:p w14:paraId="313A4616">
            <w:pPr>
              <w:adjustRightInd w:val="0"/>
              <w:snapToGrid w:val="0"/>
              <w:spacing w:line="520" w:lineRule="exact"/>
              <w:ind w:firstLine="480" w:firstLineChars="200"/>
              <w:rPr>
                <w:bCs/>
                <w:color w:val="EE0000"/>
                <w:sz w:val="24"/>
                <w:u w:val="single"/>
              </w:rPr>
            </w:pPr>
            <w:r>
              <w:rPr>
                <w:bCs/>
                <w:color w:val="EE0000"/>
                <w:sz w:val="24"/>
                <w:u w:val="single"/>
              </w:rPr>
              <w:t>SNCR脱硝需要制备约10%尿素溶液，项目脱硝用尿素用量为60t/a，则脱硝尿素溶液制备用水量约为540 m</w:t>
            </w:r>
            <w:r>
              <w:rPr>
                <w:bCs/>
                <w:color w:val="EE0000"/>
                <w:sz w:val="24"/>
                <w:u w:val="single"/>
                <w:vertAlign w:val="superscript"/>
              </w:rPr>
              <w:t>3</w:t>
            </w:r>
            <w:r>
              <w:rPr>
                <w:bCs/>
                <w:color w:val="EE0000"/>
                <w:sz w:val="24"/>
                <w:u w:val="single"/>
              </w:rPr>
              <w:t>/a、1.64m</w:t>
            </w:r>
            <w:r>
              <w:rPr>
                <w:bCs/>
                <w:color w:val="EE0000"/>
                <w:sz w:val="24"/>
                <w:u w:val="single"/>
                <w:vertAlign w:val="superscript"/>
              </w:rPr>
              <w:t>3</w:t>
            </w:r>
            <w:r>
              <w:rPr>
                <w:bCs/>
                <w:color w:val="EE0000"/>
                <w:sz w:val="24"/>
                <w:u w:val="single"/>
              </w:rPr>
              <w:t>/d，该部分水在脱硝过程中蒸发。</w:t>
            </w:r>
          </w:p>
          <w:p w14:paraId="393686DB">
            <w:pPr>
              <w:adjustRightInd w:val="0"/>
              <w:snapToGrid w:val="0"/>
              <w:spacing w:line="520" w:lineRule="exact"/>
              <w:ind w:firstLine="480" w:firstLineChars="200"/>
              <w:rPr>
                <w:bCs/>
                <w:sz w:val="24"/>
              </w:rPr>
            </w:pPr>
            <w:r>
              <w:rPr>
                <w:bCs/>
                <w:sz w:val="24"/>
              </w:rPr>
              <w:fldChar w:fldCharType="begin"/>
            </w:r>
            <w:r>
              <w:rPr>
                <w:bCs/>
                <w:sz w:val="24"/>
              </w:rPr>
              <w:instrText xml:space="preserve"> = 8 \* GB3 </w:instrText>
            </w:r>
            <w:r>
              <w:rPr>
                <w:bCs/>
                <w:sz w:val="24"/>
              </w:rPr>
              <w:fldChar w:fldCharType="separate"/>
            </w:r>
            <w:r>
              <w:rPr>
                <w:rFonts w:ascii="Cambria Math" w:hAnsi="Cambria Math" w:cs="Cambria Math"/>
                <w:bCs/>
                <w:sz w:val="24"/>
              </w:rPr>
              <w:t>⑧</w:t>
            </w:r>
            <w:r>
              <w:rPr>
                <w:bCs/>
                <w:sz w:val="24"/>
              </w:rPr>
              <w:fldChar w:fldCharType="end"/>
            </w:r>
            <w:r>
              <w:rPr>
                <w:bCs/>
                <w:sz w:val="24"/>
              </w:rPr>
              <w:t>脱硫系统用水</w:t>
            </w:r>
          </w:p>
          <w:p w14:paraId="7D86EDFE">
            <w:pPr>
              <w:adjustRightInd w:val="0"/>
              <w:snapToGrid w:val="0"/>
              <w:spacing w:line="520" w:lineRule="exact"/>
              <w:ind w:firstLine="480" w:firstLineChars="200"/>
              <w:rPr>
                <w:bCs/>
                <w:sz w:val="24"/>
              </w:rPr>
            </w:pPr>
            <w:r>
              <w:rPr>
                <w:bCs/>
                <w:sz w:val="24"/>
              </w:rPr>
              <w:t>项目采用石灰—石膏湿法脱硫工艺，该系统用水主要包含石灰浆液制备用水、除雾器冲洗用水及脱硫系统补充水。</w:t>
            </w:r>
          </w:p>
          <w:p w14:paraId="0D545D55">
            <w:pPr>
              <w:adjustRightInd w:val="0"/>
              <w:snapToGrid w:val="0"/>
              <w:spacing w:line="520" w:lineRule="exact"/>
              <w:ind w:firstLine="480" w:firstLineChars="200"/>
              <w:rPr>
                <w:bCs/>
                <w:sz w:val="24"/>
              </w:rPr>
            </w:pPr>
            <w:r>
              <w:rPr>
                <w:bCs/>
                <w:color w:val="EE0000"/>
                <w:sz w:val="24"/>
                <w:u w:val="single"/>
              </w:rPr>
              <w:t>项目石灰干粉用量约为1100t/a，在脱硫过程中需要制备成25%的料浆，配置石灰料浆用水量约为3300m</w:t>
            </w:r>
            <w:r>
              <w:rPr>
                <w:bCs/>
                <w:color w:val="EE0000"/>
                <w:sz w:val="24"/>
                <w:u w:val="single"/>
                <w:vertAlign w:val="superscript"/>
              </w:rPr>
              <w:t>3</w:t>
            </w:r>
            <w:r>
              <w:rPr>
                <w:bCs/>
                <w:color w:val="EE0000"/>
                <w:sz w:val="24"/>
                <w:u w:val="single"/>
              </w:rPr>
              <w:t>/a（10m</w:t>
            </w:r>
            <w:r>
              <w:rPr>
                <w:bCs/>
                <w:color w:val="EE0000"/>
                <w:sz w:val="24"/>
                <w:u w:val="single"/>
                <w:vertAlign w:val="superscript"/>
              </w:rPr>
              <w:t>3</w:t>
            </w:r>
            <w:r>
              <w:rPr>
                <w:bCs/>
                <w:color w:val="EE0000"/>
                <w:sz w:val="24"/>
                <w:u w:val="single"/>
              </w:rPr>
              <w:t>/d），</w:t>
            </w:r>
            <w:r>
              <w:rPr>
                <w:bCs/>
                <w:sz w:val="24"/>
              </w:rPr>
              <w:t>该部分水作为脱硫系统补充水进入脱硫塔。</w:t>
            </w:r>
          </w:p>
          <w:p w14:paraId="01B9A01A">
            <w:pPr>
              <w:adjustRightInd w:val="0"/>
              <w:snapToGrid w:val="0"/>
              <w:spacing w:line="520" w:lineRule="exact"/>
              <w:ind w:firstLine="480" w:firstLineChars="200"/>
              <w:rPr>
                <w:bCs/>
                <w:sz w:val="24"/>
              </w:rPr>
            </w:pPr>
            <w:r>
              <w:rPr>
                <w:bCs/>
                <w:sz w:val="24"/>
              </w:rPr>
              <w:t>脱硫塔设置有除雾器，除雾器主要用来捕捉烟气中携带的浆液液滴，这些液滴会附着在除雾器叶片上，蒸发后留下固体沉积物（石膏、粉尘等），导致除雾器通道堵塞，烟气阻力（压降）升高，能耗增加，严重时甚至引发风机故障。因此，脱硫塔除雾器每天需要定时冲洗，除雾器冲洗水用量约15m</w:t>
            </w:r>
            <w:r>
              <w:rPr>
                <w:bCs/>
                <w:sz w:val="24"/>
                <w:vertAlign w:val="superscript"/>
              </w:rPr>
              <w:t>3</w:t>
            </w:r>
            <w:r>
              <w:rPr>
                <w:bCs/>
                <w:sz w:val="24"/>
              </w:rPr>
              <w:t>/d，冲洗废水用作脱硫系统补充水进入循环水池。</w:t>
            </w:r>
          </w:p>
          <w:p w14:paraId="2D0D82C1">
            <w:pPr>
              <w:adjustRightInd w:val="0"/>
              <w:snapToGrid w:val="0"/>
              <w:spacing w:line="520" w:lineRule="exact"/>
              <w:ind w:firstLine="480" w:firstLineChars="200"/>
              <w:rPr>
                <w:bCs/>
                <w:sz w:val="24"/>
              </w:rPr>
            </w:pPr>
            <w:r>
              <w:rPr>
                <w:bCs/>
                <w:sz w:val="24"/>
              </w:rPr>
              <w:t>项目脱硫系统因烟气带走、石膏带走和蒸发需要补充新水90m</w:t>
            </w:r>
            <w:r>
              <w:rPr>
                <w:bCs/>
                <w:sz w:val="24"/>
                <w:vertAlign w:val="superscript"/>
              </w:rPr>
              <w:t>3</w:t>
            </w:r>
            <w:r>
              <w:rPr>
                <w:bCs/>
                <w:sz w:val="24"/>
              </w:rPr>
              <w:t>/d，其中脱硫浆液和除雾冲洗带入水量25m</w:t>
            </w:r>
            <w:r>
              <w:rPr>
                <w:bCs/>
                <w:sz w:val="24"/>
                <w:vertAlign w:val="superscript"/>
              </w:rPr>
              <w:t>3</w:t>
            </w:r>
            <w:r>
              <w:rPr>
                <w:bCs/>
                <w:sz w:val="24"/>
              </w:rPr>
              <w:t>/d，另须补充新水65m</w:t>
            </w:r>
            <w:r>
              <w:rPr>
                <w:bCs/>
                <w:sz w:val="24"/>
                <w:vertAlign w:val="superscript"/>
              </w:rPr>
              <w:t>3</w:t>
            </w:r>
            <w:r>
              <w:rPr>
                <w:bCs/>
                <w:sz w:val="24"/>
              </w:rPr>
              <w:t>/d。脱硫废水经脱硫废水处理系统处理后回用，无废水外排。</w:t>
            </w:r>
          </w:p>
          <w:p w14:paraId="22F44ED3">
            <w:pPr>
              <w:adjustRightInd w:val="0"/>
              <w:snapToGrid w:val="0"/>
              <w:spacing w:line="520" w:lineRule="exact"/>
              <w:ind w:firstLine="480" w:firstLineChars="200"/>
              <w:rPr>
                <w:sz w:val="24"/>
              </w:rPr>
            </w:pPr>
            <w:r>
              <w:rPr>
                <w:sz w:val="24"/>
              </w:rPr>
              <w:pict>
                <v:shape id="AutoShape 341" o:spid="_x0000_s2311" o:spt="32" type="#_x0000_t32" style="position:absolute;left:0pt;flip:y;margin-left:302.9pt;margin-top:7.6pt;height:35.35pt;width:0pt;z-index:251660288;mso-width-relative:page;mso-height-relative:page;" o:connectortype="straight"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">
                  <v:path arrowok="t"/>
                  <v:fill on="f" focussize="0,0"/>
                  <v:stroke on="f" endarrow="block"/>
                  <v:imagedata o:title=""/>
                  <o:lock v:ext="edit"/>
                </v:shape>
              </w:pict>
            </w:r>
            <w:r>
              <w:rPr>
                <w:sz w:val="24"/>
              </w:rPr>
              <w:t>项目建设完成后全厂水平衡图见图2-1：</w:t>
            </w:r>
          </w:p>
          <w:p w14:paraId="21381C96">
            <w:pPr>
              <w:adjustRightInd w:val="0"/>
              <w:snapToGrid w:val="0"/>
              <w:spacing w:line="520" w:lineRule="exact"/>
              <w:ind w:firstLine="480" w:firstLineChars="200"/>
              <w:rPr>
                <w:bCs/>
                <w:color w:val="EE0000"/>
                <w:sz w:val="24"/>
              </w:rPr>
            </w:pPr>
          </w:p>
          <w:p w14:paraId="1A46F51D">
            <w:pPr>
              <w:adjustRightInd w:val="0"/>
              <w:snapToGrid w:val="0"/>
              <w:spacing w:line="520" w:lineRule="exact"/>
              <w:ind w:firstLine="480" w:firstLineChars="200"/>
              <w:rPr>
                <w:bCs/>
                <w:color w:val="EE0000"/>
                <w:sz w:val="24"/>
              </w:rPr>
            </w:pPr>
          </w:p>
          <w:p w14:paraId="49390B45">
            <w:pPr>
              <w:adjustRightInd w:val="0"/>
              <w:snapToGrid w:val="0"/>
              <w:spacing w:line="520" w:lineRule="exact"/>
              <w:ind w:firstLine="480" w:firstLineChars="200"/>
              <w:rPr>
                <w:bCs/>
                <w:color w:val="EE0000"/>
                <w:sz w:val="24"/>
              </w:rPr>
            </w:pPr>
          </w:p>
          <w:p w14:paraId="317FA1A8">
            <w:pPr>
              <w:adjustRightInd w:val="0"/>
              <w:snapToGrid w:val="0"/>
              <w:spacing w:line="520" w:lineRule="exact"/>
              <w:ind w:firstLine="480" w:firstLineChars="200"/>
              <w:rPr>
                <w:bCs/>
                <w:color w:val="EE0000"/>
                <w:sz w:val="24"/>
              </w:rPr>
            </w:pPr>
          </w:p>
          <w:p w14:paraId="501D9467">
            <w:pPr>
              <w:adjustRightInd w:val="0"/>
              <w:snapToGrid w:val="0"/>
              <w:spacing w:line="520" w:lineRule="exact"/>
              <w:ind w:firstLine="480" w:firstLineChars="200"/>
              <w:rPr>
                <w:bCs/>
                <w:color w:val="EE0000"/>
                <w:sz w:val="24"/>
              </w:rPr>
            </w:pPr>
          </w:p>
          <w:p w14:paraId="51A4C3A8">
            <w:pPr>
              <w:adjustRightInd w:val="0"/>
              <w:snapToGrid w:val="0"/>
              <w:spacing w:line="520" w:lineRule="exact"/>
              <w:ind w:firstLine="480" w:firstLineChars="200"/>
              <w:rPr>
                <w:bCs/>
                <w:color w:val="EE0000"/>
                <w:sz w:val="24"/>
              </w:rPr>
            </w:pPr>
          </w:p>
          <w:p w14:paraId="5764AF20">
            <w:pPr>
              <w:adjustRightInd w:val="0"/>
              <w:snapToGrid w:val="0"/>
              <w:spacing w:line="520" w:lineRule="exact"/>
              <w:ind w:firstLine="480" w:firstLineChars="200"/>
              <w:rPr>
                <w:bCs/>
                <w:color w:val="EE0000"/>
                <w:sz w:val="24"/>
              </w:rPr>
            </w:pPr>
          </w:p>
          <w:p w14:paraId="4E1CCEDD">
            <w:pPr>
              <w:adjustRightInd w:val="0"/>
              <w:snapToGrid w:val="0"/>
              <w:spacing w:line="520" w:lineRule="exact"/>
              <w:ind w:firstLine="480" w:firstLineChars="200"/>
              <w:rPr>
                <w:bCs/>
                <w:color w:val="EE0000"/>
                <w:sz w:val="24"/>
              </w:rPr>
            </w:pPr>
          </w:p>
          <w:p w14:paraId="1A8199B1">
            <w:pPr>
              <w:adjustRightInd w:val="0"/>
              <w:snapToGrid w:val="0"/>
              <w:spacing w:line="520" w:lineRule="exact"/>
              <w:ind w:firstLine="480" w:firstLineChars="200"/>
              <w:rPr>
                <w:bCs/>
                <w:color w:val="EE0000"/>
                <w:sz w:val="24"/>
              </w:rPr>
            </w:pPr>
          </w:p>
          <w:p w14:paraId="7094EF62">
            <w:pPr>
              <w:adjustRightInd w:val="0"/>
              <w:snapToGrid w:val="0"/>
              <w:spacing w:line="520" w:lineRule="exact"/>
              <w:ind w:firstLine="480" w:firstLineChars="200"/>
              <w:rPr>
                <w:bCs/>
                <w:color w:val="EE0000"/>
                <w:sz w:val="24"/>
              </w:rPr>
            </w:pPr>
          </w:p>
          <w:p w14:paraId="7E944B59">
            <w:pPr>
              <w:adjustRightInd w:val="0"/>
              <w:snapToGrid w:val="0"/>
              <w:spacing w:line="520" w:lineRule="exact"/>
              <w:ind w:firstLine="480" w:firstLineChars="200"/>
              <w:rPr>
                <w:bCs/>
                <w:color w:val="EE0000"/>
                <w:sz w:val="24"/>
              </w:rPr>
            </w:pPr>
          </w:p>
          <w:p w14:paraId="2F1F1C46">
            <w:pPr>
              <w:adjustRightInd w:val="0"/>
              <w:snapToGrid w:val="0"/>
              <w:spacing w:line="520" w:lineRule="exact"/>
              <w:ind w:firstLine="480" w:firstLineChars="200"/>
              <w:rPr>
                <w:bCs/>
                <w:color w:val="EE0000"/>
                <w:sz w:val="24"/>
              </w:rPr>
            </w:pPr>
          </w:p>
          <w:p w14:paraId="7AB42826">
            <w:pPr>
              <w:adjustRightInd w:val="0"/>
              <w:snapToGrid w:val="0"/>
              <w:spacing w:line="520" w:lineRule="exact"/>
              <w:ind w:firstLine="480" w:firstLineChars="200"/>
              <w:rPr>
                <w:bCs/>
                <w:color w:val="EE0000"/>
                <w:sz w:val="24"/>
              </w:rPr>
            </w:pPr>
          </w:p>
          <w:p w14:paraId="1B93B4C2">
            <w:pPr>
              <w:adjustRightInd w:val="0"/>
              <w:snapToGrid w:val="0"/>
              <w:spacing w:line="520" w:lineRule="exact"/>
              <w:ind w:firstLine="480" w:firstLineChars="200"/>
              <w:rPr>
                <w:bCs/>
                <w:color w:val="EE0000"/>
                <w:sz w:val="24"/>
              </w:rPr>
            </w:pPr>
            <w:r>
              <w:rPr>
                <w:rFonts w:eastAsia="黑体"/>
                <w:color w:val="EE0000"/>
                <w:sz w:val="24"/>
              </w:rPr>
              <w:pict>
                <v:group id="_x0000_s2535" o:spid="_x0000_s2535" o:spt="203" style="position:absolute;left:0pt;margin-left:11.75pt;margin-top:0.55pt;height:557.65pt;width:396.1pt;z-index:251661312;mso-width-relative:page;mso-height-relative:page;" coordorigin="2283,2252" coordsize="7922,11153">
                  <o:lock v:ext="edit"/>
                  <v:rect id="矩形 1459" o:spid="_x0000_s2418" o:spt="1" style="position:absolute;left:2283;top:7396;height:393;width:1246;"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">
                    <v:path/>
                    <v:fill on="f" focussize="0,0"/>
                    <v:stroke on="f"/>
                    <v:imagedata o:title=""/>
                    <o:lock v:ext="edit"/>
                    <v:textbox>
                      <w:txbxContent>
                        <w:p w14:paraId="645746AB">
                          <w:pPr>
                            <w:jc w:val="center"/>
                          </w:pPr>
                          <w:r>
                            <w:rPr>
                              <w:rFonts w:hint="eastAsia"/>
                            </w:rPr>
                            <w:t>166.28</w:t>
                          </w:r>
                        </w:p>
                      </w:txbxContent>
                    </v:textbox>
                  </v:rect>
                  <v:shape id="自选图形 1509" o:spid="_x0000_s2419" o:spt="32" type="#_x0000_t32" style="position:absolute;left:3403;top:12432;height:1;width:774;"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">
                    <v:path arrowok="t"/>
                    <v:fill on="f" focussize="0,0"/>
                    <v:stroke endarrow="block"/>
                    <v:imagedata o:title=""/>
                    <o:lock v:ext="edit"/>
                  </v:shape>
                  <v:shape id="自选图形 1457" o:spid="_x0000_s2420" o:spt="32" type="#_x0000_t32" style="position:absolute;left:3409;top:2573;height:9859;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">
                    <v:path arrowok="t"/>
                    <v:fill on="f" focussize="0,0"/>
                    <v:stroke/>
                    <v:imagedata o:title=""/>
                    <o:lock v:ext="edit"/>
                  </v:shape>
                  <v:rect id="矩形 1510" o:spid="_x0000_s2421" o:spt="1" style="position:absolute;left:4165;top:12192;height:495;width:1245;"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">
                    <v:path/>
                    <v:fill focussize="0,0"/>
                    <v:stroke/>
                    <v:imagedata o:title=""/>
                    <o:lock v:ext="edit"/>
                    <v:textbox>
                      <w:txbxContent>
                        <w:p w14:paraId="033F057C">
                          <w:pPr>
                            <w:jc w:val="center"/>
                            <w:rPr>
                              <w:rFonts w:hint="eastAsia" w:ascii="宋体" w:hAnsi="宋体"/>
                            </w:rPr>
                          </w:pPr>
                          <w:r>
                            <w:rPr>
                              <w:rFonts w:hint="eastAsia" w:ascii="宋体" w:hAnsi="宋体"/>
                            </w:rPr>
                            <w:t>员工生活</w:t>
                          </w:r>
                        </w:p>
                      </w:txbxContent>
                    </v:textbox>
                  </v:rect>
                  <v:rect id="矩形 1511" o:spid="_x0000_s2422" o:spt="1" style="position:absolute;left:3240;top:12087;height:495;width:102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">
                    <v:path/>
                    <v:fill on="f" focussize="0,0"/>
                    <v:stroke on="f"/>
                    <v:imagedata o:title=""/>
                    <o:lock v:ext="edit"/>
                    <v:textbox>
                      <w:txbxContent>
                        <w:p w14:paraId="23C22716">
                          <w:pPr>
                            <w:jc w:val="center"/>
                          </w:pPr>
                          <w:r>
                            <w:rPr>
                              <w:rFonts w:hint="eastAsia"/>
                            </w:rPr>
                            <w:t>3.6</w:t>
                          </w:r>
                        </w:p>
                      </w:txbxContent>
                    </v:textbox>
                  </v:rect>
                  <v:shape id="自选图形 1512" o:spid="_x0000_s2423" o:spt="32" type="#_x0000_t32" style="position:absolute;left:4660;top:11907;flip:y;height:255;width:48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">
                    <v:path arrowok="t"/>
                    <v:fill on="f" focussize="0,0"/>
                    <v:stroke dashstyle="dash" endarrow="block"/>
                    <v:imagedata o:title=""/>
                    <o:lock v:ext="edit"/>
                  </v:shape>
                  <v:rect id="矩形 1513" o:spid="_x0000_s2424" o:spt="1" style="position:absolute;left:4831;top:11638;height:495;width:136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">
                    <v:path/>
                    <v:fill on="f" focussize="0,0"/>
                    <v:stroke on="f"/>
                    <v:imagedata o:title=""/>
                    <o:lock v:ext="edit"/>
                    <v:textbox>
                      <w:txbxContent>
                        <w:p w14:paraId="6A6243F2">
                          <w:pPr>
                            <w:jc w:val="center"/>
                          </w:pPr>
                          <w:r>
                            <w:t>损耗</w:t>
                          </w:r>
                          <w:r>
                            <w:rPr>
                              <w:rFonts w:hint="eastAsia"/>
                            </w:rPr>
                            <w:t>0.72</w:t>
                          </w:r>
                        </w:p>
                      </w:txbxContent>
                    </v:textbox>
                  </v:rect>
                  <v:shape id="自选图形 1514" o:spid="_x0000_s2425" o:spt="32" type="#_x0000_t32" style="position:absolute;left:5410;top:12449;height:1;width:738;"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">
                    <v:path arrowok="t"/>
                    <v:fill on="f" focussize="0,0"/>
                    <v:stroke endarrow="block"/>
                    <v:imagedata o:title=""/>
                    <o:lock v:ext="edit"/>
                  </v:shape>
                  <v:rect id="矩形 1515" o:spid="_x0000_s2426" o:spt="1" style="position:absolute;left:5157;top:12104;height:495;width:102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">
                    <v:path/>
                    <v:fill on="f" focussize="0,0"/>
                    <v:stroke on="f"/>
                    <v:imagedata o:title=""/>
                    <o:lock v:ext="edit"/>
                    <v:textbox>
                      <w:txbxContent>
                        <w:p w14:paraId="56D57A4C">
                          <w:pPr>
                            <w:jc w:val="center"/>
                          </w:pPr>
                          <w:r>
                            <w:rPr>
                              <w:rFonts w:hint="eastAsia"/>
                            </w:rPr>
                            <w:t>2.88</w:t>
                          </w:r>
                        </w:p>
                      </w:txbxContent>
                    </v:textbox>
                  </v:rect>
                  <v:rect id="矩形 1516" o:spid="_x0000_s2427" o:spt="1" style="position:absolute;left:6107;top:12226;height:427;width:176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">
                    <v:path/>
                    <v:fill focussize="0,0"/>
                    <v:stroke/>
                    <v:imagedata o:title=""/>
                    <o:lock v:ext="edit"/>
                    <v:textbox>
                      <w:txbxContent>
                        <w:p w14:paraId="56C19837">
                          <w:pPr>
                            <w:jc w:val="center"/>
                            <w:rPr>
                              <w:rFonts w:hint="eastAsia" w:ascii="宋体" w:hAnsi="宋体"/>
                            </w:rPr>
                          </w:pPr>
                          <w:r>
                            <w:rPr>
                              <w:rFonts w:hint="eastAsia" w:ascii="宋体" w:hAnsi="宋体"/>
                            </w:rPr>
                            <w:t>隔油池+化粪池</w:t>
                          </w:r>
                        </w:p>
                      </w:txbxContent>
                    </v:textbox>
                  </v:rect>
                  <v:shape id="自选图形 1519" o:spid="_x0000_s2429" o:spt="32" type="#_x0000_t32" style="position:absolute;left:2403;top:7729;height:0;width:1012;" o:connectortype="straight" filled="f" coordsize="21600,21600">
                    <v:path arrowok="t"/>
                    <v:fill on="f" focussize="0,0"/>
                    <v:stroke weight="1.5pt" endarrow="block"/>
                    <v:imagedata o:title=""/>
                    <o:lock v:ext="edit"/>
                  </v:shape>
                  <v:shape id="自选图形 1458" o:spid="_x0000_s2430" o:spt="32" type="#_x0000_t32" style="position:absolute;left:3407;top:2573;height:0;width:111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">
                    <v:path arrowok="t"/>
                    <v:fill on="f" focussize="0,0"/>
                    <v:stroke endarrow="block"/>
                    <v:imagedata o:title=""/>
                    <o:lock v:ext="edit"/>
                  </v:shape>
                  <v:rect id="Rectangle 336" o:spid="_x0000_s2431" o:spt="1" style="position:absolute;left:4502;top:2337;height:495;width:177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">
                    <v:path/>
                    <v:fill focussize="0,0"/>
                    <v:stroke/>
                    <v:imagedata o:title=""/>
                    <o:lock v:ext="edit"/>
                    <v:textbox>
                      <w:txbxContent>
                        <w:p w14:paraId="5BF95151">
                          <w:pPr>
                            <w:jc w:val="center"/>
                          </w:pPr>
                          <w:r>
                            <w:t>制砖搅拌用水</w:t>
                          </w:r>
                        </w:p>
                      </w:txbxContent>
                    </v:textbox>
                  </v:rect>
                  <v:rect id="矩形 1460" o:spid="_x0000_s2432" o:spt="1" style="position:absolute;left:3570;top:2252;height:495;width:93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">
                    <v:path/>
                    <v:fill on="f" focussize="0,0"/>
                    <v:stroke on="f"/>
                    <v:imagedata o:title=""/>
                    <o:lock v:ext="edit"/>
                    <v:textbox>
                      <w:txbxContent>
                        <w:p w14:paraId="06B17A61">
                          <w:pPr>
                            <w:jc w:val="center"/>
                          </w:pPr>
                          <w:r>
                            <w:rPr>
                              <w:rFonts w:hint="eastAsia"/>
                            </w:rPr>
                            <w:t>43</w:t>
                          </w:r>
                        </w:p>
                      </w:txbxContent>
                    </v:textbox>
                  </v:rect>
                  <v:shape id="自选图形 1458" o:spid="_x0000_s2433" o:spt="32" type="#_x0000_t32" style="position:absolute;left:6269;top:2569;height:0;width:74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">
                    <v:path arrowok="t"/>
                    <v:fill on="f" focussize="0,0"/>
                    <v:stroke endarrow="block"/>
                    <v:imagedata o:title=""/>
                    <o:lock v:ext="edit"/>
                  </v:shape>
                  <v:rect id="矩形 1460" o:spid="_x0000_s2434" o:spt="1" style="position:absolute;left:6806;top:2360;height:458;width:127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">
                    <v:path/>
                    <v:fill on="f" focussize="0,0"/>
                    <v:stroke on="f"/>
                    <v:imagedata o:title=""/>
                    <o:lock v:ext="edit"/>
                    <v:textbox>
                      <w:txbxContent>
                        <w:p w14:paraId="61B08891">
                          <w:pPr>
                            <w:jc w:val="center"/>
                          </w:pPr>
                          <w:r>
                            <w:rPr>
                              <w:rFonts w:hint="eastAsia"/>
                            </w:rPr>
                            <w:t>进入物料</w:t>
                          </w:r>
                        </w:p>
                      </w:txbxContent>
                    </v:textbox>
                  </v:rect>
                  <v:rect id="Rectangle 352" o:spid="_x0000_s2435" o:spt="1" style="position:absolute;left:5309;top:10759;height:495;width:205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">
                    <v:path/>
                    <v:fill focussize="0,0"/>
                    <v:stroke/>
                    <v:imagedata o:title=""/>
                    <o:lock v:ext="edit"/>
                    <v:textbox>
                      <w:txbxContent>
                        <w:p w14:paraId="4C741EC2">
                          <w:pPr>
                            <w:jc w:val="center"/>
                          </w:pPr>
                          <w:r>
                            <w:rPr>
                              <w:rFonts w:hint="eastAsia"/>
                            </w:rPr>
                            <w:t>脱硫系统用水</w:t>
                          </w:r>
                        </w:p>
                      </w:txbxContent>
                    </v:textbox>
                  </v:rect>
                  <v:rect id="矩形 1513" o:spid="_x0000_s2436" o:spt="1" style="position:absolute;left:7039;top:10671;height:495;width:136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">
                    <v:path/>
                    <v:fill on="f" focussize="0,0"/>
                    <v:stroke on="f"/>
                    <v:imagedata o:title=""/>
                    <o:lock v:ext="edit"/>
                    <v:textbox>
                      <w:txbxContent>
                        <w:p w14:paraId="1DCCCA87">
                          <w:pPr>
                            <w:jc w:val="center"/>
                          </w:pPr>
                          <w:r>
                            <w:rPr>
                              <w:rFonts w:hint="eastAsia"/>
                            </w:rPr>
                            <w:t>23910</w:t>
                          </w:r>
                        </w:p>
                      </w:txbxContent>
                    </v:textbox>
                  </v:rect>
                  <v:rect id="Rectangle 354" o:spid="_x0000_s2437" o:spt="1" style="position:absolute;left:8166;top:10804;height:393;width:124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">
                    <v:path/>
                    <v:fill focussize="0,0"/>
                    <v:stroke/>
                    <v:imagedata o:title=""/>
                    <o:lock v:ext="edit"/>
                    <v:textbox>
                      <w:txbxContent>
                        <w:p w14:paraId="54824C8C">
                          <w:pPr>
                            <w:jc w:val="center"/>
                          </w:pPr>
                          <w:r>
                            <w:rPr>
                              <w:rFonts w:hint="eastAsia"/>
                            </w:rPr>
                            <w:t>循环水池</w:t>
                          </w:r>
                        </w:p>
                      </w:txbxContent>
                    </v:textbox>
                  </v:rect>
                  <v:shape id="自选图形 1512" o:spid="_x0000_s2438" o:spt="32" type="#_x0000_t32" style="position:absolute;left:6570;top:10489;flip:y;height:255;width:48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">
                    <v:path arrowok="t"/>
                    <v:fill on="f" focussize="0,0"/>
                    <v:stroke dashstyle="dash" endarrow="block"/>
                    <v:imagedata o:title=""/>
                    <o:lock v:ext="edit"/>
                  </v:shape>
                  <v:rect id="矩形 1513" o:spid="_x0000_s2439" o:spt="1" style="position:absolute;left:6727;top:10224;height:408;width:143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">
                    <v:path/>
                    <v:fill on="f" focussize="0,0"/>
                    <v:stroke on="f"/>
                    <v:imagedata o:title=""/>
                    <o:lock v:ext="edit"/>
                    <v:textbox>
                      <w:txbxContent>
                        <w:p w14:paraId="25BF76D8">
                          <w:pPr>
                            <w:jc w:val="center"/>
                          </w:pPr>
                          <w:r>
                            <w:rPr>
                              <w:rFonts w:hint="eastAsia"/>
                            </w:rPr>
                            <w:t>损耗90</w:t>
                          </w:r>
                        </w:p>
                      </w:txbxContent>
                    </v:textbox>
                  </v:rect>
                  <v:rect id="_x0000_s2440" o:spid="_x0000_s2440" o:spt="1" style="position:absolute;left:2904;top:12918;height:487;width:608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">
                    <v:path/>
                    <v:fill on="f" focussize="0,0"/>
                    <v:stroke on="f"/>
                    <v:imagedata o:title=""/>
                    <o:lock v:ext="edit"/>
                    <v:textbox>
                      <w:txbxContent>
                        <w:p w14:paraId="3D3F0A18">
                          <w:pPr>
                            <w:jc w:val="center"/>
                            <w:rPr>
                              <w:rFonts w:eastAsia="黑体"/>
                              <w:sz w:val="24"/>
                              <w:u w:val="single"/>
                            </w:rPr>
                          </w:pPr>
                          <w:r>
                            <w:rPr>
                              <w:rFonts w:eastAsia="黑体"/>
                              <w:sz w:val="24"/>
                              <w:u w:val="single"/>
                            </w:rPr>
                            <w:t>图2-</w:t>
                          </w:r>
                          <w:r>
                            <w:rPr>
                              <w:rFonts w:hint="eastAsia" w:eastAsia="黑体"/>
                              <w:sz w:val="24"/>
                              <w:u w:val="single"/>
                            </w:rPr>
                            <w:t>1</w:t>
                          </w:r>
                          <w:r>
                            <w:rPr>
                              <w:rFonts w:eastAsia="黑体"/>
                              <w:sz w:val="24"/>
                              <w:u w:val="single"/>
                            </w:rPr>
                            <w:t xml:space="preserve">       改建完成后全厂水平衡图        单位：m</w:t>
                          </w:r>
                          <w:r>
                            <w:rPr>
                              <w:rFonts w:eastAsia="黑体"/>
                              <w:sz w:val="24"/>
                              <w:u w:val="single"/>
                              <w:vertAlign w:val="superscript"/>
                            </w:rPr>
                            <w:t>3</w:t>
                          </w:r>
                          <w:r>
                            <w:rPr>
                              <w:rFonts w:eastAsia="黑体"/>
                              <w:sz w:val="24"/>
                              <w:u w:val="single"/>
                            </w:rPr>
                            <w:t>/d</w:t>
                          </w:r>
                        </w:p>
                      </w:txbxContent>
                    </v:textbox>
                  </v:rect>
                  <v:rect id="矩形 1513" o:spid="_x0000_s2441" o:spt="1" style="position:absolute;left:3745;top:10653;height:495;width:136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">
                    <v:path/>
                    <v:fill on="f" focussize="0,0"/>
                    <v:stroke on="f"/>
                    <v:imagedata o:title=""/>
                    <o:lock v:ext="edit"/>
                    <v:textbox>
                      <w:txbxContent>
                        <w:p w14:paraId="36731B74">
                          <w:pPr>
                            <w:jc w:val="center"/>
                          </w:pPr>
                          <w:r>
                            <w:rPr>
                              <w:rFonts w:hint="eastAsia"/>
                            </w:rPr>
                            <w:t>65</w:t>
                          </w:r>
                        </w:p>
                      </w:txbxContent>
                    </v:textbox>
                  </v:rect>
                  <v:shape id="自选图形 1519" o:spid="_x0000_s2442" o:spt="32" type="#_x0000_t32" style="position:absolute;left:7373;top:10987;height:0;width:792;"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">
                    <v:path arrowok="t"/>
                    <v:fill on="f" focussize="0,0"/>
                    <v:stroke endarrow="block"/>
                    <v:imagedata o:title=""/>
                    <o:lock v:ext="edit"/>
                  </v:shape>
                  <v:shape id="自选图形 1458" o:spid="_x0000_s2443" o:spt="32" type="#_x0000_t32" style="position:absolute;left:3443;top:8208;height:0;width:111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">
                    <v:path arrowok="t"/>
                    <v:fill on="f" focussize="0,0"/>
                    <v:stroke endarrow="block"/>
                    <v:imagedata o:title=""/>
                    <o:lock v:ext="edit"/>
                  </v:shape>
                  <v:rect id="Rectangle 371" o:spid="_x0000_s2444" o:spt="1" style="position:absolute;left:4522;top:7982;height:430;width:168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">
                    <v:path/>
                    <v:fill focussize="0,0"/>
                    <v:stroke/>
                    <v:imagedata o:title=""/>
                    <o:lock v:ext="edit"/>
                    <v:textbox>
                      <w:txbxContent>
                        <w:p w14:paraId="78F0F7B8">
                          <w:pPr>
                            <w:jc w:val="center"/>
                          </w:pPr>
                          <w:r>
                            <w:rPr>
                              <w:rFonts w:hint="eastAsia"/>
                            </w:rPr>
                            <w:t>尿素溶液制备</w:t>
                          </w:r>
                        </w:p>
                      </w:txbxContent>
                    </v:textbox>
                  </v:rect>
                  <v:rect id="矩形 1460" o:spid="_x0000_s2445" o:spt="1" style="position:absolute;left:3567;top:7866;height:495;width:93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">
                    <v:path/>
                    <v:fill on="f" focussize="0,0"/>
                    <v:stroke on="f"/>
                    <v:imagedata o:title=""/>
                    <o:lock v:ext="edit"/>
                    <v:textbox>
                      <w:txbxContent>
                        <w:p w14:paraId="4F5C5217">
                          <w:pPr>
                            <w:jc w:val="center"/>
                          </w:pPr>
                          <w:r>
                            <w:rPr>
                              <w:rFonts w:hint="eastAsia"/>
                            </w:rPr>
                            <w:t>1.64</w:t>
                          </w:r>
                        </w:p>
                      </w:txbxContent>
                    </v:textbox>
                  </v:rect>
                  <v:rect id="Rectangle 373" o:spid="_x0000_s2446" o:spt="1" style="position:absolute;left:4967;top:8750;height:443;width:205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">
                    <v:path/>
                    <v:fill focussize="0,0"/>
                    <v:stroke/>
                    <v:imagedata o:title=""/>
                    <o:lock v:ext="edit"/>
                    <v:textbox>
                      <w:txbxContent>
                        <w:p w14:paraId="23C62D20">
                          <w:pPr>
                            <w:jc w:val="center"/>
                          </w:pPr>
                          <w:r>
                            <w:rPr>
                              <w:rFonts w:hint="eastAsia"/>
                            </w:rPr>
                            <w:t>除雾器冲洗用水</w:t>
                          </w:r>
                        </w:p>
                      </w:txbxContent>
                    </v:textbox>
                  </v:rect>
                  <v:shape id="自选图形 1512" o:spid="_x0000_s2447" o:spt="32" type="#_x0000_t32" style="position:absolute;left:5376;top:7701;flip:y;height:255;width:547;"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">
                    <v:path arrowok="t"/>
                    <v:fill on="f" focussize="0,0"/>
                    <v:stroke dashstyle="dash" endarrow="block"/>
                    <v:imagedata o:title=""/>
                    <o:lock v:ext="edit"/>
                  </v:shape>
                  <v:rect id="矩形 1513" o:spid="_x0000_s2448" o:spt="1" style="position:absolute;left:5707;top:7473;height:424;width:133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">
                    <v:path/>
                    <v:fill on="f" focussize="0,0"/>
                    <v:stroke on="f"/>
                    <v:imagedata o:title=""/>
                    <o:lock v:ext="edit"/>
                    <v:textbox>
                      <w:txbxContent>
                        <w:p w14:paraId="04BDE644">
                          <w:pPr>
                            <w:jc w:val="center"/>
                          </w:pPr>
                          <w:r>
                            <w:rPr>
                              <w:rFonts w:hint="eastAsia"/>
                            </w:rPr>
                            <w:t>蒸发1.64</w:t>
                          </w:r>
                        </w:p>
                        <w:p w14:paraId="043776AE">
                          <w:pPr>
                            <w:jc w:val="center"/>
                          </w:pPr>
                        </w:p>
                      </w:txbxContent>
                    </v:textbox>
                  </v:rect>
                  <v:rect id="矩形 1513" o:spid="_x0000_s2449" o:spt="1" style="position:absolute;left:3726;top:8653;height:424;width:92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">
                    <v:path/>
                    <v:fill on="f" focussize="0,0"/>
                    <v:stroke on="f"/>
                    <v:imagedata o:title=""/>
                    <o:lock v:ext="edit"/>
                    <v:textbox>
                      <w:txbxContent>
                        <w:p w14:paraId="5ED0989F">
                          <w:pPr>
                            <w:jc w:val="center"/>
                          </w:pPr>
                          <w:r>
                            <w:rPr>
                              <w:rFonts w:hint="eastAsia"/>
                            </w:rPr>
                            <w:t>15</w:t>
                          </w:r>
                        </w:p>
                      </w:txbxContent>
                    </v:textbox>
                  </v:rect>
                  <v:rect id="矩形 1460" o:spid="_x0000_s2450" o:spt="1" style="position:absolute;left:6092;top:2252;height:495;width:93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">
                    <v:path/>
                    <v:fill on="f" focussize="0,0"/>
                    <v:stroke on="f"/>
                    <v:imagedata o:title=""/>
                    <o:lock v:ext="edit"/>
                    <v:textbox>
                      <w:txbxContent>
                        <w:p w14:paraId="037BFA6F">
                          <w:pPr>
                            <w:jc w:val="center"/>
                          </w:pPr>
                          <w:r>
                            <w:rPr>
                              <w:rFonts w:hint="eastAsia"/>
                            </w:rPr>
                            <w:t>43</w:t>
                          </w:r>
                        </w:p>
                      </w:txbxContent>
                    </v:textbox>
                  </v:rect>
                  <v:shape id="自选图形 1458" o:spid="_x0000_s2451" o:spt="32" type="#_x0000_t32" style="position:absolute;left:3422;top:3449;height:0;width:111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">
                    <v:path arrowok="t"/>
                    <v:fill on="f" focussize="0,0"/>
                    <v:stroke endarrow="block"/>
                    <v:imagedata o:title=""/>
                    <o:lock v:ext="edit"/>
                  </v:shape>
                  <v:rect id="Rectangle 336" o:spid="_x0000_s2452" o:spt="1" style="position:absolute;left:4517;top:3213;height:495;width:177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">
                    <v:path/>
                    <v:fill focussize="0,0"/>
                    <v:stroke/>
                    <v:imagedata o:title=""/>
                    <o:lock v:ext="edit"/>
                    <v:textbox>
                      <w:txbxContent>
                        <w:p w14:paraId="464332AA">
                          <w:pPr>
                            <w:jc w:val="center"/>
                          </w:pPr>
                          <w:r>
                            <w:rPr>
                              <w:rFonts w:hint="eastAsia"/>
                            </w:rPr>
                            <w:t>车间抑尘</w:t>
                          </w:r>
                          <w:r>
                            <w:t>用水</w:t>
                          </w:r>
                        </w:p>
                      </w:txbxContent>
                    </v:textbox>
                  </v:rect>
                  <v:rect id="矩形 1460" o:spid="_x0000_s2453" o:spt="1" style="position:absolute;left:3585;top:3128;height:495;width:93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">
                    <v:path/>
                    <v:fill on="f" focussize="0,0"/>
                    <v:stroke on="f"/>
                    <v:imagedata o:title=""/>
                    <o:lock v:ext="edit"/>
                    <v:textbox>
                      <w:txbxContent>
                        <w:p w14:paraId="1AFB8265">
                          <w:pPr>
                            <w:jc w:val="center"/>
                          </w:pPr>
                          <w:r>
                            <w:rPr>
                              <w:rFonts w:hint="eastAsia"/>
                            </w:rPr>
                            <w:t>12</w:t>
                          </w:r>
                        </w:p>
                      </w:txbxContent>
                    </v:textbox>
                  </v:rect>
                  <v:shape id="自选图形 1458" o:spid="_x0000_s2454" o:spt="32" type="#_x0000_t32" style="position:absolute;left:6284;top:3445;height:0;width:74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">
                    <v:path arrowok="t"/>
                    <v:fill on="f" focussize="0,0"/>
                    <v:stroke endarrow="block"/>
                    <v:imagedata o:title=""/>
                    <o:lock v:ext="edit"/>
                  </v:shape>
                  <v:rect id="矩形 1460" o:spid="_x0000_s2455" o:spt="1" style="position:absolute;left:6821;top:3236;height:458;width:194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">
                    <v:path/>
                    <v:fill on="f" focussize="0,0"/>
                    <v:stroke on="f"/>
                    <v:imagedata o:title=""/>
                    <o:lock v:ext="edit"/>
                    <v:textbox>
                      <w:txbxContent>
                        <w:p w14:paraId="3DC61FFA">
                          <w:pPr>
                            <w:jc w:val="center"/>
                          </w:pPr>
                          <w:r>
                            <w:rPr>
                              <w:rFonts w:hint="eastAsia"/>
                            </w:rPr>
                            <w:t>进入物料或蒸发</w:t>
                          </w:r>
                        </w:p>
                      </w:txbxContent>
                    </v:textbox>
                  </v:rect>
                  <v:rect id="矩形 1460" o:spid="_x0000_s2456" o:spt="1" style="position:absolute;left:6107;top:3128;height:495;width:93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">
                    <v:path/>
                    <v:fill on="f" focussize="0,0"/>
                    <v:stroke on="f"/>
                    <v:imagedata o:title=""/>
                    <o:lock v:ext="edit"/>
                    <v:textbox>
                      <w:txbxContent>
                        <w:p w14:paraId="74C59801">
                          <w:pPr>
                            <w:jc w:val="center"/>
                          </w:pPr>
                          <w:r>
                            <w:rPr>
                              <w:rFonts w:hint="eastAsia"/>
                            </w:rPr>
                            <w:t>12</w:t>
                          </w:r>
                        </w:p>
                      </w:txbxContent>
                    </v:textbox>
                  </v:rect>
                  <v:shape id="自选图形 1458" o:spid="_x0000_s2457" o:spt="32" type="#_x0000_t32" style="position:absolute;left:3426;top:4416;height:0;width:1097;"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">
                    <v:path arrowok="t"/>
                    <v:fill on="f" focussize="0,0"/>
                    <v:stroke endarrow="block"/>
                    <v:imagedata o:title=""/>
                    <o:lock v:ext="edit"/>
                  </v:shape>
                  <v:rect id="Rectangle 310" o:spid="_x0000_s2458" o:spt="1" style="position:absolute;left:4502;top:4183;height:462;width:235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">
                    <v:path/>
                    <v:fill focussize="0,0"/>
                    <v:stroke/>
                    <v:imagedata o:title=""/>
                    <o:lock v:ext="edit"/>
                    <v:textbox>
                      <w:txbxContent>
                        <w:p w14:paraId="5B654490">
                          <w:pPr>
                            <w:jc w:val="center"/>
                          </w:pPr>
                          <w:r>
                            <w:rPr>
                              <w:rFonts w:hint="eastAsia"/>
                            </w:rPr>
                            <w:t>道路抑尘用水</w:t>
                          </w:r>
                        </w:p>
                      </w:txbxContent>
                    </v:textbox>
                  </v:rect>
                  <v:rect id="矩形 1460" o:spid="_x0000_s2459" o:spt="1" style="position:absolute;left:3523;top:4108;height:495;width:93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">
                    <v:path/>
                    <v:fill on="f" focussize="0,0"/>
                    <v:stroke on="f"/>
                    <v:imagedata o:title=""/>
                    <o:lock v:ext="edit"/>
                    <v:textbox>
                      <w:txbxContent>
                        <w:p w14:paraId="57043F39">
                          <w:pPr>
                            <w:jc w:val="center"/>
                          </w:pPr>
                          <w:r>
                            <w:rPr>
                              <w:rFonts w:hint="eastAsia"/>
                            </w:rPr>
                            <w:t>5.0</w:t>
                          </w:r>
                        </w:p>
                      </w:txbxContent>
                    </v:textbox>
                  </v:rect>
                  <v:shape id="自选图形 1461" o:spid="_x0000_s2460" o:spt="32" type="#_x0000_t32" style="position:absolute;left:5515;top:3901;flip:y;height:275;width:51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">
                    <v:path arrowok="t"/>
                    <v:fill on="f" focussize="0,0"/>
                    <v:stroke dashstyle="dash" endarrow="block"/>
                    <v:imagedata o:title=""/>
                    <o:lock v:ext="edit"/>
                  </v:shape>
                  <v:shape id="自选图形 1458" o:spid="_x0000_s2461" o:spt="32" type="#_x0000_t32" style="position:absolute;left:3405;top:5484;height:0;width:111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">
                    <v:path arrowok="t"/>
                    <v:fill on="f" focussize="0,0"/>
                    <v:stroke endarrow="block"/>
                    <v:imagedata o:title=""/>
                    <o:lock v:ext="edit"/>
                  </v:shape>
                  <v:rect id="Rectangle 325" o:spid="_x0000_s2462" o:spt="1" style="position:absolute;left:4517;top:5243;height:460;width:124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">
                    <v:path/>
                    <v:fill focussize="0,0"/>
                    <v:stroke/>
                    <v:imagedata o:title=""/>
                    <o:lock v:ext="edit"/>
                    <v:textbox>
                      <w:txbxContent>
                        <w:p w14:paraId="58FA51A9">
                          <w:pPr>
                            <w:jc w:val="center"/>
                          </w:pPr>
                          <w:r>
                            <w:rPr>
                              <w:rFonts w:hint="eastAsia"/>
                            </w:rPr>
                            <w:t>洗车用水</w:t>
                          </w:r>
                        </w:p>
                      </w:txbxContent>
                    </v:textbox>
                  </v:rect>
                  <v:rect id="矩形 1460" o:spid="_x0000_s2463" o:spt="1" style="position:absolute;left:3511;top:5156;height:495;width:93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">
                    <v:path/>
                    <v:fill on="f" focussize="0,0"/>
                    <v:stroke on="f"/>
                    <v:imagedata o:title=""/>
                    <o:lock v:ext="edit"/>
                    <v:textbox>
                      <w:txbxContent>
                        <w:p w14:paraId="161BA613">
                          <w:pPr>
                            <w:jc w:val="center"/>
                          </w:pPr>
                          <w:r>
                            <w:rPr>
                              <w:rFonts w:hint="eastAsia"/>
                            </w:rPr>
                            <w:t>1.04</w:t>
                          </w:r>
                        </w:p>
                      </w:txbxContent>
                    </v:textbox>
                  </v:rect>
                  <v:shape id="自选图形 1512" o:spid="_x0000_s2464" o:spt="32" type="#_x0000_t32" style="position:absolute;left:5309;top:4988;flip:y;height:255;width:48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">
                    <v:path arrowok="t"/>
                    <v:fill on="f" focussize="0,0"/>
                    <v:stroke dashstyle="dash" endarrow="block"/>
                    <v:imagedata o:title=""/>
                    <o:lock v:ext="edit"/>
                  </v:shape>
                  <v:rect id="矩形 1513" o:spid="_x0000_s2465" o:spt="1" style="position:absolute;left:5497;top:5156;height:495;width:136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">
                    <v:path/>
                    <v:fill on="f" focussize="0,0"/>
                    <v:stroke on="f"/>
                    <v:imagedata o:title=""/>
                    <o:lock v:ext="edit"/>
                    <v:textbox>
                      <w:txbxContent>
                        <w:p w14:paraId="3DBEED09">
                          <w:pPr>
                            <w:jc w:val="center"/>
                          </w:pPr>
                          <w:r>
                            <w:rPr>
                              <w:rFonts w:hint="eastAsia"/>
                            </w:rPr>
                            <w:t>4.16</w:t>
                          </w:r>
                        </w:p>
                      </w:txbxContent>
                    </v:textbox>
                  </v:rect>
                  <v:shape id="自选图形 1519" o:spid="_x0000_s2466" o:spt="32" type="#_x0000_t32" style="position:absolute;left:5776;top:5467;height:0;width:949;"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">
                    <v:path arrowok="t"/>
                    <v:fill on="f" focussize="0,0"/>
                    <v:stroke endarrow="block"/>
                    <v:imagedata o:title=""/>
                    <o:lock v:ext="edit"/>
                  </v:shape>
                  <v:rect id="Rectangle 330" o:spid="_x0000_s2467" o:spt="1" style="position:absolute;left:6695;top:5257;height:446;width:124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">
                    <v:path/>
                    <v:fill focussize="0,0"/>
                    <v:stroke/>
                    <v:imagedata o:title=""/>
                    <o:lock v:ext="edit"/>
                    <v:textbox>
                      <w:txbxContent>
                        <w:p w14:paraId="60984CB5">
                          <w:pPr>
                            <w:jc w:val="center"/>
                          </w:pPr>
                          <w:r>
                            <w:rPr>
                              <w:rFonts w:hint="eastAsia"/>
                            </w:rPr>
                            <w:t>沉淀池</w:t>
                          </w:r>
                        </w:p>
                      </w:txbxContent>
                    </v:textbox>
                  </v:rect>
                  <v:rect id="矩形 1460" o:spid="_x0000_s2468" o:spt="1" style="position:absolute;left:5400;top:4762;height:495;width:152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">
                    <v:path/>
                    <v:fill on="f" focussize="0,0"/>
                    <v:stroke on="f"/>
                    <v:imagedata o:title=""/>
                    <o:lock v:ext="edit"/>
                    <v:textbox>
                      <w:txbxContent>
                        <w:p w14:paraId="4DC39ECF">
                          <w:pPr>
                            <w:jc w:val="center"/>
                          </w:pPr>
                          <w:r>
                            <w:rPr>
                              <w:rFonts w:hint="eastAsia"/>
                            </w:rPr>
                            <w:t>损耗1.04</w:t>
                          </w:r>
                        </w:p>
                      </w:txbxContent>
                    </v:textbox>
                  </v:rect>
                  <v:rect id="矩形 1460" o:spid="_x0000_s2469" o:spt="1" style="position:absolute;left:5749;top:3714;height:458;width:241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">
                    <v:path/>
                    <v:fill on="f" focussize="0,0"/>
                    <v:stroke on="f"/>
                    <v:imagedata o:title=""/>
                    <o:lock v:ext="edit"/>
                    <v:textbox>
                      <w:txbxContent>
                        <w:p w14:paraId="64B049FB">
                          <w:pPr>
                            <w:jc w:val="center"/>
                          </w:pPr>
                          <w:r>
                            <w:rPr>
                              <w:rFonts w:hint="eastAsia"/>
                            </w:rPr>
                            <w:t>蒸发或地表吸收5.0</w:t>
                          </w:r>
                        </w:p>
                      </w:txbxContent>
                    </v:textbox>
                  </v:rect>
                  <v:shape id="自选图形 135" o:spid="_x0000_s2470" o:spt="32" type="#_x0000_t32" style="position:absolute;left:7444;top:5713;flip:y;height:423;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">
                    <v:path arrowok="t"/>
                    <v:fill on="f" focussize="0,0"/>
                    <v:stroke/>
                    <v:imagedata o:title=""/>
                    <o:lock v:ext="edit"/>
                  </v:shape>
                  <v:shape id="自选图形 136" o:spid="_x0000_s2471" o:spt="32" type="#_x0000_t32" style="position:absolute;left:4973;top:6135;flip:x;height:0;width:2466;"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">
                    <v:path arrowok="t"/>
                    <v:fill on="f" focussize="0,0"/>
                    <v:stroke/>
                    <v:imagedata o:title=""/>
                    <o:lock v:ext="edit"/>
                  </v:shape>
                  <v:rect id="矩形 1513" o:spid="_x0000_s2472" o:spt="1" style="position:absolute;left:5590;top:5838;height:495;width:136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">
                    <v:path/>
                    <v:fill on="f" focussize="0,0"/>
                    <v:stroke on="f"/>
                    <v:imagedata o:title=""/>
                    <o:lock v:ext="edit"/>
                    <v:textbox>
                      <w:txbxContent>
                        <w:p w14:paraId="5A1319C5">
                          <w:pPr>
                            <w:jc w:val="center"/>
                          </w:pPr>
                          <w:r>
                            <w:rPr>
                              <w:rFonts w:hint="eastAsia"/>
                            </w:rPr>
                            <w:t>4.16</w:t>
                          </w:r>
                        </w:p>
                      </w:txbxContent>
                    </v:textbox>
                  </v:rect>
                  <v:shape id="自选图形 1458" o:spid="_x0000_s2473" o:spt="32" type="#_x0000_t32" style="position:absolute;left:3400;top:7191;height:0;width:1097;"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">
                    <v:path arrowok="t"/>
                    <v:fill on="f" focussize="0,0"/>
                    <v:stroke endarrow="block"/>
                    <v:imagedata o:title=""/>
                    <o:lock v:ext="edit"/>
                  </v:shape>
                  <v:rect id="Rectangle 310" o:spid="_x0000_s2474" o:spt="1" style="position:absolute;left:4468;top:6964;height:462;width:139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">
                    <v:path/>
                    <v:fill focussize="0,0"/>
                    <v:stroke/>
                    <v:imagedata o:title=""/>
                    <o:lock v:ext="edit"/>
                    <v:textbox>
                      <w:txbxContent>
                        <w:p w14:paraId="29D07083">
                          <w:pPr>
                            <w:jc w:val="center"/>
                          </w:pPr>
                          <w:r>
                            <w:rPr>
                              <w:rFonts w:hint="eastAsia"/>
                            </w:rPr>
                            <w:t>湿电除尘</w:t>
                          </w:r>
                        </w:p>
                      </w:txbxContent>
                    </v:textbox>
                  </v:rect>
                  <v:rect id="矩形 1460" o:spid="_x0000_s2475" o:spt="1" style="position:absolute;left:3102;top:6828;height:495;width:154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">
                    <v:path/>
                    <v:fill on="f" focussize="0,0"/>
                    <v:stroke on="f"/>
                    <v:imagedata o:title=""/>
                    <o:lock v:ext="edit"/>
                    <v:textbox>
                      <w:txbxContent>
                        <w:p w14:paraId="3C79122E">
                          <w:pPr>
                            <w:jc w:val="center"/>
                          </w:pPr>
                          <w:r>
                            <w:rPr>
                              <w:rFonts w:hint="eastAsia"/>
                            </w:rPr>
                            <w:t>10</w:t>
                          </w:r>
                        </w:p>
                      </w:txbxContent>
                    </v:textbox>
                  </v:rect>
                  <v:shape id="_x0000_s2476" o:spid="_x0000_s2476" o:spt="32" type="#_x0000_t32" style="position:absolute;left:5866;top:7185;height:0;width:542;" o:connectortype="straight" filled="f" coordsize="21600,21600">
                    <v:path arrowok="t"/>
                    <v:fill on="f" focussize="0,0"/>
                    <v:stroke endarrow="block"/>
                    <v:imagedata o:title=""/>
                    <o:lock v:ext="edit"/>
                  </v:shape>
                  <v:rect id="矩形 1460" o:spid="_x0000_s2477" o:spt="1" style="position:absolute;left:5593;top:6889;height:495;width:93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">
                    <v:path/>
                    <v:fill on="f" focussize="0,0"/>
                    <v:stroke on="f"/>
                    <v:imagedata o:title=""/>
                    <o:lock v:ext="edit"/>
                    <v:textbox>
                      <w:txbxContent>
                        <w:p w14:paraId="0BBB3838">
                          <w:pPr>
                            <w:jc w:val="center"/>
                          </w:pPr>
                          <w:r>
                            <w:rPr>
                              <w:rFonts w:hint="eastAsia"/>
                            </w:rPr>
                            <w:t>15</w:t>
                          </w:r>
                        </w:p>
                      </w:txbxContent>
                    </v:textbox>
                  </v:rect>
                  <v:rect id="矩形 1460" o:spid="_x0000_s2478" o:spt="1" style="position:absolute;left:6248;top:6981;height:458;width:145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">
                    <v:path/>
                    <v:fill on="f" focussize="0,0"/>
                    <v:stroke on="f"/>
                    <v:imagedata o:title=""/>
                    <o:lock v:ext="edit"/>
                    <v:textbox>
                      <w:txbxContent>
                        <w:p w14:paraId="28687717">
                          <w:pPr>
                            <w:jc w:val="center"/>
                          </w:pPr>
                          <w:r>
                            <w:rPr>
                              <w:rFonts w:hint="eastAsia"/>
                            </w:rPr>
                            <w:t>回用于制砖</w:t>
                          </w:r>
                        </w:p>
                      </w:txbxContent>
                    </v:textbox>
                  </v:rect>
                  <v:shape id="自选图形 135" o:spid="_x0000_s2479" o:spt="32" type="#_x0000_t32" style="position:absolute;left:4973;top:5701;flip:y;height:423;width:0;" o:connectortype="straight" filled="f" coordsize="21600,21600">
                    <v:path arrowok="t"/>
                    <v:fill on="f" focussize="0,0"/>
                    <v:stroke endarrow="block"/>
                    <v:imagedata o:title=""/>
                    <o:lock v:ext="edit"/>
                  </v:shape>
                  <v:shape id="自选图形 1458" o:spid="_x0000_s2480" o:spt="32" type="#_x0000_t32" style="position:absolute;left:3448;top:9756;height:0;width:675;"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">
                    <v:path arrowok="t"/>
                    <v:fill on="f" focussize="0,0"/>
                    <v:stroke endarrow="block"/>
                    <v:imagedata o:title=""/>
                    <o:lock v:ext="edit"/>
                  </v:shape>
                  <v:rect id="Rectangle 373" o:spid="_x0000_s2481" o:spt="1" style="position:absolute;left:4115;top:9532;height:430;width:162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">
                    <v:path/>
                    <v:fill focussize="0,0"/>
                    <v:stroke/>
                    <v:imagedata o:title=""/>
                    <o:lock v:ext="edit"/>
                    <v:textbox>
                      <w:txbxContent>
                        <w:p w14:paraId="4AAD706A">
                          <w:pPr>
                            <w:jc w:val="center"/>
                          </w:pPr>
                          <w:r>
                            <w:rPr>
                              <w:rFonts w:hint="eastAsia"/>
                            </w:rPr>
                            <w:t>石灰浆液制备</w:t>
                          </w:r>
                        </w:p>
                        <w:p w14:paraId="7ABE8226">
                          <w:pPr>
                            <w:jc w:val="center"/>
                          </w:pPr>
                        </w:p>
                      </w:txbxContent>
                    </v:textbox>
                  </v:rect>
                  <v:rect id="矩形 1513" o:spid="_x0000_s2482" o:spt="1" style="position:absolute;left:3282;top:9438;height:424;width:92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">
                    <v:path/>
                    <v:fill on="f" focussize="0,0"/>
                    <v:stroke on="f"/>
                    <v:imagedata o:title=""/>
                    <o:lock v:ext="edit"/>
                    <v:textbox>
                      <w:txbxContent>
                        <w:p w14:paraId="7993DE5E">
                          <w:pPr>
                            <w:jc w:val="center"/>
                          </w:pPr>
                          <w:r>
                            <w:rPr>
                              <w:rFonts w:hint="eastAsia"/>
                            </w:rPr>
                            <w:t>10</w:t>
                          </w:r>
                        </w:p>
                      </w:txbxContent>
                    </v:textbox>
                  </v:rect>
                  <v:shape id="_x0000_s2483" o:spid="_x0000_s2483" o:spt="32" type="#_x0000_t32" style="position:absolute;left:8827;top:11224;height:317;width:0;" o:connectortype="straight" filled="f" coordsize="21600,21600">
                    <v:path arrowok="t"/>
                    <v:fill on="f" focussize="0,0"/>
                    <v:stroke/>
                    <v:imagedata o:title=""/>
                    <o:lock v:ext="edit"/>
                  </v:shape>
                  <v:shape id="自选图形 136" o:spid="_x0000_s2484" o:spt="32" type="#_x0000_t32" style="position:absolute;left:6487;top:11558;flip:x;height:0;width:2344;"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">
                    <v:path arrowok="t"/>
                    <v:fill on="f" focussize="0,0"/>
                    <v:stroke/>
                    <v:imagedata o:title=""/>
                    <o:lock v:ext="edit"/>
                  </v:shape>
                  <v:shape id="_x0000_s2485" o:spid="_x0000_s2485" o:spt="32" type="#_x0000_t32" style="position:absolute;left:6464;top:11220;flip:y;height:335;width:1;" o:connectortype="straight" filled="f" coordsize="21600,21600">
                    <v:path arrowok="t"/>
                    <v:fill on="f" focussize="0,0"/>
                    <v:stroke endarrow="block"/>
                    <v:imagedata o:title=""/>
                    <o:lock v:ext="edit"/>
                  </v:shape>
                  <v:shape id="_x0000_s2486" o:spid="_x0000_s2486" o:spt="32" type="#_x0000_t32" style="position:absolute;left:3407;top:10987;height:1;width:1916;" o:connectortype="straight" filled="f" coordsize="21600,21600">
                    <v:path arrowok="t"/>
                    <v:fill on="f" focussize="0,0"/>
                    <v:stroke endarrow="block"/>
                    <v:imagedata o:title=""/>
                    <o:lock v:ext="edit"/>
                  </v:shape>
                  <v:shape id="_x0000_s2487" o:spid="_x0000_s2487" o:spt="32" type="#_x0000_t32" style="position:absolute;left:5497;top:9962;height:797;width:0;" o:connectortype="straight" filled="f" coordsize="21600,21600">
                    <v:path arrowok="t"/>
                    <v:fill on="f" focussize="0,0"/>
                    <v:stroke endarrow="block"/>
                    <v:imagedata o:title=""/>
                    <o:lock v:ext="edit"/>
                  </v:shape>
                  <v:shape id="_x0000_s2488" o:spid="_x0000_s2488" o:spt="32" type="#_x0000_t32" style="position:absolute;left:6025;top:9216;height:1534;width:0;" o:connectortype="straight" filled="f" coordsize="21600,21600">
                    <v:path arrowok="t"/>
                    <v:fill on="f" focussize="0,0"/>
                    <v:stroke endarrow="block"/>
                    <v:imagedata o:title=""/>
                    <o:lock v:ext="edit"/>
                  </v:shape>
                  <v:shape id="_x0000_s2489" o:spid="_x0000_s2489" o:spt="32" type="#_x0000_t32" style="position:absolute;left:3443;top:8967;height:1;width:1530;" o:connectortype="straight" filled="f" coordsize="21600,21600">
                    <v:path arrowok="t"/>
                    <v:fill on="f" focussize="0,0"/>
                    <v:stroke endarrow="block"/>
                    <v:imagedata o:title=""/>
                    <o:lock v:ext="edit"/>
                  </v:shape>
                  <v:rect id="矩形 1513" o:spid="_x0000_s2490" o:spt="1" style="position:absolute;left:5701;top:9566;height:424;width:92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">
                    <v:path/>
                    <v:fill on="f" focussize="0,0"/>
                    <v:stroke on="f"/>
                    <v:imagedata o:title=""/>
                    <o:lock v:ext="edit"/>
                    <v:textbox>
                      <w:txbxContent>
                        <w:p w14:paraId="38C6B203">
                          <w:pPr>
                            <w:jc w:val="center"/>
                          </w:pPr>
                          <w:r>
                            <w:rPr>
                              <w:rFonts w:hint="eastAsia"/>
                            </w:rPr>
                            <w:t>15</w:t>
                          </w:r>
                        </w:p>
                      </w:txbxContent>
                    </v:textbox>
                  </v:rect>
                  <v:rect id="矩形 1513" o:spid="_x0000_s2491" o:spt="1" style="position:absolute;left:5228;top:10106;height:424;width:92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">
                    <v:path/>
                    <v:fill on="f" focussize="0,0"/>
                    <v:stroke on="f"/>
                    <v:imagedata o:title=""/>
                    <o:lock v:ext="edit"/>
                    <v:textbox>
                      <w:txbxContent>
                        <w:p w14:paraId="39A7EC4A">
                          <w:pPr>
                            <w:jc w:val="center"/>
                          </w:pPr>
                          <w:r>
                            <w:rPr>
                              <w:rFonts w:hint="eastAsia"/>
                            </w:rPr>
                            <w:t>10</w:t>
                          </w:r>
                        </w:p>
                      </w:txbxContent>
                    </v:textbox>
                  </v:rect>
                  <v:rect id="矩形 1513" o:spid="_x0000_s2492" o:spt="1" style="position:absolute;left:7024;top:11217;height:495;width:136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">
                    <v:path/>
                    <v:fill on="f" focussize="0,0"/>
                    <v:stroke on="f"/>
                    <v:imagedata o:title=""/>
                    <o:lock v:ext="edit"/>
                    <v:textbox>
                      <w:txbxContent>
                        <w:p w14:paraId="7A20AC7E">
                          <w:pPr>
                            <w:jc w:val="center"/>
                          </w:pPr>
                          <w:r>
                            <w:rPr>
                              <w:rFonts w:hint="eastAsia"/>
                            </w:rPr>
                            <w:t>23910</w:t>
                          </w:r>
                        </w:p>
                      </w:txbxContent>
                    </v:textbox>
                  </v:rect>
                  <v:rect id="矩形 1513" o:spid="_x0000_s2495" o:spt="1" style="position:absolute;left:8311;top:12223;height:495;width:189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">
                    <v:path/>
                    <v:fill on="f" focussize="0,0"/>
                    <v:stroke on="f"/>
                    <v:imagedata o:title=""/>
                    <o:lock v:ext="edit"/>
                    <v:textbox>
                      <w:txbxContent>
                        <w:p w14:paraId="09348189">
                          <w:pPr>
                            <w:jc w:val="center"/>
                          </w:pPr>
                          <w:r>
                            <w:rPr>
                              <w:rFonts w:hint="eastAsia"/>
                            </w:rPr>
                            <w:t>定期清掏肥田</w:t>
                          </w:r>
                        </w:p>
                      </w:txbxContent>
                    </v:textbox>
                  </v:rect>
                  <v:rect id="矩形 1515" o:spid="_x0000_s2496" o:spt="1" style="position:absolute;left:7693;top:12091;height:495;width:102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">
                    <v:path/>
                    <v:fill on="f" focussize="0,0"/>
                    <v:stroke on="f"/>
                    <v:imagedata o:title=""/>
                    <o:lock v:ext="edit"/>
                    <v:textbox>
                      <w:txbxContent>
                        <w:p w14:paraId="3E5A127A">
                          <w:pPr>
                            <w:jc w:val="center"/>
                          </w:pPr>
                          <w:r>
                            <w:rPr>
                              <w:rFonts w:hint="eastAsia"/>
                            </w:rPr>
                            <w:t>2.88</w:t>
                          </w:r>
                        </w:p>
                      </w:txbxContent>
                    </v:textbox>
                  </v:rect>
                  <v:rect id="矩形 1513" o:spid="_x0000_s2529" o:spt="1" style="position:absolute;left:4193;top:6324;height:495;width:213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">
                    <v:path/>
                    <v:fill on="f" focussize="0,0"/>
                    <v:stroke on="f"/>
                    <v:imagedata o:title=""/>
                    <o:lock v:ext="edit"/>
                    <v:textbox>
                      <w:txbxContent>
                        <w:p w14:paraId="17895C6B">
                          <w:pPr>
                            <w:jc w:val="center"/>
                          </w:pPr>
                          <w:r>
                            <w:rPr>
                              <w:rFonts w:hint="eastAsia"/>
                            </w:rPr>
                            <w:t>烟气带入5</w:t>
                          </w:r>
                        </w:p>
                      </w:txbxContent>
                    </v:textbox>
                  </v:rect>
                  <v:shape id="_x0000_s2530" o:spid="_x0000_s2530" o:spt="32" type="#_x0000_t32" style="position:absolute;left:7874;top:12433;height:1;width:738;" o:connectortype="straight" filled="f" coordsize="21600,21600">
                    <v:path arrowok="t"/>
                    <v:fill on="f" focussize="0,0"/>
                    <v:stroke endarrow="block"/>
                    <v:imagedata o:title=""/>
                    <o:lock v:ext="edit"/>
                  </v:shape>
                  <v:shape id="_x0000_s2534" o:spid="_x0000_s2534" o:spt="32" type="#_x0000_t32" style="position:absolute;left:5203;top:6660;height:321;width:0;" o:connectortype="straight" filled="f" coordsize="21600,21600">
                    <v:path arrowok="t"/>
                    <v:fill on="f" focussize="0,0"/>
                    <v:stroke endarrow="block"/>
                    <v:imagedata o:title=""/>
                    <o:lock v:ext="edit"/>
                  </v:shape>
                </v:group>
              </w:pict>
            </w:r>
          </w:p>
          <w:p w14:paraId="2F3B3BFD">
            <w:pPr>
              <w:adjustRightInd w:val="0"/>
              <w:snapToGrid w:val="0"/>
              <w:spacing w:line="520" w:lineRule="exact"/>
              <w:ind w:firstLine="480" w:firstLineChars="200"/>
              <w:rPr>
                <w:bCs/>
                <w:color w:val="EE0000"/>
                <w:sz w:val="24"/>
              </w:rPr>
            </w:pPr>
          </w:p>
          <w:p w14:paraId="5A9FA14B">
            <w:pPr>
              <w:adjustRightInd w:val="0"/>
              <w:snapToGrid w:val="0"/>
              <w:spacing w:line="520" w:lineRule="exact"/>
              <w:ind w:firstLine="480" w:firstLineChars="200"/>
              <w:rPr>
                <w:bCs/>
                <w:color w:val="EE0000"/>
                <w:sz w:val="24"/>
              </w:rPr>
            </w:pPr>
          </w:p>
          <w:p w14:paraId="25BD898E">
            <w:pPr>
              <w:adjustRightInd w:val="0"/>
              <w:snapToGrid w:val="0"/>
              <w:spacing w:line="520" w:lineRule="exact"/>
              <w:ind w:firstLine="480" w:firstLineChars="200"/>
              <w:rPr>
                <w:bCs/>
                <w:color w:val="EE0000"/>
                <w:sz w:val="24"/>
              </w:rPr>
            </w:pPr>
          </w:p>
          <w:p w14:paraId="4BBB33A9">
            <w:pPr>
              <w:adjustRightInd w:val="0"/>
              <w:snapToGrid w:val="0"/>
              <w:spacing w:line="520" w:lineRule="exact"/>
              <w:ind w:firstLine="480" w:firstLineChars="200"/>
              <w:rPr>
                <w:bCs/>
                <w:color w:val="EE0000"/>
                <w:sz w:val="24"/>
              </w:rPr>
            </w:pPr>
          </w:p>
          <w:p w14:paraId="5B9D23F3">
            <w:pPr>
              <w:adjustRightInd w:val="0"/>
              <w:snapToGrid w:val="0"/>
              <w:spacing w:line="520" w:lineRule="exact"/>
              <w:ind w:firstLine="480" w:firstLineChars="200"/>
              <w:rPr>
                <w:bCs/>
                <w:color w:val="EE0000"/>
                <w:sz w:val="24"/>
              </w:rPr>
            </w:pPr>
          </w:p>
          <w:p w14:paraId="5AD6391A">
            <w:pPr>
              <w:adjustRightInd w:val="0"/>
              <w:snapToGrid w:val="0"/>
              <w:spacing w:line="520" w:lineRule="exact"/>
              <w:ind w:firstLine="480" w:firstLineChars="200"/>
              <w:rPr>
                <w:bCs/>
                <w:color w:val="EE0000"/>
                <w:sz w:val="24"/>
              </w:rPr>
            </w:pPr>
          </w:p>
          <w:p w14:paraId="715B3D52">
            <w:pPr>
              <w:adjustRightInd w:val="0"/>
              <w:snapToGrid w:val="0"/>
              <w:spacing w:line="520" w:lineRule="exact"/>
              <w:ind w:firstLine="480" w:firstLineChars="200"/>
              <w:rPr>
                <w:bCs/>
                <w:color w:val="EE0000"/>
                <w:sz w:val="24"/>
              </w:rPr>
            </w:pPr>
          </w:p>
          <w:p w14:paraId="1423892E">
            <w:pPr>
              <w:adjustRightInd w:val="0"/>
              <w:snapToGrid w:val="0"/>
              <w:spacing w:line="520" w:lineRule="exact"/>
              <w:ind w:firstLine="480" w:firstLineChars="200"/>
              <w:rPr>
                <w:bCs/>
                <w:color w:val="EE0000"/>
                <w:sz w:val="24"/>
              </w:rPr>
            </w:pPr>
          </w:p>
          <w:p w14:paraId="1BB138EA">
            <w:pPr>
              <w:adjustRightInd w:val="0"/>
              <w:snapToGrid w:val="0"/>
              <w:spacing w:line="520" w:lineRule="exact"/>
              <w:ind w:firstLine="480" w:firstLineChars="200"/>
              <w:rPr>
                <w:bCs/>
                <w:color w:val="EE0000"/>
                <w:sz w:val="24"/>
              </w:rPr>
            </w:pPr>
          </w:p>
          <w:p w14:paraId="72A38976">
            <w:pPr>
              <w:adjustRightInd w:val="0"/>
              <w:snapToGrid w:val="0"/>
              <w:spacing w:line="520" w:lineRule="exact"/>
              <w:ind w:firstLine="480" w:firstLineChars="200"/>
              <w:rPr>
                <w:bCs/>
                <w:color w:val="EE0000"/>
                <w:sz w:val="24"/>
              </w:rPr>
            </w:pPr>
          </w:p>
          <w:p w14:paraId="77227AA6">
            <w:pPr>
              <w:adjustRightInd w:val="0"/>
              <w:snapToGrid w:val="0"/>
              <w:spacing w:line="520" w:lineRule="exact"/>
              <w:ind w:firstLine="480" w:firstLineChars="200"/>
              <w:rPr>
                <w:bCs/>
                <w:color w:val="EE0000"/>
                <w:sz w:val="24"/>
              </w:rPr>
            </w:pPr>
          </w:p>
          <w:p w14:paraId="17F67D0D">
            <w:pPr>
              <w:adjustRightInd w:val="0"/>
              <w:snapToGrid w:val="0"/>
              <w:spacing w:line="520" w:lineRule="exact"/>
              <w:ind w:firstLine="480" w:firstLineChars="200"/>
              <w:rPr>
                <w:bCs/>
                <w:color w:val="EE0000"/>
                <w:sz w:val="24"/>
              </w:rPr>
            </w:pPr>
          </w:p>
          <w:p w14:paraId="2DC167D3">
            <w:pPr>
              <w:adjustRightInd w:val="0"/>
              <w:snapToGrid w:val="0"/>
              <w:spacing w:line="520" w:lineRule="exact"/>
              <w:ind w:firstLine="480" w:firstLineChars="200"/>
              <w:rPr>
                <w:bCs/>
                <w:color w:val="EE0000"/>
                <w:sz w:val="24"/>
              </w:rPr>
            </w:pPr>
          </w:p>
          <w:p w14:paraId="21C18E42">
            <w:pPr>
              <w:adjustRightInd w:val="0"/>
              <w:snapToGrid w:val="0"/>
              <w:spacing w:line="520" w:lineRule="exact"/>
              <w:ind w:firstLine="480" w:firstLineChars="200"/>
              <w:rPr>
                <w:bCs/>
                <w:color w:val="EE0000"/>
                <w:sz w:val="24"/>
              </w:rPr>
            </w:pPr>
          </w:p>
          <w:p w14:paraId="28152F96">
            <w:pPr>
              <w:adjustRightInd w:val="0"/>
              <w:snapToGrid w:val="0"/>
              <w:spacing w:line="520" w:lineRule="exact"/>
              <w:ind w:firstLine="480" w:firstLineChars="200"/>
              <w:rPr>
                <w:bCs/>
                <w:color w:val="EE0000"/>
                <w:sz w:val="24"/>
              </w:rPr>
            </w:pPr>
          </w:p>
          <w:p w14:paraId="61128CB0">
            <w:pPr>
              <w:adjustRightInd w:val="0"/>
              <w:snapToGrid w:val="0"/>
              <w:spacing w:line="520" w:lineRule="exact"/>
              <w:ind w:firstLine="480" w:firstLineChars="200"/>
              <w:rPr>
                <w:bCs/>
                <w:color w:val="EE0000"/>
                <w:sz w:val="24"/>
              </w:rPr>
            </w:pPr>
          </w:p>
          <w:p w14:paraId="2CE54A41">
            <w:pPr>
              <w:adjustRightInd w:val="0"/>
              <w:snapToGrid w:val="0"/>
              <w:spacing w:line="520" w:lineRule="exact"/>
              <w:ind w:firstLine="480" w:firstLineChars="200"/>
              <w:rPr>
                <w:bCs/>
                <w:color w:val="EE0000"/>
                <w:sz w:val="24"/>
              </w:rPr>
            </w:pPr>
          </w:p>
          <w:p w14:paraId="05E85C8C">
            <w:pPr>
              <w:adjustRightInd w:val="0"/>
              <w:snapToGrid w:val="0"/>
              <w:spacing w:line="520" w:lineRule="exact"/>
              <w:ind w:firstLine="480" w:firstLineChars="200"/>
              <w:rPr>
                <w:bCs/>
                <w:color w:val="EE0000"/>
                <w:sz w:val="24"/>
              </w:rPr>
            </w:pPr>
          </w:p>
          <w:p w14:paraId="494CA980">
            <w:pPr>
              <w:adjustRightInd w:val="0"/>
              <w:snapToGrid w:val="0"/>
              <w:spacing w:line="520" w:lineRule="exact"/>
              <w:ind w:firstLine="480" w:firstLineChars="200"/>
              <w:rPr>
                <w:bCs/>
                <w:color w:val="EE0000"/>
                <w:sz w:val="24"/>
              </w:rPr>
            </w:pPr>
          </w:p>
          <w:p w14:paraId="74ABAB39">
            <w:pPr>
              <w:adjustRightInd w:val="0"/>
              <w:snapToGrid w:val="0"/>
              <w:spacing w:line="520" w:lineRule="exact"/>
              <w:ind w:firstLine="480" w:firstLineChars="200"/>
              <w:rPr>
                <w:bCs/>
                <w:color w:val="EE0000"/>
                <w:sz w:val="24"/>
              </w:rPr>
            </w:pPr>
          </w:p>
          <w:p w14:paraId="3B51A7C3">
            <w:pPr>
              <w:adjustRightInd w:val="0"/>
              <w:snapToGrid w:val="0"/>
              <w:spacing w:line="520" w:lineRule="exact"/>
              <w:rPr>
                <w:bCs/>
                <w:color w:val="EE0000"/>
                <w:sz w:val="24"/>
              </w:rPr>
            </w:pPr>
          </w:p>
          <w:p w14:paraId="5FE66895">
            <w:pPr>
              <w:adjustRightInd w:val="0"/>
              <w:snapToGrid w:val="0"/>
              <w:spacing w:line="520" w:lineRule="exact"/>
              <w:ind w:firstLine="480" w:firstLineChars="200"/>
              <w:rPr>
                <w:bCs/>
                <w:sz w:val="24"/>
              </w:rPr>
            </w:pPr>
            <w:r>
              <w:rPr>
                <w:bCs/>
                <w:sz w:val="24"/>
              </w:rPr>
              <w:t>（2）供电</w:t>
            </w:r>
          </w:p>
          <w:p w14:paraId="2547003C">
            <w:pPr>
              <w:adjustRightInd w:val="0"/>
              <w:snapToGrid w:val="0"/>
              <w:spacing w:line="520" w:lineRule="exact"/>
              <w:ind w:firstLine="480" w:firstLineChars="200"/>
              <w:rPr>
                <w:bCs/>
                <w:sz w:val="24"/>
              </w:rPr>
            </w:pPr>
            <w:r>
              <w:rPr>
                <w:bCs/>
                <w:sz w:val="24"/>
              </w:rPr>
              <w:t>项目用电由闹店镇市政电网供给，全厂年用电量1080万kW•h。</w:t>
            </w:r>
          </w:p>
          <w:p w14:paraId="2FE0CB0D">
            <w:pPr>
              <w:adjustRightInd w:val="0"/>
              <w:snapToGrid w:val="0"/>
              <w:spacing w:line="520" w:lineRule="exact"/>
              <w:rPr>
                <w:rFonts w:eastAsia="黑体"/>
                <w:sz w:val="24"/>
              </w:rPr>
            </w:pPr>
            <w:r>
              <w:rPr>
                <w:rFonts w:eastAsia="黑体"/>
                <w:sz w:val="24"/>
              </w:rPr>
              <w:t>8、劳动定员及工作制度</w:t>
            </w:r>
          </w:p>
          <w:p w14:paraId="5DDA6F9D">
            <w:pPr>
              <w:adjustRightInd w:val="0"/>
              <w:snapToGrid w:val="0"/>
              <w:spacing w:line="520" w:lineRule="exact"/>
              <w:ind w:firstLine="480" w:firstLineChars="200"/>
              <w:rPr>
                <w:kern w:val="0"/>
                <w:sz w:val="24"/>
                <w:u w:val="single"/>
              </w:rPr>
            </w:pPr>
            <w:r>
              <w:rPr>
                <w:bCs/>
                <w:sz w:val="24"/>
              </w:rPr>
              <w:t>项目劳动定员60人，年工作330d，采用3班24小时工作制。</w:t>
            </w:r>
          </w:p>
          <w:p w14:paraId="1FF8B53A">
            <w:pPr>
              <w:adjustRightInd w:val="0"/>
              <w:snapToGrid w:val="0"/>
              <w:spacing w:line="520" w:lineRule="exact"/>
              <w:rPr>
                <w:rFonts w:eastAsia="黑体"/>
                <w:sz w:val="24"/>
              </w:rPr>
            </w:pPr>
            <w:r>
              <w:rPr>
                <w:rFonts w:eastAsia="黑体"/>
                <w:sz w:val="24"/>
              </w:rPr>
              <w:t>9、总平面布置</w:t>
            </w:r>
          </w:p>
          <w:p w14:paraId="244B7068">
            <w:pPr>
              <w:adjustRightInd w:val="0"/>
              <w:snapToGrid w:val="0"/>
              <w:spacing w:line="520" w:lineRule="exact"/>
              <w:ind w:firstLine="480" w:firstLineChars="200"/>
              <w:rPr>
                <w:bCs/>
                <w:sz w:val="24"/>
              </w:rPr>
            </w:pPr>
            <w:r>
              <w:rPr>
                <w:bCs/>
                <w:sz w:val="24"/>
              </w:rPr>
              <w:t>本项目依托三兴建材现有厂区进行建设，利用现有各生产车间、原料库等，在现有车间内升级和新增设备，升级现有窑炉烟气处理设施，以使项目运营期可达到年产1.2亿块标砖的生产能力。</w:t>
            </w:r>
          </w:p>
          <w:p w14:paraId="234D27B9">
            <w:pPr>
              <w:adjustRightInd w:val="0"/>
              <w:snapToGrid w:val="0"/>
              <w:spacing w:line="520" w:lineRule="exact"/>
              <w:ind w:firstLine="480" w:firstLineChars="200"/>
              <w:rPr>
                <w:bCs/>
                <w:color w:val="EE0000"/>
                <w:sz w:val="24"/>
              </w:rPr>
            </w:pPr>
            <w:r>
              <w:rPr>
                <w:bCs/>
                <w:sz w:val="24"/>
              </w:rPr>
              <w:t>项目厂区主要分为三个区块，东南部为办公生活区，东北部为生产区，西部为产品堆场，生产区与办公区之间有道路相隔，生产活动不会影响办公生活。生产区布置紧凑，原料储存于原料库，依次进入破碎车间、混料车间、陈化车间、成型车间、烧结车间，卸车棚，原料单向流动；窑车由成型车间→烧结车间→卸车棚形成连续循环系统，避免物流交叉与折返，提高了生产连续性。厂区平面布置做到了人流、物流通畅，平面布局合理（项目全厂平面布置图见附图4）。</w:t>
            </w:r>
          </w:p>
        </w:tc>
      </w:tr>
      <w:tr w14:paraId="186F9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14:paraId="3F8D62A0">
            <w:pPr>
              <w:pStyle w:val="32"/>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工艺流程和产排污环节</w:t>
            </w:r>
          </w:p>
        </w:tc>
        <w:tc>
          <w:tcPr>
            <w:tcW w:w="8525" w:type="dxa"/>
          </w:tcPr>
          <w:p w14:paraId="2E0D6D37">
            <w:pPr>
              <w:spacing w:line="520" w:lineRule="exact"/>
              <w:rPr>
                <w:rFonts w:eastAsia="黑体"/>
                <w:sz w:val="24"/>
              </w:rPr>
            </w:pPr>
            <w:r>
              <w:rPr>
                <w:rFonts w:eastAsia="黑体"/>
                <w:sz w:val="24"/>
              </w:rPr>
              <w:t>1、施工期生产工艺流程及产污环节</w:t>
            </w:r>
          </w:p>
          <w:p w14:paraId="6B95BEA6">
            <w:pPr>
              <w:adjustRightInd w:val="0"/>
              <w:snapToGrid w:val="0"/>
              <w:spacing w:line="520" w:lineRule="exact"/>
              <w:ind w:firstLine="480" w:firstLineChars="200"/>
              <w:rPr>
                <w:bCs/>
                <w:sz w:val="24"/>
              </w:rPr>
            </w:pPr>
            <w:r>
              <w:rPr>
                <w:bCs/>
                <w:sz w:val="24"/>
              </w:rPr>
              <w:t>本项目依托三兴建材现有厂区进行建设，利用现有各生产车间、原料库、卸车棚等，不新建厂房。</w:t>
            </w:r>
            <w:r>
              <w:rPr>
                <w:bCs/>
                <w:color w:val="EE0000"/>
                <w:sz w:val="24"/>
                <w:u w:val="single"/>
              </w:rPr>
              <w:t>主要工程内容为现有隧道窑拆除、重建；新增破碎筛分设备及其集尘除尘系统；窑炉烟气处理系统及脱硫废水处理系统升级重建。</w:t>
            </w:r>
            <w:r>
              <w:rPr>
                <w:bCs/>
                <w:sz w:val="24"/>
              </w:rPr>
              <w:t>项目施工期主要产生施工扬尘、施工噪声、废水及固体废物，主要施工活动在现有车间内进行，施工期短，施工期影响随施工期的结束而结束。</w:t>
            </w:r>
          </w:p>
          <w:p w14:paraId="68754AEA">
            <w:pPr>
              <w:spacing w:line="520" w:lineRule="exact"/>
              <w:rPr>
                <w:rFonts w:eastAsia="黑体"/>
                <w:sz w:val="24"/>
              </w:rPr>
            </w:pPr>
            <w:r>
              <w:rPr>
                <w:rFonts w:eastAsia="黑体"/>
                <w:sz w:val="24"/>
              </w:rPr>
              <w:t>2、运营期工艺流程及产污环节分析</w:t>
            </w:r>
          </w:p>
          <w:p w14:paraId="76C7E964">
            <w:pPr>
              <w:pStyle w:val="189"/>
              <w:adjustRightInd w:val="0"/>
              <w:snapToGrid w:val="0"/>
              <w:spacing w:before="0" w:after="0"/>
              <w:ind w:firstLine="0" w:firstLineChars="0"/>
              <w:rPr>
                <w:rFonts w:ascii="Times New Roman" w:hAnsi="Times New Roman" w:eastAsia="黑体"/>
                <w:bCs w:val="0"/>
                <w:kern w:val="2"/>
              </w:rPr>
            </w:pPr>
            <w:r>
              <w:rPr>
                <w:rFonts w:ascii="Times New Roman" w:hAnsi="Times New Roman" w:eastAsia="黑体"/>
                <w:bCs w:val="0"/>
                <w:kern w:val="2"/>
              </w:rPr>
              <w:t>2.1运营期工艺流程</w:t>
            </w:r>
          </w:p>
          <w:p w14:paraId="6E51A13A">
            <w:pPr>
              <w:pStyle w:val="189"/>
              <w:adjustRightInd w:val="0"/>
              <w:snapToGrid w:val="0"/>
              <w:spacing w:before="0" w:after="0"/>
              <w:rPr>
                <w:rFonts w:ascii="Times New Roman" w:hAnsi="Times New Roman"/>
                <w:kern w:val="2"/>
              </w:rPr>
            </w:pPr>
            <w:r>
              <w:rPr>
                <w:rFonts w:ascii="Times New Roman" w:hAnsi="Times New Roman"/>
                <w:bCs w:val="0"/>
              </w:rPr>
              <w:t>本项目运营期</w:t>
            </w:r>
            <w:r>
              <w:rPr>
                <w:rFonts w:ascii="Times New Roman" w:hAnsi="Times New Roman"/>
                <w:kern w:val="2"/>
              </w:rPr>
              <w:t>生产工艺流程及产污环节示意图如下：</w:t>
            </w:r>
          </w:p>
          <w:p w14:paraId="7067EF76">
            <w:pPr>
              <w:pStyle w:val="189"/>
              <w:adjustRightInd w:val="0"/>
              <w:snapToGrid w:val="0"/>
              <w:spacing w:before="0" w:after="0"/>
              <w:rPr>
                <w:rFonts w:ascii="Times New Roman" w:hAnsi="Times New Roman"/>
                <w:color w:val="EE0000"/>
              </w:rPr>
            </w:pPr>
          </w:p>
          <w:p w14:paraId="562BB2CE">
            <w:pPr>
              <w:pStyle w:val="189"/>
              <w:adjustRightInd w:val="0"/>
              <w:snapToGrid w:val="0"/>
              <w:spacing w:before="0" w:after="0"/>
              <w:rPr>
                <w:rFonts w:ascii="Times New Roman" w:hAnsi="Times New Roman"/>
                <w:color w:val="EE0000"/>
              </w:rPr>
            </w:pPr>
          </w:p>
          <w:p w14:paraId="33055682">
            <w:pPr>
              <w:pStyle w:val="189"/>
              <w:adjustRightInd w:val="0"/>
              <w:snapToGrid w:val="0"/>
              <w:spacing w:before="0" w:after="0"/>
              <w:ind w:firstLine="0" w:firstLineChars="0"/>
              <w:rPr>
                <w:rFonts w:ascii="Times New Roman" w:hAnsi="Times New Roman"/>
                <w:color w:val="EE0000"/>
              </w:rPr>
            </w:pPr>
          </w:p>
          <w:p w14:paraId="222AC595">
            <w:pPr>
              <w:pStyle w:val="189"/>
              <w:adjustRightInd w:val="0"/>
              <w:snapToGrid w:val="0"/>
              <w:spacing w:before="0" w:after="0"/>
              <w:rPr>
                <w:rFonts w:ascii="Times New Roman" w:hAnsi="Times New Roman"/>
                <w:color w:val="EE0000"/>
              </w:rPr>
            </w:pPr>
          </w:p>
          <w:p w14:paraId="1885BAE5">
            <w:pPr>
              <w:pStyle w:val="189"/>
              <w:adjustRightInd w:val="0"/>
              <w:snapToGrid w:val="0"/>
              <w:spacing w:before="0" w:after="0"/>
              <w:rPr>
                <w:rFonts w:ascii="Times New Roman" w:hAnsi="Times New Roman"/>
                <w:color w:val="EE0000"/>
              </w:rPr>
            </w:pPr>
          </w:p>
          <w:p w14:paraId="71C918BC">
            <w:pPr>
              <w:pStyle w:val="189"/>
              <w:adjustRightInd w:val="0"/>
              <w:snapToGrid w:val="0"/>
              <w:spacing w:before="0" w:after="0"/>
              <w:rPr>
                <w:rFonts w:ascii="Times New Roman" w:hAnsi="Times New Roman"/>
                <w:color w:val="EE0000"/>
              </w:rPr>
            </w:pPr>
            <w:r>
              <w:rPr>
                <w:rFonts w:ascii="Times New Roman" w:hAnsi="Times New Roman"/>
                <w:color w:val="EE0000"/>
              </w:rPr>
              <w:pict>
                <v:group id="_x0000_s2524" o:spid="_x0000_s2524" o:spt="203" style="position:absolute;left:0pt;margin-left:66.9pt;margin-top:10pt;height:597.45pt;width:356.9pt;z-index:251660288;mso-width-relative:page;mso-height-relative:page;" coordorigin="2390,2713" coordsize="7138,11949">
                  <o:lock v:ext="edit"/>
                  <v:rect id="Rectangle 447" o:spid="_x0000_s2204" o:spt="1" style="position:absolute;left:4372;top:2713;height:530;width:278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">
                    <v:path/>
                    <v:fill on="f" focussize="0,0"/>
                    <v:stroke on="f"/>
                    <v:imagedata o:title=""/>
                    <o:lock v:ext="edit"/>
                    <v:textbox>
                      <w:txbxContent>
                        <w:p w14:paraId="29529479">
                          <w:pPr>
                            <w:jc w:val="center"/>
                            <w:rPr>
                              <w:u w:val="single"/>
                            </w:rPr>
                          </w:pPr>
                          <w:r>
                            <w:rPr>
                              <w:rFonts w:hint="eastAsia"/>
                              <w:u w:val="single"/>
                            </w:rPr>
                            <w:t>煤矸石、建筑垃圾</w:t>
                          </w:r>
                        </w:p>
                      </w:txbxContent>
                    </v:textbox>
                  </v:rect>
                  <v:rect id="Rectangle 386" o:spid="_x0000_s2266" o:spt="1" style="position:absolute;left:5178;top:3386;height:412;width:814;"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">
                    <v:path/>
                    <v:fill on="f" focussize="0,0"/>
                    <v:stroke/>
                    <v:imagedata o:title=""/>
                    <o:lock v:ext="edit"/>
                    <v:textbox>
                      <w:txbxContent>
                        <w:p w14:paraId="1F83114C">
                          <w:pPr>
                            <w:jc w:val="center"/>
                          </w:pPr>
                          <w:r>
                            <w:rPr>
                              <w:rFonts w:hint="eastAsia"/>
                            </w:rPr>
                            <w:t>喂料</w:t>
                          </w:r>
                        </w:p>
                      </w:txbxContent>
                    </v:textbox>
                  </v:rect>
                  <v:shape id="AutoShape 388" o:spid="_x0000_s2264" o:spt="32" type="#_x0000_t32" style="position:absolute;left:5605;top:3095;height:319;width: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">
                    <v:path arrowok="t"/>
                    <v:fill on="f" focussize="0,0"/>
                    <v:stroke endarrow="block"/>
                    <v:imagedata o:title=""/>
                    <o:lock v:ext="edit"/>
                  </v:shape>
                  <v:rect id="Rectangle 390" o:spid="_x0000_s2262" o:spt="1" style="position:absolute;left:4985;top:4142;height:410;width:1260;"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">
                    <v:path/>
                    <v:fill on="f" focussize="0,0"/>
                    <v:stroke/>
                    <v:imagedata o:title=""/>
                    <o:lock v:ext="edit"/>
                    <v:textbox>
                      <w:txbxContent>
                        <w:p w14:paraId="488CCD60">
                          <w:pPr>
                            <w:jc w:val="center"/>
                          </w:pPr>
                          <w:r>
                            <w:rPr>
                              <w:rFonts w:hint="eastAsia"/>
                            </w:rPr>
                            <w:t>锤式破碎</w:t>
                          </w:r>
                        </w:p>
                      </w:txbxContent>
                    </v:textbox>
                  </v:rect>
                  <v:rect id="Rectangle 391" o:spid="_x0000_s2261" o:spt="1" style="position:absolute;left:5226;top:5092;height:386;width:802;"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">
                    <v:path/>
                    <v:fill on="f" focussize="0,0"/>
                    <v:stroke/>
                    <v:imagedata o:title=""/>
                    <o:lock v:ext="edit"/>
                    <v:textbox>
                      <w:txbxContent>
                        <w:p w14:paraId="5AAD2CBB">
                          <w:pPr>
                            <w:jc w:val="center"/>
                          </w:pPr>
                          <w:r>
                            <w:rPr>
                              <w:rFonts w:hint="eastAsia"/>
                            </w:rPr>
                            <w:t>筛分</w:t>
                          </w:r>
                        </w:p>
                      </w:txbxContent>
                    </v:textbox>
                  </v:rect>
                  <v:rect id="Rectangle 392" o:spid="_x0000_s2260" o:spt="1" style="position:absolute;left:5263;top:5897;height:410;width:802;"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">
                    <v:path/>
                    <v:fill on="f" focussize="0,0"/>
                    <v:stroke/>
                    <v:imagedata o:title=""/>
                    <o:lock v:ext="edit"/>
                    <v:textbox>
                      <w:txbxContent>
                        <w:p w14:paraId="6B1ADAE2">
                          <w:pPr>
                            <w:jc w:val="center"/>
                          </w:pPr>
                          <w:r>
                            <w:rPr>
                              <w:rFonts w:hint="eastAsia"/>
                            </w:rPr>
                            <w:t>搅拌</w:t>
                          </w:r>
                        </w:p>
                      </w:txbxContent>
                    </v:textbox>
                  </v:rect>
                  <v:shape id="AutoShape 393" o:spid="_x0000_s2259" o:spt="32" type="#_x0000_t32" style="position:absolute;left:4677;top:6119;height:0;width:616;"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">
                    <v:path arrowok="t"/>
                    <v:fill on="f" focussize="0,0"/>
                    <v:stroke dashstyle="dash" endarrow="block"/>
                    <v:imagedata o:title=""/>
                    <o:lock v:ext="edit"/>
                  </v:shape>
                  <v:rect id="Rectangle 394" o:spid="_x0000_s2258" o:spt="1" style="position:absolute;left:3273;top:5939;height:470;width:169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">
                    <v:path/>
                    <v:fill on="f" focussize="0,0"/>
                    <v:stroke on="f"/>
                    <v:imagedata o:title=""/>
                    <o:lock v:ext="edit"/>
                    <v:textbox>
                      <w:txbxContent>
                        <w:p w14:paraId="7CEA2265">
                          <w:pPr>
                            <w:jc w:val="center"/>
                          </w:pPr>
                          <w:r>
                            <w:rPr>
                              <w:rFonts w:hint="eastAsia"/>
                            </w:rPr>
                            <w:t>水、污泥</w:t>
                          </w:r>
                        </w:p>
                      </w:txbxContent>
                    </v:textbox>
                  </v:rect>
                  <v:rect id="Rectangle 395" o:spid="_x0000_s2257" o:spt="1" style="position:absolute;left:5256;top:6658;height:410;width:802;"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">
                    <v:path/>
                    <v:fill on="f" focussize="0,0"/>
                    <v:stroke/>
                    <v:imagedata o:title=""/>
                    <o:lock v:ext="edit"/>
                    <v:textbox>
                      <w:txbxContent>
                        <w:p w14:paraId="6B0C83A8">
                          <w:pPr>
                            <w:jc w:val="center"/>
                          </w:pPr>
                          <w:r>
                            <w:rPr>
                              <w:rFonts w:hint="eastAsia"/>
                            </w:rPr>
                            <w:t>陈化</w:t>
                          </w:r>
                        </w:p>
                      </w:txbxContent>
                    </v:textbox>
                  </v:rect>
                  <v:rect id="Rectangle 397" o:spid="_x0000_s2255" o:spt="1" style="position:absolute;left:5067;top:7411;height:410;width:1196;"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">
                    <v:path/>
                    <v:fill on="f" focussize="0,0"/>
                    <v:stroke/>
                    <v:imagedata o:title=""/>
                    <o:lock v:ext="edit"/>
                    <v:textbox>
                      <w:txbxContent>
                        <w:p w14:paraId="0F29A8A5">
                          <w:pPr>
                            <w:jc w:val="center"/>
                          </w:pPr>
                          <w:r>
                            <w:rPr>
                              <w:rFonts w:hint="eastAsia"/>
                            </w:rPr>
                            <w:t>二次搅拌</w:t>
                          </w:r>
                        </w:p>
                      </w:txbxContent>
                    </v:textbox>
                  </v:rect>
                  <v:shape id="AutoShape 398" o:spid="_x0000_s2254" o:spt="32" type="#_x0000_t32" style="position:absolute;left:4481;top:7519;height:0;width:616;"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">
                    <v:path arrowok="t"/>
                    <v:fill on="f" focussize="0,0"/>
                    <v:stroke dashstyle="dash" endarrow="block"/>
                    <v:imagedata o:title=""/>
                    <o:lock v:ext="edit"/>
                  </v:shape>
                  <v:rect id="Rectangle 399" o:spid="_x0000_s2253" o:spt="1" style="position:absolute;left:3843;top:7283;height:470;width:98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">
                    <v:path/>
                    <v:fill on="f" focussize="0,0"/>
                    <v:stroke on="f"/>
                    <v:imagedata o:title=""/>
                    <o:lock v:ext="edit"/>
                    <v:textbox>
                      <w:txbxContent>
                        <w:p w14:paraId="09D396B0">
                          <w:pPr>
                            <w:jc w:val="center"/>
                          </w:pPr>
                          <w:r>
                            <w:rPr>
                              <w:rFonts w:hint="eastAsia"/>
                            </w:rPr>
                            <w:t>水</w:t>
                          </w:r>
                        </w:p>
                      </w:txbxContent>
                    </v:textbox>
                  </v:rect>
                  <v:rect id="Rectangle 400" o:spid="_x0000_s2252" o:spt="1" style="position:absolute;left:5277;top:8196;height:410;width:802;"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">
                    <v:path/>
                    <v:fill on="f" focussize="0,0"/>
                    <v:stroke/>
                    <v:imagedata o:title=""/>
                    <o:lock v:ext="edit"/>
                    <v:textbox>
                      <w:txbxContent>
                        <w:p w14:paraId="1E24687B">
                          <w:pPr>
                            <w:jc w:val="center"/>
                          </w:pPr>
                          <w:r>
                            <w:rPr>
                              <w:rFonts w:hint="eastAsia"/>
                            </w:rPr>
                            <w:t>挤砖</w:t>
                          </w:r>
                        </w:p>
                      </w:txbxContent>
                    </v:textbox>
                  </v:rect>
                  <v:rect id="Rectangle 401" o:spid="_x0000_s2251" o:spt="1" style="position:absolute;left:4991;top:9056;height:410;width:1406;"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">
                    <v:path/>
                    <v:fill on="f" focussize="0,0"/>
                    <v:stroke/>
                    <v:imagedata o:title=""/>
                    <o:lock v:ext="edit"/>
                    <v:textbox>
                      <w:txbxContent>
                        <w:p w14:paraId="3A80B966">
                          <w:pPr>
                            <w:jc w:val="center"/>
                          </w:pPr>
                          <w:r>
                            <w:rPr>
                              <w:rFonts w:hint="eastAsia"/>
                            </w:rPr>
                            <w:t>切、码、运</w:t>
                          </w:r>
                        </w:p>
                      </w:txbxContent>
                    </v:textbox>
                  </v:rect>
                  <v:shape id="AutoShape 402" o:spid="_x0000_s2250" o:spt="32" type="#_x0000_t32" style="position:absolute;left:5666;top:8606;height:454;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">
                    <v:path arrowok="t"/>
                    <v:fill on="f" focussize="0,0"/>
                    <v:stroke endarrow="block"/>
                    <v:imagedata o:title=""/>
                    <o:lock v:ext="edit"/>
                  </v:shape>
                  <v:shape id="AutoShape 403" o:spid="_x0000_s2249" o:spt="32" type="#_x0000_t32" style="position:absolute;left:5609;top:3800;height:353;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">
                    <v:path arrowok="t"/>
                    <v:fill on="f" focussize="0,0"/>
                    <v:stroke endarrow="block"/>
                    <v:imagedata o:title=""/>
                    <o:lock v:ext="edit"/>
                  </v:shape>
                  <v:shape id="AutoShape 404" o:spid="_x0000_s2248" o:spt="32" type="#_x0000_t32" style="position:absolute;left:5609;top:4547;height:568;width: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">
                    <v:path arrowok="t"/>
                    <v:fill on="f" focussize="0,0"/>
                    <v:stroke endarrow="block"/>
                    <v:imagedata o:title=""/>
                    <o:lock v:ext="edit"/>
                  </v:shape>
                  <v:shape id="AutoShape 406" o:spid="_x0000_s2246" o:spt="32" type="#_x0000_t32" style="position:absolute;left:5656;top:6324;height:353;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">
                    <v:path arrowok="t"/>
                    <v:fill on="f" focussize="0,0"/>
                    <v:stroke endarrow="block"/>
                    <v:imagedata o:title=""/>
                    <o:lock v:ext="edit"/>
                  </v:shape>
                  <v:shape id="AutoShape 407" o:spid="_x0000_s2245" o:spt="32" type="#_x0000_t32" style="position:absolute;left:5675;top:7068;height:353;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">
                    <v:path arrowok="t"/>
                    <v:fill on="f" focussize="0,0"/>
                    <v:stroke endarrow="block"/>
                    <v:imagedata o:title=""/>
                    <o:lock v:ext="edit"/>
                  </v:shape>
                  <v:shape id="AutoShape 409" o:spid="_x0000_s2243" o:spt="32" type="#_x0000_t32" style="position:absolute;left:5664;top:7848;height:353;width: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">
                    <v:path arrowok="t"/>
                    <v:fill on="f" focussize="0,0"/>
                    <v:stroke endarrow="block"/>
                    <v:imagedata o:title=""/>
                    <o:lock v:ext="edit"/>
                  </v:shape>
                  <v:shape id="AutoShape 410" o:spid="_x0000_s2242" o:spt="32" type="#_x0000_t32" style="position:absolute;left:5690;top:9463;height:375;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">
                    <v:path arrowok="t"/>
                    <v:fill on="f" focussize="0,0"/>
                    <v:stroke endarrow="block"/>
                    <v:imagedata o:title=""/>
                    <o:lock v:ext="edit"/>
                  </v:shape>
                  <v:rect id="Rectangle 411" o:spid="_x0000_s2241" o:spt="1" style="position:absolute;left:5077;top:9851;height:410;width:1231;"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">
                    <v:path/>
                    <v:fill on="f" focussize="0,0"/>
                    <v:stroke/>
                    <v:imagedata o:title=""/>
                    <o:lock v:ext="edit"/>
                    <v:textbox>
                      <w:txbxContent>
                        <w:p w14:paraId="20AF3724">
                          <w:pPr>
                            <w:jc w:val="center"/>
                          </w:pPr>
                          <w:r>
                            <w:rPr>
                              <w:rFonts w:hint="eastAsia"/>
                            </w:rPr>
                            <w:t>干燥排潮</w:t>
                          </w:r>
                        </w:p>
                      </w:txbxContent>
                    </v:textbox>
                  </v:rect>
                  <v:shape id="AutoShape 412" o:spid="_x0000_s2240" o:spt="32" type="#_x0000_t32" style="position:absolute;left:5712;top:10278;height:353;width: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">
                    <v:path arrowok="t"/>
                    <v:fill on="f" focussize="0,0"/>
                    <v:stroke endarrow="block"/>
                    <v:imagedata o:title=""/>
                    <o:lock v:ext="edit"/>
                  </v:shape>
                  <v:rect id="Rectangle 413" o:spid="_x0000_s2239" o:spt="1" style="position:absolute;left:5119;top:10631;height:410;width:1231;"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">
                    <v:path/>
                    <v:fill on="f" focussize="0,0"/>
                    <v:stroke/>
                    <v:imagedata o:title=""/>
                    <o:lock v:ext="edit"/>
                    <v:textbox>
                      <w:txbxContent>
                        <w:p w14:paraId="30C7E55C">
                          <w:pPr>
                            <w:jc w:val="center"/>
                          </w:pPr>
                          <w:r>
                            <w:rPr>
                              <w:rFonts w:hint="eastAsia"/>
                            </w:rPr>
                            <w:t>焙烧</w:t>
                          </w:r>
                        </w:p>
                      </w:txbxContent>
                    </v:textbox>
                  </v:rect>
                  <v:shape id="AutoShape 414" o:spid="_x0000_s2238" o:spt="32" type="#_x0000_t32" style="position:absolute;left:5711;top:11058;height:353;width: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">
                    <v:path arrowok="t"/>
                    <v:fill on="f" focussize="0,0"/>
                    <v:stroke endarrow="block"/>
                    <v:imagedata o:title=""/>
                    <o:lock v:ext="edit"/>
                  </v:shape>
                  <v:rect id="Rectangle 415" o:spid="_x0000_s2237" o:spt="1" style="position:absolute;left:5119;top:11411;height:410;width:1231;"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">
                    <v:path/>
                    <v:fill on="f" focussize="0,0"/>
                    <v:stroke/>
                    <v:imagedata o:title=""/>
                    <o:lock v:ext="edit"/>
                    <v:textbox>
                      <w:txbxContent>
                        <w:p w14:paraId="21F4774B">
                          <w:pPr>
                            <w:jc w:val="center"/>
                          </w:pPr>
                          <w:r>
                            <w:rPr>
                              <w:rFonts w:hint="eastAsia"/>
                            </w:rPr>
                            <w:t>保温冷却</w:t>
                          </w:r>
                        </w:p>
                      </w:txbxContent>
                    </v:textbox>
                  </v:rect>
                  <v:rect id="Rectangle 417" o:spid="_x0000_s2235" o:spt="1" style="position:absolute;left:5301;top:12253;height:410;width:809;"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">
                    <v:path/>
                    <v:fill on="f" focussize="0,0"/>
                    <v:stroke/>
                    <v:imagedata o:title=""/>
                    <o:lock v:ext="edit"/>
                    <v:textbox>
                      <w:txbxContent>
                        <w:p w14:paraId="702A1426">
                          <w:pPr>
                            <w:jc w:val="center"/>
                          </w:pPr>
                          <w:r>
                            <w:rPr>
                              <w:rFonts w:hint="eastAsia"/>
                            </w:rPr>
                            <w:t>卸砖</w:t>
                          </w:r>
                        </w:p>
                      </w:txbxContent>
                    </v:textbox>
                  </v:rect>
                  <v:shape id="AutoShape 420" o:spid="_x0000_s2232" o:spt="32" type="#_x0000_t32" style="position:absolute;left:6239;top:10053;height:0;width:1144;" o:connectortype="straight"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">
                    <v:path arrowok="t"/>
                    <v:fill on="f" focussize="0,0"/>
                    <v:stroke on="f" endarrow="block"/>
                    <v:imagedata o:title=""/>
                    <o:lock v:ext="edit"/>
                  </v:shape>
                  <v:shape id="AutoShape 421" o:spid="_x0000_s2231" o:spt="32" type="#_x0000_t32" style="position:absolute;left:6334;top:10053;height:0;width:985;"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">
                    <v:path arrowok="t"/>
                    <v:fill on="f" focussize="0,0"/>
                    <v:stroke dashstyle="dash" endarrow="block"/>
                    <v:imagedata o:title=""/>
                    <o:lock v:ext="edit"/>
                  </v:shape>
                  <v:rect id="Rectangle 422" o:spid="_x0000_s2230" o:spt="1" style="position:absolute;left:7183;top:9814;height:687;width:234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">
                    <v:path/>
                    <v:fill on="f" focussize="0,0"/>
                    <v:stroke on="f"/>
                    <v:imagedata o:title=""/>
                    <o:lock v:ext="edit"/>
                    <v:textbox>
                      <w:txbxContent>
                        <w:p w14:paraId="58FC7608">
                          <w:r>
                            <w:rPr>
                              <w:rFonts w:hint="eastAsia"/>
                            </w:rPr>
                            <w:t>窑炉烟气</w:t>
                          </w:r>
                        </w:p>
                      </w:txbxContent>
                    </v:textbox>
                  </v:rect>
                  <v:shape id="AutoShape 423" o:spid="_x0000_s2229" o:spt="32" type="#_x0000_t32" style="position:absolute;left:4320;top:5335;flip:x;height:0;width:909;" o:connectortype="straight" filled="f" coordsize="21600,21600">
                    <v:path arrowok="t"/>
                    <v:fill on="f" focussize="0,0"/>
                    <v:stroke endarrow="block"/>
                    <v:imagedata o:title=""/>
                    <o:lock v:ext="edit"/>
                  </v:shape>
                  <v:shape id="AutoShape 426" o:spid="_x0000_s2226" o:spt="32" type="#_x0000_t32" style="position:absolute;left:6007;top:3609;height:0;width:87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">
                    <v:path arrowok="t"/>
                    <v:fill on="f" focussize="0,0"/>
                    <v:stroke dashstyle="dash" endarrow="block"/>
                    <v:imagedata o:title=""/>
                    <o:lock v:ext="edit"/>
                  </v:shape>
                  <v:rect id="Rectangle 427" o:spid="_x0000_s2225" o:spt="1" style="position:absolute;left:6517;top:3411;height:470;width:181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">
                    <v:path/>
                    <v:fill on="f" focussize="0,0"/>
                    <v:stroke on="f"/>
                    <v:imagedata o:title=""/>
                    <o:lock v:ext="edit"/>
                    <v:textbox>
                      <w:txbxContent>
                        <w:p w14:paraId="505F9330">
                          <w:pPr>
                            <w:jc w:val="center"/>
                          </w:pPr>
                          <w:r>
                            <w:rPr>
                              <w:rFonts w:hint="eastAsia"/>
                            </w:rPr>
                            <w:t>噪声、粉尘</w:t>
                          </w:r>
                        </w:p>
                      </w:txbxContent>
                    </v:textbox>
                  </v:rect>
                  <v:shape id="AutoShape 430" o:spid="_x0000_s2222" o:spt="32" type="#_x0000_t32" style="position:absolute;left:6245;top:4351;height:0;width:87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">
                    <v:path arrowok="t"/>
                    <v:fill on="f" focussize="0,0"/>
                    <v:stroke dashstyle="dash" endarrow="block"/>
                    <v:imagedata o:title=""/>
                    <o:lock v:ext="edit"/>
                  </v:shape>
                  <v:rect id="Rectangle 431" o:spid="_x0000_s2221" o:spt="1" style="position:absolute;left:6878;top:4168;height:393;width:153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">
                    <v:path/>
                    <v:fill on="f" focussize="0,0"/>
                    <v:stroke on="f"/>
                    <v:imagedata o:title=""/>
                    <o:lock v:ext="edit"/>
                    <v:textbox>
                      <w:txbxContent>
                        <w:p w14:paraId="39B028CB">
                          <w:pPr>
                            <w:jc w:val="center"/>
                          </w:pPr>
                          <w:r>
                            <w:rPr>
                              <w:rFonts w:hint="eastAsia"/>
                            </w:rPr>
                            <w:t>噪声、粉尘</w:t>
                          </w:r>
                        </w:p>
                      </w:txbxContent>
                    </v:textbox>
                  </v:rect>
                  <v:shape id="AutoShape 432" o:spid="_x0000_s2220" o:spt="32" type="#_x0000_t32" style="position:absolute;left:6036;top:5279;height:0;width:87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">
                    <v:path arrowok="t"/>
                    <v:fill on="f" focussize="0,0"/>
                    <v:stroke dashstyle="dash" endarrow="block"/>
                    <v:imagedata o:title=""/>
                    <o:lock v:ext="edit"/>
                  </v:shape>
                  <v:rect id="Rectangle 433" o:spid="_x0000_s2219" o:spt="1" style="position:absolute;left:6564;top:5097;height:470;width:181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">
                    <v:path/>
                    <v:fill on="f" focussize="0,0"/>
                    <v:stroke on="f"/>
                    <v:imagedata o:title=""/>
                    <o:lock v:ext="edit"/>
                    <v:textbox>
                      <w:txbxContent>
                        <w:p w14:paraId="1719035B">
                          <w:pPr>
                            <w:jc w:val="center"/>
                          </w:pPr>
                          <w:r>
                            <w:rPr>
                              <w:rFonts w:hint="eastAsia"/>
                            </w:rPr>
                            <w:t>噪声、粉尘</w:t>
                          </w:r>
                        </w:p>
                      </w:txbxContent>
                    </v:textbox>
                  </v:rect>
                  <v:shape id="AutoShape 434" o:spid="_x0000_s2218" o:spt="32" type="#_x0000_t32" style="position:absolute;left:6095;top:6119;height:0;width:87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">
                    <v:path arrowok="t"/>
                    <v:fill on="f" focussize="0,0"/>
                    <v:stroke dashstyle="dash" endarrow="block"/>
                    <v:imagedata o:title=""/>
                    <o:lock v:ext="edit"/>
                  </v:shape>
                  <v:rect id="Rectangle 435" o:spid="_x0000_s2217" o:spt="1" style="position:absolute;left:6766;top:5873;height:512;width:148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">
                    <v:path/>
                    <v:fill on="f" focussize="0,0"/>
                    <v:stroke on="f"/>
                    <v:imagedata o:title=""/>
                    <o:lock v:ext="edit"/>
                    <v:textbox>
                      <w:txbxContent>
                        <w:p w14:paraId="3619D25F">
                          <w:pPr>
                            <w:jc w:val="center"/>
                          </w:pPr>
                          <w:r>
                            <w:rPr>
                              <w:rFonts w:hint="eastAsia"/>
                            </w:rPr>
                            <w:t>噪声、粉尘</w:t>
                          </w:r>
                        </w:p>
                      </w:txbxContent>
                    </v:textbox>
                  </v:rect>
                  <v:shape id="AutoShape 437" o:spid="_x0000_s2215" o:spt="32" type="#_x0000_t32" style="position:absolute;left:6273;top:7628;height:0;width:87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">
                    <v:path arrowok="t"/>
                    <v:fill on="f" focussize="0,0"/>
                    <v:stroke dashstyle="dash" endarrow="block"/>
                    <v:imagedata o:title=""/>
                    <o:lock v:ext="edit"/>
                  </v:shape>
                  <v:shape id="AutoShape 438" o:spid="_x0000_s2214" o:spt="32" type="#_x0000_t32" style="position:absolute;left:6095;top:8365;height:0;width:871;"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">
                    <v:path arrowok="t"/>
                    <v:fill on="f" focussize="0,0"/>
                    <v:stroke dashstyle="dash" endarrow="block"/>
                    <v:imagedata o:title=""/>
                    <o:lock v:ext="edit"/>
                  </v:shape>
                  <v:rect id="Rectangle 440" o:spid="_x0000_s2212" o:spt="1" style="position:absolute;left:6808;top:7421;height:512;width:118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">
                    <v:path/>
                    <v:fill on="f" focussize="0,0"/>
                    <v:stroke on="f"/>
                    <v:imagedata o:title=""/>
                    <o:lock v:ext="edit"/>
                    <v:textbox>
                      <w:txbxContent>
                        <w:p w14:paraId="2C5AC9A3">
                          <w:pPr>
                            <w:jc w:val="center"/>
                          </w:pPr>
                          <w:r>
                            <w:rPr>
                              <w:rFonts w:hint="eastAsia"/>
                            </w:rPr>
                            <w:t>噪声</w:t>
                          </w:r>
                        </w:p>
                      </w:txbxContent>
                    </v:textbox>
                  </v:rect>
                  <v:rect id="Rectangle 441" o:spid="_x0000_s2211" o:spt="1" style="position:absolute;left:6447;top:8140;height:512;width:151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">
                    <v:path/>
                    <v:fill on="f" focussize="0,0"/>
                    <v:stroke on="f"/>
                    <v:imagedata o:title=""/>
                    <o:lock v:ext="edit"/>
                    <v:textbox>
                      <w:txbxContent>
                        <w:p w14:paraId="4CC5B551">
                          <w:pPr>
                            <w:jc w:val="center"/>
                          </w:pPr>
                          <w:r>
                            <w:rPr>
                              <w:rFonts w:hint="eastAsia"/>
                            </w:rPr>
                            <w:t>噪声</w:t>
                          </w:r>
                        </w:p>
                      </w:txbxContent>
                    </v:textbox>
                  </v:rect>
                  <v:rect id="Rectangle 442" o:spid="_x0000_s2210" o:spt="1" style="position:absolute;left:3464;top:14192;height:470;width:499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">
                    <v:path/>
                    <v:fill on="f" focussize="0,0"/>
                    <v:stroke on="f"/>
                    <v:imagedata o:title=""/>
                    <o:lock v:ext="edit"/>
                    <v:textbox>
                      <w:txbxContent>
                        <w:p w14:paraId="6FA0DEE0">
                          <w:pPr>
                            <w:rPr>
                              <w:rFonts w:eastAsia="黑体"/>
                              <w:bCs/>
                            </w:rPr>
                          </w:pPr>
                          <w:r>
                            <w:rPr>
                              <w:rFonts w:eastAsia="黑体"/>
                              <w:bCs/>
                              <w:sz w:val="24"/>
                            </w:rPr>
                            <w:t>图2-</w:t>
                          </w:r>
                          <w:r>
                            <w:rPr>
                              <w:rFonts w:hint="eastAsia" w:eastAsia="黑体"/>
                              <w:bCs/>
                              <w:sz w:val="24"/>
                            </w:rPr>
                            <w:t>2     运营期</w:t>
                          </w:r>
                          <w:r>
                            <w:rPr>
                              <w:rFonts w:eastAsia="黑体"/>
                              <w:bCs/>
                              <w:sz w:val="24"/>
                            </w:rPr>
                            <w:t>工艺流程及产污环节示意图</w:t>
                          </w:r>
                        </w:p>
                        <w:p w14:paraId="09932B4B">
                          <w:pPr>
                            <w:jc w:val="center"/>
                          </w:pPr>
                        </w:p>
                      </w:txbxContent>
                    </v:textbox>
                  </v:rect>
                  <v:rect id="Rectangle 443" o:spid="_x0000_s2209" o:spt="1" style="position:absolute;left:4108;top:5008;height:470;width:133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">
                    <v:path/>
                    <v:fill on="f" focussize="0,0"/>
                    <v:stroke on="f"/>
                    <v:imagedata o:title=""/>
                    <o:lock v:ext="edit"/>
                    <v:textbox>
                      <w:txbxContent>
                        <w:p w14:paraId="40C67DE1">
                          <w:pPr>
                            <w:jc w:val="center"/>
                          </w:pPr>
                          <w:r>
                            <w:rPr>
                              <w:rFonts w:hint="eastAsia"/>
                            </w:rPr>
                            <w:t>＞2mm</w:t>
                          </w:r>
                        </w:p>
                      </w:txbxContent>
                    </v:textbox>
                  </v:rect>
                  <v:rect id="Rectangle 444" o:spid="_x0000_s2208" o:spt="1" style="position:absolute;left:5091;top:5478;height:470;width:181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">
                    <v:path/>
                    <v:fill on="f" focussize="0,0"/>
                    <v:stroke on="f"/>
                    <v:imagedata o:title=""/>
                    <o:lock v:ext="edit"/>
                    <v:textbox>
                      <w:txbxContent>
                        <w:p w14:paraId="0DA951F5">
                          <w:pPr>
                            <w:jc w:val="center"/>
                          </w:pPr>
                          <w:r>
                            <w:rPr>
                              <w:rFonts w:hint="eastAsia"/>
                            </w:rPr>
                            <w:t>≤2mm</w:t>
                          </w:r>
                        </w:p>
                      </w:txbxContent>
                    </v:textbox>
                  </v:rect>
                  <v:shape id="_x0000_s2350" o:spid="_x0000_s2350" o:spt="32" type="#_x0000_t32" style="position:absolute;left:5711;top:11821;height:454;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">
                    <v:path arrowok="t"/>
                    <v:fill on="f" focussize="0,0"/>
                    <v:stroke endarrow="block"/>
                    <v:imagedata o:title=""/>
                    <o:lock v:ext="edit"/>
                  </v:shape>
                  <v:shape id="_x0000_s2351" o:spid="_x0000_s2351" o:spt="32" type="#_x0000_t32" style="position:absolute;left:5726;top:12663;height:454;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">
                    <v:path arrowok="t"/>
                    <v:fill on="f" focussize="0,0"/>
                    <v:stroke endarrow="block"/>
                    <v:imagedata o:title=""/>
                    <o:lock v:ext="edit"/>
                  </v:shape>
                  <v:rect id="_x0000_s2352" o:spid="_x0000_s2352" o:spt="1" style="position:absolute;left:5316;top:13093;height:410;width:809;"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">
                    <v:path/>
                    <v:fill on="f" focussize="0,0"/>
                    <v:stroke/>
                    <v:imagedata o:title=""/>
                    <o:lock v:ext="edit"/>
                    <v:textbox>
                      <w:txbxContent>
                        <w:p w14:paraId="12BB7744">
                          <w:pPr>
                            <w:jc w:val="center"/>
                          </w:pPr>
                          <w:r>
                            <w:rPr>
                              <w:rFonts w:hint="eastAsia"/>
                            </w:rPr>
                            <w:t>检验</w:t>
                          </w:r>
                        </w:p>
                      </w:txbxContent>
                    </v:textbox>
                  </v:rect>
                  <v:shape id="_x0000_s2353" o:spid="_x0000_s2353" o:spt="32" type="#_x0000_t32" style="position:absolute;left:5741;top:13503;height:454;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">
                    <v:path arrowok="t"/>
                    <v:fill on="f" focussize="0,0"/>
                    <v:stroke endarrow="block"/>
                    <v:imagedata o:title=""/>
                    <o:lock v:ext="edit"/>
                  </v:shape>
                  <v:rect id="_x0000_s2354" o:spid="_x0000_s2354" o:spt="1" style="position:absolute;left:5396;top:13873;height:470;width:79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">
                    <v:path/>
                    <v:fill on="f" focussize="0,0"/>
                    <v:stroke on="f"/>
                    <v:imagedata o:title=""/>
                    <o:lock v:ext="edit"/>
                    <v:textbox>
                      <w:txbxContent>
                        <w:p w14:paraId="106CE06E">
                          <w:pPr>
                            <w:rPr>
                              <w:rFonts w:hint="eastAsia" w:ascii="宋体" w:hAnsi="宋体"/>
                              <w:bCs/>
                              <w:szCs w:val="21"/>
                            </w:rPr>
                          </w:pPr>
                          <w:r>
                            <w:rPr>
                              <w:rFonts w:hint="eastAsia" w:ascii="宋体" w:hAnsi="宋体"/>
                              <w:bCs/>
                              <w:szCs w:val="21"/>
                            </w:rPr>
                            <w:t>成品</w:t>
                          </w:r>
                        </w:p>
                        <w:p w14:paraId="3BEA84A6">
                          <w:pPr>
                            <w:jc w:val="center"/>
                          </w:pPr>
                        </w:p>
                      </w:txbxContent>
                    </v:textbox>
                  </v:rect>
                  <v:shape id="_x0000_s2355" o:spid="_x0000_s2355" o:spt="32" type="#_x0000_t32" style="position:absolute;left:6124;top:13285;height:0;width:589;"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">
                    <v:path arrowok="t"/>
                    <v:fill on="f" focussize="0,0"/>
                    <v:stroke dashstyle="dash" endarrow="block"/>
                    <v:imagedata o:title=""/>
                    <o:lock v:ext="edit"/>
                  </v:shape>
                  <v:rect id="_x0000_s2356" o:spid="_x0000_s2356" o:spt="1" style="position:absolute;left:6341;top:13071;height:512;width:119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">
                    <v:path/>
                    <v:fill on="f" focussize="0,0"/>
                    <v:stroke on="f"/>
                    <v:imagedata o:title=""/>
                    <o:lock v:ext="edit"/>
                    <v:textbox>
                      <w:txbxContent>
                        <w:p w14:paraId="3E610262">
                          <w:pPr>
                            <w:jc w:val="center"/>
                          </w:pPr>
                          <w:r>
                            <w:rPr>
                              <w:rFonts w:hint="eastAsia"/>
                            </w:rPr>
                            <w:t>固废</w:t>
                          </w:r>
                        </w:p>
                      </w:txbxContent>
                    </v:textbox>
                  </v:rect>
                  <v:shape id="_x0000_s2359" o:spid="_x0000_s2359" o:spt="32" type="#_x0000_t32" style="position:absolute;left:3750;top:12500;flip:x;height:0;width:1543;" o:connectortype="straight" filled="f" coordsize="21600,21600">
                    <v:path arrowok="t"/>
                    <v:fill on="f" focussize="0,0"/>
                    <v:stroke/>
                    <v:imagedata o:title=""/>
                    <o:lock v:ext="edit"/>
                  </v:shape>
                  <v:shape id="_x0000_s2360" o:spid="_x0000_s2360" o:spt="32" type="#_x0000_t32" style="position:absolute;left:3753;top:9624;flip:y;height:2876;width:0;" o:connectortype="straight" filled="f" coordsize="21600,21600">
                    <v:path arrowok="t"/>
                    <v:fill on="f" focussize="0,0"/>
                    <v:stroke endarrow="block"/>
                    <v:imagedata o:title=""/>
                    <o:lock v:ext="edit"/>
                  </v:shape>
                  <v:shape id="_x0000_s2361" o:spid="_x0000_s2361" o:spt="32" type="#_x0000_t32" style="position:absolute;left:4391;top:9356;height:0;width:600;" o:connectortype="straight" filled="f" coordsize="21600,21600">
                    <v:path arrowok="t"/>
                    <v:fill on="f" focussize="0,0"/>
                    <v:stroke endarrow="block"/>
                    <v:imagedata o:title=""/>
                    <o:lock v:ext="edit"/>
                  </v:shape>
                  <v:rect id="Rectangle 411" o:spid="_x0000_s2362" o:spt="1" style="position:absolute;left:3156;top:9214;height:410;width:1231;"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">
                    <v:path/>
                    <v:fill on="f" focussize="0,0"/>
                    <v:stroke/>
                    <v:imagedata o:title=""/>
                    <o:lock v:ext="edit"/>
                    <v:textbox>
                      <w:txbxContent>
                        <w:p w14:paraId="4695A32E">
                          <w:pPr>
                            <w:jc w:val="center"/>
                          </w:pPr>
                          <w:r>
                            <w:rPr>
                              <w:rFonts w:hint="eastAsia"/>
                            </w:rPr>
                            <w:t>窑车清理</w:t>
                          </w:r>
                        </w:p>
                      </w:txbxContent>
                    </v:textbox>
                  </v:rect>
                  <v:shape id="_x0000_s2363" o:spid="_x0000_s2363" o:spt="32" type="#_x0000_t32" style="position:absolute;left:4586;top:9118;height:1;width:391;" o:connectortype="straight" filled="f" coordsize="21600,21600">
                    <v:path arrowok="t"/>
                    <v:fill on="f" focussize="0,0"/>
                    <v:stroke dashstyle="dash"/>
                    <v:imagedata o:title=""/>
                    <o:lock v:ext="edit"/>
                  </v:shape>
                  <v:shape id="_x0000_s2364" o:spid="_x0000_s2364" o:spt="32" type="#_x0000_t32" style="position:absolute;left:4586;top:7718;flip:y;height:1373;width:0;" o:connectortype="straight" filled="f" coordsize="21600,21600">
                    <v:path arrowok="t"/>
                    <v:fill on="f" focussize="0,0"/>
                    <v:stroke dashstyle="dash"/>
                    <v:imagedata o:title=""/>
                    <o:lock v:ext="edit"/>
                  </v:shape>
                  <v:shape id="_x0000_s2365" o:spid="_x0000_s2365" o:spt="32" type="#_x0000_t32" style="position:absolute;left:4569;top:7704;height:1;width:495;" o:connectortype="straight" filled="f" coordsize="21600,21600">
                    <v:path arrowok="t"/>
                    <v:fill on="f" focussize="0,0"/>
                    <v:stroke dashstyle="dash" endarrow="block"/>
                    <v:imagedata o:title=""/>
                    <o:lock v:ext="edit"/>
                  </v:shape>
                  <v:rect id="Rectangle 441" o:spid="_x0000_s2366" o:spt="1" style="position:absolute;left:3464;top:8041;height:512;width:151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">
                    <v:path/>
                    <v:fill on="f" focussize="0,0"/>
                    <v:stroke on="f"/>
                    <v:imagedata o:title=""/>
                    <o:lock v:ext="edit"/>
                    <v:textbox>
                      <w:txbxContent>
                        <w:p w14:paraId="2EE2DAD8">
                          <w:pPr>
                            <w:jc w:val="center"/>
                          </w:pPr>
                          <w:r>
                            <w:rPr>
                              <w:rFonts w:hint="eastAsia"/>
                            </w:rPr>
                            <w:t>废湿坯</w:t>
                          </w:r>
                        </w:p>
                      </w:txbxContent>
                    </v:textbox>
                  </v:rect>
                  <v:shape id="AutoShape 434" o:spid="_x0000_s2367" o:spt="32" type="#_x0000_t32" style="position:absolute;left:3731;top:8763;flip:y;height:451;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">
                    <v:path arrowok="t"/>
                    <v:fill on="f" focussize="0,0"/>
                    <v:stroke dashstyle="dash" endarrow="block"/>
                    <v:imagedata o:title=""/>
                    <o:lock v:ext="edit"/>
                  </v:shape>
                  <v:rect id="Rectangle 440" o:spid="_x0000_s2368" o:spt="1" style="position:absolute;left:3156;top:8441;height:512;width:118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">
                    <v:path/>
                    <v:fill on="f" focussize="0,0"/>
                    <v:stroke on="f"/>
                    <v:imagedata o:title=""/>
                    <o:lock v:ext="edit"/>
                    <v:textbox>
                      <w:txbxContent>
                        <w:p w14:paraId="21D9405E">
                          <w:pPr>
                            <w:jc w:val="center"/>
                          </w:pPr>
                          <w:r>
                            <w:rPr>
                              <w:rFonts w:hint="eastAsia"/>
                            </w:rPr>
                            <w:t>粉尘</w:t>
                          </w:r>
                        </w:p>
                      </w:txbxContent>
                    </v:textbox>
                  </v:rect>
                  <v:shape id="_x0000_s2369" o:spid="_x0000_s2369" o:spt="32" type="#_x0000_t32" style="position:absolute;left:2558;top:13314;flip:x;height:0;width:2735;" o:connectortype="straight" filled="f" coordsize="21600,21600">
                    <v:path arrowok="t"/>
                    <v:fill on="f" focussize="0,0"/>
                    <v:stroke dashstyle="dash"/>
                    <v:imagedata o:title=""/>
                    <o:lock v:ext="edit"/>
                  </v:shape>
                  <v:shape id="_x0000_s2370" o:spid="_x0000_s2370" o:spt="32" type="#_x0000_t32" style="position:absolute;left:2557;top:3628;flip:y;height:9636;width:0;" o:connectortype="straight" filled="f" coordsize="21600,21600">
                    <v:path arrowok="t"/>
                    <v:fill on="f" focussize="0,0"/>
                    <v:stroke dashstyle="dash"/>
                    <v:imagedata o:title=""/>
                    <o:lock v:ext="edit"/>
                  </v:shape>
                  <v:shape id="_x0000_s2371" o:spid="_x0000_s2371" o:spt="32" type="#_x0000_t32" style="position:absolute;left:2569;top:3578;flip:y;height:31;width:2639;" o:connectortype="straight" filled="f" coordsize="21600,21600">
                    <v:path arrowok="t"/>
                    <v:fill on="f" focussize="0,0"/>
                    <v:stroke dashstyle="dash" endarrow="block"/>
                    <v:imagedata o:title=""/>
                    <o:lock v:ext="edit"/>
                  </v:shape>
                  <v:rect id="_x0000_s2372" o:spid="_x0000_s2372" o:spt="1" style="position:absolute;left:2390;top:7495;height:512;width:119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">
                    <v:path/>
                    <v:fill on="f" focussize="0,0"/>
                    <v:stroke on="f"/>
                    <v:imagedata o:title=""/>
                    <o:lock v:ext="edit"/>
                    <v:textbox>
                      <w:txbxContent>
                        <w:p w14:paraId="5EC6C517">
                          <w:pPr>
                            <w:jc w:val="center"/>
                          </w:pPr>
                          <w:r>
                            <w:rPr>
                              <w:rFonts w:hint="eastAsia"/>
                            </w:rPr>
                            <w:t>不合格品</w:t>
                          </w:r>
                        </w:p>
                      </w:txbxContent>
                    </v:textbox>
                  </v:rect>
                  <v:shape id="_x0000_s2505" o:spid="_x0000_s2505" o:spt="32" type="#_x0000_t32" style="position:absolute;left:4526;top:10851;flip:x;height:0;width:598;" o:connectortype="straight" filled="f" coordsize="21600,21600">
                    <v:path arrowok="t"/>
                    <v:fill on="f" focussize="0,0"/>
                    <v:stroke/>
                    <v:imagedata o:title=""/>
                    <o:lock v:ext="edit"/>
                  </v:shape>
                  <v:shape id="_x0000_s2506" o:spid="_x0000_s2506" o:spt="32" type="#_x0000_t32" style="position:absolute;left:4511;top:9966;flip:y;height:885;width:0;" o:connectortype="straight" filled="f" coordsize="21600,21600">
                    <v:path arrowok="t"/>
                    <v:fill on="f" focussize="0,0"/>
                    <v:stroke/>
                    <v:imagedata o:title=""/>
                    <o:lock v:ext="edit"/>
                  </v:shape>
                  <v:shape id="_x0000_s2507" o:spid="_x0000_s2507" o:spt="32" type="#_x0000_t32" style="position:absolute;left:4497;top:9966;height:0;width:600;" o:connectortype="straight" filled="f" coordsize="21600,21600">
                    <v:path arrowok="t"/>
                    <v:fill on="f" focussize="0,0"/>
                    <v:stroke endarrow="block"/>
                    <v:imagedata o:title=""/>
                    <o:lock v:ext="edit"/>
                  </v:shape>
                  <v:rect id="Rectangle 422" o:spid="_x0000_s2508" o:spt="1" style="position:absolute;left:3864;top:9971;height:950;width:83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">
                    <v:path/>
                    <v:fill on="f" focussize="0,0"/>
                    <v:stroke on="f"/>
                    <v:imagedata o:title=""/>
                    <o:lock v:ext="edit"/>
                    <v:textbox>
                      <w:txbxContent>
                        <w:p w14:paraId="6FB6FF74">
                          <w:pPr>
                            <w:jc w:val="center"/>
                          </w:pPr>
                          <w:r>
                            <w:rPr>
                              <w:rFonts w:hint="eastAsia"/>
                            </w:rPr>
                            <w:t>烟气余热利用</w:t>
                          </w:r>
                        </w:p>
                      </w:txbxContent>
                    </v:textbox>
                  </v:rect>
                  <v:rect id="Rectangle 391" o:spid="_x0000_s2513" o:spt="1" style="position:absolute;left:3126;top:5115;height:402;width:1212;"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">
                    <v:path/>
                    <v:fill on="f" focussize="0,0"/>
                    <v:stroke/>
                    <v:imagedata o:title=""/>
                    <o:lock v:ext="edit"/>
                    <v:textbox>
                      <w:txbxContent>
                        <w:p w14:paraId="130F0515">
                          <w:pPr>
                            <w:jc w:val="center"/>
                          </w:pPr>
                          <w:r>
                            <w:rPr>
                              <w:rFonts w:hint="eastAsia"/>
                            </w:rPr>
                            <w:t>双级破碎</w:t>
                          </w:r>
                        </w:p>
                      </w:txbxContent>
                    </v:textbox>
                  </v:rect>
                  <v:shape id="AutoShape 403" o:spid="_x0000_s2515" o:spt="32" type="#_x0000_t32" style="position:absolute;left:5638;top:5484;height:469;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">
                    <v:path arrowok="t"/>
                    <v:fill on="f" focussize="0,0"/>
                    <v:stroke endarrow="block"/>
                    <v:imagedata o:title=""/>
                    <o:lock v:ext="edit"/>
                  </v:shape>
                  <v:shape id="_x0000_s2518" o:spid="_x0000_s2518" o:spt="32" type="#_x0000_t32" style="position:absolute;left:3690;top:4804;height:0;width:1680;" o:connectortype="straight" filled="f" coordsize="21600,21600">
                    <v:path arrowok="t"/>
                    <v:fill on="f" focussize="0,0"/>
                    <v:stroke/>
                    <v:imagedata o:title=""/>
                    <o:lock v:ext="edit"/>
                  </v:shape>
                  <v:shape id="AutoShape 404" o:spid="_x0000_s2519" o:spt="32" type="#_x0000_t32" style="position:absolute;left:5378;top:4804;height:322;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">
                    <v:path arrowok="t"/>
                    <v:fill on="f" focussize="0,0"/>
                    <v:stroke endarrow="block"/>
                    <v:imagedata o:title=""/>
                    <o:lock v:ext="edit"/>
                  </v:shape>
                  <v:shape id="AutoShape 404" o:spid="_x0000_s2520" o:spt="32" type="#_x0000_t32" style="position:absolute;left:3690;top:4804;height:322;width:0;" o:connectortype="straight" filled="f" coordsize="21600,21600">
                    <v:path arrowok="t"/>
                    <v:fill on="f" focussize="0,0"/>
                    <v:stroke/>
                    <v:imagedata o:title=""/>
                    <o:lock v:ext="edit"/>
                  </v:shape>
                  <v:shape id="AutoShape 432" o:spid="_x0000_s2521" o:spt="32" type="#_x0000_t32" style="position:absolute;left:3397;top:4562;flip:y;height:535;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">
                    <v:path arrowok="t"/>
                    <v:fill on="f" focussize="0,0"/>
                    <v:stroke dashstyle="dash" endarrow="block"/>
                    <v:imagedata o:title=""/>
                    <o:lock v:ext="edit"/>
                  </v:shape>
                  <v:rect id="Rectangle 431" o:spid="_x0000_s2522" o:spt="1" style="position:absolute;left:2648;top:4261;height:393;width:153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">
                    <v:path/>
                    <v:fill on="f" focussize="0,0"/>
                    <v:stroke on="f"/>
                    <v:imagedata o:title=""/>
                    <o:lock v:ext="edit"/>
                    <v:textbox>
                      <w:txbxContent>
                        <w:p w14:paraId="6FE7AC3F">
                          <w:pPr>
                            <w:jc w:val="center"/>
                          </w:pPr>
                          <w:r>
                            <w:rPr>
                              <w:rFonts w:hint="eastAsia"/>
                            </w:rPr>
                            <w:t>噪声、粉尘</w:t>
                          </w:r>
                        </w:p>
                      </w:txbxContent>
                    </v:textbox>
                  </v:rect>
                </v:group>
              </w:pict>
            </w:r>
          </w:p>
          <w:p w14:paraId="4B0AD651">
            <w:pPr>
              <w:pStyle w:val="189"/>
              <w:adjustRightInd w:val="0"/>
              <w:snapToGrid w:val="0"/>
              <w:spacing w:before="0" w:after="0"/>
              <w:rPr>
                <w:rFonts w:ascii="Times New Roman" w:hAnsi="Times New Roman"/>
                <w:color w:val="EE0000"/>
              </w:rPr>
            </w:pPr>
          </w:p>
          <w:p w14:paraId="3D9518BF">
            <w:pPr>
              <w:pStyle w:val="189"/>
              <w:adjustRightInd w:val="0"/>
              <w:snapToGrid w:val="0"/>
              <w:spacing w:before="0" w:after="0"/>
              <w:rPr>
                <w:rFonts w:ascii="Times New Roman" w:hAnsi="Times New Roman"/>
                <w:color w:val="EE0000"/>
              </w:rPr>
            </w:pPr>
          </w:p>
          <w:p w14:paraId="768B083D">
            <w:pPr>
              <w:pStyle w:val="189"/>
              <w:adjustRightInd w:val="0"/>
              <w:snapToGrid w:val="0"/>
              <w:spacing w:before="0" w:after="0"/>
              <w:rPr>
                <w:rFonts w:ascii="Times New Roman" w:hAnsi="Times New Roman"/>
                <w:color w:val="EE0000"/>
              </w:rPr>
            </w:pPr>
          </w:p>
          <w:p w14:paraId="6A2AAD91">
            <w:pPr>
              <w:pStyle w:val="189"/>
              <w:adjustRightInd w:val="0"/>
              <w:snapToGrid w:val="0"/>
              <w:spacing w:before="0" w:after="0"/>
              <w:rPr>
                <w:rFonts w:ascii="Times New Roman" w:hAnsi="Times New Roman"/>
                <w:color w:val="EE0000"/>
              </w:rPr>
            </w:pPr>
          </w:p>
          <w:p w14:paraId="0BB4B22B">
            <w:pPr>
              <w:pStyle w:val="189"/>
              <w:adjustRightInd w:val="0"/>
              <w:snapToGrid w:val="0"/>
              <w:spacing w:before="0" w:after="0"/>
              <w:rPr>
                <w:rFonts w:ascii="Times New Roman" w:hAnsi="Times New Roman"/>
                <w:color w:val="EE0000"/>
              </w:rPr>
            </w:pPr>
          </w:p>
          <w:p w14:paraId="2EF23911">
            <w:pPr>
              <w:pStyle w:val="189"/>
              <w:adjustRightInd w:val="0"/>
              <w:snapToGrid w:val="0"/>
              <w:spacing w:before="0" w:after="0"/>
              <w:rPr>
                <w:rFonts w:ascii="Times New Roman" w:hAnsi="Times New Roman"/>
                <w:color w:val="EE0000"/>
              </w:rPr>
            </w:pPr>
          </w:p>
          <w:p w14:paraId="6FCF6CE7">
            <w:pPr>
              <w:pStyle w:val="189"/>
              <w:adjustRightInd w:val="0"/>
              <w:snapToGrid w:val="0"/>
              <w:spacing w:before="0" w:after="0"/>
              <w:rPr>
                <w:rFonts w:ascii="Times New Roman" w:hAnsi="Times New Roman"/>
                <w:color w:val="EE0000"/>
              </w:rPr>
            </w:pPr>
          </w:p>
          <w:p w14:paraId="0C40265C">
            <w:pPr>
              <w:pStyle w:val="189"/>
              <w:adjustRightInd w:val="0"/>
              <w:snapToGrid w:val="0"/>
              <w:spacing w:before="0" w:after="0"/>
              <w:rPr>
                <w:rFonts w:ascii="Times New Roman" w:hAnsi="Times New Roman"/>
                <w:color w:val="EE0000"/>
              </w:rPr>
            </w:pPr>
          </w:p>
          <w:p w14:paraId="37C47E2A">
            <w:pPr>
              <w:pStyle w:val="189"/>
              <w:adjustRightInd w:val="0"/>
              <w:snapToGrid w:val="0"/>
              <w:spacing w:before="0" w:after="0"/>
              <w:rPr>
                <w:rFonts w:ascii="Times New Roman" w:hAnsi="Times New Roman"/>
                <w:color w:val="EE0000"/>
              </w:rPr>
            </w:pPr>
          </w:p>
          <w:p w14:paraId="259C0693">
            <w:pPr>
              <w:pStyle w:val="189"/>
              <w:adjustRightInd w:val="0"/>
              <w:snapToGrid w:val="0"/>
              <w:spacing w:before="0" w:after="0"/>
              <w:rPr>
                <w:rFonts w:ascii="Times New Roman" w:hAnsi="Times New Roman"/>
                <w:color w:val="EE0000"/>
              </w:rPr>
            </w:pPr>
          </w:p>
          <w:p w14:paraId="526A997C">
            <w:pPr>
              <w:pStyle w:val="189"/>
              <w:adjustRightInd w:val="0"/>
              <w:snapToGrid w:val="0"/>
              <w:spacing w:before="0" w:after="0"/>
              <w:rPr>
                <w:rFonts w:ascii="Times New Roman" w:hAnsi="Times New Roman"/>
                <w:color w:val="EE0000"/>
              </w:rPr>
            </w:pPr>
          </w:p>
          <w:p w14:paraId="30416561">
            <w:pPr>
              <w:pStyle w:val="189"/>
              <w:adjustRightInd w:val="0"/>
              <w:snapToGrid w:val="0"/>
              <w:spacing w:before="0" w:after="0"/>
              <w:rPr>
                <w:rFonts w:ascii="Times New Roman" w:hAnsi="Times New Roman"/>
                <w:color w:val="EE0000"/>
              </w:rPr>
            </w:pPr>
          </w:p>
          <w:p w14:paraId="07FD7334">
            <w:pPr>
              <w:pStyle w:val="189"/>
              <w:adjustRightInd w:val="0"/>
              <w:snapToGrid w:val="0"/>
              <w:spacing w:before="0" w:after="0"/>
              <w:rPr>
                <w:rFonts w:ascii="Times New Roman" w:hAnsi="Times New Roman"/>
                <w:color w:val="EE0000"/>
              </w:rPr>
            </w:pPr>
          </w:p>
          <w:p w14:paraId="2DDEF08B">
            <w:pPr>
              <w:pStyle w:val="189"/>
              <w:adjustRightInd w:val="0"/>
              <w:snapToGrid w:val="0"/>
              <w:spacing w:before="0" w:after="0"/>
              <w:rPr>
                <w:rFonts w:ascii="Times New Roman" w:hAnsi="Times New Roman"/>
                <w:color w:val="EE0000"/>
              </w:rPr>
            </w:pPr>
          </w:p>
          <w:p w14:paraId="2A0DDF4D">
            <w:pPr>
              <w:spacing w:line="520" w:lineRule="exact"/>
              <w:rPr>
                <w:b/>
                <w:bCs/>
                <w:sz w:val="24"/>
              </w:rPr>
            </w:pPr>
          </w:p>
          <w:p w14:paraId="445B1AC7">
            <w:pPr>
              <w:spacing w:line="520" w:lineRule="exact"/>
              <w:rPr>
                <w:b/>
                <w:bCs/>
                <w:sz w:val="24"/>
              </w:rPr>
            </w:pPr>
          </w:p>
          <w:p w14:paraId="240D21EE">
            <w:pPr>
              <w:spacing w:line="520" w:lineRule="exact"/>
              <w:rPr>
                <w:b/>
                <w:bCs/>
                <w:sz w:val="24"/>
              </w:rPr>
            </w:pPr>
          </w:p>
          <w:p w14:paraId="49DA683C">
            <w:pPr>
              <w:spacing w:line="520" w:lineRule="exact"/>
              <w:rPr>
                <w:b/>
                <w:bCs/>
                <w:sz w:val="24"/>
              </w:rPr>
            </w:pPr>
          </w:p>
          <w:p w14:paraId="063E9F7D">
            <w:pPr>
              <w:spacing w:line="520" w:lineRule="exact"/>
              <w:rPr>
                <w:b/>
                <w:bCs/>
                <w:sz w:val="24"/>
              </w:rPr>
            </w:pPr>
          </w:p>
          <w:p w14:paraId="65DD07B8">
            <w:pPr>
              <w:spacing w:line="520" w:lineRule="exact"/>
              <w:rPr>
                <w:b/>
                <w:bCs/>
                <w:sz w:val="24"/>
              </w:rPr>
            </w:pPr>
          </w:p>
          <w:p w14:paraId="5BCFF805">
            <w:pPr>
              <w:spacing w:line="520" w:lineRule="exact"/>
              <w:rPr>
                <w:b/>
                <w:bCs/>
                <w:sz w:val="24"/>
              </w:rPr>
            </w:pPr>
          </w:p>
          <w:p w14:paraId="1D2B4053">
            <w:pPr>
              <w:spacing w:line="520" w:lineRule="exact"/>
              <w:rPr>
                <w:b/>
                <w:bCs/>
                <w:sz w:val="24"/>
              </w:rPr>
            </w:pPr>
          </w:p>
          <w:p w14:paraId="46C185BA">
            <w:pPr>
              <w:spacing w:line="520" w:lineRule="exact"/>
              <w:rPr>
                <w:b/>
                <w:bCs/>
                <w:sz w:val="24"/>
              </w:rPr>
            </w:pPr>
          </w:p>
          <w:p w14:paraId="29F0CD4E">
            <w:pPr>
              <w:spacing w:line="520" w:lineRule="exact"/>
              <w:rPr>
                <w:b/>
                <w:bCs/>
                <w:sz w:val="24"/>
              </w:rPr>
            </w:pPr>
          </w:p>
          <w:p w14:paraId="13C4D7D3">
            <w:pPr>
              <w:spacing w:line="520" w:lineRule="exact"/>
              <w:ind w:firstLine="482" w:firstLineChars="200"/>
              <w:rPr>
                <w:b/>
                <w:bCs/>
                <w:sz w:val="24"/>
              </w:rPr>
            </w:pPr>
            <w:r>
              <w:rPr>
                <w:b/>
                <w:bCs/>
                <w:sz w:val="24"/>
              </w:rPr>
              <w:t>工艺流程简述：</w:t>
            </w:r>
          </w:p>
          <w:p w14:paraId="037A76D7">
            <w:pPr>
              <w:spacing w:line="520" w:lineRule="exact"/>
              <w:ind w:firstLine="480" w:firstLineChars="200"/>
              <w:rPr>
                <w:sz w:val="24"/>
              </w:rPr>
            </w:pPr>
            <w:bookmarkStart w:id="21" w:name="_Hlk217856599"/>
            <w:r>
              <w:rPr>
                <w:sz w:val="24"/>
              </w:rPr>
              <w:t>本项目原料煤矸石、建筑垃圾经大吨位货运车辆密闭运输至厂区原料库中，</w:t>
            </w:r>
            <w:r>
              <w:rPr>
                <w:bCs/>
                <w:sz w:val="24"/>
              </w:rPr>
              <w:t>污泥经密闭罐车运至厂区储存在原料库污泥储存池内，</w:t>
            </w:r>
            <w:r>
              <w:rPr>
                <w:sz w:val="24"/>
              </w:rPr>
              <w:t>厂区不露天储存物料。</w:t>
            </w:r>
          </w:p>
          <w:p w14:paraId="15E7080B">
            <w:pPr>
              <w:spacing w:line="520" w:lineRule="exact"/>
              <w:ind w:firstLine="480" w:firstLineChars="200"/>
              <w:rPr>
                <w:sz w:val="24"/>
              </w:rPr>
            </w:pPr>
            <w:r>
              <w:rPr>
                <w:sz w:val="24"/>
              </w:rPr>
              <w:t>（1）喂料</w:t>
            </w:r>
          </w:p>
          <w:p w14:paraId="7C016DFF">
            <w:pPr>
              <w:spacing w:line="520" w:lineRule="exact"/>
              <w:ind w:firstLine="480" w:firstLineChars="200"/>
              <w:rPr>
                <w:sz w:val="24"/>
              </w:rPr>
            </w:pPr>
            <w:r>
              <w:rPr>
                <w:sz w:val="24"/>
              </w:rPr>
              <w:t>给料机位于原料库内北侧邻破碎车间，生产时原料煤矸石和建筑垃圾由铲车运至生产线起点喂料口，然后通过密闭皮带廊道输送至破碎车间内锤式破碎机。</w:t>
            </w:r>
          </w:p>
          <w:p w14:paraId="4FE38210">
            <w:pPr>
              <w:spacing w:line="520" w:lineRule="exact"/>
              <w:ind w:firstLine="480" w:firstLineChars="200"/>
              <w:rPr>
                <w:sz w:val="24"/>
              </w:rPr>
            </w:pPr>
            <w:r>
              <w:rPr>
                <w:sz w:val="24"/>
              </w:rPr>
              <w:t>（2）破碎</w:t>
            </w:r>
          </w:p>
          <w:p w14:paraId="23FA3F6D">
            <w:pPr>
              <w:spacing w:line="520" w:lineRule="exact"/>
              <w:ind w:firstLine="480" w:firstLineChars="200"/>
              <w:rPr>
                <w:sz w:val="24"/>
              </w:rPr>
            </w:pPr>
            <w:r>
              <w:rPr>
                <w:sz w:val="24"/>
              </w:rPr>
              <w:t>项目破碎车间设置1台锤式破碎机，原料通过密闭皮带廊道输送至破碎机，将大块原料破碎成小颗粒，为后续生产提供合适的粒度，破碎后料粒径控制在2.0mm 以内。</w:t>
            </w:r>
          </w:p>
          <w:p w14:paraId="3360A0A5">
            <w:pPr>
              <w:spacing w:line="520" w:lineRule="exact"/>
              <w:ind w:firstLine="480" w:firstLineChars="200"/>
              <w:rPr>
                <w:sz w:val="24"/>
              </w:rPr>
            </w:pPr>
            <w:r>
              <w:rPr>
                <w:sz w:val="24"/>
              </w:rPr>
              <w:t>（3）筛分</w:t>
            </w:r>
          </w:p>
          <w:p w14:paraId="567942B5">
            <w:pPr>
              <w:spacing w:line="520" w:lineRule="exact"/>
              <w:ind w:firstLine="480" w:firstLineChars="200"/>
              <w:rPr>
                <w:sz w:val="24"/>
              </w:rPr>
            </w:pPr>
            <w:r>
              <w:rPr>
                <w:sz w:val="24"/>
              </w:rPr>
              <w:t>破碎后物料通过密闭皮带廊道输送至滚筒筛，将符合粒度要求的物料选出，将超规格的大颗粒物料（筛上物）分离出来，通过密闭皮带廊道返回双级破碎机进行再次破碎。滚筒筛筛网的孔径根据工艺要求设定为2.0mm，通过筛网的细料进入下一工序，未通过筛网的粗料（筛上物）返回双级破碎机，形成闭路循环。</w:t>
            </w:r>
          </w:p>
          <w:p w14:paraId="737189BC">
            <w:pPr>
              <w:spacing w:line="520" w:lineRule="exact"/>
              <w:ind w:firstLine="480" w:firstLineChars="200"/>
              <w:rPr>
                <w:sz w:val="24"/>
              </w:rPr>
            </w:pPr>
            <w:r>
              <w:rPr>
                <w:sz w:val="24"/>
              </w:rPr>
              <w:t>（4）搅拌</w:t>
            </w:r>
          </w:p>
          <w:p w14:paraId="55FBBF5D">
            <w:pPr>
              <w:spacing w:line="520" w:lineRule="exact"/>
              <w:ind w:firstLine="480" w:firstLineChars="200"/>
              <w:rPr>
                <w:sz w:val="24"/>
              </w:rPr>
            </w:pPr>
            <w:r>
              <w:rPr>
                <w:sz w:val="24"/>
              </w:rPr>
              <w:t>破碎筛分后的原料进入搅拌机与水进行初步混合，使物料得到初步的湿润。</w:t>
            </w:r>
            <w:r>
              <w:rPr>
                <w:color w:val="EE0000"/>
                <w:sz w:val="24"/>
                <w:u w:val="single"/>
              </w:rPr>
              <w:t>污泥通过刮板机和螺旋输送机直接输送至搅拌机，</w:t>
            </w:r>
            <w:r>
              <w:rPr>
                <w:sz w:val="24"/>
              </w:rPr>
              <w:t>物料在搅拌机内被搅拌叶片翻动、挤压，同时通过喷水系统加入适量的水。这次搅拌主要是“预湿”，不要求达到很高的均匀度，目的是为后续的陈化工序做准备。一次搅拌后的物料湿度控制在10%左右，经皮密闭皮带输送廊道送至陈化库进行陈化。</w:t>
            </w:r>
          </w:p>
          <w:p w14:paraId="5260082C">
            <w:pPr>
              <w:spacing w:line="520" w:lineRule="exact"/>
              <w:ind w:firstLine="480" w:firstLineChars="200"/>
              <w:rPr>
                <w:sz w:val="24"/>
              </w:rPr>
            </w:pPr>
            <w:r>
              <w:rPr>
                <w:sz w:val="24"/>
              </w:rPr>
              <w:t>（5）陈化</w:t>
            </w:r>
          </w:p>
          <w:p w14:paraId="7D8B5208">
            <w:pPr>
              <w:spacing w:line="520" w:lineRule="exact"/>
              <w:ind w:firstLine="480" w:firstLineChars="200"/>
              <w:rPr>
                <w:sz w:val="24"/>
              </w:rPr>
            </w:pPr>
            <w:r>
              <w:rPr>
                <w:sz w:val="24"/>
              </w:rPr>
              <w:t>本项目设置一座独立陈化库，陈化是提高砖坯成型性能至关重要的一道工序。通过一段时间的闷存，使水分充分、均匀地渗透到每一个物料颗粒内部，并发生一系列物理和化学反应，提高混合料的塑性。陈化时间控制在72h左右，温度为室温，经陈化后的原料表面和内部的性能更加均匀，混合料塑性有较明显提高，成型性能显著改善，成型坯体表面光滑平整。</w:t>
            </w:r>
          </w:p>
          <w:p w14:paraId="10DBC301">
            <w:pPr>
              <w:spacing w:line="520" w:lineRule="exact"/>
              <w:ind w:firstLine="480" w:firstLineChars="200"/>
              <w:rPr>
                <w:sz w:val="24"/>
              </w:rPr>
            </w:pPr>
            <w:r>
              <w:rPr>
                <w:sz w:val="24"/>
              </w:rPr>
              <w:t>本项目陈化库为密闭车间，车间顶部安装喷雾装置，对挖卸、布料等过程的粉尘进行控制。一次搅拌后的物料通过皮带廊道输送至陈化库指定区域，采用</w:t>
            </w:r>
            <w:r>
              <w:rPr>
                <w:bCs/>
                <w:sz w:val="24"/>
              </w:rPr>
              <w:t>移动式布料机使原料均匀平铺，保证陈化时间一致，同时补充水分、提高均质性。陈化72h后的物料通过多斗挖掘机输送至圆盘给料机，再通过皮带廊道输送至二次搅拌机。</w:t>
            </w:r>
          </w:p>
          <w:p w14:paraId="2EEE2C03">
            <w:pPr>
              <w:spacing w:line="520" w:lineRule="exact"/>
              <w:ind w:firstLine="480" w:firstLineChars="200"/>
              <w:rPr>
                <w:sz w:val="24"/>
              </w:rPr>
            </w:pPr>
            <w:r>
              <w:rPr>
                <w:sz w:val="24"/>
              </w:rPr>
              <w:t>（6）二次搅拌</w:t>
            </w:r>
          </w:p>
          <w:p w14:paraId="406F129F">
            <w:pPr>
              <w:spacing w:line="520" w:lineRule="exact"/>
              <w:ind w:firstLine="480" w:firstLineChars="200"/>
              <w:rPr>
                <w:sz w:val="24"/>
              </w:rPr>
            </w:pPr>
            <w:r>
              <w:rPr>
                <w:sz w:val="24"/>
              </w:rPr>
              <w:t>对陈化后的物料进行最后的搅拌和水分的微调，使其达到最佳的成型状态。物料在搅拌机内被搅拌叶片翻动、挤压，同时通过喷水系统加入适量的水，确保物料的含水率在15%左右，进一步提高物料塑性，有利于后续的挤出成型。</w:t>
            </w:r>
          </w:p>
          <w:p w14:paraId="3C450006">
            <w:pPr>
              <w:spacing w:line="520" w:lineRule="exact"/>
              <w:ind w:firstLine="480" w:firstLineChars="200"/>
              <w:rPr>
                <w:sz w:val="24"/>
              </w:rPr>
            </w:pPr>
            <w:r>
              <w:rPr>
                <w:sz w:val="24"/>
              </w:rPr>
              <w:t>（7）挤出成型</w:t>
            </w:r>
          </w:p>
          <w:p w14:paraId="0D934F02">
            <w:pPr>
              <w:spacing w:line="520" w:lineRule="exact"/>
              <w:ind w:firstLine="480" w:firstLineChars="200"/>
              <w:rPr>
                <w:sz w:val="24"/>
              </w:rPr>
            </w:pPr>
            <w:r>
              <w:rPr>
                <w:sz w:val="24"/>
              </w:rPr>
              <w:t>挤出机将搅拌均匀的塑性物料，通过挤压形成致密、连续的泥条。首先，物料在挤出机内进行真空处理：物料进入挤出机的真空室，在高压下脱除空气，脱除空气是防止砖坯产生气泡、裂纹和分层的关键，能大幅提高成品砖的强度和耐久性。其次，物料在挤出机内进行挤压处理：脱气后的物料被螺旋绞刀向前推进，通过巨大的压力在机头处压缩、密实。最后，物料在挤出机内进行成型处理：密实的泥料通过具有特定砖型孔洞的机口，被挤出成连续的多孔砖砖泥条。</w:t>
            </w:r>
          </w:p>
          <w:p w14:paraId="100B3278">
            <w:pPr>
              <w:spacing w:line="520" w:lineRule="exact"/>
              <w:ind w:firstLine="480" w:firstLineChars="200"/>
              <w:rPr>
                <w:sz w:val="24"/>
              </w:rPr>
            </w:pPr>
            <w:r>
              <w:rPr>
                <w:sz w:val="24"/>
              </w:rPr>
              <w:t>（8）切坯和码坯</w:t>
            </w:r>
          </w:p>
          <w:p w14:paraId="192B7740">
            <w:pPr>
              <w:spacing w:line="520" w:lineRule="exact"/>
              <w:ind w:firstLine="480" w:firstLineChars="200"/>
              <w:rPr>
                <w:sz w:val="24"/>
              </w:rPr>
            </w:pPr>
            <w:r>
              <w:rPr>
                <w:sz w:val="24"/>
              </w:rPr>
              <w:t>来自挤出机的泥条通过自动切坯机，被钢丝按设定长度切割成一块块的砖坯，然后码坯机将砖坯快速、整齐地码放在窑车上，形成稳定的坯垛，并留有合理的通风道，利于后续干燥。在切坯过程中产生的不合格坯体，作为生产原料返回二次搅拌工序，综合利用，不外排。</w:t>
            </w:r>
          </w:p>
          <w:p w14:paraId="3EB05ADB">
            <w:pPr>
              <w:spacing w:line="520" w:lineRule="exact"/>
              <w:ind w:firstLine="480" w:firstLineChars="200"/>
              <w:rPr>
                <w:sz w:val="24"/>
              </w:rPr>
            </w:pPr>
            <w:r>
              <w:rPr>
                <w:sz w:val="24"/>
              </w:rPr>
              <w:t>（9）干燥</w:t>
            </w:r>
          </w:p>
          <w:p w14:paraId="079F7A46">
            <w:pPr>
              <w:pStyle w:val="189"/>
              <w:adjustRightInd w:val="0"/>
              <w:snapToGrid w:val="0"/>
              <w:spacing w:before="0" w:after="0"/>
              <w:rPr>
                <w:rFonts w:ascii="Times New Roman" w:hAnsi="Times New Roman"/>
                <w:bCs w:val="0"/>
                <w:kern w:val="2"/>
              </w:rPr>
            </w:pPr>
            <w:r>
              <w:rPr>
                <w:rFonts w:ascii="Times New Roman" w:hAnsi="Times New Roman"/>
                <w:bCs w:val="0"/>
                <w:kern w:val="2"/>
              </w:rPr>
              <w:t>砖坯干燥在干燥窑中进行，通过干燥将砖坯中的绝大部分水分（主要是物理水）安全地排除，使其获得足够的强度，能够承受隧道窑焙烧时的机械应力和热应力。本项目干燥窑利用隧道窑焙烧时产生的余热作为热源，对砖坯进行干燥。来自焙烧隧道窑余热废气通过抽风机送入干燥窑窑尾，通过引风机将余热利用后的废气引至废气处理装置进行处理，实现废气的达标排放。</w:t>
            </w:r>
          </w:p>
          <w:p w14:paraId="77D679B1">
            <w:pPr>
              <w:pStyle w:val="189"/>
              <w:adjustRightInd w:val="0"/>
              <w:snapToGrid w:val="0"/>
              <w:spacing w:before="0" w:after="0"/>
              <w:rPr>
                <w:rFonts w:ascii="Times New Roman" w:hAnsi="Times New Roman"/>
              </w:rPr>
            </w:pPr>
            <w:r>
              <w:rPr>
                <w:rFonts w:ascii="Times New Roman" w:hAnsi="Times New Roman"/>
              </w:rPr>
              <w:t>干燥隧道窑内热风的流动方向通常与窑车的前进方向相反（逆流操作），窑车承载湿砖坯从窑头进入，从窑尾送出；而热风则反向流动，从高温的窑尾送入，从低温高湿的窑头排出；采用逆流干燥使得最热、最干的风与最干、温度最高的砖坯相遇，完成最后的脱水；而经过热交换后，已降温增湿的风则与最湿、最冷的砖坯相遇，进行缓慢的初步干燥。这种逆向换热方式最大限度地利用了热能，实现了最高的热效率。为保证窑炉废气的有效收集，本项目干燥窑进窑车端设置 2 道窑门，窑车准备进窑时，首先打开第一道门，保持第二道门关闭；窑车进窑后，先关闭第一道门，再打开第二道门；窑车完全入窑后，先关闭第二道门，然后再打开第一道门；如此往复，进行窑车入窑操作。</w:t>
            </w:r>
          </w:p>
          <w:p w14:paraId="19598180">
            <w:pPr>
              <w:spacing w:line="520" w:lineRule="exact"/>
              <w:ind w:firstLine="480" w:firstLineChars="200"/>
              <w:rPr>
                <w:sz w:val="24"/>
              </w:rPr>
            </w:pPr>
            <w:r>
              <w:rPr>
                <w:sz w:val="24"/>
              </w:rPr>
              <w:t>（10）隧道窑焙烧</w:t>
            </w:r>
          </w:p>
          <w:p w14:paraId="5A38A0CC">
            <w:pPr>
              <w:pStyle w:val="189"/>
              <w:adjustRightInd w:val="0"/>
              <w:snapToGrid w:val="0"/>
              <w:rPr>
                <w:rFonts w:ascii="Times New Roman" w:hAnsi="Times New Roman"/>
              </w:rPr>
            </w:pPr>
            <w:r>
              <w:rPr>
                <w:rFonts w:ascii="Times New Roman" w:hAnsi="Times New Roman"/>
              </w:rPr>
              <w:t xml:space="preserve">隧道窑焙烧是烧结砖生产的核心环节。在高温下，砖坯内的矿物成分发生化学反应，生成新的矿物相，使砖坯熔融、玻化，最终获得高强度、高耐久性的烧结砖。 </w:t>
            </w:r>
          </w:p>
          <w:p w14:paraId="497DA1D4">
            <w:pPr>
              <w:pStyle w:val="189"/>
              <w:adjustRightInd w:val="0"/>
              <w:snapToGrid w:val="0"/>
              <w:rPr>
                <w:rFonts w:ascii="Times New Roman" w:hAnsi="Times New Roman"/>
              </w:rPr>
            </w:pPr>
            <w:r>
              <w:rPr>
                <w:rFonts w:ascii="Times New Roman" w:hAnsi="Times New Roman"/>
              </w:rPr>
              <w:t xml:space="preserve">本项目隧道窑点火环节采用压缩天然气罐车直供的天然气作为燃料，一次点火完成后，整个生产流程即依靠原料煤矸石自身放热持续运行，无需额外补充燃料。这种工艺设计不仅实现了能源的梯级利用，更达到了工业固体废弃物的资源化综合利用目标。 </w:t>
            </w:r>
          </w:p>
          <w:p w14:paraId="51EA01F2">
            <w:pPr>
              <w:pStyle w:val="189"/>
              <w:adjustRightInd w:val="0"/>
              <w:snapToGrid w:val="0"/>
              <w:spacing w:before="0" w:after="0"/>
              <w:rPr>
                <w:rFonts w:ascii="Times New Roman" w:hAnsi="Times New Roman"/>
              </w:rPr>
            </w:pPr>
            <w:r>
              <w:rPr>
                <w:rFonts w:ascii="Times New Roman" w:hAnsi="Times New Roman"/>
              </w:rPr>
              <w:t>隧道窑属逆流操作的热工设备，沿窑长度方向分为预热带、焙烧带、冷却带三带，砖坯与气流依相反方向运动，在三带中依次完成其预热、烧成、冷却过程。隧道窑两端设有窑门，每隔一定的时间，将装有砖坯的窑车推入一辆，同时将装有已烧成成品的窑车被顶出一辆。</w:t>
            </w:r>
          </w:p>
          <w:p w14:paraId="5B4B4AA1">
            <w:pPr>
              <w:pStyle w:val="189"/>
              <w:adjustRightInd w:val="0"/>
              <w:snapToGrid w:val="0"/>
              <w:spacing w:before="0" w:after="0"/>
              <w:rPr>
                <w:rFonts w:ascii="Times New Roman" w:hAnsi="Times New Roman"/>
              </w:rPr>
            </w:pPr>
            <w:r>
              <w:rPr>
                <w:rFonts w:ascii="Times New Roman" w:hAnsi="Times New Roman"/>
              </w:rPr>
              <w:t>预热带：砖坯从窑头进入，被来自焙烧带的热烟气逐步预热，残余水分和部分化学结合水被排除。</w:t>
            </w:r>
          </w:p>
          <w:p w14:paraId="293579E2">
            <w:pPr>
              <w:pStyle w:val="189"/>
              <w:adjustRightInd w:val="0"/>
              <w:snapToGrid w:val="0"/>
              <w:spacing w:before="0" w:after="0"/>
              <w:rPr>
                <w:rFonts w:ascii="Times New Roman" w:hAnsi="Times New Roman"/>
              </w:rPr>
            </w:pPr>
            <w:r>
              <w:rPr>
                <w:rFonts w:ascii="Times New Roman" w:hAnsi="Times New Roman"/>
              </w:rPr>
              <w:t>焙烧带：砖坯到达窑中部，温度达到最高（通常为940～1000℃）。煤矸石在此燃烧，提供热量。砖坯中的矿物发生分解、化合、重结晶和玻化，产生强度。</w:t>
            </w:r>
          </w:p>
          <w:p w14:paraId="5A8552D2">
            <w:pPr>
              <w:pStyle w:val="189"/>
              <w:adjustRightInd w:val="0"/>
              <w:snapToGrid w:val="0"/>
              <w:rPr>
                <w:rFonts w:ascii="Times New Roman" w:hAnsi="Times New Roman"/>
              </w:rPr>
            </w:pPr>
            <w:r>
              <w:rPr>
                <w:rFonts w:ascii="Times New Roman" w:hAnsi="Times New Roman"/>
              </w:rPr>
              <w:t>冷却带：完成焙烧的成品随窑车进入窑尾，在此区域进行适当的保温，使反应更完全，然后被送入的冷风逐步冷却。缓慢冷却是防止砖体产生冷却裂纹的关键。</w:t>
            </w:r>
          </w:p>
          <w:p w14:paraId="73B44C59">
            <w:pPr>
              <w:pStyle w:val="189"/>
              <w:adjustRightInd w:val="0"/>
              <w:snapToGrid w:val="0"/>
              <w:spacing w:before="0" w:after="0"/>
              <w:rPr>
                <w:rFonts w:ascii="Times New Roman" w:hAnsi="Times New Roman"/>
              </w:rPr>
            </w:pPr>
            <w:r>
              <w:rPr>
                <w:rFonts w:ascii="Times New Roman" w:hAnsi="Times New Roman"/>
              </w:rPr>
              <w:t>本项目隧道窑烧成废气全部引入干燥窑，作为热源对湿砖坯进行烘干，最终通过引风机引至脱硫除尘装置进行处理，实现废气的余热利用和达标排放。</w:t>
            </w:r>
          </w:p>
          <w:p w14:paraId="40E7927D">
            <w:pPr>
              <w:pStyle w:val="189"/>
              <w:adjustRightInd w:val="0"/>
              <w:snapToGrid w:val="0"/>
              <w:rPr>
                <w:rFonts w:ascii="Times New Roman" w:hAnsi="Times New Roman"/>
              </w:rPr>
            </w:pPr>
            <w:r>
              <w:rPr>
                <w:rFonts w:ascii="Times New Roman" w:hAnsi="Times New Roman"/>
              </w:rPr>
              <w:t>（11）保温冷却</w:t>
            </w:r>
          </w:p>
          <w:p w14:paraId="0EEB91B1">
            <w:pPr>
              <w:pStyle w:val="189"/>
              <w:adjustRightInd w:val="0"/>
              <w:snapToGrid w:val="0"/>
              <w:rPr>
                <w:rFonts w:ascii="Times New Roman" w:hAnsi="Times New Roman"/>
              </w:rPr>
            </w:pPr>
            <w:r>
              <w:rPr>
                <w:rFonts w:ascii="Times New Roman" w:hAnsi="Times New Roman"/>
              </w:rPr>
              <w:t xml:space="preserve">本项目保温冷却是焙烧过程的延续，以确保产品在出窑前得到充分且平缓的冷却，使其内部晶体结构稳定，避免因急冷产生应力裂纹。该工序在焙烧隧道窑的冷却带完成。通过精确控制冷风的送入量和位置，使产品温度从900℃以上缓慢降至50～80℃的可出窑温度。 </w:t>
            </w:r>
          </w:p>
          <w:p w14:paraId="1A5DF7EB">
            <w:pPr>
              <w:pStyle w:val="189"/>
              <w:adjustRightInd w:val="0"/>
              <w:snapToGrid w:val="0"/>
              <w:rPr>
                <w:rFonts w:ascii="Times New Roman" w:hAnsi="Times New Roman"/>
              </w:rPr>
            </w:pPr>
            <w:r>
              <w:rPr>
                <w:rFonts w:ascii="Times New Roman" w:hAnsi="Times New Roman"/>
              </w:rPr>
              <w:t xml:space="preserve">根据企业提供经验数据，湿砖坯从进窑烘干、焙烧至出窑整个生产周期一般控制在72小时，其中干燥窑时间控制在48小时，焙烧隧道窑时间控制在24小时。 </w:t>
            </w:r>
          </w:p>
          <w:p w14:paraId="21FCA327">
            <w:pPr>
              <w:pStyle w:val="189"/>
              <w:adjustRightInd w:val="0"/>
              <w:snapToGrid w:val="0"/>
              <w:rPr>
                <w:rFonts w:ascii="Times New Roman" w:hAnsi="Times New Roman"/>
              </w:rPr>
            </w:pPr>
            <w:r>
              <w:rPr>
                <w:rFonts w:ascii="Times New Roman" w:hAnsi="Times New Roman"/>
              </w:rPr>
              <w:t>（12）卸砖、检验和打包</w:t>
            </w:r>
          </w:p>
          <w:p w14:paraId="368BBC5C">
            <w:pPr>
              <w:pStyle w:val="189"/>
              <w:adjustRightInd w:val="0"/>
              <w:snapToGrid w:val="0"/>
              <w:spacing w:before="0" w:after="0"/>
              <w:rPr>
                <w:rFonts w:ascii="Times New Roman" w:hAnsi="Times New Roman"/>
              </w:rPr>
            </w:pPr>
            <w:r>
              <w:rPr>
                <w:rFonts w:ascii="Times New Roman" w:hAnsi="Times New Roman"/>
              </w:rPr>
              <w:t>项目采用卸砖机将焙烧的成品从窑车上卸下，然后进行检验，剔除不合格产品，如欠火砖、过火砖、裂纹砖、变形砖等。合格产品砖通过自动打包机，用捆扎带打包成规整的立方体，便于后续运输和堆放；不合格产品送原料仓库，作为生产原料返回生产系统，综合利用，不外排。</w:t>
            </w:r>
          </w:p>
          <w:p w14:paraId="75A3D630">
            <w:pPr>
              <w:pStyle w:val="189"/>
              <w:adjustRightInd w:val="0"/>
              <w:snapToGrid w:val="0"/>
              <w:spacing w:before="0" w:after="0"/>
              <w:rPr>
                <w:rFonts w:ascii="Times New Roman" w:hAnsi="Times New Roman"/>
              </w:rPr>
            </w:pPr>
            <w:r>
              <w:rPr>
                <w:rFonts w:ascii="Times New Roman" w:hAnsi="Times New Roman"/>
              </w:rPr>
              <w:t>本项目产排污环节见下表。</w:t>
            </w:r>
          </w:p>
          <w:bookmarkEnd w:id="21"/>
          <w:p w14:paraId="295CD651">
            <w:pPr>
              <w:adjustRightInd w:val="0"/>
              <w:snapToGrid w:val="0"/>
              <w:spacing w:line="520" w:lineRule="exact"/>
              <w:jc w:val="center"/>
              <w:rPr>
                <w:rFonts w:eastAsia="黑体"/>
                <w:bCs/>
                <w:sz w:val="24"/>
              </w:rPr>
            </w:pPr>
            <w:bookmarkStart w:id="22" w:name="_Hlk217856675"/>
            <w:r>
              <w:rPr>
                <w:rStyle w:val="222"/>
                <w:bCs/>
                <w:color w:val="auto"/>
              </w:rPr>
              <w:t>表2-8      项目运营期主要产污环节一览表</w:t>
            </w:r>
          </w:p>
          <w:bookmarkEnd w:id="22"/>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3179"/>
              <w:gridCol w:w="4068"/>
            </w:tblGrid>
            <w:tr w14:paraId="330E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15" w:type="pct"/>
                  <w:vAlign w:val="center"/>
                </w:tcPr>
                <w:p w14:paraId="6996A409">
                  <w:pPr>
                    <w:spacing w:line="320" w:lineRule="exact"/>
                    <w:jc w:val="center"/>
                  </w:pPr>
                  <w:bookmarkStart w:id="23" w:name="_Hlk217856659"/>
                  <w:r>
                    <w:t>污染类别</w:t>
                  </w:r>
                </w:p>
              </w:tc>
              <w:tc>
                <w:tcPr>
                  <w:tcW w:w="1880" w:type="pct"/>
                  <w:vAlign w:val="center"/>
                </w:tcPr>
                <w:p w14:paraId="531FD977">
                  <w:pPr>
                    <w:spacing w:line="320" w:lineRule="exact"/>
                    <w:jc w:val="center"/>
                  </w:pPr>
                  <w:r>
                    <w:t>产污环节</w:t>
                  </w:r>
                </w:p>
              </w:tc>
              <w:tc>
                <w:tcPr>
                  <w:tcW w:w="2405" w:type="pct"/>
                  <w:vAlign w:val="center"/>
                </w:tcPr>
                <w:p w14:paraId="07E68F2A">
                  <w:pPr>
                    <w:spacing w:line="320" w:lineRule="exact"/>
                    <w:jc w:val="center"/>
                  </w:pPr>
                  <w:r>
                    <w:t>主要污染因子</w:t>
                  </w:r>
                </w:p>
              </w:tc>
            </w:tr>
            <w:tr w14:paraId="281C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restart"/>
                  <w:vAlign w:val="center"/>
                </w:tcPr>
                <w:p w14:paraId="5D76C0D3">
                  <w:pPr>
                    <w:spacing w:line="320" w:lineRule="exact"/>
                    <w:jc w:val="center"/>
                  </w:pPr>
                  <w:r>
                    <w:t>废气</w:t>
                  </w:r>
                </w:p>
              </w:tc>
              <w:tc>
                <w:tcPr>
                  <w:tcW w:w="1880" w:type="pct"/>
                  <w:vAlign w:val="center"/>
                </w:tcPr>
                <w:p w14:paraId="2FD03DF6">
                  <w:pPr>
                    <w:spacing w:line="320" w:lineRule="exact"/>
                    <w:jc w:val="center"/>
                  </w:pPr>
                  <w:r>
                    <w:t>喂料、破碎、筛分、搅拌粉尘</w:t>
                  </w:r>
                </w:p>
              </w:tc>
              <w:tc>
                <w:tcPr>
                  <w:tcW w:w="2405" w:type="pct"/>
                  <w:vAlign w:val="center"/>
                </w:tcPr>
                <w:p w14:paraId="62E5E201">
                  <w:pPr>
                    <w:spacing w:line="320" w:lineRule="exact"/>
                    <w:jc w:val="center"/>
                  </w:pPr>
                  <w:r>
                    <w:t>颗粒物</w:t>
                  </w:r>
                </w:p>
              </w:tc>
            </w:tr>
            <w:tr w14:paraId="4C01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67AD7DB6">
                  <w:pPr>
                    <w:spacing w:line="320" w:lineRule="exact"/>
                    <w:jc w:val="center"/>
                    <w:rPr>
                      <w:color w:val="EE0000"/>
                    </w:rPr>
                  </w:pPr>
                </w:p>
              </w:tc>
              <w:tc>
                <w:tcPr>
                  <w:tcW w:w="1880" w:type="pct"/>
                  <w:vAlign w:val="center"/>
                </w:tcPr>
                <w:p w14:paraId="05BC9F5D">
                  <w:pPr>
                    <w:spacing w:line="320" w:lineRule="exact"/>
                    <w:jc w:val="center"/>
                  </w:pPr>
                  <w:r>
                    <w:t>窑车清理粉尘</w:t>
                  </w:r>
                </w:p>
              </w:tc>
              <w:tc>
                <w:tcPr>
                  <w:tcW w:w="2405" w:type="pct"/>
                  <w:vAlign w:val="center"/>
                </w:tcPr>
                <w:p w14:paraId="303A6A02">
                  <w:pPr>
                    <w:spacing w:line="320" w:lineRule="exact"/>
                    <w:jc w:val="center"/>
                  </w:pPr>
                  <w:r>
                    <w:t>颗粒物</w:t>
                  </w:r>
                </w:p>
              </w:tc>
            </w:tr>
            <w:tr w14:paraId="0D7F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685A6B18">
                  <w:pPr>
                    <w:spacing w:line="320" w:lineRule="exact"/>
                    <w:jc w:val="center"/>
                    <w:rPr>
                      <w:color w:val="EE0000"/>
                    </w:rPr>
                  </w:pPr>
                </w:p>
              </w:tc>
              <w:tc>
                <w:tcPr>
                  <w:tcW w:w="1880" w:type="pct"/>
                  <w:vAlign w:val="center"/>
                </w:tcPr>
                <w:p w14:paraId="6FCB55AD">
                  <w:pPr>
                    <w:spacing w:line="320" w:lineRule="exact"/>
                    <w:jc w:val="center"/>
                  </w:pPr>
                  <w:r>
                    <w:rPr>
                      <w:szCs w:val="21"/>
                    </w:rPr>
                    <w:t>脱硫剂石灰粉出入仓粉尘</w:t>
                  </w:r>
                </w:p>
              </w:tc>
              <w:tc>
                <w:tcPr>
                  <w:tcW w:w="2405" w:type="pct"/>
                  <w:vAlign w:val="center"/>
                </w:tcPr>
                <w:p w14:paraId="66A2C582">
                  <w:pPr>
                    <w:spacing w:line="320" w:lineRule="exact"/>
                    <w:jc w:val="center"/>
                  </w:pPr>
                  <w:r>
                    <w:t>颗粒物</w:t>
                  </w:r>
                </w:p>
              </w:tc>
            </w:tr>
            <w:tr w14:paraId="5F6F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59FDA4DD">
                  <w:pPr>
                    <w:spacing w:line="320" w:lineRule="exact"/>
                    <w:jc w:val="center"/>
                    <w:rPr>
                      <w:color w:val="EE0000"/>
                    </w:rPr>
                  </w:pPr>
                </w:p>
              </w:tc>
              <w:tc>
                <w:tcPr>
                  <w:tcW w:w="1880" w:type="pct"/>
                  <w:vAlign w:val="center"/>
                </w:tcPr>
                <w:p w14:paraId="72AA8980">
                  <w:pPr>
                    <w:spacing w:line="320" w:lineRule="exact"/>
                    <w:jc w:val="center"/>
                  </w:pPr>
                  <w:r>
                    <w:t>窑炉烟气</w:t>
                  </w:r>
                </w:p>
              </w:tc>
              <w:tc>
                <w:tcPr>
                  <w:tcW w:w="2405" w:type="pct"/>
                  <w:vAlign w:val="center"/>
                </w:tcPr>
                <w:p w14:paraId="1369DDD4">
                  <w:pPr>
                    <w:spacing w:line="320" w:lineRule="exact"/>
                    <w:jc w:val="center"/>
                  </w:pPr>
                  <w:r>
                    <w:t>颗粒物、二氧化硫、氮氧化物、氟化物、HCL、汞、铅、铬、砷、锌、铜、二噁英类、</w:t>
                  </w:r>
                  <w:r>
                    <w:rPr>
                      <w:color w:val="EE0000"/>
                      <w:u w:val="single"/>
                    </w:rPr>
                    <w:t>氨</w:t>
                  </w:r>
                </w:p>
              </w:tc>
            </w:tr>
            <w:tr w14:paraId="6FBF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5BEEE0FF">
                  <w:pPr>
                    <w:spacing w:line="320" w:lineRule="exact"/>
                    <w:jc w:val="center"/>
                    <w:rPr>
                      <w:color w:val="EE0000"/>
                    </w:rPr>
                  </w:pPr>
                </w:p>
              </w:tc>
              <w:tc>
                <w:tcPr>
                  <w:tcW w:w="1880" w:type="pct"/>
                  <w:vAlign w:val="center"/>
                </w:tcPr>
                <w:p w14:paraId="763A8CCC">
                  <w:pPr>
                    <w:spacing w:line="320" w:lineRule="exact"/>
                    <w:jc w:val="center"/>
                  </w:pPr>
                  <w:r>
                    <w:rPr>
                      <w:kern w:val="0"/>
                      <w:szCs w:val="21"/>
                    </w:rPr>
                    <w:t>物料装卸粉尘</w:t>
                  </w:r>
                </w:p>
              </w:tc>
              <w:tc>
                <w:tcPr>
                  <w:tcW w:w="2405" w:type="pct"/>
                  <w:vAlign w:val="center"/>
                </w:tcPr>
                <w:p w14:paraId="3F38591B">
                  <w:pPr>
                    <w:spacing w:line="320" w:lineRule="exact"/>
                    <w:jc w:val="center"/>
                  </w:pPr>
                  <w:r>
                    <w:t>颗粒物</w:t>
                  </w:r>
                </w:p>
              </w:tc>
            </w:tr>
            <w:tr w14:paraId="737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186D2AA2">
                  <w:pPr>
                    <w:spacing w:line="320" w:lineRule="exact"/>
                    <w:jc w:val="center"/>
                    <w:rPr>
                      <w:color w:val="EE0000"/>
                    </w:rPr>
                  </w:pPr>
                </w:p>
              </w:tc>
              <w:tc>
                <w:tcPr>
                  <w:tcW w:w="1880" w:type="pct"/>
                  <w:vAlign w:val="center"/>
                </w:tcPr>
                <w:p w14:paraId="2F0939EE">
                  <w:pPr>
                    <w:spacing w:line="320" w:lineRule="exact"/>
                    <w:jc w:val="center"/>
                  </w:pPr>
                  <w:r>
                    <w:rPr>
                      <w:kern w:val="0"/>
                      <w:szCs w:val="21"/>
                    </w:rPr>
                    <w:t>车辆运输粉尘</w:t>
                  </w:r>
                </w:p>
              </w:tc>
              <w:tc>
                <w:tcPr>
                  <w:tcW w:w="2405" w:type="pct"/>
                  <w:vAlign w:val="center"/>
                </w:tcPr>
                <w:p w14:paraId="10003854">
                  <w:pPr>
                    <w:spacing w:line="320" w:lineRule="exact"/>
                    <w:jc w:val="center"/>
                  </w:pPr>
                  <w:r>
                    <w:t>颗粒物</w:t>
                  </w:r>
                </w:p>
              </w:tc>
            </w:tr>
            <w:tr w14:paraId="2B33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1B12E6AD">
                  <w:pPr>
                    <w:spacing w:line="320" w:lineRule="exact"/>
                    <w:jc w:val="center"/>
                    <w:rPr>
                      <w:color w:val="EE0000"/>
                    </w:rPr>
                  </w:pPr>
                </w:p>
              </w:tc>
              <w:tc>
                <w:tcPr>
                  <w:tcW w:w="1880" w:type="pct"/>
                  <w:vAlign w:val="center"/>
                </w:tcPr>
                <w:p w14:paraId="3F284A92">
                  <w:pPr>
                    <w:spacing w:line="320" w:lineRule="exact"/>
                    <w:jc w:val="center"/>
                    <w:rPr>
                      <w:kern w:val="0"/>
                      <w:szCs w:val="21"/>
                    </w:rPr>
                  </w:pPr>
                  <w:r>
                    <w:rPr>
                      <w:szCs w:val="21"/>
                    </w:rPr>
                    <w:t>污泥储存恶臭</w:t>
                  </w:r>
                </w:p>
              </w:tc>
              <w:tc>
                <w:tcPr>
                  <w:tcW w:w="2405" w:type="pct"/>
                  <w:vAlign w:val="center"/>
                </w:tcPr>
                <w:p w14:paraId="07C1A712">
                  <w:pPr>
                    <w:spacing w:line="320" w:lineRule="exact"/>
                    <w:jc w:val="center"/>
                  </w:pPr>
                  <w:r>
                    <w:rPr>
                      <w:szCs w:val="21"/>
                    </w:rPr>
                    <w:t>氨、硫化氢</w:t>
                  </w:r>
                </w:p>
              </w:tc>
            </w:tr>
            <w:tr w14:paraId="7897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5" w:type="pct"/>
                  <w:vMerge w:val="continue"/>
                  <w:vAlign w:val="center"/>
                </w:tcPr>
                <w:p w14:paraId="31C71D7B">
                  <w:pPr>
                    <w:spacing w:line="320" w:lineRule="exact"/>
                    <w:jc w:val="center"/>
                    <w:rPr>
                      <w:color w:val="EE0000"/>
                    </w:rPr>
                  </w:pPr>
                </w:p>
              </w:tc>
              <w:tc>
                <w:tcPr>
                  <w:tcW w:w="1880" w:type="pct"/>
                  <w:vAlign w:val="center"/>
                </w:tcPr>
                <w:p w14:paraId="3EC2BE7E">
                  <w:pPr>
                    <w:spacing w:line="320" w:lineRule="exact"/>
                    <w:jc w:val="center"/>
                    <w:rPr>
                      <w:kern w:val="0"/>
                      <w:szCs w:val="21"/>
                    </w:rPr>
                  </w:pPr>
                  <w:r>
                    <w:rPr>
                      <w:szCs w:val="21"/>
                    </w:rPr>
                    <w:t>员工食堂油烟</w:t>
                  </w:r>
                </w:p>
              </w:tc>
              <w:tc>
                <w:tcPr>
                  <w:tcW w:w="2405" w:type="pct"/>
                  <w:vAlign w:val="center"/>
                </w:tcPr>
                <w:p w14:paraId="5012B433">
                  <w:pPr>
                    <w:spacing w:line="320" w:lineRule="exact"/>
                    <w:jc w:val="center"/>
                  </w:pPr>
                  <w:r>
                    <w:t>油烟</w:t>
                  </w:r>
                </w:p>
              </w:tc>
            </w:tr>
            <w:tr w14:paraId="29CA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15" w:type="pct"/>
                  <w:vMerge w:val="restart"/>
                  <w:vAlign w:val="center"/>
                </w:tcPr>
                <w:p w14:paraId="382F02C1">
                  <w:pPr>
                    <w:spacing w:line="320" w:lineRule="exact"/>
                    <w:jc w:val="center"/>
                  </w:pPr>
                  <w:r>
                    <w:t>废水</w:t>
                  </w:r>
                </w:p>
              </w:tc>
              <w:tc>
                <w:tcPr>
                  <w:tcW w:w="1880" w:type="pct"/>
                  <w:vAlign w:val="center"/>
                </w:tcPr>
                <w:p w14:paraId="7E896F77">
                  <w:pPr>
                    <w:spacing w:line="320" w:lineRule="exact"/>
                    <w:jc w:val="center"/>
                  </w:pPr>
                  <w:r>
                    <w:rPr>
                      <w:szCs w:val="21"/>
                    </w:rPr>
                    <w:t>脱硫废水</w:t>
                  </w:r>
                </w:p>
              </w:tc>
              <w:tc>
                <w:tcPr>
                  <w:tcW w:w="2405" w:type="pct"/>
                  <w:vAlign w:val="center"/>
                </w:tcPr>
                <w:p w14:paraId="798621C3">
                  <w:pPr>
                    <w:spacing w:line="320" w:lineRule="exact"/>
                    <w:jc w:val="center"/>
                  </w:pPr>
                  <w:r>
                    <w:t>pH、SS</w:t>
                  </w:r>
                </w:p>
              </w:tc>
            </w:tr>
            <w:tr w14:paraId="73B3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15" w:type="pct"/>
                  <w:vMerge w:val="continue"/>
                  <w:vAlign w:val="center"/>
                </w:tcPr>
                <w:p w14:paraId="4B602E93">
                  <w:pPr>
                    <w:spacing w:line="320" w:lineRule="exact"/>
                    <w:jc w:val="center"/>
                  </w:pPr>
                </w:p>
              </w:tc>
              <w:tc>
                <w:tcPr>
                  <w:tcW w:w="1880" w:type="pct"/>
                  <w:vAlign w:val="center"/>
                </w:tcPr>
                <w:p w14:paraId="43E78F60">
                  <w:pPr>
                    <w:spacing w:line="320" w:lineRule="exact"/>
                    <w:jc w:val="center"/>
                  </w:pPr>
                  <w:r>
                    <w:rPr>
                      <w:szCs w:val="21"/>
                    </w:rPr>
                    <w:t>车辆冲洗废水</w:t>
                  </w:r>
                </w:p>
              </w:tc>
              <w:tc>
                <w:tcPr>
                  <w:tcW w:w="2405" w:type="pct"/>
                  <w:vAlign w:val="center"/>
                </w:tcPr>
                <w:p w14:paraId="257424C7">
                  <w:pPr>
                    <w:spacing w:line="320" w:lineRule="exact"/>
                    <w:jc w:val="center"/>
                  </w:pPr>
                  <w:r>
                    <w:t>SS</w:t>
                  </w:r>
                </w:p>
              </w:tc>
            </w:tr>
            <w:tr w14:paraId="664C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15" w:type="pct"/>
                  <w:vMerge w:val="continue"/>
                  <w:vAlign w:val="center"/>
                </w:tcPr>
                <w:p w14:paraId="4DA8BA85">
                  <w:pPr>
                    <w:spacing w:line="320" w:lineRule="exact"/>
                    <w:jc w:val="center"/>
                  </w:pPr>
                </w:p>
              </w:tc>
              <w:tc>
                <w:tcPr>
                  <w:tcW w:w="1880" w:type="pct"/>
                  <w:vAlign w:val="center"/>
                </w:tcPr>
                <w:p w14:paraId="5D0864A5">
                  <w:pPr>
                    <w:spacing w:line="320" w:lineRule="exact"/>
                    <w:jc w:val="center"/>
                  </w:pPr>
                  <w:r>
                    <w:rPr>
                      <w:bCs/>
                      <w:szCs w:val="21"/>
                    </w:rPr>
                    <w:t>湿电除尘废水</w:t>
                  </w:r>
                </w:p>
              </w:tc>
              <w:tc>
                <w:tcPr>
                  <w:tcW w:w="2405" w:type="pct"/>
                  <w:vAlign w:val="center"/>
                </w:tcPr>
                <w:p w14:paraId="2609F019">
                  <w:pPr>
                    <w:spacing w:line="320" w:lineRule="exact"/>
                    <w:jc w:val="center"/>
                  </w:pPr>
                  <w:r>
                    <w:t>SS</w:t>
                  </w:r>
                </w:p>
              </w:tc>
            </w:tr>
            <w:tr w14:paraId="1105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15" w:type="pct"/>
                  <w:vMerge w:val="continue"/>
                  <w:vAlign w:val="center"/>
                </w:tcPr>
                <w:p w14:paraId="2A7A1AC5">
                  <w:pPr>
                    <w:spacing w:line="320" w:lineRule="exact"/>
                    <w:jc w:val="center"/>
                  </w:pPr>
                </w:p>
              </w:tc>
              <w:tc>
                <w:tcPr>
                  <w:tcW w:w="1880" w:type="pct"/>
                  <w:vAlign w:val="center"/>
                </w:tcPr>
                <w:p w14:paraId="2961C904">
                  <w:pPr>
                    <w:spacing w:line="320" w:lineRule="exact"/>
                    <w:jc w:val="center"/>
                  </w:pPr>
                  <w:r>
                    <w:rPr>
                      <w:bCs/>
                      <w:szCs w:val="21"/>
                    </w:rPr>
                    <w:t>生活污水</w:t>
                  </w:r>
                </w:p>
              </w:tc>
              <w:tc>
                <w:tcPr>
                  <w:tcW w:w="2405" w:type="pct"/>
                  <w:vAlign w:val="center"/>
                </w:tcPr>
                <w:p w14:paraId="276962F0">
                  <w:pPr>
                    <w:spacing w:line="320" w:lineRule="exact"/>
                    <w:jc w:val="center"/>
                  </w:pPr>
                  <w:r>
                    <w:t>COD、BOD</w:t>
                  </w:r>
                  <w:r>
                    <w:rPr>
                      <w:vertAlign w:val="subscript"/>
                    </w:rPr>
                    <w:t>5</w:t>
                  </w:r>
                  <w:r>
                    <w:t>、氨氮、SS、动植物油</w:t>
                  </w:r>
                </w:p>
              </w:tc>
            </w:tr>
            <w:tr w14:paraId="0278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18047BED">
                  <w:pPr>
                    <w:spacing w:line="320" w:lineRule="exact"/>
                    <w:jc w:val="center"/>
                  </w:pPr>
                  <w:r>
                    <w:t>噪声</w:t>
                  </w:r>
                </w:p>
              </w:tc>
              <w:tc>
                <w:tcPr>
                  <w:tcW w:w="1880" w:type="pct"/>
                  <w:vAlign w:val="center"/>
                </w:tcPr>
                <w:p w14:paraId="7F12E346">
                  <w:pPr>
                    <w:spacing w:line="320" w:lineRule="exact"/>
                    <w:jc w:val="center"/>
                  </w:pPr>
                  <w:r>
                    <w:t>设备噪声</w:t>
                  </w:r>
                </w:p>
              </w:tc>
              <w:tc>
                <w:tcPr>
                  <w:tcW w:w="2405" w:type="pct"/>
                  <w:vAlign w:val="center"/>
                </w:tcPr>
                <w:p w14:paraId="12A5ECC5">
                  <w:pPr>
                    <w:spacing w:line="320" w:lineRule="exact"/>
                    <w:jc w:val="center"/>
                  </w:pPr>
                  <w:r>
                    <w:t>Leq</w:t>
                  </w:r>
                </w:p>
              </w:tc>
            </w:tr>
            <w:tr w14:paraId="478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5" w:type="pct"/>
                  <w:vMerge w:val="restart"/>
                  <w:vAlign w:val="center"/>
                </w:tcPr>
                <w:p w14:paraId="73BF8B4A">
                  <w:pPr>
                    <w:spacing w:line="320" w:lineRule="exact"/>
                    <w:jc w:val="center"/>
                  </w:pPr>
                  <w:r>
                    <w:t>固废</w:t>
                  </w:r>
                </w:p>
              </w:tc>
              <w:tc>
                <w:tcPr>
                  <w:tcW w:w="1880" w:type="pct"/>
                  <w:vMerge w:val="restart"/>
                  <w:vAlign w:val="center"/>
                </w:tcPr>
                <w:p w14:paraId="164F8143">
                  <w:pPr>
                    <w:spacing w:line="320" w:lineRule="exact"/>
                    <w:jc w:val="center"/>
                    <w:rPr>
                      <w:highlight w:val="yellow"/>
                    </w:rPr>
                  </w:pPr>
                  <w:r>
                    <w:rPr>
                      <w:szCs w:val="21"/>
                    </w:rPr>
                    <w:t>生产过程</w:t>
                  </w:r>
                </w:p>
              </w:tc>
              <w:tc>
                <w:tcPr>
                  <w:tcW w:w="2405" w:type="pct"/>
                  <w:vAlign w:val="center"/>
                </w:tcPr>
                <w:p w14:paraId="031E96A0">
                  <w:pPr>
                    <w:spacing w:line="320" w:lineRule="exact"/>
                    <w:jc w:val="center"/>
                    <w:rPr>
                      <w:highlight w:val="yellow"/>
                    </w:rPr>
                  </w:pPr>
                  <w:r>
                    <w:rPr>
                      <w:szCs w:val="21"/>
                    </w:rPr>
                    <w:t>废湿坯</w:t>
                  </w:r>
                </w:p>
              </w:tc>
            </w:tr>
            <w:tr w14:paraId="6D83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5" w:type="pct"/>
                  <w:vMerge w:val="continue"/>
                  <w:vAlign w:val="center"/>
                </w:tcPr>
                <w:p w14:paraId="58B03E18">
                  <w:pPr>
                    <w:spacing w:line="320" w:lineRule="exact"/>
                    <w:jc w:val="center"/>
                    <w:rPr>
                      <w:highlight w:val="yellow"/>
                    </w:rPr>
                  </w:pPr>
                </w:p>
              </w:tc>
              <w:tc>
                <w:tcPr>
                  <w:tcW w:w="1880" w:type="pct"/>
                  <w:vMerge w:val="continue"/>
                  <w:vAlign w:val="center"/>
                </w:tcPr>
                <w:p w14:paraId="7C4B1554">
                  <w:pPr>
                    <w:spacing w:line="320" w:lineRule="exact"/>
                    <w:jc w:val="center"/>
                    <w:rPr>
                      <w:highlight w:val="yellow"/>
                    </w:rPr>
                  </w:pPr>
                </w:p>
              </w:tc>
              <w:tc>
                <w:tcPr>
                  <w:tcW w:w="2405" w:type="pct"/>
                  <w:vAlign w:val="center"/>
                </w:tcPr>
                <w:p w14:paraId="677E25F5">
                  <w:pPr>
                    <w:spacing w:line="320" w:lineRule="exact"/>
                    <w:jc w:val="center"/>
                    <w:rPr>
                      <w:highlight w:val="yellow"/>
                    </w:rPr>
                  </w:pPr>
                  <w:r>
                    <w:rPr>
                      <w:szCs w:val="21"/>
                    </w:rPr>
                    <w:t>不合格产品</w:t>
                  </w:r>
                </w:p>
              </w:tc>
            </w:tr>
            <w:tr w14:paraId="6DB7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03532E05">
                  <w:pPr>
                    <w:spacing w:line="320" w:lineRule="exact"/>
                    <w:jc w:val="center"/>
                    <w:rPr>
                      <w:highlight w:val="yellow"/>
                    </w:rPr>
                  </w:pPr>
                </w:p>
              </w:tc>
              <w:tc>
                <w:tcPr>
                  <w:tcW w:w="1880" w:type="pct"/>
                  <w:vAlign w:val="center"/>
                </w:tcPr>
                <w:p w14:paraId="2919398E">
                  <w:pPr>
                    <w:spacing w:line="320" w:lineRule="exact"/>
                    <w:jc w:val="center"/>
                    <w:rPr>
                      <w:szCs w:val="21"/>
                    </w:rPr>
                  </w:pPr>
                  <w:r>
                    <w:rPr>
                      <w:szCs w:val="21"/>
                    </w:rPr>
                    <w:t>仓顶除尘器</w:t>
                  </w:r>
                </w:p>
              </w:tc>
              <w:tc>
                <w:tcPr>
                  <w:tcW w:w="2405" w:type="pct"/>
                  <w:vAlign w:val="center"/>
                </w:tcPr>
                <w:p w14:paraId="47C1B7DB">
                  <w:pPr>
                    <w:spacing w:line="320" w:lineRule="exact"/>
                    <w:jc w:val="center"/>
                    <w:rPr>
                      <w:szCs w:val="21"/>
                    </w:rPr>
                  </w:pPr>
                  <w:r>
                    <w:rPr>
                      <w:szCs w:val="21"/>
                    </w:rPr>
                    <w:t>脱硫剂筒仓除尘灰</w:t>
                  </w:r>
                </w:p>
              </w:tc>
            </w:tr>
            <w:tr w14:paraId="682F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6583715A">
                  <w:pPr>
                    <w:spacing w:line="320" w:lineRule="exact"/>
                    <w:jc w:val="center"/>
                    <w:rPr>
                      <w:highlight w:val="yellow"/>
                    </w:rPr>
                  </w:pPr>
                </w:p>
              </w:tc>
              <w:tc>
                <w:tcPr>
                  <w:tcW w:w="1880" w:type="pct"/>
                  <w:vAlign w:val="center"/>
                </w:tcPr>
                <w:p w14:paraId="7EA06674">
                  <w:pPr>
                    <w:spacing w:line="320" w:lineRule="exact"/>
                    <w:jc w:val="center"/>
                    <w:rPr>
                      <w:szCs w:val="21"/>
                    </w:rPr>
                  </w:pPr>
                  <w:r>
                    <w:rPr>
                      <w:szCs w:val="21"/>
                    </w:rPr>
                    <w:t>袋式除尘器</w:t>
                  </w:r>
                </w:p>
              </w:tc>
              <w:tc>
                <w:tcPr>
                  <w:tcW w:w="2405" w:type="pct"/>
                  <w:vAlign w:val="center"/>
                </w:tcPr>
                <w:p w14:paraId="6A876B65">
                  <w:pPr>
                    <w:spacing w:line="320" w:lineRule="exact"/>
                    <w:jc w:val="center"/>
                    <w:rPr>
                      <w:szCs w:val="21"/>
                    </w:rPr>
                  </w:pPr>
                  <w:r>
                    <w:rPr>
                      <w:szCs w:val="21"/>
                    </w:rPr>
                    <w:t>原料制备及窑车清理除尘灰</w:t>
                  </w:r>
                </w:p>
              </w:tc>
            </w:tr>
            <w:tr w14:paraId="2762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51A698F1">
                  <w:pPr>
                    <w:spacing w:line="320" w:lineRule="exact"/>
                    <w:jc w:val="center"/>
                    <w:rPr>
                      <w:highlight w:val="yellow"/>
                    </w:rPr>
                  </w:pPr>
                </w:p>
              </w:tc>
              <w:tc>
                <w:tcPr>
                  <w:tcW w:w="1880" w:type="pct"/>
                  <w:vAlign w:val="center"/>
                </w:tcPr>
                <w:p w14:paraId="7F46336F">
                  <w:pPr>
                    <w:spacing w:line="320" w:lineRule="exact"/>
                    <w:jc w:val="center"/>
                    <w:rPr>
                      <w:szCs w:val="21"/>
                    </w:rPr>
                  </w:pPr>
                  <w:r>
                    <w:rPr>
                      <w:szCs w:val="21"/>
                    </w:rPr>
                    <w:t>湿电除尘器</w:t>
                  </w:r>
                </w:p>
              </w:tc>
              <w:tc>
                <w:tcPr>
                  <w:tcW w:w="2405" w:type="pct"/>
                  <w:vAlign w:val="center"/>
                </w:tcPr>
                <w:p w14:paraId="43301A04">
                  <w:pPr>
                    <w:spacing w:line="320" w:lineRule="exact"/>
                    <w:jc w:val="center"/>
                    <w:rPr>
                      <w:szCs w:val="21"/>
                    </w:rPr>
                  </w:pPr>
                  <w:r>
                    <w:rPr>
                      <w:szCs w:val="21"/>
                    </w:rPr>
                    <w:t>窑炉烟气除尘灰</w:t>
                  </w:r>
                </w:p>
              </w:tc>
            </w:tr>
            <w:tr w14:paraId="5853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5A2EDBFF">
                  <w:pPr>
                    <w:spacing w:line="320" w:lineRule="exact"/>
                    <w:jc w:val="center"/>
                    <w:rPr>
                      <w:highlight w:val="yellow"/>
                    </w:rPr>
                  </w:pPr>
                </w:p>
              </w:tc>
              <w:tc>
                <w:tcPr>
                  <w:tcW w:w="1880" w:type="pct"/>
                  <w:vAlign w:val="center"/>
                </w:tcPr>
                <w:p w14:paraId="52BAA612">
                  <w:pPr>
                    <w:spacing w:line="320" w:lineRule="exact"/>
                    <w:jc w:val="center"/>
                    <w:rPr>
                      <w:highlight w:val="yellow"/>
                    </w:rPr>
                  </w:pPr>
                  <w:r>
                    <w:rPr>
                      <w:szCs w:val="21"/>
                    </w:rPr>
                    <w:t>脱硫系统</w:t>
                  </w:r>
                </w:p>
              </w:tc>
              <w:tc>
                <w:tcPr>
                  <w:tcW w:w="2405" w:type="pct"/>
                  <w:vAlign w:val="center"/>
                </w:tcPr>
                <w:p w14:paraId="5D81D19C">
                  <w:pPr>
                    <w:spacing w:line="320" w:lineRule="exact"/>
                    <w:jc w:val="center"/>
                    <w:rPr>
                      <w:highlight w:val="yellow"/>
                    </w:rPr>
                  </w:pPr>
                  <w:r>
                    <w:rPr>
                      <w:szCs w:val="21"/>
                    </w:rPr>
                    <w:t>脱硫石膏</w:t>
                  </w:r>
                </w:p>
              </w:tc>
            </w:tr>
            <w:tr w14:paraId="432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0C333AD4">
                  <w:pPr>
                    <w:spacing w:line="320" w:lineRule="exact"/>
                    <w:jc w:val="center"/>
                    <w:rPr>
                      <w:highlight w:val="yellow"/>
                    </w:rPr>
                  </w:pPr>
                </w:p>
              </w:tc>
              <w:tc>
                <w:tcPr>
                  <w:tcW w:w="1880" w:type="pct"/>
                  <w:vAlign w:val="center"/>
                </w:tcPr>
                <w:p w14:paraId="24649FC6">
                  <w:pPr>
                    <w:spacing w:line="320" w:lineRule="exact"/>
                    <w:jc w:val="center"/>
                    <w:rPr>
                      <w:highlight w:val="yellow"/>
                    </w:rPr>
                  </w:pPr>
                  <w:r>
                    <w:rPr>
                      <w:szCs w:val="21"/>
                    </w:rPr>
                    <w:t>洗车装置沉淀池</w:t>
                  </w:r>
                </w:p>
              </w:tc>
              <w:tc>
                <w:tcPr>
                  <w:tcW w:w="2405" w:type="pct"/>
                  <w:vAlign w:val="center"/>
                </w:tcPr>
                <w:p w14:paraId="435230B8">
                  <w:pPr>
                    <w:spacing w:line="320" w:lineRule="exact"/>
                    <w:jc w:val="center"/>
                    <w:rPr>
                      <w:highlight w:val="yellow"/>
                    </w:rPr>
                  </w:pPr>
                  <w:r>
                    <w:rPr>
                      <w:szCs w:val="21"/>
                    </w:rPr>
                    <w:t>洗车装置沉淀池底泥</w:t>
                  </w:r>
                </w:p>
              </w:tc>
            </w:tr>
            <w:tr w14:paraId="2068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14:paraId="243FEE96">
                  <w:pPr>
                    <w:spacing w:line="320" w:lineRule="exact"/>
                    <w:jc w:val="center"/>
                    <w:rPr>
                      <w:highlight w:val="yellow"/>
                    </w:rPr>
                  </w:pPr>
                </w:p>
              </w:tc>
              <w:tc>
                <w:tcPr>
                  <w:tcW w:w="1880" w:type="pct"/>
                  <w:vAlign w:val="center"/>
                </w:tcPr>
                <w:p w14:paraId="43B0A35E">
                  <w:pPr>
                    <w:spacing w:line="320" w:lineRule="exact"/>
                    <w:jc w:val="center"/>
                    <w:rPr>
                      <w:color w:val="EE0000"/>
                      <w:szCs w:val="21"/>
                      <w:u w:val="single"/>
                    </w:rPr>
                  </w:pPr>
                  <w:r>
                    <w:rPr>
                      <w:color w:val="EE0000"/>
                      <w:szCs w:val="21"/>
                      <w:u w:val="single"/>
                    </w:rPr>
                    <w:t>活性炭吸附装置</w:t>
                  </w:r>
                </w:p>
              </w:tc>
              <w:tc>
                <w:tcPr>
                  <w:tcW w:w="2405" w:type="pct"/>
                  <w:vAlign w:val="center"/>
                </w:tcPr>
                <w:p w14:paraId="6A7833CC">
                  <w:pPr>
                    <w:spacing w:line="320" w:lineRule="exact"/>
                    <w:jc w:val="center"/>
                    <w:rPr>
                      <w:color w:val="EE0000"/>
                      <w:szCs w:val="21"/>
                      <w:u w:val="single"/>
                    </w:rPr>
                  </w:pPr>
                  <w:r>
                    <w:rPr>
                      <w:color w:val="EE0000"/>
                      <w:szCs w:val="21"/>
                      <w:u w:val="single"/>
                    </w:rPr>
                    <w:t>废活性炭</w:t>
                  </w:r>
                </w:p>
              </w:tc>
            </w:tr>
            <w:tr w14:paraId="50A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15" w:type="pct"/>
                  <w:vMerge w:val="continue"/>
                  <w:vAlign w:val="center"/>
                </w:tcPr>
                <w:p w14:paraId="4ED959A5">
                  <w:pPr>
                    <w:spacing w:line="320" w:lineRule="exact"/>
                    <w:jc w:val="center"/>
                    <w:rPr>
                      <w:highlight w:val="yellow"/>
                    </w:rPr>
                  </w:pPr>
                </w:p>
              </w:tc>
              <w:tc>
                <w:tcPr>
                  <w:tcW w:w="1880" w:type="pct"/>
                  <w:vAlign w:val="center"/>
                </w:tcPr>
                <w:p w14:paraId="0350FE5D">
                  <w:pPr>
                    <w:spacing w:line="320" w:lineRule="exact"/>
                    <w:jc w:val="center"/>
                  </w:pPr>
                  <w:r>
                    <w:t>设备维修养护</w:t>
                  </w:r>
                </w:p>
              </w:tc>
              <w:tc>
                <w:tcPr>
                  <w:tcW w:w="2405" w:type="pct"/>
                  <w:vAlign w:val="center"/>
                </w:tcPr>
                <w:p w14:paraId="553AED15">
                  <w:pPr>
                    <w:spacing w:line="320" w:lineRule="exact"/>
                    <w:jc w:val="center"/>
                  </w:pPr>
                  <w:r>
                    <w:t>废机油</w:t>
                  </w:r>
                </w:p>
              </w:tc>
            </w:tr>
            <w:bookmarkEnd w:id="23"/>
          </w:tbl>
          <w:p w14:paraId="0F5058E9">
            <w:pPr>
              <w:tabs>
                <w:tab w:val="left" w:pos="195"/>
                <w:tab w:val="center" w:pos="4677"/>
              </w:tabs>
              <w:spacing w:line="360" w:lineRule="auto"/>
              <w:ind w:firstLine="482" w:firstLineChars="200"/>
              <w:jc w:val="left"/>
              <w:rPr>
                <w:b/>
                <w:color w:val="EE0000"/>
                <w:sz w:val="24"/>
              </w:rPr>
            </w:pPr>
          </w:p>
        </w:tc>
      </w:tr>
      <w:tr w14:paraId="78F92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500" w:type="dxa"/>
            <w:vAlign w:val="center"/>
          </w:tcPr>
          <w:p w14:paraId="0BA297A7">
            <w:pPr>
              <w:pStyle w:val="32"/>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Cs w:val="24"/>
              </w:rPr>
              <w:t>与项目有关的原有环境污染问题</w:t>
            </w:r>
          </w:p>
        </w:tc>
        <w:tc>
          <w:tcPr>
            <w:tcW w:w="8525" w:type="dxa"/>
            <w:vAlign w:val="center"/>
          </w:tcPr>
          <w:p w14:paraId="2DD53B50">
            <w:pPr>
              <w:pStyle w:val="189"/>
              <w:adjustRightInd w:val="0"/>
              <w:snapToGrid w:val="0"/>
              <w:spacing w:before="0" w:after="0"/>
              <w:ind w:firstLine="0" w:firstLineChars="0"/>
              <w:rPr>
                <w:rFonts w:ascii="Times New Roman" w:hAnsi="Times New Roman"/>
                <w:kern w:val="2"/>
              </w:rPr>
            </w:pPr>
            <w:r>
              <w:rPr>
                <w:rFonts w:ascii="Times New Roman" w:hAnsi="Times New Roman"/>
                <w:kern w:val="2"/>
              </w:rPr>
              <w:t>1、</w:t>
            </w:r>
            <w:r>
              <w:rPr>
                <w:rFonts w:ascii="Times New Roman" w:hAnsi="Times New Roman" w:eastAsia="黑体"/>
                <w:szCs w:val="21"/>
              </w:rPr>
              <w:t>现有工程环保手续履行情况</w:t>
            </w:r>
          </w:p>
          <w:p w14:paraId="3E89C973">
            <w:pPr>
              <w:pStyle w:val="189"/>
              <w:adjustRightInd w:val="0"/>
              <w:snapToGrid w:val="0"/>
              <w:spacing w:before="0" w:after="0"/>
              <w:rPr>
                <w:rFonts w:ascii="Times New Roman" w:hAnsi="Times New Roman"/>
                <w:kern w:val="2"/>
              </w:rPr>
            </w:pPr>
            <w:r>
              <w:rPr>
                <w:rFonts w:ascii="Times New Roman" w:hAnsi="Times New Roman"/>
                <w:kern w:val="2"/>
              </w:rPr>
              <w:t>宝丰县六和新型建材有限公司于2008年5月在宝丰县李庄乡徐庄村建设年产6000万块煤矸石烧结砖项目，原平顶山市环境保护局以[平环监表(2008)38号]批复了该项目环境影响报告表，2015年3月5日经原平顶山市环境保护局批复试生产(平环建试行许字[2015]第19号)，2016年6月7日，项目竣工环境保护验收取得宝丰县环境保护局批复（宝环建验[2016]07号），企业排污许可证编号91410421680793656G001V。</w:t>
            </w:r>
          </w:p>
          <w:p w14:paraId="47020736">
            <w:pPr>
              <w:pStyle w:val="189"/>
              <w:adjustRightInd w:val="0"/>
              <w:snapToGrid w:val="0"/>
              <w:spacing w:before="0" w:after="0"/>
              <w:rPr>
                <w:rFonts w:ascii="Times New Roman" w:hAnsi="Times New Roman"/>
                <w:kern w:val="2"/>
              </w:rPr>
            </w:pPr>
            <w:r>
              <w:rPr>
                <w:rFonts w:ascii="Times New Roman" w:hAnsi="Times New Roman"/>
                <w:kern w:val="2"/>
              </w:rPr>
              <w:t>宝丰县三兴新型建材有限公司于2007年1月在宝丰县闹店镇闹店村建设年产12000万标块煤矸石烧结砖项目（一期建设年产6000万标块煤矸石烧结砖），原平顶山市环境保护局以[平环监表(2007)35号]批复了该项目环境影响报告表。项目实际建设年产6000万标块煤矸石烧结多孔砖生产线，2008年6月17日，宝丰县三兴新型建材有限公司年产6000万标块煤矸石烧结多孔砖项目竣工环境保护验收取得平顶山市环境保护局验收意见（平环建验[2008]06号）。</w:t>
            </w:r>
          </w:p>
          <w:p w14:paraId="2C95382A">
            <w:pPr>
              <w:pStyle w:val="189"/>
              <w:adjustRightInd w:val="0"/>
              <w:snapToGrid w:val="0"/>
              <w:spacing w:before="0" w:after="0"/>
              <w:rPr>
                <w:rFonts w:ascii="Times New Roman" w:hAnsi="Times New Roman"/>
                <w:kern w:val="2"/>
              </w:rPr>
            </w:pPr>
            <w:r>
              <w:rPr>
                <w:rFonts w:ascii="Times New Roman" w:hAnsi="Times New Roman"/>
                <w:kern w:val="2"/>
              </w:rPr>
              <w:t>2023年9月，宝丰县三兴新型建材有限公司对年产6000万标块煤矸石烧结多孔砖生产线进行改造，主要改造内容为对干燥窑、隧道窑进行改造；对制砖系统、码坯系统等设备进行升级；对隧道窑烟气治理设施进行大修；利用城市污水处理厂污泥代替部分煤矸石做为原料制砖。原宝丰县环境保护局以[平宝环审[2026]第26号]批复了该项目环境影响报告表。</w:t>
            </w:r>
            <w:r>
              <w:rPr>
                <w:rFonts w:ascii="Times New Roman" w:hAnsi="Times New Roman"/>
                <w:color w:val="EE0000"/>
                <w:kern w:val="2"/>
                <w:u w:val="single"/>
              </w:rPr>
              <w:t>经调查，由于市场原因，该项目环评批复后的2024~2025年，三兴建材正常运行时段较少，该项目未实施完成，未开展竣工环境保护验收工作。</w:t>
            </w:r>
            <w:r>
              <w:rPr>
                <w:rFonts w:ascii="Times New Roman" w:hAnsi="Times New Roman"/>
                <w:color w:val="FF0000"/>
                <w:kern w:val="2"/>
                <w:u w:val="single"/>
              </w:rPr>
              <w:t>由于三兴建材和六和建材重组改造后全厂生产规模变为年产1.2亿块，该项目已发生重大变动，本次整合升级技改项目重新报批环评，不再详细介绍该项目情况</w:t>
            </w:r>
            <w:r>
              <w:rPr>
                <w:rFonts w:ascii="Times New Roman" w:hAnsi="Times New Roman"/>
                <w:kern w:val="2"/>
              </w:rPr>
              <w:t>。</w:t>
            </w:r>
          </w:p>
          <w:p w14:paraId="04C6F740">
            <w:pPr>
              <w:pStyle w:val="189"/>
              <w:adjustRightInd w:val="0"/>
              <w:snapToGrid w:val="0"/>
              <w:spacing w:before="0" w:after="0"/>
              <w:rPr>
                <w:rFonts w:ascii="Times New Roman" w:hAnsi="Times New Roman"/>
                <w:kern w:val="2"/>
              </w:rPr>
            </w:pPr>
            <w:r>
              <w:rPr>
                <w:rFonts w:ascii="Times New Roman" w:hAnsi="Times New Roman"/>
                <w:kern w:val="2"/>
              </w:rPr>
              <w:t>宝丰县三兴新型建材有限公司排污许可证编号91410421680793656G001V，目前为烧结砖瓦制品企业环保绩效分级B级企业。</w:t>
            </w:r>
          </w:p>
          <w:p w14:paraId="2902AC56">
            <w:pPr>
              <w:adjustRightInd w:val="0"/>
              <w:snapToGrid w:val="0"/>
              <w:spacing w:line="480" w:lineRule="exact"/>
              <w:rPr>
                <w:rFonts w:eastAsia="黑体"/>
                <w:bCs/>
                <w:sz w:val="24"/>
                <w:szCs w:val="21"/>
              </w:rPr>
            </w:pPr>
            <w:r>
              <w:rPr>
                <w:rFonts w:eastAsia="黑体"/>
                <w:bCs/>
                <w:sz w:val="24"/>
                <w:szCs w:val="21"/>
              </w:rPr>
              <w:t>2、现有工程基本情况</w:t>
            </w:r>
          </w:p>
          <w:p w14:paraId="669A168A">
            <w:pPr>
              <w:adjustRightInd w:val="0"/>
              <w:snapToGrid w:val="0"/>
              <w:spacing w:line="500" w:lineRule="exact"/>
              <w:ind w:firstLine="480" w:firstLineChars="200"/>
              <w:rPr>
                <w:bCs/>
                <w:sz w:val="24"/>
              </w:rPr>
            </w:pPr>
            <w:r>
              <w:rPr>
                <w:bCs/>
                <w:sz w:val="24"/>
              </w:rPr>
              <w:t>项目现有工程产品方案、原辅材料消耗及主要生产工艺等基本情况一览表见表2-9：</w:t>
            </w:r>
          </w:p>
          <w:p w14:paraId="6BAB5388">
            <w:pPr>
              <w:spacing w:line="520" w:lineRule="exact"/>
              <w:jc w:val="center"/>
              <w:rPr>
                <w:rFonts w:eastAsia="黑体"/>
                <w:sz w:val="24"/>
                <w:szCs w:val="32"/>
              </w:rPr>
            </w:pPr>
            <w:r>
              <w:rPr>
                <w:rFonts w:eastAsia="黑体"/>
                <w:sz w:val="24"/>
                <w:szCs w:val="32"/>
              </w:rPr>
              <w:t>表2-9      现有工程基本情况一览表</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044"/>
              <w:gridCol w:w="3695"/>
            </w:tblGrid>
            <w:tr w14:paraId="3ED4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6B086BD">
                  <w:pPr>
                    <w:jc w:val="center"/>
                  </w:pPr>
                  <w:r>
                    <w:t>项目</w:t>
                  </w:r>
                </w:p>
              </w:tc>
              <w:tc>
                <w:tcPr>
                  <w:tcW w:w="2391" w:type="pct"/>
                  <w:vAlign w:val="center"/>
                </w:tcPr>
                <w:p w14:paraId="5D2DBDBA">
                  <w:pPr>
                    <w:jc w:val="center"/>
                  </w:pPr>
                  <w:r>
                    <w:t>三兴建材</w:t>
                  </w:r>
                </w:p>
              </w:tc>
              <w:tc>
                <w:tcPr>
                  <w:tcW w:w="2185" w:type="pct"/>
                  <w:vAlign w:val="center"/>
                </w:tcPr>
                <w:p w14:paraId="7377F6A3">
                  <w:pPr>
                    <w:jc w:val="center"/>
                  </w:pPr>
                  <w:r>
                    <w:t>六和建材</w:t>
                  </w:r>
                </w:p>
              </w:tc>
            </w:tr>
            <w:tr w14:paraId="7037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7D066B68">
                  <w:pPr>
                    <w:jc w:val="center"/>
                  </w:pPr>
                  <w:r>
                    <w:t>项目名称</w:t>
                  </w:r>
                </w:p>
              </w:tc>
              <w:tc>
                <w:tcPr>
                  <w:tcW w:w="2391" w:type="pct"/>
                  <w:vAlign w:val="center"/>
                </w:tcPr>
                <w:p w14:paraId="7A537EDF">
                  <w:pPr>
                    <w:jc w:val="center"/>
                  </w:pPr>
                  <w:r>
                    <w:t>年产6000万标块煤矸石烧结多孔砖项目</w:t>
                  </w:r>
                </w:p>
              </w:tc>
              <w:tc>
                <w:tcPr>
                  <w:tcW w:w="2185" w:type="pct"/>
                  <w:vAlign w:val="center"/>
                </w:tcPr>
                <w:p w14:paraId="4921E015">
                  <w:pPr>
                    <w:jc w:val="center"/>
                  </w:pPr>
                  <w:r>
                    <w:t>年产6000万块煤矸石烧结砖项目</w:t>
                  </w:r>
                </w:p>
              </w:tc>
            </w:tr>
            <w:tr w14:paraId="44ED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16D479B1">
                  <w:pPr>
                    <w:jc w:val="center"/>
                  </w:pPr>
                  <w:r>
                    <w:t>产品</w:t>
                  </w:r>
                </w:p>
                <w:p w14:paraId="704D446E">
                  <w:pPr>
                    <w:jc w:val="center"/>
                  </w:pPr>
                  <w:r>
                    <w:t>方案</w:t>
                  </w:r>
                </w:p>
              </w:tc>
              <w:tc>
                <w:tcPr>
                  <w:tcW w:w="2391" w:type="pct"/>
                  <w:vAlign w:val="center"/>
                </w:tcPr>
                <w:p w14:paraId="5F471497">
                  <w:pPr>
                    <w:jc w:val="center"/>
                  </w:pPr>
                  <w:r>
                    <w:t>年产6000万标块煤矸石烧结多孔砖</w:t>
                  </w:r>
                </w:p>
              </w:tc>
              <w:tc>
                <w:tcPr>
                  <w:tcW w:w="2185" w:type="pct"/>
                  <w:vAlign w:val="center"/>
                </w:tcPr>
                <w:p w14:paraId="7455A11B">
                  <w:pPr>
                    <w:jc w:val="center"/>
                  </w:pPr>
                  <w:r>
                    <w:t>产6000万标块煤矸石烧结多孔砖、空心砖</w:t>
                  </w:r>
                </w:p>
              </w:tc>
            </w:tr>
            <w:tr w14:paraId="142A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24" w:type="pct"/>
                  <w:vAlign w:val="center"/>
                </w:tcPr>
                <w:p w14:paraId="6F6907F4">
                  <w:pPr>
                    <w:jc w:val="center"/>
                  </w:pPr>
                  <w:r>
                    <w:t>原辅材料用量</w:t>
                  </w:r>
                </w:p>
              </w:tc>
              <w:tc>
                <w:tcPr>
                  <w:tcW w:w="2391" w:type="pct"/>
                  <w:vAlign w:val="center"/>
                </w:tcPr>
                <w:p w14:paraId="2B631BB2">
                  <w:pPr>
                    <w:jc w:val="center"/>
                  </w:pPr>
                  <w:r>
                    <w:t>煤矸石10.4万吨/年，页岩2.8万吨/年</w:t>
                  </w:r>
                </w:p>
              </w:tc>
              <w:tc>
                <w:tcPr>
                  <w:tcW w:w="2185" w:type="pct"/>
                  <w:vAlign w:val="center"/>
                </w:tcPr>
                <w:p w14:paraId="274CDC2F">
                  <w:pPr>
                    <w:jc w:val="center"/>
                  </w:pPr>
                  <w:r>
                    <w:t>煤矸石6.4万吨/年，页岩6.4万吨/年</w:t>
                  </w:r>
                </w:p>
              </w:tc>
            </w:tr>
            <w:tr w14:paraId="4FFC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06A48D8A">
                  <w:pPr>
                    <w:jc w:val="center"/>
                  </w:pPr>
                  <w:r>
                    <w:t>生产工艺</w:t>
                  </w:r>
                </w:p>
              </w:tc>
              <w:tc>
                <w:tcPr>
                  <w:tcW w:w="2391" w:type="pct"/>
                  <w:vAlign w:val="center"/>
                </w:tcPr>
                <w:p w14:paraId="71D69416">
                  <w:r>
                    <w:t>原料→喂料→破碎→筛分→一次搅拌→陈化→二次搅拌→ 挤出成型→切坯码坯→干燥→焙烧→保温冷却→卸砖→成品</w:t>
                  </w:r>
                </w:p>
              </w:tc>
              <w:tc>
                <w:tcPr>
                  <w:tcW w:w="2185" w:type="pct"/>
                  <w:vAlign w:val="center"/>
                </w:tcPr>
                <w:p w14:paraId="7DAB4493">
                  <w:r>
                    <w:t>原料→喂料→破碎→筛分→一次搅拌→陈化→二次搅拌→ 挤出成型→切坯码坯→干燥→焙烧→保温冷却→卸砖→成品</w:t>
                  </w:r>
                </w:p>
              </w:tc>
            </w:tr>
          </w:tbl>
          <w:p w14:paraId="13A2C5E8">
            <w:pPr>
              <w:adjustRightInd w:val="0"/>
              <w:snapToGrid w:val="0"/>
              <w:spacing w:line="520" w:lineRule="exact"/>
              <w:rPr>
                <w:rFonts w:eastAsia="黑体"/>
                <w:bCs/>
                <w:sz w:val="24"/>
                <w:szCs w:val="21"/>
              </w:rPr>
            </w:pPr>
            <w:r>
              <w:rPr>
                <w:rFonts w:eastAsia="黑体"/>
                <w:bCs/>
                <w:sz w:val="24"/>
                <w:szCs w:val="21"/>
              </w:rPr>
              <w:t>3、现有工程污染物防治措施及污染物排放情况</w:t>
            </w:r>
          </w:p>
          <w:p w14:paraId="3C9828D2">
            <w:pPr>
              <w:adjustRightInd w:val="0"/>
              <w:snapToGrid w:val="0"/>
              <w:spacing w:line="520" w:lineRule="exact"/>
              <w:rPr>
                <w:rFonts w:eastAsia="黑体"/>
                <w:bCs/>
                <w:sz w:val="24"/>
                <w:szCs w:val="21"/>
              </w:rPr>
            </w:pPr>
            <w:r>
              <w:rPr>
                <w:rFonts w:eastAsia="黑体"/>
                <w:bCs/>
                <w:sz w:val="24"/>
                <w:szCs w:val="21"/>
              </w:rPr>
              <w:t>3.1废气治理措施及污染物排放情况</w:t>
            </w:r>
          </w:p>
          <w:p w14:paraId="0F1CB3CB">
            <w:pPr>
              <w:adjustRightInd w:val="0"/>
              <w:snapToGrid w:val="0"/>
              <w:spacing w:line="520" w:lineRule="exact"/>
              <w:rPr>
                <w:rFonts w:eastAsia="黑体"/>
                <w:bCs/>
                <w:sz w:val="24"/>
                <w:szCs w:val="21"/>
              </w:rPr>
            </w:pPr>
            <w:r>
              <w:rPr>
                <w:rFonts w:eastAsia="黑体"/>
                <w:bCs/>
                <w:sz w:val="24"/>
                <w:szCs w:val="21"/>
              </w:rPr>
              <w:t>3.1.1废气治理措施</w:t>
            </w:r>
          </w:p>
          <w:p w14:paraId="36E5A3BB">
            <w:pPr>
              <w:adjustRightInd w:val="0"/>
              <w:snapToGrid w:val="0"/>
              <w:spacing w:line="520" w:lineRule="exact"/>
              <w:ind w:firstLine="480" w:firstLineChars="200"/>
              <w:rPr>
                <w:sz w:val="24"/>
              </w:rPr>
            </w:pPr>
            <w:r>
              <w:rPr>
                <w:sz w:val="24"/>
              </w:rPr>
              <w:t>根据企业实际建设情况及排污许可证，现有工程废气产生环节及治理措施见下表：</w:t>
            </w:r>
          </w:p>
          <w:p w14:paraId="27BEBB6F">
            <w:pPr>
              <w:spacing w:line="520" w:lineRule="exact"/>
              <w:jc w:val="center"/>
              <w:rPr>
                <w:rFonts w:eastAsia="黑体"/>
                <w:sz w:val="24"/>
                <w:szCs w:val="32"/>
              </w:rPr>
            </w:pPr>
            <w:r>
              <w:rPr>
                <w:rFonts w:eastAsia="黑体"/>
                <w:sz w:val="24"/>
                <w:szCs w:val="32"/>
              </w:rPr>
              <w:t>表2-10      现有工程废气产生环节及治理措施</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733"/>
              <w:gridCol w:w="1733"/>
              <w:gridCol w:w="2894"/>
              <w:gridCol w:w="1323"/>
            </w:tblGrid>
            <w:tr w14:paraId="42F0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7" w:type="pct"/>
                  <w:vAlign w:val="center"/>
                </w:tcPr>
                <w:p w14:paraId="79302620">
                  <w:pPr>
                    <w:spacing w:line="320" w:lineRule="exact"/>
                    <w:jc w:val="center"/>
                  </w:pPr>
                  <w:r>
                    <w:t>企业</w:t>
                  </w:r>
                </w:p>
              </w:tc>
              <w:tc>
                <w:tcPr>
                  <w:tcW w:w="1025" w:type="pct"/>
                  <w:vAlign w:val="center"/>
                </w:tcPr>
                <w:p w14:paraId="49961CDC">
                  <w:pPr>
                    <w:spacing w:line="320" w:lineRule="exact"/>
                    <w:jc w:val="center"/>
                  </w:pPr>
                  <w:r>
                    <w:t>产污环节</w:t>
                  </w:r>
                </w:p>
              </w:tc>
              <w:tc>
                <w:tcPr>
                  <w:tcW w:w="1025" w:type="pct"/>
                  <w:vAlign w:val="center"/>
                </w:tcPr>
                <w:p w14:paraId="1EDDED94">
                  <w:pPr>
                    <w:spacing w:line="320" w:lineRule="exact"/>
                    <w:jc w:val="center"/>
                  </w:pPr>
                  <w:r>
                    <w:t>污染物</w:t>
                  </w:r>
                </w:p>
              </w:tc>
              <w:tc>
                <w:tcPr>
                  <w:tcW w:w="1711" w:type="pct"/>
                  <w:vAlign w:val="center"/>
                </w:tcPr>
                <w:p w14:paraId="3FF6CC6D">
                  <w:pPr>
                    <w:spacing w:line="320" w:lineRule="exact"/>
                    <w:jc w:val="center"/>
                  </w:pPr>
                  <w:r>
                    <w:t>废气治理措施</w:t>
                  </w:r>
                </w:p>
              </w:tc>
              <w:tc>
                <w:tcPr>
                  <w:tcW w:w="782" w:type="pct"/>
                  <w:vAlign w:val="center"/>
                </w:tcPr>
                <w:p w14:paraId="1DD6D84F">
                  <w:pPr>
                    <w:spacing w:line="320" w:lineRule="exact"/>
                    <w:jc w:val="center"/>
                  </w:pPr>
                  <w:r>
                    <w:t>排放口编号</w:t>
                  </w:r>
                </w:p>
              </w:tc>
            </w:tr>
            <w:tr w14:paraId="31F1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7" w:type="pct"/>
                  <w:vMerge w:val="restart"/>
                  <w:vAlign w:val="center"/>
                </w:tcPr>
                <w:p w14:paraId="3DAF64F8">
                  <w:pPr>
                    <w:spacing w:line="320" w:lineRule="exact"/>
                    <w:jc w:val="center"/>
                  </w:pPr>
                  <w:r>
                    <w:t>三兴建材</w:t>
                  </w:r>
                </w:p>
              </w:tc>
              <w:tc>
                <w:tcPr>
                  <w:tcW w:w="1025" w:type="pct"/>
                  <w:vAlign w:val="center"/>
                </w:tcPr>
                <w:p w14:paraId="0CC157F0">
                  <w:pPr>
                    <w:spacing w:line="320" w:lineRule="exact"/>
                    <w:jc w:val="center"/>
                  </w:pPr>
                  <w:r>
                    <w:t>喂料、破碎粉尘</w:t>
                  </w:r>
                </w:p>
              </w:tc>
              <w:tc>
                <w:tcPr>
                  <w:tcW w:w="1025" w:type="pct"/>
                  <w:vAlign w:val="center"/>
                </w:tcPr>
                <w:p w14:paraId="70573D7E">
                  <w:pPr>
                    <w:spacing w:line="320" w:lineRule="exact"/>
                    <w:jc w:val="center"/>
                  </w:pPr>
                  <w:r>
                    <w:t>颗粒物</w:t>
                  </w:r>
                </w:p>
              </w:tc>
              <w:tc>
                <w:tcPr>
                  <w:tcW w:w="1711" w:type="pct"/>
                  <w:vAlign w:val="center"/>
                </w:tcPr>
                <w:p w14:paraId="5DDF0A86">
                  <w:pPr>
                    <w:spacing w:line="320" w:lineRule="exact"/>
                    <w:jc w:val="center"/>
                  </w:pPr>
                  <w:r>
                    <w:t>1台袋式除尘器+1根15m高排气筒</w:t>
                  </w:r>
                </w:p>
              </w:tc>
              <w:tc>
                <w:tcPr>
                  <w:tcW w:w="782" w:type="pct"/>
                  <w:vAlign w:val="center"/>
                </w:tcPr>
                <w:p w14:paraId="50A3AB58">
                  <w:pPr>
                    <w:spacing w:line="320" w:lineRule="exact"/>
                    <w:jc w:val="center"/>
                  </w:pPr>
                  <w:r>
                    <w:t>DA003</w:t>
                  </w:r>
                </w:p>
              </w:tc>
            </w:tr>
            <w:tr w14:paraId="7FBF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7" w:type="pct"/>
                  <w:vMerge w:val="continue"/>
                  <w:vAlign w:val="center"/>
                </w:tcPr>
                <w:p w14:paraId="1D05197D">
                  <w:pPr>
                    <w:spacing w:line="320" w:lineRule="exact"/>
                    <w:jc w:val="center"/>
                  </w:pPr>
                </w:p>
              </w:tc>
              <w:tc>
                <w:tcPr>
                  <w:tcW w:w="1025" w:type="pct"/>
                  <w:vAlign w:val="center"/>
                </w:tcPr>
                <w:p w14:paraId="67AF9664">
                  <w:pPr>
                    <w:spacing w:line="320" w:lineRule="exact"/>
                    <w:jc w:val="center"/>
                  </w:pPr>
                  <w:r>
                    <w:t>搅拌、筛分粉尘</w:t>
                  </w:r>
                </w:p>
              </w:tc>
              <w:tc>
                <w:tcPr>
                  <w:tcW w:w="1025" w:type="pct"/>
                  <w:vAlign w:val="center"/>
                </w:tcPr>
                <w:p w14:paraId="56296D31">
                  <w:pPr>
                    <w:spacing w:line="320" w:lineRule="exact"/>
                    <w:jc w:val="center"/>
                  </w:pPr>
                  <w:r>
                    <w:t>颗粒物</w:t>
                  </w:r>
                </w:p>
              </w:tc>
              <w:tc>
                <w:tcPr>
                  <w:tcW w:w="1711" w:type="pct"/>
                  <w:vAlign w:val="center"/>
                </w:tcPr>
                <w:p w14:paraId="0E4EDC1A">
                  <w:pPr>
                    <w:spacing w:line="320" w:lineRule="exact"/>
                    <w:jc w:val="center"/>
                  </w:pPr>
                  <w:r>
                    <w:t>1台袋式除尘器+1根15m高排气筒</w:t>
                  </w:r>
                </w:p>
              </w:tc>
              <w:tc>
                <w:tcPr>
                  <w:tcW w:w="782" w:type="pct"/>
                  <w:vAlign w:val="center"/>
                </w:tcPr>
                <w:p w14:paraId="025E891F">
                  <w:pPr>
                    <w:spacing w:line="320" w:lineRule="exact"/>
                    <w:jc w:val="center"/>
                  </w:pPr>
                  <w:r>
                    <w:t>DA001</w:t>
                  </w:r>
                </w:p>
              </w:tc>
            </w:tr>
            <w:tr w14:paraId="437C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Merge w:val="continue"/>
                  <w:vAlign w:val="center"/>
                </w:tcPr>
                <w:p w14:paraId="56956DD8">
                  <w:pPr>
                    <w:spacing w:line="320" w:lineRule="exact"/>
                    <w:jc w:val="center"/>
                  </w:pPr>
                </w:p>
              </w:tc>
              <w:tc>
                <w:tcPr>
                  <w:tcW w:w="1025" w:type="pct"/>
                  <w:vAlign w:val="center"/>
                </w:tcPr>
                <w:p w14:paraId="3DA3E5C3">
                  <w:pPr>
                    <w:spacing w:line="320" w:lineRule="exact"/>
                    <w:jc w:val="center"/>
                  </w:pPr>
                  <w:r>
                    <w:t>窑炉烟气</w:t>
                  </w:r>
                </w:p>
              </w:tc>
              <w:tc>
                <w:tcPr>
                  <w:tcW w:w="1025" w:type="pct"/>
                  <w:vAlign w:val="center"/>
                </w:tcPr>
                <w:p w14:paraId="53B25210">
                  <w:pPr>
                    <w:spacing w:line="320" w:lineRule="exact"/>
                    <w:jc w:val="center"/>
                  </w:pPr>
                  <w:r>
                    <w:t>颗粒物、二氧化硫、氮氧化物、氟化物</w:t>
                  </w:r>
                </w:p>
              </w:tc>
              <w:tc>
                <w:tcPr>
                  <w:tcW w:w="1711" w:type="pct"/>
                  <w:vAlign w:val="center"/>
                </w:tcPr>
                <w:p w14:paraId="42649180">
                  <w:pPr>
                    <w:spacing w:line="320" w:lineRule="exact"/>
                    <w:jc w:val="center"/>
                  </w:pPr>
                  <w:r>
                    <w:t>1套“钠钙双碱法脱硫+高效湿电除尘系统”+1根23m高排气筒</w:t>
                  </w:r>
                </w:p>
              </w:tc>
              <w:tc>
                <w:tcPr>
                  <w:tcW w:w="782" w:type="pct"/>
                  <w:vAlign w:val="center"/>
                </w:tcPr>
                <w:p w14:paraId="272EA502">
                  <w:pPr>
                    <w:spacing w:line="320" w:lineRule="exact"/>
                    <w:jc w:val="center"/>
                  </w:pPr>
                  <w:r>
                    <w:t>DA002</w:t>
                  </w:r>
                </w:p>
              </w:tc>
            </w:tr>
            <w:tr w14:paraId="7CA2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57" w:type="pct"/>
                  <w:vMerge w:val="continue"/>
                  <w:vAlign w:val="center"/>
                </w:tcPr>
                <w:p w14:paraId="6072C2B1">
                  <w:pPr>
                    <w:spacing w:line="320" w:lineRule="exact"/>
                    <w:jc w:val="center"/>
                  </w:pPr>
                </w:p>
              </w:tc>
              <w:tc>
                <w:tcPr>
                  <w:tcW w:w="1025" w:type="pct"/>
                  <w:vAlign w:val="center"/>
                </w:tcPr>
                <w:p w14:paraId="2DA3FCC2">
                  <w:pPr>
                    <w:spacing w:line="320" w:lineRule="exact"/>
                    <w:jc w:val="center"/>
                  </w:pPr>
                  <w:r>
                    <w:t>窑车清理</w:t>
                  </w:r>
                </w:p>
              </w:tc>
              <w:tc>
                <w:tcPr>
                  <w:tcW w:w="1025" w:type="pct"/>
                  <w:vAlign w:val="center"/>
                </w:tcPr>
                <w:p w14:paraId="07246D01">
                  <w:pPr>
                    <w:spacing w:line="320" w:lineRule="exact"/>
                    <w:jc w:val="center"/>
                  </w:pPr>
                  <w:r>
                    <w:t>颗粒物</w:t>
                  </w:r>
                </w:p>
              </w:tc>
              <w:tc>
                <w:tcPr>
                  <w:tcW w:w="1711" w:type="pct"/>
                  <w:vAlign w:val="center"/>
                </w:tcPr>
                <w:p w14:paraId="7902D415">
                  <w:pPr>
                    <w:spacing w:line="320" w:lineRule="exact"/>
                    <w:jc w:val="center"/>
                  </w:pPr>
                  <w:r>
                    <w:t>1台袋式除尘器</w:t>
                  </w:r>
                </w:p>
              </w:tc>
              <w:tc>
                <w:tcPr>
                  <w:tcW w:w="782" w:type="pct"/>
                  <w:vAlign w:val="center"/>
                </w:tcPr>
                <w:p w14:paraId="2C315BFC">
                  <w:pPr>
                    <w:spacing w:line="320" w:lineRule="exact"/>
                    <w:jc w:val="center"/>
                  </w:pPr>
                  <w:r>
                    <w:t>DA004</w:t>
                  </w:r>
                </w:p>
              </w:tc>
            </w:tr>
            <w:tr w14:paraId="78F9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Merge w:val="restart"/>
                  <w:vAlign w:val="center"/>
                </w:tcPr>
                <w:p w14:paraId="437D0F8E">
                  <w:pPr>
                    <w:spacing w:line="320" w:lineRule="exact"/>
                    <w:jc w:val="center"/>
                  </w:pPr>
                  <w:r>
                    <w:t>六和建材</w:t>
                  </w:r>
                </w:p>
              </w:tc>
              <w:tc>
                <w:tcPr>
                  <w:tcW w:w="1025" w:type="pct"/>
                  <w:vAlign w:val="center"/>
                </w:tcPr>
                <w:p w14:paraId="2AC103C1">
                  <w:pPr>
                    <w:spacing w:line="320" w:lineRule="exact"/>
                    <w:jc w:val="center"/>
                  </w:pPr>
                  <w:r>
                    <w:t>破碎、筛分粉尘</w:t>
                  </w:r>
                </w:p>
              </w:tc>
              <w:tc>
                <w:tcPr>
                  <w:tcW w:w="1025" w:type="pct"/>
                  <w:vAlign w:val="center"/>
                </w:tcPr>
                <w:p w14:paraId="49B9D3A9">
                  <w:pPr>
                    <w:spacing w:line="320" w:lineRule="exact"/>
                    <w:jc w:val="center"/>
                  </w:pPr>
                  <w:r>
                    <w:t>颗粒物</w:t>
                  </w:r>
                </w:p>
              </w:tc>
              <w:tc>
                <w:tcPr>
                  <w:tcW w:w="1711" w:type="pct"/>
                  <w:vAlign w:val="center"/>
                </w:tcPr>
                <w:p w14:paraId="1BDFDB25">
                  <w:pPr>
                    <w:spacing w:line="320" w:lineRule="exact"/>
                    <w:jc w:val="center"/>
                  </w:pPr>
                  <w:r>
                    <w:t>1台袋式除尘器+1根15m高排气筒</w:t>
                  </w:r>
                </w:p>
              </w:tc>
              <w:tc>
                <w:tcPr>
                  <w:tcW w:w="782" w:type="pct"/>
                  <w:vAlign w:val="center"/>
                </w:tcPr>
                <w:p w14:paraId="67BE6F4E">
                  <w:pPr>
                    <w:spacing w:line="320" w:lineRule="exact"/>
                    <w:jc w:val="center"/>
                  </w:pPr>
                  <w:r>
                    <w:t>DA001</w:t>
                  </w:r>
                </w:p>
              </w:tc>
            </w:tr>
            <w:tr w14:paraId="1B46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Merge w:val="continue"/>
                  <w:vAlign w:val="center"/>
                </w:tcPr>
                <w:p w14:paraId="07656587">
                  <w:pPr>
                    <w:spacing w:line="320" w:lineRule="exact"/>
                    <w:jc w:val="center"/>
                  </w:pPr>
                </w:p>
              </w:tc>
              <w:tc>
                <w:tcPr>
                  <w:tcW w:w="1025" w:type="pct"/>
                  <w:vAlign w:val="center"/>
                </w:tcPr>
                <w:p w14:paraId="6F92534C">
                  <w:pPr>
                    <w:spacing w:line="320" w:lineRule="exact"/>
                    <w:jc w:val="center"/>
                  </w:pPr>
                  <w:r>
                    <w:t>窑炉烟气</w:t>
                  </w:r>
                </w:p>
              </w:tc>
              <w:tc>
                <w:tcPr>
                  <w:tcW w:w="1025" w:type="pct"/>
                  <w:vAlign w:val="center"/>
                </w:tcPr>
                <w:p w14:paraId="5B926C04">
                  <w:pPr>
                    <w:spacing w:line="320" w:lineRule="exact"/>
                    <w:jc w:val="center"/>
                  </w:pPr>
                  <w:r>
                    <w:t>颗粒物、二氧化硫、氮氧化物、氟化物</w:t>
                  </w:r>
                </w:p>
              </w:tc>
              <w:tc>
                <w:tcPr>
                  <w:tcW w:w="1711" w:type="pct"/>
                  <w:vAlign w:val="center"/>
                </w:tcPr>
                <w:p w14:paraId="3498A979">
                  <w:pPr>
                    <w:spacing w:line="320" w:lineRule="exact"/>
                    <w:jc w:val="center"/>
                  </w:pPr>
                  <w:r>
                    <w:t>1套“钠钙双碱法脱硫+湿电除尘系统”+1根20m高排气筒</w:t>
                  </w:r>
                </w:p>
              </w:tc>
              <w:tc>
                <w:tcPr>
                  <w:tcW w:w="782" w:type="pct"/>
                  <w:vAlign w:val="center"/>
                </w:tcPr>
                <w:p w14:paraId="7AC5B5E5">
                  <w:pPr>
                    <w:spacing w:line="320" w:lineRule="exact"/>
                    <w:jc w:val="center"/>
                  </w:pPr>
                  <w:r>
                    <w:t>DA002</w:t>
                  </w:r>
                </w:p>
              </w:tc>
            </w:tr>
          </w:tbl>
          <w:p w14:paraId="15269B5C">
            <w:pPr>
              <w:adjustRightInd w:val="0"/>
              <w:snapToGrid w:val="0"/>
              <w:spacing w:line="520" w:lineRule="exact"/>
              <w:rPr>
                <w:rFonts w:eastAsia="黑体"/>
                <w:bCs/>
                <w:sz w:val="24"/>
                <w:szCs w:val="21"/>
              </w:rPr>
            </w:pPr>
            <w:r>
              <w:rPr>
                <w:rFonts w:eastAsia="黑体"/>
                <w:bCs/>
                <w:sz w:val="24"/>
                <w:szCs w:val="21"/>
              </w:rPr>
              <w:t>3.1.2废气污染物排放情况</w:t>
            </w:r>
          </w:p>
          <w:p w14:paraId="3F53DF67">
            <w:pPr>
              <w:adjustRightInd w:val="0"/>
              <w:snapToGrid w:val="0"/>
              <w:spacing w:line="520" w:lineRule="exact"/>
              <w:ind w:firstLine="480" w:firstLineChars="200"/>
              <w:rPr>
                <w:bCs/>
                <w:sz w:val="24"/>
                <w:szCs w:val="21"/>
              </w:rPr>
            </w:pPr>
            <w:r>
              <w:rPr>
                <w:bCs/>
                <w:sz w:val="24"/>
                <w:szCs w:val="21"/>
              </w:rPr>
              <w:t>（1）三兴建材废气污染物排放情况</w:t>
            </w:r>
          </w:p>
          <w:p w14:paraId="221ED014">
            <w:pPr>
              <w:adjustRightInd w:val="0"/>
              <w:snapToGrid w:val="0"/>
              <w:spacing w:line="520" w:lineRule="exact"/>
              <w:ind w:firstLine="480" w:firstLineChars="200"/>
              <w:rPr>
                <w:bCs/>
                <w:sz w:val="24"/>
                <w:szCs w:val="21"/>
              </w:rPr>
            </w:pPr>
            <w:r>
              <w:rPr>
                <w:bCs/>
                <w:sz w:val="24"/>
                <w:szCs w:val="21"/>
              </w:rPr>
              <w:fldChar w:fldCharType="begin"/>
            </w:r>
            <w:r>
              <w:rPr>
                <w:bCs/>
                <w:sz w:val="24"/>
                <w:szCs w:val="21"/>
              </w:rPr>
              <w:instrText xml:space="preserve"> = 1 \* GB3 </w:instrText>
            </w:r>
            <w:r>
              <w:rPr>
                <w:bCs/>
                <w:sz w:val="24"/>
                <w:szCs w:val="21"/>
              </w:rPr>
              <w:fldChar w:fldCharType="separate"/>
            </w:r>
            <w:r>
              <w:rPr>
                <w:rFonts w:ascii="Cambria Math" w:hAnsi="Cambria Math" w:cs="Cambria Math"/>
                <w:bCs/>
                <w:sz w:val="24"/>
                <w:szCs w:val="21"/>
              </w:rPr>
              <w:t>①</w:t>
            </w:r>
            <w:r>
              <w:rPr>
                <w:bCs/>
                <w:sz w:val="24"/>
                <w:szCs w:val="21"/>
              </w:rPr>
              <w:fldChar w:fldCharType="end"/>
            </w:r>
            <w:r>
              <w:rPr>
                <w:bCs/>
                <w:sz w:val="24"/>
                <w:szCs w:val="21"/>
              </w:rPr>
              <w:t>喂料、破碎有组织废气排放情况</w:t>
            </w:r>
          </w:p>
          <w:p w14:paraId="723E6B07">
            <w:pPr>
              <w:adjustRightInd w:val="0"/>
              <w:snapToGrid w:val="0"/>
              <w:spacing w:line="520" w:lineRule="exact"/>
              <w:ind w:firstLine="480" w:firstLineChars="200"/>
              <w:rPr>
                <w:bCs/>
                <w:sz w:val="24"/>
                <w:szCs w:val="21"/>
              </w:rPr>
            </w:pPr>
            <w:r>
              <w:rPr>
                <w:bCs/>
                <w:sz w:val="24"/>
                <w:szCs w:val="21"/>
              </w:rPr>
              <w:t>河南省宗树环境检测技术研究有限公司2025年10月13日对三兴建材喂料、破碎工序废气排放口检测结果统计见表2-11。</w:t>
            </w:r>
          </w:p>
          <w:p w14:paraId="2220EF4E">
            <w:pPr>
              <w:spacing w:line="520" w:lineRule="exact"/>
              <w:jc w:val="center"/>
              <w:rPr>
                <w:rFonts w:eastAsia="黑体"/>
                <w:sz w:val="24"/>
                <w:szCs w:val="32"/>
              </w:rPr>
            </w:pPr>
            <w:r>
              <w:rPr>
                <w:rFonts w:eastAsia="黑体"/>
                <w:sz w:val="24"/>
                <w:szCs w:val="32"/>
              </w:rPr>
              <w:t>表2-11      三兴建材喂料、破碎工序排放口DA003颗粒物排放情况</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551"/>
              <w:gridCol w:w="1551"/>
              <w:gridCol w:w="2127"/>
              <w:gridCol w:w="2066"/>
            </w:tblGrid>
            <w:tr w14:paraId="1C19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95" w:type="pct"/>
                  <w:vMerge w:val="restart"/>
                  <w:vAlign w:val="center"/>
                </w:tcPr>
                <w:p w14:paraId="64894DD0">
                  <w:pPr>
                    <w:spacing w:line="320" w:lineRule="exact"/>
                    <w:jc w:val="center"/>
                  </w:pPr>
                  <w:r>
                    <w:t>采样</w:t>
                  </w:r>
                </w:p>
                <w:p w14:paraId="027B1389">
                  <w:pPr>
                    <w:spacing w:line="320" w:lineRule="exact"/>
                    <w:jc w:val="center"/>
                  </w:pPr>
                  <w:r>
                    <w:t>日期</w:t>
                  </w:r>
                </w:p>
              </w:tc>
              <w:tc>
                <w:tcPr>
                  <w:tcW w:w="940" w:type="pct"/>
                  <w:vMerge w:val="restart"/>
                  <w:vAlign w:val="center"/>
                </w:tcPr>
                <w:p w14:paraId="46A9229F">
                  <w:pPr>
                    <w:spacing w:line="320" w:lineRule="exact"/>
                    <w:jc w:val="center"/>
                  </w:pPr>
                  <w:r>
                    <w:t>检测点位</w:t>
                  </w:r>
                </w:p>
              </w:tc>
              <w:tc>
                <w:tcPr>
                  <w:tcW w:w="940" w:type="pct"/>
                  <w:vMerge w:val="restart"/>
                  <w:vAlign w:val="center"/>
                </w:tcPr>
                <w:p w14:paraId="61A1FBEA">
                  <w:pPr>
                    <w:spacing w:line="320" w:lineRule="exact"/>
                    <w:jc w:val="center"/>
                  </w:pPr>
                  <w:r>
                    <w:t>标干流量（Nm</w:t>
                  </w:r>
                  <w:r>
                    <w:rPr>
                      <w:vertAlign w:val="superscript"/>
                    </w:rPr>
                    <w:t>3</w:t>
                  </w:r>
                  <w:r>
                    <w:t>/h）</w:t>
                  </w:r>
                </w:p>
              </w:tc>
              <w:tc>
                <w:tcPr>
                  <w:tcW w:w="2525" w:type="pct"/>
                  <w:gridSpan w:val="2"/>
                  <w:vAlign w:val="center"/>
                </w:tcPr>
                <w:p w14:paraId="1E4A1BCC">
                  <w:pPr>
                    <w:spacing w:line="320" w:lineRule="exact"/>
                    <w:jc w:val="center"/>
                  </w:pPr>
                  <w:r>
                    <w:t>颗粒物</w:t>
                  </w:r>
                </w:p>
              </w:tc>
            </w:tr>
            <w:tr w14:paraId="0115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14:paraId="0C25CE6A">
                  <w:pPr>
                    <w:spacing w:line="320" w:lineRule="exact"/>
                    <w:jc w:val="center"/>
                  </w:pPr>
                </w:p>
              </w:tc>
              <w:tc>
                <w:tcPr>
                  <w:tcW w:w="940" w:type="pct"/>
                  <w:vMerge w:val="continue"/>
                  <w:vAlign w:val="center"/>
                </w:tcPr>
                <w:p w14:paraId="216C6A1D">
                  <w:pPr>
                    <w:spacing w:line="320" w:lineRule="exact"/>
                    <w:jc w:val="center"/>
                  </w:pPr>
                </w:p>
              </w:tc>
              <w:tc>
                <w:tcPr>
                  <w:tcW w:w="940" w:type="pct"/>
                  <w:vMerge w:val="continue"/>
                  <w:vAlign w:val="center"/>
                </w:tcPr>
                <w:p w14:paraId="572F9773">
                  <w:pPr>
                    <w:spacing w:line="320" w:lineRule="exact"/>
                    <w:jc w:val="center"/>
                  </w:pPr>
                </w:p>
              </w:tc>
              <w:tc>
                <w:tcPr>
                  <w:tcW w:w="1281" w:type="pct"/>
                  <w:vAlign w:val="center"/>
                </w:tcPr>
                <w:p w14:paraId="57D20A77">
                  <w:pPr>
                    <w:spacing w:line="320" w:lineRule="exact"/>
                    <w:jc w:val="center"/>
                  </w:pPr>
                  <w:r>
                    <w:t>排放浓度（mg/m</w:t>
                  </w:r>
                  <w:r>
                    <w:rPr>
                      <w:vertAlign w:val="superscript"/>
                    </w:rPr>
                    <w:t>3</w:t>
                  </w:r>
                  <w:r>
                    <w:t>）</w:t>
                  </w:r>
                </w:p>
              </w:tc>
              <w:tc>
                <w:tcPr>
                  <w:tcW w:w="1244" w:type="pct"/>
                </w:tcPr>
                <w:p w14:paraId="2FE86274">
                  <w:pPr>
                    <w:spacing w:line="320" w:lineRule="exact"/>
                    <w:jc w:val="center"/>
                  </w:pPr>
                  <w:r>
                    <w:t>排放速率（kg/h）</w:t>
                  </w:r>
                </w:p>
              </w:tc>
            </w:tr>
            <w:tr w14:paraId="62D4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restart"/>
                  <w:vAlign w:val="center"/>
                </w:tcPr>
                <w:p w14:paraId="3D5474A4">
                  <w:pPr>
                    <w:spacing w:line="320" w:lineRule="exact"/>
                    <w:jc w:val="center"/>
                  </w:pPr>
                  <w:r>
                    <w:t>2025.10.13</w:t>
                  </w:r>
                </w:p>
              </w:tc>
              <w:tc>
                <w:tcPr>
                  <w:tcW w:w="940" w:type="pct"/>
                  <w:vMerge w:val="restart"/>
                  <w:vAlign w:val="center"/>
                </w:tcPr>
                <w:p w14:paraId="6C0B8FFE">
                  <w:pPr>
                    <w:spacing w:line="320" w:lineRule="exact"/>
                    <w:jc w:val="center"/>
                  </w:pPr>
                  <w:r>
                    <w:t>喂料、破碎工序排气筒DA003</w:t>
                  </w:r>
                </w:p>
              </w:tc>
              <w:tc>
                <w:tcPr>
                  <w:tcW w:w="940" w:type="pct"/>
                  <w:vAlign w:val="center"/>
                </w:tcPr>
                <w:p w14:paraId="129FF578">
                  <w:pPr>
                    <w:spacing w:line="320" w:lineRule="exact"/>
                    <w:jc w:val="center"/>
                  </w:pPr>
                  <w:r>
                    <w:t>9.20×10</w:t>
                  </w:r>
                  <w:r>
                    <w:rPr>
                      <w:vertAlign w:val="superscript"/>
                    </w:rPr>
                    <w:t>4</w:t>
                  </w:r>
                </w:p>
              </w:tc>
              <w:tc>
                <w:tcPr>
                  <w:tcW w:w="1281" w:type="pct"/>
                  <w:vAlign w:val="center"/>
                </w:tcPr>
                <w:p w14:paraId="1D98A92E">
                  <w:pPr>
                    <w:spacing w:line="320" w:lineRule="exact"/>
                    <w:jc w:val="center"/>
                  </w:pPr>
                  <w:r>
                    <w:t>6.1</w:t>
                  </w:r>
                </w:p>
              </w:tc>
              <w:tc>
                <w:tcPr>
                  <w:tcW w:w="1244" w:type="pct"/>
                </w:tcPr>
                <w:p w14:paraId="049F001D">
                  <w:pPr>
                    <w:spacing w:line="320" w:lineRule="exact"/>
                    <w:jc w:val="center"/>
                  </w:pPr>
                  <w:r>
                    <w:t>0.0561</w:t>
                  </w:r>
                </w:p>
              </w:tc>
            </w:tr>
            <w:tr w14:paraId="05CC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14:paraId="7B1FE94B">
                  <w:pPr>
                    <w:spacing w:line="320" w:lineRule="exact"/>
                    <w:jc w:val="center"/>
                  </w:pPr>
                </w:p>
              </w:tc>
              <w:tc>
                <w:tcPr>
                  <w:tcW w:w="940" w:type="pct"/>
                  <w:vMerge w:val="continue"/>
                  <w:vAlign w:val="center"/>
                </w:tcPr>
                <w:p w14:paraId="1245E573">
                  <w:pPr>
                    <w:spacing w:line="320" w:lineRule="exact"/>
                    <w:jc w:val="center"/>
                  </w:pPr>
                </w:p>
              </w:tc>
              <w:tc>
                <w:tcPr>
                  <w:tcW w:w="940" w:type="pct"/>
                  <w:vAlign w:val="center"/>
                </w:tcPr>
                <w:p w14:paraId="1E80225A">
                  <w:pPr>
                    <w:spacing w:line="320" w:lineRule="exact"/>
                    <w:jc w:val="center"/>
                  </w:pPr>
                  <w:r>
                    <w:t>9.22×10</w:t>
                  </w:r>
                  <w:r>
                    <w:rPr>
                      <w:vertAlign w:val="superscript"/>
                    </w:rPr>
                    <w:t>4</w:t>
                  </w:r>
                </w:p>
              </w:tc>
              <w:tc>
                <w:tcPr>
                  <w:tcW w:w="1281" w:type="pct"/>
                  <w:vAlign w:val="center"/>
                </w:tcPr>
                <w:p w14:paraId="34B2ABAA">
                  <w:pPr>
                    <w:spacing w:line="320" w:lineRule="exact"/>
                    <w:jc w:val="center"/>
                  </w:pPr>
                  <w:r>
                    <w:t>6.2</w:t>
                  </w:r>
                </w:p>
              </w:tc>
              <w:tc>
                <w:tcPr>
                  <w:tcW w:w="1244" w:type="pct"/>
                </w:tcPr>
                <w:p w14:paraId="457071D9">
                  <w:pPr>
                    <w:spacing w:line="320" w:lineRule="exact"/>
                    <w:jc w:val="center"/>
                  </w:pPr>
                  <w:r>
                    <w:t>0.0572</w:t>
                  </w:r>
                </w:p>
              </w:tc>
            </w:tr>
            <w:tr w14:paraId="1E6A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14:paraId="0E205919">
                  <w:pPr>
                    <w:spacing w:line="320" w:lineRule="exact"/>
                    <w:jc w:val="center"/>
                  </w:pPr>
                </w:p>
              </w:tc>
              <w:tc>
                <w:tcPr>
                  <w:tcW w:w="940" w:type="pct"/>
                  <w:vMerge w:val="continue"/>
                  <w:vAlign w:val="center"/>
                </w:tcPr>
                <w:p w14:paraId="0A06DE90">
                  <w:pPr>
                    <w:spacing w:line="320" w:lineRule="exact"/>
                    <w:jc w:val="center"/>
                  </w:pPr>
                </w:p>
              </w:tc>
              <w:tc>
                <w:tcPr>
                  <w:tcW w:w="940" w:type="pct"/>
                  <w:vAlign w:val="center"/>
                </w:tcPr>
                <w:p w14:paraId="449502EB">
                  <w:pPr>
                    <w:spacing w:line="320" w:lineRule="exact"/>
                    <w:jc w:val="center"/>
                  </w:pPr>
                  <w:r>
                    <w:t>8.76×10</w:t>
                  </w:r>
                  <w:r>
                    <w:rPr>
                      <w:vertAlign w:val="superscript"/>
                    </w:rPr>
                    <w:t>3</w:t>
                  </w:r>
                </w:p>
              </w:tc>
              <w:tc>
                <w:tcPr>
                  <w:tcW w:w="1281" w:type="pct"/>
                  <w:vAlign w:val="center"/>
                </w:tcPr>
                <w:p w14:paraId="239DCB96">
                  <w:pPr>
                    <w:spacing w:line="320" w:lineRule="exact"/>
                    <w:jc w:val="center"/>
                  </w:pPr>
                  <w:r>
                    <w:t>6.2</w:t>
                  </w:r>
                </w:p>
              </w:tc>
              <w:tc>
                <w:tcPr>
                  <w:tcW w:w="1244" w:type="pct"/>
                </w:tcPr>
                <w:p w14:paraId="779807A4">
                  <w:pPr>
                    <w:spacing w:line="320" w:lineRule="exact"/>
                    <w:jc w:val="center"/>
                  </w:pPr>
                  <w:r>
                    <w:t>0.0543</w:t>
                  </w:r>
                </w:p>
              </w:tc>
            </w:tr>
            <w:tr w14:paraId="3220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14:paraId="6503F4D1">
                  <w:pPr>
                    <w:spacing w:line="320" w:lineRule="exact"/>
                    <w:jc w:val="center"/>
                  </w:pPr>
                </w:p>
              </w:tc>
              <w:tc>
                <w:tcPr>
                  <w:tcW w:w="940" w:type="pct"/>
                  <w:vAlign w:val="center"/>
                </w:tcPr>
                <w:p w14:paraId="63D3E45E">
                  <w:pPr>
                    <w:spacing w:line="320" w:lineRule="exact"/>
                    <w:jc w:val="center"/>
                  </w:pPr>
                  <w:r>
                    <w:t>均值</w:t>
                  </w:r>
                </w:p>
              </w:tc>
              <w:tc>
                <w:tcPr>
                  <w:tcW w:w="940" w:type="pct"/>
                  <w:vAlign w:val="center"/>
                </w:tcPr>
                <w:p w14:paraId="52ECE04F">
                  <w:pPr>
                    <w:spacing w:line="320" w:lineRule="exact"/>
                    <w:jc w:val="center"/>
                  </w:pPr>
                  <w:r>
                    <w:t>9.06×10</w:t>
                  </w:r>
                  <w:r>
                    <w:rPr>
                      <w:vertAlign w:val="superscript"/>
                    </w:rPr>
                    <w:t>4</w:t>
                  </w:r>
                </w:p>
              </w:tc>
              <w:tc>
                <w:tcPr>
                  <w:tcW w:w="1281" w:type="pct"/>
                  <w:vAlign w:val="center"/>
                </w:tcPr>
                <w:p w14:paraId="646621B2">
                  <w:pPr>
                    <w:spacing w:line="320" w:lineRule="exact"/>
                    <w:jc w:val="center"/>
                  </w:pPr>
                  <w:r>
                    <w:t>6.2</w:t>
                  </w:r>
                </w:p>
              </w:tc>
              <w:tc>
                <w:tcPr>
                  <w:tcW w:w="1244" w:type="pct"/>
                </w:tcPr>
                <w:p w14:paraId="3D279231">
                  <w:pPr>
                    <w:spacing w:line="320" w:lineRule="exact"/>
                    <w:jc w:val="center"/>
                  </w:pPr>
                  <w:r>
                    <w:t>0.0562</w:t>
                  </w:r>
                </w:p>
              </w:tc>
            </w:tr>
          </w:tbl>
          <w:p w14:paraId="16191CBB">
            <w:pPr>
              <w:adjustRightInd w:val="0"/>
              <w:snapToGrid w:val="0"/>
              <w:spacing w:line="520" w:lineRule="exact"/>
              <w:ind w:firstLine="480" w:firstLineChars="200"/>
              <w:rPr>
                <w:bCs/>
                <w:sz w:val="24"/>
                <w:szCs w:val="21"/>
              </w:rPr>
            </w:pPr>
            <w:r>
              <w:rPr>
                <w:bCs/>
                <w:sz w:val="24"/>
                <w:szCs w:val="21"/>
              </w:rPr>
              <w:t>由上表可知，检测期间，三兴建材喂料、破碎工序排放口颗粒物的排放浓度范围为6.1~6.2mg/m</w:t>
            </w:r>
            <w:r>
              <w:rPr>
                <w:bCs/>
                <w:sz w:val="24"/>
                <w:szCs w:val="21"/>
                <w:vertAlign w:val="superscript"/>
              </w:rPr>
              <w:t>3</w:t>
            </w:r>
            <w:r>
              <w:rPr>
                <w:bCs/>
                <w:sz w:val="24"/>
                <w:szCs w:val="21"/>
              </w:rPr>
              <w:t>，符合《砖瓦工业大气污染物排放标准》（DB41/2234-2022）标准限值（颗粒物10mg/m</w:t>
            </w:r>
            <w:r>
              <w:rPr>
                <w:bCs/>
                <w:sz w:val="24"/>
                <w:szCs w:val="21"/>
                <w:vertAlign w:val="superscript"/>
              </w:rPr>
              <w:t>3</w:t>
            </w:r>
            <w:r>
              <w:rPr>
                <w:bCs/>
                <w:sz w:val="24"/>
                <w:szCs w:val="21"/>
              </w:rPr>
              <w:t>），可实现达标排放。</w:t>
            </w:r>
          </w:p>
          <w:p w14:paraId="0C42D3F6">
            <w:pPr>
              <w:adjustRightInd w:val="0"/>
              <w:snapToGrid w:val="0"/>
              <w:spacing w:line="520" w:lineRule="exact"/>
              <w:ind w:firstLine="480" w:firstLineChars="200"/>
              <w:rPr>
                <w:bCs/>
                <w:sz w:val="24"/>
                <w:szCs w:val="21"/>
              </w:rPr>
            </w:pPr>
            <w:r>
              <w:rPr>
                <w:bCs/>
                <w:sz w:val="24"/>
                <w:szCs w:val="21"/>
              </w:rPr>
              <w:fldChar w:fldCharType="begin"/>
            </w:r>
            <w:r>
              <w:rPr>
                <w:bCs/>
                <w:sz w:val="24"/>
                <w:szCs w:val="21"/>
              </w:rPr>
              <w:instrText xml:space="preserve"> = 2 \* GB3 </w:instrText>
            </w:r>
            <w:r>
              <w:rPr>
                <w:bCs/>
                <w:sz w:val="24"/>
                <w:szCs w:val="21"/>
              </w:rPr>
              <w:fldChar w:fldCharType="separate"/>
            </w:r>
            <w:r>
              <w:rPr>
                <w:rFonts w:ascii="Cambria Math" w:hAnsi="Cambria Math" w:cs="Cambria Math"/>
                <w:bCs/>
                <w:sz w:val="24"/>
                <w:szCs w:val="21"/>
              </w:rPr>
              <w:t>②</w:t>
            </w:r>
            <w:r>
              <w:rPr>
                <w:bCs/>
                <w:sz w:val="24"/>
                <w:szCs w:val="21"/>
              </w:rPr>
              <w:fldChar w:fldCharType="end"/>
            </w:r>
            <w:r>
              <w:rPr>
                <w:bCs/>
                <w:sz w:val="24"/>
                <w:szCs w:val="21"/>
              </w:rPr>
              <w:t>筛分、搅拌有组织废气排放情况</w:t>
            </w:r>
          </w:p>
          <w:p w14:paraId="7ACA4E8B">
            <w:pPr>
              <w:adjustRightInd w:val="0"/>
              <w:snapToGrid w:val="0"/>
              <w:spacing w:line="520" w:lineRule="exact"/>
              <w:ind w:firstLine="480" w:firstLineChars="200"/>
              <w:rPr>
                <w:bCs/>
                <w:sz w:val="24"/>
                <w:szCs w:val="21"/>
              </w:rPr>
            </w:pPr>
            <w:r>
              <w:rPr>
                <w:bCs/>
                <w:sz w:val="24"/>
                <w:szCs w:val="21"/>
              </w:rPr>
              <w:t>河南省宗树环境检测技术研究有限公司2025年10月13日对三兴建材筛分、搅拌工序废气排放口检测结果统计见表2-12。</w:t>
            </w:r>
          </w:p>
          <w:p w14:paraId="71543269">
            <w:pPr>
              <w:spacing w:line="520" w:lineRule="exact"/>
              <w:jc w:val="center"/>
              <w:rPr>
                <w:rFonts w:eastAsia="黑体"/>
                <w:sz w:val="24"/>
                <w:szCs w:val="32"/>
              </w:rPr>
            </w:pPr>
            <w:r>
              <w:rPr>
                <w:rFonts w:eastAsia="黑体"/>
                <w:sz w:val="24"/>
                <w:szCs w:val="32"/>
              </w:rPr>
              <w:t>表2-12        三兴建材筛分、搅拌工序排放口DA001颗粒物排放情况</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410"/>
              <w:gridCol w:w="1590"/>
              <w:gridCol w:w="2166"/>
              <w:gridCol w:w="2104"/>
            </w:tblGrid>
            <w:tr w14:paraId="2976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1" w:type="pct"/>
                  <w:vMerge w:val="restart"/>
                  <w:vAlign w:val="center"/>
                </w:tcPr>
                <w:p w14:paraId="461EE021">
                  <w:pPr>
                    <w:spacing w:line="320" w:lineRule="exact"/>
                    <w:jc w:val="center"/>
                  </w:pPr>
                  <w:r>
                    <w:t>采样</w:t>
                  </w:r>
                </w:p>
                <w:p w14:paraId="298920BD">
                  <w:pPr>
                    <w:spacing w:line="320" w:lineRule="exact"/>
                    <w:jc w:val="center"/>
                  </w:pPr>
                  <w:r>
                    <w:t>日期</w:t>
                  </w:r>
                </w:p>
              </w:tc>
              <w:tc>
                <w:tcPr>
                  <w:tcW w:w="834" w:type="pct"/>
                  <w:vMerge w:val="restart"/>
                  <w:vAlign w:val="center"/>
                </w:tcPr>
                <w:p w14:paraId="0CB9C8D5">
                  <w:pPr>
                    <w:spacing w:line="320" w:lineRule="exact"/>
                    <w:jc w:val="center"/>
                  </w:pPr>
                  <w:r>
                    <w:t>检测点位</w:t>
                  </w:r>
                </w:p>
              </w:tc>
              <w:tc>
                <w:tcPr>
                  <w:tcW w:w="940" w:type="pct"/>
                  <w:vMerge w:val="restart"/>
                  <w:vAlign w:val="center"/>
                </w:tcPr>
                <w:p w14:paraId="4E5A4282">
                  <w:pPr>
                    <w:spacing w:line="320" w:lineRule="exact"/>
                    <w:jc w:val="center"/>
                  </w:pPr>
                  <w:r>
                    <w:t>标干流量（Nm</w:t>
                  </w:r>
                  <w:r>
                    <w:rPr>
                      <w:vertAlign w:val="superscript"/>
                    </w:rPr>
                    <w:t>3</w:t>
                  </w:r>
                  <w:r>
                    <w:t>/h）</w:t>
                  </w:r>
                </w:p>
              </w:tc>
              <w:tc>
                <w:tcPr>
                  <w:tcW w:w="2525" w:type="pct"/>
                  <w:gridSpan w:val="2"/>
                  <w:vAlign w:val="center"/>
                </w:tcPr>
                <w:p w14:paraId="77B658BA">
                  <w:pPr>
                    <w:spacing w:line="320" w:lineRule="exact"/>
                    <w:jc w:val="center"/>
                  </w:pPr>
                  <w:r>
                    <w:t>颗粒物</w:t>
                  </w:r>
                </w:p>
              </w:tc>
            </w:tr>
            <w:tr w14:paraId="4B17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50828A31">
                  <w:pPr>
                    <w:spacing w:line="320" w:lineRule="exact"/>
                    <w:jc w:val="center"/>
                  </w:pPr>
                </w:p>
              </w:tc>
              <w:tc>
                <w:tcPr>
                  <w:tcW w:w="834" w:type="pct"/>
                  <w:vMerge w:val="continue"/>
                  <w:vAlign w:val="center"/>
                </w:tcPr>
                <w:p w14:paraId="3AFC58F6">
                  <w:pPr>
                    <w:spacing w:line="320" w:lineRule="exact"/>
                    <w:jc w:val="center"/>
                  </w:pPr>
                </w:p>
              </w:tc>
              <w:tc>
                <w:tcPr>
                  <w:tcW w:w="940" w:type="pct"/>
                  <w:vMerge w:val="continue"/>
                  <w:vAlign w:val="center"/>
                </w:tcPr>
                <w:p w14:paraId="7DEDA310">
                  <w:pPr>
                    <w:spacing w:line="320" w:lineRule="exact"/>
                    <w:jc w:val="center"/>
                  </w:pPr>
                </w:p>
              </w:tc>
              <w:tc>
                <w:tcPr>
                  <w:tcW w:w="1281" w:type="pct"/>
                  <w:vAlign w:val="center"/>
                </w:tcPr>
                <w:p w14:paraId="2095AAE1">
                  <w:pPr>
                    <w:spacing w:line="320" w:lineRule="exact"/>
                    <w:jc w:val="center"/>
                  </w:pPr>
                  <w:r>
                    <w:t>排放浓度（mg/m</w:t>
                  </w:r>
                  <w:r>
                    <w:rPr>
                      <w:vertAlign w:val="superscript"/>
                    </w:rPr>
                    <w:t>3</w:t>
                  </w:r>
                  <w:r>
                    <w:t>）</w:t>
                  </w:r>
                </w:p>
              </w:tc>
              <w:tc>
                <w:tcPr>
                  <w:tcW w:w="1244" w:type="pct"/>
                </w:tcPr>
                <w:p w14:paraId="28C93C34">
                  <w:pPr>
                    <w:spacing w:line="320" w:lineRule="exact"/>
                    <w:jc w:val="center"/>
                  </w:pPr>
                  <w:r>
                    <w:t>排放速率（kg/h）</w:t>
                  </w:r>
                </w:p>
              </w:tc>
            </w:tr>
            <w:tr w14:paraId="5629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restart"/>
                  <w:vAlign w:val="center"/>
                </w:tcPr>
                <w:p w14:paraId="58366230">
                  <w:pPr>
                    <w:spacing w:line="320" w:lineRule="exact"/>
                    <w:jc w:val="center"/>
                  </w:pPr>
                  <w:r>
                    <w:t>2025.10.13</w:t>
                  </w:r>
                </w:p>
              </w:tc>
              <w:tc>
                <w:tcPr>
                  <w:tcW w:w="834" w:type="pct"/>
                  <w:vMerge w:val="restart"/>
                  <w:vAlign w:val="center"/>
                </w:tcPr>
                <w:p w14:paraId="3961BE3A">
                  <w:pPr>
                    <w:spacing w:line="320" w:lineRule="exact"/>
                    <w:jc w:val="center"/>
                  </w:pPr>
                  <w:r>
                    <w:t>筛分、搅拌工序排气筒DA001</w:t>
                  </w:r>
                </w:p>
              </w:tc>
              <w:tc>
                <w:tcPr>
                  <w:tcW w:w="940" w:type="pct"/>
                  <w:vAlign w:val="center"/>
                </w:tcPr>
                <w:p w14:paraId="75CB9B65">
                  <w:pPr>
                    <w:spacing w:line="320" w:lineRule="exact"/>
                    <w:jc w:val="center"/>
                  </w:pPr>
                  <w:r>
                    <w:t>1.04×10</w:t>
                  </w:r>
                  <w:r>
                    <w:rPr>
                      <w:vertAlign w:val="superscript"/>
                    </w:rPr>
                    <w:t>4</w:t>
                  </w:r>
                </w:p>
              </w:tc>
              <w:tc>
                <w:tcPr>
                  <w:tcW w:w="1281" w:type="pct"/>
                  <w:vAlign w:val="center"/>
                </w:tcPr>
                <w:p w14:paraId="1F157A37">
                  <w:pPr>
                    <w:spacing w:line="320" w:lineRule="exact"/>
                    <w:jc w:val="center"/>
                  </w:pPr>
                  <w:r>
                    <w:t>4.8</w:t>
                  </w:r>
                </w:p>
              </w:tc>
              <w:tc>
                <w:tcPr>
                  <w:tcW w:w="1244" w:type="pct"/>
                </w:tcPr>
                <w:p w14:paraId="15FE41A9">
                  <w:pPr>
                    <w:spacing w:line="320" w:lineRule="exact"/>
                    <w:jc w:val="center"/>
                  </w:pPr>
                  <w:r>
                    <w:t>0.0499</w:t>
                  </w:r>
                </w:p>
              </w:tc>
            </w:tr>
            <w:tr w14:paraId="0CA4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18F5F75D">
                  <w:pPr>
                    <w:spacing w:line="320" w:lineRule="exact"/>
                    <w:jc w:val="center"/>
                    <w:rPr>
                      <w:color w:val="EE0000"/>
                    </w:rPr>
                  </w:pPr>
                </w:p>
              </w:tc>
              <w:tc>
                <w:tcPr>
                  <w:tcW w:w="834" w:type="pct"/>
                  <w:vMerge w:val="continue"/>
                  <w:vAlign w:val="center"/>
                </w:tcPr>
                <w:p w14:paraId="2F1F7005">
                  <w:pPr>
                    <w:spacing w:line="320" w:lineRule="exact"/>
                    <w:jc w:val="center"/>
                  </w:pPr>
                </w:p>
              </w:tc>
              <w:tc>
                <w:tcPr>
                  <w:tcW w:w="940" w:type="pct"/>
                  <w:vAlign w:val="center"/>
                </w:tcPr>
                <w:p w14:paraId="6419435C">
                  <w:pPr>
                    <w:spacing w:line="320" w:lineRule="exact"/>
                    <w:jc w:val="center"/>
                  </w:pPr>
                  <w:r>
                    <w:t>1.01×10</w:t>
                  </w:r>
                  <w:r>
                    <w:rPr>
                      <w:vertAlign w:val="superscript"/>
                    </w:rPr>
                    <w:t>4</w:t>
                  </w:r>
                </w:p>
              </w:tc>
              <w:tc>
                <w:tcPr>
                  <w:tcW w:w="1281" w:type="pct"/>
                  <w:vAlign w:val="center"/>
                </w:tcPr>
                <w:p w14:paraId="383A0E91">
                  <w:pPr>
                    <w:spacing w:line="320" w:lineRule="exact"/>
                    <w:jc w:val="center"/>
                  </w:pPr>
                  <w:r>
                    <w:t>6.3</w:t>
                  </w:r>
                </w:p>
              </w:tc>
              <w:tc>
                <w:tcPr>
                  <w:tcW w:w="1244" w:type="pct"/>
                </w:tcPr>
                <w:p w14:paraId="264DAAF7">
                  <w:pPr>
                    <w:spacing w:line="320" w:lineRule="exact"/>
                    <w:jc w:val="center"/>
                  </w:pPr>
                  <w:r>
                    <w:t>0.0636</w:t>
                  </w:r>
                </w:p>
              </w:tc>
            </w:tr>
            <w:tr w14:paraId="1E4B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21D55DDC">
                  <w:pPr>
                    <w:spacing w:line="320" w:lineRule="exact"/>
                    <w:jc w:val="center"/>
                    <w:rPr>
                      <w:color w:val="EE0000"/>
                    </w:rPr>
                  </w:pPr>
                </w:p>
              </w:tc>
              <w:tc>
                <w:tcPr>
                  <w:tcW w:w="834" w:type="pct"/>
                  <w:vMerge w:val="continue"/>
                  <w:vAlign w:val="center"/>
                </w:tcPr>
                <w:p w14:paraId="117E9166">
                  <w:pPr>
                    <w:spacing w:line="320" w:lineRule="exact"/>
                    <w:jc w:val="center"/>
                  </w:pPr>
                </w:p>
              </w:tc>
              <w:tc>
                <w:tcPr>
                  <w:tcW w:w="940" w:type="pct"/>
                  <w:vAlign w:val="center"/>
                </w:tcPr>
                <w:p w14:paraId="3F9CACAE">
                  <w:pPr>
                    <w:spacing w:line="320" w:lineRule="exact"/>
                    <w:jc w:val="center"/>
                  </w:pPr>
                  <w:r>
                    <w:t>9.84×10</w:t>
                  </w:r>
                  <w:r>
                    <w:rPr>
                      <w:vertAlign w:val="superscript"/>
                    </w:rPr>
                    <w:t>3</w:t>
                  </w:r>
                </w:p>
              </w:tc>
              <w:tc>
                <w:tcPr>
                  <w:tcW w:w="1281" w:type="pct"/>
                  <w:vAlign w:val="center"/>
                </w:tcPr>
                <w:p w14:paraId="789952A5">
                  <w:pPr>
                    <w:spacing w:line="320" w:lineRule="exact"/>
                    <w:jc w:val="center"/>
                  </w:pPr>
                  <w:r>
                    <w:t>4.9</w:t>
                  </w:r>
                </w:p>
              </w:tc>
              <w:tc>
                <w:tcPr>
                  <w:tcW w:w="1244" w:type="pct"/>
                </w:tcPr>
                <w:p w14:paraId="2D047010">
                  <w:pPr>
                    <w:spacing w:line="320" w:lineRule="exact"/>
                    <w:jc w:val="center"/>
                  </w:pPr>
                  <w:r>
                    <w:t>0.0482</w:t>
                  </w:r>
                </w:p>
              </w:tc>
            </w:tr>
            <w:tr w14:paraId="5642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62D6A419">
                  <w:pPr>
                    <w:spacing w:line="320" w:lineRule="exact"/>
                    <w:jc w:val="center"/>
                    <w:rPr>
                      <w:color w:val="EE0000"/>
                    </w:rPr>
                  </w:pPr>
                </w:p>
              </w:tc>
              <w:tc>
                <w:tcPr>
                  <w:tcW w:w="834" w:type="pct"/>
                  <w:vAlign w:val="center"/>
                </w:tcPr>
                <w:p w14:paraId="5F622BDF">
                  <w:pPr>
                    <w:spacing w:line="320" w:lineRule="exact"/>
                    <w:jc w:val="center"/>
                  </w:pPr>
                  <w:r>
                    <w:t>均值</w:t>
                  </w:r>
                </w:p>
              </w:tc>
              <w:tc>
                <w:tcPr>
                  <w:tcW w:w="940" w:type="pct"/>
                  <w:vAlign w:val="center"/>
                </w:tcPr>
                <w:p w14:paraId="5439ED37">
                  <w:pPr>
                    <w:spacing w:line="320" w:lineRule="exact"/>
                    <w:jc w:val="center"/>
                  </w:pPr>
                  <w:r>
                    <w:t>1.01×10</w:t>
                  </w:r>
                  <w:r>
                    <w:rPr>
                      <w:vertAlign w:val="superscript"/>
                    </w:rPr>
                    <w:t>4</w:t>
                  </w:r>
                </w:p>
              </w:tc>
              <w:tc>
                <w:tcPr>
                  <w:tcW w:w="1281" w:type="pct"/>
                  <w:vAlign w:val="center"/>
                </w:tcPr>
                <w:p w14:paraId="4D4E43B3">
                  <w:pPr>
                    <w:spacing w:line="320" w:lineRule="exact"/>
                    <w:jc w:val="center"/>
                  </w:pPr>
                  <w:r>
                    <w:t>5.3</w:t>
                  </w:r>
                </w:p>
              </w:tc>
              <w:tc>
                <w:tcPr>
                  <w:tcW w:w="1244" w:type="pct"/>
                </w:tcPr>
                <w:p w14:paraId="4E88195F">
                  <w:pPr>
                    <w:spacing w:line="320" w:lineRule="exact"/>
                    <w:jc w:val="center"/>
                  </w:pPr>
                  <w:r>
                    <w:t>0.0583</w:t>
                  </w:r>
                </w:p>
              </w:tc>
            </w:tr>
          </w:tbl>
          <w:p w14:paraId="430D32CD">
            <w:pPr>
              <w:adjustRightInd w:val="0"/>
              <w:snapToGrid w:val="0"/>
              <w:spacing w:line="520" w:lineRule="exact"/>
              <w:ind w:firstLine="480" w:firstLineChars="200"/>
              <w:rPr>
                <w:bCs/>
                <w:sz w:val="24"/>
                <w:szCs w:val="21"/>
              </w:rPr>
            </w:pPr>
            <w:r>
              <w:rPr>
                <w:bCs/>
                <w:sz w:val="24"/>
                <w:szCs w:val="21"/>
              </w:rPr>
              <w:t>由上表可知，检测期间，三兴建材筛分、搅拌工序排放口颗粒物的排放浓度范围为4.9~6.3mg/m</w:t>
            </w:r>
            <w:r>
              <w:rPr>
                <w:bCs/>
                <w:sz w:val="24"/>
                <w:szCs w:val="21"/>
                <w:vertAlign w:val="superscript"/>
              </w:rPr>
              <w:t>3</w:t>
            </w:r>
            <w:r>
              <w:rPr>
                <w:bCs/>
                <w:sz w:val="24"/>
                <w:szCs w:val="21"/>
              </w:rPr>
              <w:t>，符合《砖瓦工业大气污染物排放标准》（DB41/2234-2022）标准限值（颗粒物10mg/m</w:t>
            </w:r>
            <w:r>
              <w:rPr>
                <w:bCs/>
                <w:sz w:val="24"/>
                <w:szCs w:val="21"/>
                <w:vertAlign w:val="superscript"/>
              </w:rPr>
              <w:t>3</w:t>
            </w:r>
            <w:r>
              <w:rPr>
                <w:bCs/>
                <w:sz w:val="24"/>
                <w:szCs w:val="21"/>
              </w:rPr>
              <w:t>），可实现达标排放。</w:t>
            </w:r>
          </w:p>
          <w:p w14:paraId="011D0A70">
            <w:pPr>
              <w:adjustRightInd w:val="0"/>
              <w:snapToGrid w:val="0"/>
              <w:spacing w:line="520" w:lineRule="exact"/>
              <w:ind w:firstLine="480" w:firstLineChars="200"/>
              <w:rPr>
                <w:bCs/>
                <w:sz w:val="24"/>
                <w:szCs w:val="21"/>
              </w:rPr>
            </w:pPr>
            <w:r>
              <w:rPr>
                <w:bCs/>
                <w:sz w:val="24"/>
                <w:szCs w:val="21"/>
              </w:rPr>
              <w:fldChar w:fldCharType="begin"/>
            </w:r>
            <w:r>
              <w:rPr>
                <w:bCs/>
                <w:sz w:val="24"/>
                <w:szCs w:val="21"/>
              </w:rPr>
              <w:instrText xml:space="preserve"> = 3 \* GB3 </w:instrText>
            </w:r>
            <w:r>
              <w:rPr>
                <w:bCs/>
                <w:sz w:val="24"/>
                <w:szCs w:val="21"/>
              </w:rPr>
              <w:fldChar w:fldCharType="separate"/>
            </w:r>
            <w:r>
              <w:rPr>
                <w:rFonts w:ascii="Cambria Math" w:hAnsi="Cambria Math" w:cs="Cambria Math"/>
                <w:bCs/>
                <w:sz w:val="24"/>
                <w:szCs w:val="21"/>
              </w:rPr>
              <w:t>③</w:t>
            </w:r>
            <w:r>
              <w:rPr>
                <w:bCs/>
                <w:sz w:val="24"/>
                <w:szCs w:val="21"/>
              </w:rPr>
              <w:fldChar w:fldCharType="end"/>
            </w:r>
            <w:r>
              <w:rPr>
                <w:bCs/>
                <w:sz w:val="24"/>
                <w:szCs w:val="21"/>
              </w:rPr>
              <w:t>窑车清理工序有组织废气排放情况</w:t>
            </w:r>
          </w:p>
          <w:p w14:paraId="52261CE4">
            <w:pPr>
              <w:adjustRightInd w:val="0"/>
              <w:snapToGrid w:val="0"/>
              <w:spacing w:line="520" w:lineRule="exact"/>
              <w:ind w:firstLine="480" w:firstLineChars="200"/>
              <w:rPr>
                <w:bCs/>
                <w:sz w:val="24"/>
                <w:szCs w:val="21"/>
              </w:rPr>
            </w:pPr>
            <w:r>
              <w:rPr>
                <w:bCs/>
                <w:sz w:val="24"/>
                <w:szCs w:val="21"/>
              </w:rPr>
              <w:t>河南省宗树环境检测技术研究有限公司2025年10月15日对三兴建材窑车清理工序废气排放口检测结果统计见表2-13。</w:t>
            </w:r>
          </w:p>
          <w:p w14:paraId="1B2F2522">
            <w:pPr>
              <w:spacing w:line="520" w:lineRule="exact"/>
              <w:jc w:val="center"/>
              <w:rPr>
                <w:rFonts w:eastAsia="黑体"/>
                <w:sz w:val="24"/>
                <w:szCs w:val="32"/>
              </w:rPr>
            </w:pPr>
            <w:r>
              <w:rPr>
                <w:rFonts w:eastAsia="黑体"/>
                <w:sz w:val="24"/>
                <w:szCs w:val="32"/>
              </w:rPr>
              <w:t>表2-13        三兴建材窑车清理工序排放口DA004颗粒物排放情况</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410"/>
              <w:gridCol w:w="1590"/>
              <w:gridCol w:w="2166"/>
              <w:gridCol w:w="2104"/>
            </w:tblGrid>
            <w:tr w14:paraId="7273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1" w:type="pct"/>
                  <w:vMerge w:val="restart"/>
                  <w:vAlign w:val="center"/>
                </w:tcPr>
                <w:p w14:paraId="7AB0412B">
                  <w:pPr>
                    <w:spacing w:line="320" w:lineRule="exact"/>
                    <w:jc w:val="center"/>
                  </w:pPr>
                  <w:r>
                    <w:t>采样</w:t>
                  </w:r>
                </w:p>
                <w:p w14:paraId="56C11B2F">
                  <w:pPr>
                    <w:spacing w:line="320" w:lineRule="exact"/>
                    <w:jc w:val="center"/>
                  </w:pPr>
                  <w:r>
                    <w:t>日期</w:t>
                  </w:r>
                </w:p>
              </w:tc>
              <w:tc>
                <w:tcPr>
                  <w:tcW w:w="834" w:type="pct"/>
                  <w:vMerge w:val="restart"/>
                  <w:vAlign w:val="center"/>
                </w:tcPr>
                <w:p w14:paraId="493CD0FC">
                  <w:pPr>
                    <w:spacing w:line="320" w:lineRule="exact"/>
                    <w:jc w:val="center"/>
                  </w:pPr>
                  <w:r>
                    <w:t>检测点位</w:t>
                  </w:r>
                </w:p>
              </w:tc>
              <w:tc>
                <w:tcPr>
                  <w:tcW w:w="940" w:type="pct"/>
                  <w:vMerge w:val="restart"/>
                  <w:vAlign w:val="center"/>
                </w:tcPr>
                <w:p w14:paraId="3D2A3780">
                  <w:pPr>
                    <w:spacing w:line="320" w:lineRule="exact"/>
                    <w:jc w:val="center"/>
                  </w:pPr>
                  <w:r>
                    <w:t>标干流量（Nm</w:t>
                  </w:r>
                  <w:r>
                    <w:rPr>
                      <w:vertAlign w:val="superscript"/>
                    </w:rPr>
                    <w:t>3</w:t>
                  </w:r>
                  <w:r>
                    <w:t>/h）</w:t>
                  </w:r>
                </w:p>
              </w:tc>
              <w:tc>
                <w:tcPr>
                  <w:tcW w:w="2525" w:type="pct"/>
                  <w:gridSpan w:val="2"/>
                  <w:vAlign w:val="center"/>
                </w:tcPr>
                <w:p w14:paraId="17A00F2E">
                  <w:pPr>
                    <w:spacing w:line="320" w:lineRule="exact"/>
                    <w:jc w:val="center"/>
                  </w:pPr>
                  <w:r>
                    <w:t>颗粒物</w:t>
                  </w:r>
                </w:p>
              </w:tc>
            </w:tr>
            <w:tr w14:paraId="1FE5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pct"/>
                  <w:vMerge w:val="continue"/>
                  <w:vAlign w:val="center"/>
                </w:tcPr>
                <w:p w14:paraId="454CC1E8">
                  <w:pPr>
                    <w:spacing w:line="320" w:lineRule="exact"/>
                    <w:jc w:val="center"/>
                  </w:pPr>
                </w:p>
              </w:tc>
              <w:tc>
                <w:tcPr>
                  <w:tcW w:w="834" w:type="pct"/>
                  <w:vMerge w:val="continue"/>
                  <w:vAlign w:val="center"/>
                </w:tcPr>
                <w:p w14:paraId="2CB7C46A">
                  <w:pPr>
                    <w:spacing w:line="320" w:lineRule="exact"/>
                    <w:jc w:val="center"/>
                  </w:pPr>
                </w:p>
              </w:tc>
              <w:tc>
                <w:tcPr>
                  <w:tcW w:w="940" w:type="pct"/>
                  <w:vMerge w:val="continue"/>
                  <w:vAlign w:val="center"/>
                </w:tcPr>
                <w:p w14:paraId="20F6D5E6">
                  <w:pPr>
                    <w:spacing w:line="320" w:lineRule="exact"/>
                    <w:jc w:val="center"/>
                  </w:pPr>
                </w:p>
              </w:tc>
              <w:tc>
                <w:tcPr>
                  <w:tcW w:w="1281" w:type="pct"/>
                  <w:vAlign w:val="center"/>
                </w:tcPr>
                <w:p w14:paraId="3878A5A8">
                  <w:pPr>
                    <w:spacing w:line="320" w:lineRule="exact"/>
                    <w:jc w:val="center"/>
                  </w:pPr>
                  <w:r>
                    <w:t>排放浓度（mg/m</w:t>
                  </w:r>
                  <w:r>
                    <w:rPr>
                      <w:vertAlign w:val="superscript"/>
                    </w:rPr>
                    <w:t>3</w:t>
                  </w:r>
                  <w:r>
                    <w:t>）</w:t>
                  </w:r>
                </w:p>
              </w:tc>
              <w:tc>
                <w:tcPr>
                  <w:tcW w:w="1244" w:type="pct"/>
                </w:tcPr>
                <w:p w14:paraId="0777F45A">
                  <w:pPr>
                    <w:spacing w:line="320" w:lineRule="exact"/>
                    <w:jc w:val="center"/>
                  </w:pPr>
                  <w:r>
                    <w:t>排放速率（kg/h）</w:t>
                  </w:r>
                </w:p>
              </w:tc>
            </w:tr>
            <w:tr w14:paraId="5AE4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restart"/>
                  <w:vAlign w:val="center"/>
                </w:tcPr>
                <w:p w14:paraId="50795D1A">
                  <w:pPr>
                    <w:spacing w:line="320" w:lineRule="exact"/>
                    <w:jc w:val="center"/>
                  </w:pPr>
                  <w:r>
                    <w:t>2025.10.15</w:t>
                  </w:r>
                </w:p>
              </w:tc>
              <w:tc>
                <w:tcPr>
                  <w:tcW w:w="834" w:type="pct"/>
                  <w:vMerge w:val="restart"/>
                  <w:vAlign w:val="center"/>
                </w:tcPr>
                <w:p w14:paraId="5AF5916D">
                  <w:pPr>
                    <w:spacing w:line="320" w:lineRule="exact"/>
                    <w:jc w:val="center"/>
                  </w:pPr>
                  <w:r>
                    <w:t>窑车清理工序排气筒DA004</w:t>
                  </w:r>
                </w:p>
              </w:tc>
              <w:tc>
                <w:tcPr>
                  <w:tcW w:w="940" w:type="pct"/>
                  <w:vAlign w:val="center"/>
                </w:tcPr>
                <w:p w14:paraId="19D8DA6B">
                  <w:pPr>
                    <w:spacing w:line="320" w:lineRule="exact"/>
                    <w:jc w:val="center"/>
                  </w:pPr>
                  <w:r>
                    <w:t>4.40×10</w:t>
                  </w:r>
                  <w:r>
                    <w:rPr>
                      <w:vertAlign w:val="superscript"/>
                    </w:rPr>
                    <w:t>3</w:t>
                  </w:r>
                </w:p>
              </w:tc>
              <w:tc>
                <w:tcPr>
                  <w:tcW w:w="1281" w:type="pct"/>
                  <w:vAlign w:val="center"/>
                </w:tcPr>
                <w:p w14:paraId="2F3FE9DA">
                  <w:pPr>
                    <w:spacing w:line="320" w:lineRule="exact"/>
                    <w:jc w:val="center"/>
                  </w:pPr>
                  <w:r>
                    <w:t>5.6</w:t>
                  </w:r>
                </w:p>
              </w:tc>
              <w:tc>
                <w:tcPr>
                  <w:tcW w:w="1244" w:type="pct"/>
                </w:tcPr>
                <w:p w14:paraId="41FB25C3">
                  <w:pPr>
                    <w:spacing w:line="320" w:lineRule="exact"/>
                    <w:jc w:val="center"/>
                  </w:pPr>
                  <w:r>
                    <w:t>0.0246</w:t>
                  </w:r>
                </w:p>
              </w:tc>
            </w:tr>
            <w:tr w14:paraId="0485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0E1A9F2D">
                  <w:pPr>
                    <w:spacing w:line="320" w:lineRule="exact"/>
                    <w:jc w:val="center"/>
                    <w:rPr>
                      <w:color w:val="EE0000"/>
                    </w:rPr>
                  </w:pPr>
                </w:p>
              </w:tc>
              <w:tc>
                <w:tcPr>
                  <w:tcW w:w="834" w:type="pct"/>
                  <w:vMerge w:val="continue"/>
                  <w:vAlign w:val="center"/>
                </w:tcPr>
                <w:p w14:paraId="2E593A38">
                  <w:pPr>
                    <w:spacing w:line="320" w:lineRule="exact"/>
                    <w:jc w:val="center"/>
                  </w:pPr>
                </w:p>
              </w:tc>
              <w:tc>
                <w:tcPr>
                  <w:tcW w:w="940" w:type="pct"/>
                  <w:vAlign w:val="center"/>
                </w:tcPr>
                <w:p w14:paraId="301B4B04">
                  <w:pPr>
                    <w:spacing w:line="320" w:lineRule="exact"/>
                    <w:jc w:val="center"/>
                  </w:pPr>
                  <w:r>
                    <w:t>4.09×10</w:t>
                  </w:r>
                  <w:r>
                    <w:rPr>
                      <w:vertAlign w:val="superscript"/>
                    </w:rPr>
                    <w:t>3</w:t>
                  </w:r>
                </w:p>
              </w:tc>
              <w:tc>
                <w:tcPr>
                  <w:tcW w:w="1281" w:type="pct"/>
                  <w:vAlign w:val="center"/>
                </w:tcPr>
                <w:p w14:paraId="221995AC">
                  <w:pPr>
                    <w:spacing w:line="320" w:lineRule="exact"/>
                    <w:jc w:val="center"/>
                  </w:pPr>
                  <w:r>
                    <w:t>4.3</w:t>
                  </w:r>
                </w:p>
              </w:tc>
              <w:tc>
                <w:tcPr>
                  <w:tcW w:w="1244" w:type="pct"/>
                </w:tcPr>
                <w:p w14:paraId="4A8FAA52">
                  <w:pPr>
                    <w:spacing w:line="320" w:lineRule="exact"/>
                    <w:jc w:val="center"/>
                  </w:pPr>
                  <w:r>
                    <w:t>0.0176</w:t>
                  </w:r>
                </w:p>
              </w:tc>
            </w:tr>
            <w:tr w14:paraId="451A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1FE9A19C">
                  <w:pPr>
                    <w:spacing w:line="320" w:lineRule="exact"/>
                    <w:jc w:val="center"/>
                    <w:rPr>
                      <w:color w:val="EE0000"/>
                    </w:rPr>
                  </w:pPr>
                </w:p>
              </w:tc>
              <w:tc>
                <w:tcPr>
                  <w:tcW w:w="834" w:type="pct"/>
                  <w:vMerge w:val="continue"/>
                  <w:vAlign w:val="center"/>
                </w:tcPr>
                <w:p w14:paraId="60E9ABF8">
                  <w:pPr>
                    <w:spacing w:line="320" w:lineRule="exact"/>
                    <w:jc w:val="center"/>
                  </w:pPr>
                </w:p>
              </w:tc>
              <w:tc>
                <w:tcPr>
                  <w:tcW w:w="940" w:type="pct"/>
                  <w:vAlign w:val="center"/>
                </w:tcPr>
                <w:p w14:paraId="7F77422D">
                  <w:pPr>
                    <w:spacing w:line="320" w:lineRule="exact"/>
                    <w:jc w:val="center"/>
                  </w:pPr>
                  <w:r>
                    <w:t>4.17×10</w:t>
                  </w:r>
                  <w:r>
                    <w:rPr>
                      <w:vertAlign w:val="superscript"/>
                    </w:rPr>
                    <w:t>3</w:t>
                  </w:r>
                </w:p>
              </w:tc>
              <w:tc>
                <w:tcPr>
                  <w:tcW w:w="1281" w:type="pct"/>
                  <w:vAlign w:val="center"/>
                </w:tcPr>
                <w:p w14:paraId="1D32A692">
                  <w:pPr>
                    <w:spacing w:line="320" w:lineRule="exact"/>
                    <w:jc w:val="center"/>
                  </w:pPr>
                  <w:r>
                    <w:t>5.5</w:t>
                  </w:r>
                </w:p>
              </w:tc>
              <w:tc>
                <w:tcPr>
                  <w:tcW w:w="1244" w:type="pct"/>
                </w:tcPr>
                <w:p w14:paraId="3B2CEA02">
                  <w:pPr>
                    <w:spacing w:line="320" w:lineRule="exact"/>
                    <w:jc w:val="center"/>
                  </w:pPr>
                  <w:r>
                    <w:t>0.0229</w:t>
                  </w:r>
                </w:p>
              </w:tc>
            </w:tr>
            <w:tr w14:paraId="46A5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174B3795">
                  <w:pPr>
                    <w:spacing w:line="320" w:lineRule="exact"/>
                    <w:jc w:val="center"/>
                    <w:rPr>
                      <w:color w:val="EE0000"/>
                    </w:rPr>
                  </w:pPr>
                </w:p>
              </w:tc>
              <w:tc>
                <w:tcPr>
                  <w:tcW w:w="834" w:type="pct"/>
                  <w:vAlign w:val="center"/>
                </w:tcPr>
                <w:p w14:paraId="3BA01C75">
                  <w:pPr>
                    <w:spacing w:line="320" w:lineRule="exact"/>
                    <w:jc w:val="center"/>
                  </w:pPr>
                  <w:r>
                    <w:t>均值</w:t>
                  </w:r>
                </w:p>
              </w:tc>
              <w:tc>
                <w:tcPr>
                  <w:tcW w:w="940" w:type="pct"/>
                  <w:vAlign w:val="center"/>
                </w:tcPr>
                <w:p w14:paraId="0870795E">
                  <w:pPr>
                    <w:spacing w:line="320" w:lineRule="exact"/>
                    <w:jc w:val="center"/>
                  </w:pPr>
                  <w:r>
                    <w:t>4.22×10</w:t>
                  </w:r>
                  <w:r>
                    <w:rPr>
                      <w:vertAlign w:val="superscript"/>
                    </w:rPr>
                    <w:t>3</w:t>
                  </w:r>
                </w:p>
              </w:tc>
              <w:tc>
                <w:tcPr>
                  <w:tcW w:w="1281" w:type="pct"/>
                  <w:vAlign w:val="center"/>
                </w:tcPr>
                <w:p w14:paraId="5DECBBDA">
                  <w:pPr>
                    <w:spacing w:line="320" w:lineRule="exact"/>
                    <w:jc w:val="center"/>
                  </w:pPr>
                  <w:r>
                    <w:t>5.1</w:t>
                  </w:r>
                </w:p>
              </w:tc>
              <w:tc>
                <w:tcPr>
                  <w:tcW w:w="1244" w:type="pct"/>
                </w:tcPr>
                <w:p w14:paraId="5DEF7695">
                  <w:pPr>
                    <w:spacing w:line="320" w:lineRule="exact"/>
                    <w:jc w:val="center"/>
                  </w:pPr>
                  <w:r>
                    <w:t>0.0215</w:t>
                  </w:r>
                </w:p>
              </w:tc>
            </w:tr>
          </w:tbl>
          <w:p w14:paraId="44925D39">
            <w:pPr>
              <w:adjustRightInd w:val="0"/>
              <w:snapToGrid w:val="0"/>
              <w:spacing w:line="520" w:lineRule="exact"/>
              <w:ind w:firstLine="480" w:firstLineChars="200"/>
              <w:rPr>
                <w:bCs/>
                <w:sz w:val="24"/>
                <w:szCs w:val="21"/>
              </w:rPr>
            </w:pPr>
            <w:r>
              <w:rPr>
                <w:bCs/>
                <w:sz w:val="24"/>
                <w:szCs w:val="21"/>
              </w:rPr>
              <w:t>由上表可知，检测期间，三兴建材窑车清理工序排放口颗粒物的排放浓度范围为4.3~5.6mg/m</w:t>
            </w:r>
            <w:r>
              <w:rPr>
                <w:bCs/>
                <w:sz w:val="24"/>
                <w:szCs w:val="21"/>
                <w:vertAlign w:val="superscript"/>
              </w:rPr>
              <w:t>3</w:t>
            </w:r>
            <w:r>
              <w:rPr>
                <w:bCs/>
                <w:sz w:val="24"/>
                <w:szCs w:val="21"/>
              </w:rPr>
              <w:t>，符合《砖瓦工业大气污染物排放标准》（DB41/2234-2022）标准限值（颗粒物10mg/m</w:t>
            </w:r>
            <w:r>
              <w:rPr>
                <w:bCs/>
                <w:sz w:val="24"/>
                <w:szCs w:val="21"/>
                <w:vertAlign w:val="superscript"/>
              </w:rPr>
              <w:t>3</w:t>
            </w:r>
            <w:r>
              <w:rPr>
                <w:bCs/>
                <w:sz w:val="24"/>
                <w:szCs w:val="21"/>
              </w:rPr>
              <w:t>），可实现达标排放。</w:t>
            </w:r>
          </w:p>
          <w:p w14:paraId="01130E6E">
            <w:pPr>
              <w:adjustRightInd w:val="0"/>
              <w:snapToGrid w:val="0"/>
              <w:spacing w:line="520" w:lineRule="exact"/>
              <w:ind w:firstLine="480" w:firstLineChars="200"/>
              <w:rPr>
                <w:bCs/>
                <w:sz w:val="24"/>
                <w:szCs w:val="21"/>
              </w:rPr>
            </w:pPr>
            <w:r>
              <w:rPr>
                <w:bCs/>
                <w:sz w:val="24"/>
                <w:szCs w:val="21"/>
              </w:rPr>
              <w:fldChar w:fldCharType="begin"/>
            </w:r>
            <w:r>
              <w:rPr>
                <w:bCs/>
                <w:sz w:val="24"/>
                <w:szCs w:val="21"/>
              </w:rPr>
              <w:instrText xml:space="preserve"> = 2 \* GB3 </w:instrText>
            </w:r>
            <w:r>
              <w:rPr>
                <w:bCs/>
                <w:sz w:val="24"/>
                <w:szCs w:val="21"/>
              </w:rPr>
              <w:fldChar w:fldCharType="separate"/>
            </w:r>
            <w:r>
              <w:rPr>
                <w:rFonts w:ascii="Cambria Math" w:hAnsi="Cambria Math" w:cs="Cambria Math"/>
                <w:bCs/>
                <w:sz w:val="24"/>
                <w:szCs w:val="21"/>
              </w:rPr>
              <w:t>②</w:t>
            </w:r>
            <w:r>
              <w:rPr>
                <w:bCs/>
                <w:sz w:val="24"/>
                <w:szCs w:val="21"/>
              </w:rPr>
              <w:fldChar w:fldCharType="end"/>
            </w:r>
            <w:r>
              <w:rPr>
                <w:bCs/>
                <w:sz w:val="24"/>
                <w:szCs w:val="21"/>
              </w:rPr>
              <w:t>窑炉烟气有组织废气排放情况</w:t>
            </w:r>
          </w:p>
          <w:p w14:paraId="621F837A">
            <w:pPr>
              <w:adjustRightInd w:val="0"/>
              <w:snapToGrid w:val="0"/>
              <w:spacing w:line="520" w:lineRule="exact"/>
              <w:ind w:firstLine="480" w:firstLineChars="200"/>
              <w:rPr>
                <w:bCs/>
                <w:sz w:val="24"/>
                <w:szCs w:val="21"/>
              </w:rPr>
            </w:pPr>
            <w:r>
              <w:rPr>
                <w:bCs/>
                <w:sz w:val="24"/>
                <w:szCs w:val="21"/>
              </w:rPr>
              <w:t>现有工程窑炉烟气安装了废气污染物自动监测系统，自动监测因子为颗粒物、二氧化硫、氮氧化物。2025年烟气排放连续监测月平均值年报表统计结果见表2-14~2-15：</w:t>
            </w:r>
          </w:p>
          <w:p w14:paraId="42BF585A">
            <w:pPr>
              <w:spacing w:line="520" w:lineRule="exact"/>
              <w:jc w:val="center"/>
              <w:rPr>
                <w:rFonts w:eastAsia="黑体"/>
                <w:sz w:val="24"/>
                <w:szCs w:val="32"/>
              </w:rPr>
            </w:pPr>
            <w:r>
              <w:rPr>
                <w:rFonts w:eastAsia="黑体"/>
                <w:sz w:val="24"/>
                <w:szCs w:val="32"/>
              </w:rPr>
              <w:t>表2-14      2025年窑炉烟气排放连续监测月平均值年报表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60"/>
              <w:gridCol w:w="1444"/>
              <w:gridCol w:w="866"/>
              <w:gridCol w:w="957"/>
              <w:gridCol w:w="1023"/>
              <w:gridCol w:w="945"/>
              <w:gridCol w:w="951"/>
              <w:gridCol w:w="1210"/>
            </w:tblGrid>
            <w:tr w14:paraId="493BE8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627" w:type="pct"/>
                  <w:vMerge w:val="restart"/>
                  <w:shd w:val="clear" w:color="auto" w:fill="auto"/>
                  <w:noWrap/>
                  <w:vAlign w:val="center"/>
                </w:tcPr>
                <w:p w14:paraId="31AF4662">
                  <w:pPr>
                    <w:widowControl/>
                    <w:jc w:val="center"/>
                    <w:rPr>
                      <w:kern w:val="0"/>
                      <w:szCs w:val="21"/>
                    </w:rPr>
                  </w:pPr>
                  <w:r>
                    <w:rPr>
                      <w:kern w:val="0"/>
                      <w:szCs w:val="21"/>
                    </w:rPr>
                    <w:t>时间</w:t>
                  </w:r>
                </w:p>
              </w:tc>
              <w:tc>
                <w:tcPr>
                  <w:tcW w:w="854" w:type="pct"/>
                  <w:shd w:val="clear" w:color="auto" w:fill="auto"/>
                  <w:vAlign w:val="center"/>
                </w:tcPr>
                <w:p w14:paraId="2C2BF199">
                  <w:pPr>
                    <w:widowControl/>
                    <w:jc w:val="center"/>
                    <w:rPr>
                      <w:kern w:val="0"/>
                      <w:szCs w:val="21"/>
                    </w:rPr>
                  </w:pPr>
                  <w:r>
                    <w:rPr>
                      <w:kern w:val="0"/>
                      <w:szCs w:val="21"/>
                    </w:rPr>
                    <w:t>流量（万标立方米）</w:t>
                  </w:r>
                </w:p>
              </w:tc>
              <w:tc>
                <w:tcPr>
                  <w:tcW w:w="1683" w:type="pct"/>
                  <w:gridSpan w:val="3"/>
                  <w:shd w:val="clear" w:color="auto" w:fill="auto"/>
                  <w:vAlign w:val="center"/>
                </w:tcPr>
                <w:p w14:paraId="2CE045D0">
                  <w:pPr>
                    <w:widowControl/>
                    <w:jc w:val="center"/>
                    <w:rPr>
                      <w:kern w:val="0"/>
                      <w:szCs w:val="21"/>
                    </w:rPr>
                  </w:pPr>
                  <w:r>
                    <w:rPr>
                      <w:kern w:val="0"/>
                      <w:szCs w:val="21"/>
                    </w:rPr>
                    <w:t>颗粒物（毫克/立方米）</w:t>
                  </w:r>
                </w:p>
              </w:tc>
              <w:tc>
                <w:tcPr>
                  <w:tcW w:w="1836" w:type="pct"/>
                  <w:gridSpan w:val="3"/>
                  <w:shd w:val="clear" w:color="auto" w:fill="auto"/>
                  <w:vAlign w:val="center"/>
                </w:tcPr>
                <w:p w14:paraId="32E2FE20">
                  <w:pPr>
                    <w:widowControl/>
                    <w:jc w:val="center"/>
                    <w:rPr>
                      <w:kern w:val="0"/>
                      <w:szCs w:val="21"/>
                    </w:rPr>
                  </w:pPr>
                  <w:r>
                    <w:rPr>
                      <w:kern w:val="0"/>
                      <w:szCs w:val="21"/>
                    </w:rPr>
                    <w:t>二氧化硫（毫克/立方米）</w:t>
                  </w:r>
                </w:p>
              </w:tc>
            </w:tr>
            <w:tr w14:paraId="1773B6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627" w:type="pct"/>
                  <w:vMerge w:val="continue"/>
                  <w:vAlign w:val="center"/>
                </w:tcPr>
                <w:p w14:paraId="1A662A2C">
                  <w:pPr>
                    <w:widowControl/>
                    <w:jc w:val="left"/>
                    <w:rPr>
                      <w:kern w:val="0"/>
                      <w:szCs w:val="21"/>
                    </w:rPr>
                  </w:pPr>
                </w:p>
              </w:tc>
              <w:tc>
                <w:tcPr>
                  <w:tcW w:w="854" w:type="pct"/>
                  <w:vMerge w:val="restart"/>
                  <w:shd w:val="clear" w:color="auto" w:fill="auto"/>
                  <w:vAlign w:val="center"/>
                </w:tcPr>
                <w:p w14:paraId="5C6CA1EA">
                  <w:pPr>
                    <w:widowControl/>
                    <w:jc w:val="center"/>
                    <w:rPr>
                      <w:kern w:val="0"/>
                      <w:szCs w:val="21"/>
                    </w:rPr>
                  </w:pPr>
                  <w:r>
                    <w:rPr>
                      <w:kern w:val="0"/>
                      <w:szCs w:val="21"/>
                    </w:rPr>
                    <w:t>累计修正流量</w:t>
                  </w:r>
                </w:p>
              </w:tc>
              <w:tc>
                <w:tcPr>
                  <w:tcW w:w="1683" w:type="pct"/>
                  <w:gridSpan w:val="3"/>
                  <w:shd w:val="clear" w:color="auto" w:fill="auto"/>
                  <w:vAlign w:val="center"/>
                </w:tcPr>
                <w:p w14:paraId="4E8C763C">
                  <w:pPr>
                    <w:widowControl/>
                    <w:jc w:val="center"/>
                    <w:rPr>
                      <w:kern w:val="0"/>
                      <w:szCs w:val="21"/>
                    </w:rPr>
                  </w:pPr>
                  <w:r>
                    <w:rPr>
                      <w:kern w:val="0"/>
                      <w:szCs w:val="21"/>
                    </w:rPr>
                    <w:t>修正值</w:t>
                  </w:r>
                </w:p>
              </w:tc>
              <w:tc>
                <w:tcPr>
                  <w:tcW w:w="1836" w:type="pct"/>
                  <w:gridSpan w:val="3"/>
                  <w:shd w:val="clear" w:color="auto" w:fill="auto"/>
                  <w:vAlign w:val="center"/>
                </w:tcPr>
                <w:p w14:paraId="7DA0A8AB">
                  <w:pPr>
                    <w:widowControl/>
                    <w:jc w:val="center"/>
                    <w:rPr>
                      <w:kern w:val="0"/>
                      <w:szCs w:val="21"/>
                    </w:rPr>
                  </w:pPr>
                  <w:r>
                    <w:rPr>
                      <w:kern w:val="0"/>
                      <w:szCs w:val="21"/>
                    </w:rPr>
                    <w:t>修正值</w:t>
                  </w:r>
                </w:p>
              </w:tc>
            </w:tr>
            <w:tr w14:paraId="5AD82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627" w:type="pct"/>
                  <w:vMerge w:val="continue"/>
                  <w:vAlign w:val="center"/>
                </w:tcPr>
                <w:p w14:paraId="4D23F1D8">
                  <w:pPr>
                    <w:widowControl/>
                    <w:jc w:val="left"/>
                    <w:rPr>
                      <w:kern w:val="0"/>
                      <w:szCs w:val="21"/>
                    </w:rPr>
                  </w:pPr>
                </w:p>
              </w:tc>
              <w:tc>
                <w:tcPr>
                  <w:tcW w:w="854" w:type="pct"/>
                  <w:vMerge w:val="continue"/>
                  <w:vAlign w:val="center"/>
                </w:tcPr>
                <w:p w14:paraId="7701CC93">
                  <w:pPr>
                    <w:widowControl/>
                    <w:jc w:val="left"/>
                    <w:rPr>
                      <w:kern w:val="0"/>
                      <w:szCs w:val="21"/>
                    </w:rPr>
                  </w:pPr>
                </w:p>
              </w:tc>
              <w:tc>
                <w:tcPr>
                  <w:tcW w:w="1078" w:type="pct"/>
                  <w:gridSpan w:val="2"/>
                  <w:shd w:val="clear" w:color="auto" w:fill="auto"/>
                  <w:vAlign w:val="center"/>
                </w:tcPr>
                <w:p w14:paraId="1B120CD4">
                  <w:pPr>
                    <w:widowControl/>
                    <w:jc w:val="center"/>
                    <w:rPr>
                      <w:kern w:val="0"/>
                      <w:szCs w:val="21"/>
                    </w:rPr>
                  </w:pPr>
                  <w:r>
                    <w:rPr>
                      <w:kern w:val="0"/>
                      <w:szCs w:val="21"/>
                    </w:rPr>
                    <w:t>浓度-标记后</w:t>
                  </w:r>
                </w:p>
              </w:tc>
              <w:tc>
                <w:tcPr>
                  <w:tcW w:w="605" w:type="pct"/>
                  <w:vMerge w:val="restart"/>
                  <w:shd w:val="clear" w:color="auto" w:fill="auto"/>
                  <w:vAlign w:val="center"/>
                </w:tcPr>
                <w:p w14:paraId="1E82EA5F">
                  <w:pPr>
                    <w:widowControl/>
                    <w:jc w:val="center"/>
                    <w:rPr>
                      <w:kern w:val="0"/>
                      <w:szCs w:val="21"/>
                    </w:rPr>
                  </w:pPr>
                  <w:r>
                    <w:rPr>
                      <w:kern w:val="0"/>
                      <w:szCs w:val="21"/>
                    </w:rPr>
                    <w:t>排放量(千克)</w:t>
                  </w:r>
                </w:p>
              </w:tc>
              <w:tc>
                <w:tcPr>
                  <w:tcW w:w="1121" w:type="pct"/>
                  <w:gridSpan w:val="2"/>
                  <w:shd w:val="clear" w:color="auto" w:fill="auto"/>
                  <w:vAlign w:val="center"/>
                </w:tcPr>
                <w:p w14:paraId="1F6611AF">
                  <w:pPr>
                    <w:widowControl/>
                    <w:jc w:val="center"/>
                    <w:rPr>
                      <w:kern w:val="0"/>
                      <w:szCs w:val="21"/>
                    </w:rPr>
                  </w:pPr>
                  <w:r>
                    <w:rPr>
                      <w:kern w:val="0"/>
                      <w:szCs w:val="21"/>
                    </w:rPr>
                    <w:t>浓度-标记后</w:t>
                  </w:r>
                </w:p>
              </w:tc>
              <w:tc>
                <w:tcPr>
                  <w:tcW w:w="715" w:type="pct"/>
                  <w:vMerge w:val="restart"/>
                  <w:shd w:val="clear" w:color="auto" w:fill="auto"/>
                  <w:vAlign w:val="center"/>
                </w:tcPr>
                <w:p w14:paraId="29C131E1">
                  <w:pPr>
                    <w:widowControl/>
                    <w:jc w:val="center"/>
                    <w:rPr>
                      <w:kern w:val="0"/>
                      <w:szCs w:val="21"/>
                    </w:rPr>
                  </w:pPr>
                  <w:r>
                    <w:rPr>
                      <w:kern w:val="0"/>
                      <w:szCs w:val="21"/>
                    </w:rPr>
                    <w:t>排放量</w:t>
                  </w:r>
                </w:p>
                <w:p w14:paraId="73A34D44">
                  <w:pPr>
                    <w:widowControl/>
                    <w:jc w:val="center"/>
                    <w:rPr>
                      <w:kern w:val="0"/>
                      <w:szCs w:val="21"/>
                    </w:rPr>
                  </w:pPr>
                  <w:r>
                    <w:rPr>
                      <w:kern w:val="0"/>
                      <w:szCs w:val="21"/>
                    </w:rPr>
                    <w:t>(千克)</w:t>
                  </w:r>
                </w:p>
              </w:tc>
            </w:tr>
            <w:tr w14:paraId="0D9F7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627" w:type="pct"/>
                  <w:vMerge w:val="continue"/>
                  <w:vAlign w:val="center"/>
                </w:tcPr>
                <w:p w14:paraId="30CF8669">
                  <w:pPr>
                    <w:widowControl/>
                    <w:jc w:val="left"/>
                    <w:rPr>
                      <w:kern w:val="0"/>
                      <w:szCs w:val="21"/>
                    </w:rPr>
                  </w:pPr>
                </w:p>
              </w:tc>
              <w:tc>
                <w:tcPr>
                  <w:tcW w:w="854" w:type="pct"/>
                  <w:vMerge w:val="continue"/>
                  <w:vAlign w:val="center"/>
                </w:tcPr>
                <w:p w14:paraId="24643586">
                  <w:pPr>
                    <w:widowControl/>
                    <w:jc w:val="left"/>
                    <w:rPr>
                      <w:kern w:val="0"/>
                      <w:szCs w:val="21"/>
                    </w:rPr>
                  </w:pPr>
                </w:p>
              </w:tc>
              <w:tc>
                <w:tcPr>
                  <w:tcW w:w="512" w:type="pct"/>
                  <w:shd w:val="clear" w:color="auto" w:fill="auto"/>
                  <w:vAlign w:val="center"/>
                </w:tcPr>
                <w:p w14:paraId="3366252E">
                  <w:pPr>
                    <w:widowControl/>
                    <w:jc w:val="center"/>
                    <w:rPr>
                      <w:kern w:val="0"/>
                      <w:szCs w:val="21"/>
                    </w:rPr>
                  </w:pPr>
                  <w:r>
                    <w:rPr>
                      <w:kern w:val="0"/>
                      <w:szCs w:val="21"/>
                    </w:rPr>
                    <w:t>实测值</w:t>
                  </w:r>
                </w:p>
              </w:tc>
              <w:tc>
                <w:tcPr>
                  <w:tcW w:w="566" w:type="pct"/>
                  <w:shd w:val="clear" w:color="auto" w:fill="auto"/>
                  <w:vAlign w:val="center"/>
                </w:tcPr>
                <w:p w14:paraId="70AD24D5">
                  <w:pPr>
                    <w:widowControl/>
                    <w:jc w:val="center"/>
                    <w:rPr>
                      <w:kern w:val="0"/>
                      <w:szCs w:val="21"/>
                    </w:rPr>
                  </w:pPr>
                  <w:r>
                    <w:rPr>
                      <w:kern w:val="0"/>
                      <w:szCs w:val="21"/>
                    </w:rPr>
                    <w:t>折算值</w:t>
                  </w:r>
                </w:p>
              </w:tc>
              <w:tc>
                <w:tcPr>
                  <w:tcW w:w="605" w:type="pct"/>
                  <w:vMerge w:val="continue"/>
                  <w:vAlign w:val="center"/>
                </w:tcPr>
                <w:p w14:paraId="3D6AF863">
                  <w:pPr>
                    <w:widowControl/>
                    <w:jc w:val="left"/>
                    <w:rPr>
                      <w:kern w:val="0"/>
                      <w:szCs w:val="21"/>
                    </w:rPr>
                  </w:pPr>
                </w:p>
              </w:tc>
              <w:tc>
                <w:tcPr>
                  <w:tcW w:w="559" w:type="pct"/>
                  <w:shd w:val="clear" w:color="auto" w:fill="auto"/>
                  <w:vAlign w:val="center"/>
                </w:tcPr>
                <w:p w14:paraId="4BC7D54A">
                  <w:pPr>
                    <w:widowControl/>
                    <w:jc w:val="center"/>
                    <w:rPr>
                      <w:kern w:val="0"/>
                      <w:szCs w:val="21"/>
                    </w:rPr>
                  </w:pPr>
                  <w:r>
                    <w:rPr>
                      <w:kern w:val="0"/>
                      <w:szCs w:val="21"/>
                    </w:rPr>
                    <w:t>实测值</w:t>
                  </w:r>
                </w:p>
              </w:tc>
              <w:tc>
                <w:tcPr>
                  <w:tcW w:w="562" w:type="pct"/>
                  <w:shd w:val="clear" w:color="auto" w:fill="auto"/>
                  <w:vAlign w:val="center"/>
                </w:tcPr>
                <w:p w14:paraId="4C4E643B">
                  <w:pPr>
                    <w:widowControl/>
                    <w:jc w:val="center"/>
                    <w:rPr>
                      <w:kern w:val="0"/>
                      <w:szCs w:val="21"/>
                    </w:rPr>
                  </w:pPr>
                  <w:r>
                    <w:rPr>
                      <w:kern w:val="0"/>
                      <w:szCs w:val="21"/>
                    </w:rPr>
                    <w:t>折算值</w:t>
                  </w:r>
                </w:p>
              </w:tc>
              <w:tc>
                <w:tcPr>
                  <w:tcW w:w="715" w:type="pct"/>
                  <w:vMerge w:val="continue"/>
                  <w:vAlign w:val="center"/>
                </w:tcPr>
                <w:p w14:paraId="7667F7EF">
                  <w:pPr>
                    <w:widowControl/>
                    <w:jc w:val="left"/>
                    <w:rPr>
                      <w:kern w:val="0"/>
                      <w:szCs w:val="21"/>
                    </w:rPr>
                  </w:pPr>
                </w:p>
              </w:tc>
            </w:tr>
            <w:tr w14:paraId="142B0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627" w:type="pct"/>
                  <w:shd w:val="clear" w:color="auto" w:fill="auto"/>
                  <w:vAlign w:val="center"/>
                </w:tcPr>
                <w:p w14:paraId="39A9BE4C">
                  <w:pPr>
                    <w:widowControl/>
                    <w:jc w:val="center"/>
                    <w:rPr>
                      <w:kern w:val="0"/>
                      <w:szCs w:val="21"/>
                    </w:rPr>
                  </w:pPr>
                  <w:r>
                    <w:rPr>
                      <w:kern w:val="0"/>
                      <w:szCs w:val="21"/>
                    </w:rPr>
                    <w:t>1月</w:t>
                  </w:r>
                </w:p>
              </w:tc>
              <w:tc>
                <w:tcPr>
                  <w:tcW w:w="854" w:type="pct"/>
                  <w:shd w:val="clear" w:color="auto" w:fill="auto"/>
                  <w:vAlign w:val="center"/>
                </w:tcPr>
                <w:p w14:paraId="3FF641E0">
                  <w:pPr>
                    <w:widowControl/>
                    <w:jc w:val="center"/>
                    <w:rPr>
                      <w:kern w:val="0"/>
                      <w:szCs w:val="21"/>
                    </w:rPr>
                  </w:pPr>
                  <w:r>
                    <w:rPr>
                      <w:kern w:val="0"/>
                      <w:szCs w:val="21"/>
                    </w:rPr>
                    <w:t>--</w:t>
                  </w:r>
                </w:p>
              </w:tc>
              <w:tc>
                <w:tcPr>
                  <w:tcW w:w="512" w:type="pct"/>
                  <w:shd w:val="clear" w:color="auto" w:fill="auto"/>
                  <w:vAlign w:val="center"/>
                </w:tcPr>
                <w:p w14:paraId="654A072A">
                  <w:pPr>
                    <w:widowControl/>
                    <w:jc w:val="center"/>
                    <w:rPr>
                      <w:kern w:val="0"/>
                      <w:szCs w:val="21"/>
                    </w:rPr>
                  </w:pPr>
                  <w:r>
                    <w:rPr>
                      <w:kern w:val="0"/>
                      <w:szCs w:val="21"/>
                    </w:rPr>
                    <w:t>--</w:t>
                  </w:r>
                </w:p>
              </w:tc>
              <w:tc>
                <w:tcPr>
                  <w:tcW w:w="566" w:type="pct"/>
                  <w:shd w:val="clear" w:color="auto" w:fill="auto"/>
                  <w:vAlign w:val="center"/>
                </w:tcPr>
                <w:p w14:paraId="6401B976">
                  <w:pPr>
                    <w:widowControl/>
                    <w:jc w:val="center"/>
                    <w:rPr>
                      <w:kern w:val="0"/>
                      <w:szCs w:val="21"/>
                    </w:rPr>
                  </w:pPr>
                  <w:r>
                    <w:rPr>
                      <w:kern w:val="0"/>
                      <w:szCs w:val="21"/>
                    </w:rPr>
                    <w:t>--</w:t>
                  </w:r>
                </w:p>
              </w:tc>
              <w:tc>
                <w:tcPr>
                  <w:tcW w:w="605" w:type="pct"/>
                  <w:shd w:val="clear" w:color="auto" w:fill="auto"/>
                  <w:vAlign w:val="center"/>
                </w:tcPr>
                <w:p w14:paraId="3134D097">
                  <w:pPr>
                    <w:widowControl/>
                    <w:jc w:val="center"/>
                    <w:rPr>
                      <w:kern w:val="0"/>
                      <w:szCs w:val="21"/>
                    </w:rPr>
                  </w:pPr>
                  <w:r>
                    <w:rPr>
                      <w:kern w:val="0"/>
                      <w:szCs w:val="21"/>
                    </w:rPr>
                    <w:t>--</w:t>
                  </w:r>
                </w:p>
              </w:tc>
              <w:tc>
                <w:tcPr>
                  <w:tcW w:w="559" w:type="pct"/>
                  <w:shd w:val="clear" w:color="auto" w:fill="auto"/>
                  <w:vAlign w:val="center"/>
                </w:tcPr>
                <w:p w14:paraId="5232F9D6">
                  <w:pPr>
                    <w:widowControl/>
                    <w:jc w:val="center"/>
                    <w:rPr>
                      <w:kern w:val="0"/>
                      <w:szCs w:val="21"/>
                    </w:rPr>
                  </w:pPr>
                  <w:r>
                    <w:rPr>
                      <w:kern w:val="0"/>
                      <w:szCs w:val="21"/>
                    </w:rPr>
                    <w:t>--</w:t>
                  </w:r>
                </w:p>
              </w:tc>
              <w:tc>
                <w:tcPr>
                  <w:tcW w:w="562" w:type="pct"/>
                  <w:shd w:val="clear" w:color="auto" w:fill="auto"/>
                  <w:vAlign w:val="center"/>
                </w:tcPr>
                <w:p w14:paraId="08A75D70">
                  <w:pPr>
                    <w:widowControl/>
                    <w:jc w:val="center"/>
                    <w:rPr>
                      <w:kern w:val="0"/>
                      <w:szCs w:val="21"/>
                    </w:rPr>
                  </w:pPr>
                  <w:r>
                    <w:rPr>
                      <w:kern w:val="0"/>
                      <w:szCs w:val="21"/>
                    </w:rPr>
                    <w:t>--</w:t>
                  </w:r>
                </w:p>
              </w:tc>
              <w:tc>
                <w:tcPr>
                  <w:tcW w:w="715" w:type="pct"/>
                  <w:shd w:val="clear" w:color="auto" w:fill="auto"/>
                  <w:vAlign w:val="center"/>
                </w:tcPr>
                <w:p w14:paraId="17B84B3C">
                  <w:pPr>
                    <w:widowControl/>
                    <w:jc w:val="center"/>
                    <w:rPr>
                      <w:kern w:val="0"/>
                      <w:szCs w:val="21"/>
                    </w:rPr>
                  </w:pPr>
                  <w:r>
                    <w:rPr>
                      <w:kern w:val="0"/>
                      <w:szCs w:val="21"/>
                    </w:rPr>
                    <w:t>--</w:t>
                  </w:r>
                </w:p>
              </w:tc>
            </w:tr>
            <w:tr w14:paraId="7F0DB0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627" w:type="pct"/>
                  <w:shd w:val="clear" w:color="auto" w:fill="auto"/>
                  <w:vAlign w:val="center"/>
                </w:tcPr>
                <w:p w14:paraId="51305DFE">
                  <w:pPr>
                    <w:widowControl/>
                    <w:jc w:val="center"/>
                    <w:rPr>
                      <w:kern w:val="0"/>
                      <w:szCs w:val="21"/>
                    </w:rPr>
                  </w:pPr>
                  <w:r>
                    <w:rPr>
                      <w:kern w:val="0"/>
                      <w:szCs w:val="21"/>
                    </w:rPr>
                    <w:t>2月</w:t>
                  </w:r>
                </w:p>
              </w:tc>
              <w:tc>
                <w:tcPr>
                  <w:tcW w:w="854" w:type="pct"/>
                  <w:shd w:val="clear" w:color="auto" w:fill="auto"/>
                  <w:vAlign w:val="center"/>
                </w:tcPr>
                <w:p w14:paraId="4792C5D8">
                  <w:pPr>
                    <w:widowControl/>
                    <w:jc w:val="center"/>
                    <w:rPr>
                      <w:kern w:val="0"/>
                      <w:szCs w:val="21"/>
                    </w:rPr>
                  </w:pPr>
                  <w:r>
                    <w:rPr>
                      <w:kern w:val="0"/>
                      <w:szCs w:val="21"/>
                    </w:rPr>
                    <w:t>--</w:t>
                  </w:r>
                </w:p>
              </w:tc>
              <w:tc>
                <w:tcPr>
                  <w:tcW w:w="512" w:type="pct"/>
                  <w:shd w:val="clear" w:color="auto" w:fill="auto"/>
                  <w:vAlign w:val="center"/>
                </w:tcPr>
                <w:p w14:paraId="64BCD0E0">
                  <w:pPr>
                    <w:widowControl/>
                    <w:jc w:val="center"/>
                    <w:rPr>
                      <w:kern w:val="0"/>
                      <w:szCs w:val="21"/>
                    </w:rPr>
                  </w:pPr>
                  <w:r>
                    <w:rPr>
                      <w:kern w:val="0"/>
                      <w:szCs w:val="21"/>
                    </w:rPr>
                    <w:t>--</w:t>
                  </w:r>
                </w:p>
              </w:tc>
              <w:tc>
                <w:tcPr>
                  <w:tcW w:w="566" w:type="pct"/>
                  <w:shd w:val="clear" w:color="auto" w:fill="auto"/>
                  <w:vAlign w:val="center"/>
                </w:tcPr>
                <w:p w14:paraId="3AA6004F">
                  <w:pPr>
                    <w:widowControl/>
                    <w:jc w:val="center"/>
                    <w:rPr>
                      <w:kern w:val="0"/>
                      <w:szCs w:val="21"/>
                    </w:rPr>
                  </w:pPr>
                  <w:r>
                    <w:rPr>
                      <w:kern w:val="0"/>
                      <w:szCs w:val="21"/>
                    </w:rPr>
                    <w:t>--</w:t>
                  </w:r>
                </w:p>
              </w:tc>
              <w:tc>
                <w:tcPr>
                  <w:tcW w:w="605" w:type="pct"/>
                  <w:shd w:val="clear" w:color="auto" w:fill="auto"/>
                  <w:vAlign w:val="center"/>
                </w:tcPr>
                <w:p w14:paraId="0D66B5DD">
                  <w:pPr>
                    <w:widowControl/>
                    <w:jc w:val="center"/>
                    <w:rPr>
                      <w:kern w:val="0"/>
                      <w:szCs w:val="21"/>
                    </w:rPr>
                  </w:pPr>
                  <w:r>
                    <w:rPr>
                      <w:kern w:val="0"/>
                      <w:szCs w:val="21"/>
                    </w:rPr>
                    <w:t>--</w:t>
                  </w:r>
                </w:p>
              </w:tc>
              <w:tc>
                <w:tcPr>
                  <w:tcW w:w="559" w:type="pct"/>
                  <w:shd w:val="clear" w:color="auto" w:fill="auto"/>
                  <w:vAlign w:val="center"/>
                </w:tcPr>
                <w:p w14:paraId="385B86A0">
                  <w:pPr>
                    <w:widowControl/>
                    <w:jc w:val="center"/>
                    <w:rPr>
                      <w:kern w:val="0"/>
                      <w:szCs w:val="21"/>
                    </w:rPr>
                  </w:pPr>
                  <w:r>
                    <w:rPr>
                      <w:kern w:val="0"/>
                      <w:szCs w:val="21"/>
                    </w:rPr>
                    <w:t>--</w:t>
                  </w:r>
                </w:p>
              </w:tc>
              <w:tc>
                <w:tcPr>
                  <w:tcW w:w="562" w:type="pct"/>
                  <w:shd w:val="clear" w:color="auto" w:fill="auto"/>
                  <w:vAlign w:val="center"/>
                </w:tcPr>
                <w:p w14:paraId="2A486977">
                  <w:pPr>
                    <w:widowControl/>
                    <w:jc w:val="center"/>
                    <w:rPr>
                      <w:kern w:val="0"/>
                      <w:szCs w:val="21"/>
                    </w:rPr>
                  </w:pPr>
                  <w:r>
                    <w:rPr>
                      <w:kern w:val="0"/>
                      <w:szCs w:val="21"/>
                    </w:rPr>
                    <w:t>--</w:t>
                  </w:r>
                </w:p>
              </w:tc>
              <w:tc>
                <w:tcPr>
                  <w:tcW w:w="715" w:type="pct"/>
                  <w:shd w:val="clear" w:color="auto" w:fill="auto"/>
                  <w:vAlign w:val="center"/>
                </w:tcPr>
                <w:p w14:paraId="3702BCB1">
                  <w:pPr>
                    <w:widowControl/>
                    <w:jc w:val="center"/>
                    <w:rPr>
                      <w:kern w:val="0"/>
                      <w:szCs w:val="21"/>
                    </w:rPr>
                  </w:pPr>
                  <w:r>
                    <w:rPr>
                      <w:kern w:val="0"/>
                      <w:szCs w:val="21"/>
                    </w:rPr>
                    <w:t>--</w:t>
                  </w:r>
                </w:p>
              </w:tc>
            </w:tr>
            <w:tr w14:paraId="69448F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627" w:type="pct"/>
                  <w:shd w:val="clear" w:color="auto" w:fill="auto"/>
                  <w:vAlign w:val="center"/>
                </w:tcPr>
                <w:p w14:paraId="4B3B4B1F">
                  <w:pPr>
                    <w:widowControl/>
                    <w:jc w:val="center"/>
                    <w:rPr>
                      <w:kern w:val="0"/>
                      <w:szCs w:val="21"/>
                    </w:rPr>
                  </w:pPr>
                  <w:r>
                    <w:rPr>
                      <w:kern w:val="0"/>
                      <w:szCs w:val="21"/>
                    </w:rPr>
                    <w:t>3月</w:t>
                  </w:r>
                </w:p>
              </w:tc>
              <w:tc>
                <w:tcPr>
                  <w:tcW w:w="854" w:type="pct"/>
                  <w:shd w:val="clear" w:color="auto" w:fill="auto"/>
                </w:tcPr>
                <w:p w14:paraId="3CBDB0C4">
                  <w:pPr>
                    <w:widowControl/>
                    <w:jc w:val="center"/>
                    <w:rPr>
                      <w:kern w:val="0"/>
                      <w:szCs w:val="21"/>
                    </w:rPr>
                  </w:pPr>
                  <w:r>
                    <w:t>--</w:t>
                  </w:r>
                </w:p>
              </w:tc>
              <w:tc>
                <w:tcPr>
                  <w:tcW w:w="512" w:type="pct"/>
                  <w:shd w:val="clear" w:color="auto" w:fill="auto"/>
                </w:tcPr>
                <w:p w14:paraId="54331423">
                  <w:pPr>
                    <w:widowControl/>
                    <w:jc w:val="center"/>
                    <w:rPr>
                      <w:kern w:val="0"/>
                      <w:szCs w:val="21"/>
                    </w:rPr>
                  </w:pPr>
                  <w:r>
                    <w:t>--</w:t>
                  </w:r>
                </w:p>
              </w:tc>
              <w:tc>
                <w:tcPr>
                  <w:tcW w:w="566" w:type="pct"/>
                  <w:shd w:val="clear" w:color="auto" w:fill="auto"/>
                </w:tcPr>
                <w:p w14:paraId="469860C0">
                  <w:pPr>
                    <w:widowControl/>
                    <w:jc w:val="center"/>
                    <w:rPr>
                      <w:kern w:val="0"/>
                      <w:szCs w:val="21"/>
                    </w:rPr>
                  </w:pPr>
                  <w:r>
                    <w:t>--</w:t>
                  </w:r>
                </w:p>
              </w:tc>
              <w:tc>
                <w:tcPr>
                  <w:tcW w:w="605" w:type="pct"/>
                  <w:shd w:val="clear" w:color="auto" w:fill="auto"/>
                </w:tcPr>
                <w:p w14:paraId="5EC47E04">
                  <w:pPr>
                    <w:widowControl/>
                    <w:jc w:val="center"/>
                    <w:rPr>
                      <w:kern w:val="0"/>
                      <w:szCs w:val="21"/>
                    </w:rPr>
                  </w:pPr>
                  <w:r>
                    <w:t>--</w:t>
                  </w:r>
                </w:p>
              </w:tc>
              <w:tc>
                <w:tcPr>
                  <w:tcW w:w="559" w:type="pct"/>
                  <w:shd w:val="clear" w:color="auto" w:fill="auto"/>
                </w:tcPr>
                <w:p w14:paraId="3323383F">
                  <w:pPr>
                    <w:widowControl/>
                    <w:jc w:val="center"/>
                    <w:rPr>
                      <w:kern w:val="0"/>
                      <w:szCs w:val="21"/>
                    </w:rPr>
                  </w:pPr>
                  <w:r>
                    <w:t>--</w:t>
                  </w:r>
                </w:p>
              </w:tc>
              <w:tc>
                <w:tcPr>
                  <w:tcW w:w="562" w:type="pct"/>
                  <w:shd w:val="clear" w:color="auto" w:fill="auto"/>
                </w:tcPr>
                <w:p w14:paraId="693185BA">
                  <w:pPr>
                    <w:widowControl/>
                    <w:jc w:val="center"/>
                    <w:rPr>
                      <w:kern w:val="0"/>
                      <w:szCs w:val="21"/>
                    </w:rPr>
                  </w:pPr>
                  <w:r>
                    <w:t>--</w:t>
                  </w:r>
                </w:p>
              </w:tc>
              <w:tc>
                <w:tcPr>
                  <w:tcW w:w="715" w:type="pct"/>
                  <w:shd w:val="clear" w:color="auto" w:fill="auto"/>
                </w:tcPr>
                <w:p w14:paraId="2BE41D4B">
                  <w:pPr>
                    <w:widowControl/>
                    <w:jc w:val="center"/>
                    <w:rPr>
                      <w:kern w:val="0"/>
                      <w:szCs w:val="21"/>
                    </w:rPr>
                  </w:pPr>
                  <w:r>
                    <w:t>--</w:t>
                  </w:r>
                </w:p>
              </w:tc>
            </w:tr>
            <w:tr w14:paraId="18839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627" w:type="pct"/>
                  <w:shd w:val="clear" w:color="auto" w:fill="auto"/>
                  <w:vAlign w:val="center"/>
                </w:tcPr>
                <w:p w14:paraId="06377AC4">
                  <w:pPr>
                    <w:widowControl/>
                    <w:jc w:val="center"/>
                    <w:rPr>
                      <w:kern w:val="0"/>
                      <w:szCs w:val="21"/>
                    </w:rPr>
                  </w:pPr>
                  <w:r>
                    <w:rPr>
                      <w:kern w:val="0"/>
                      <w:szCs w:val="21"/>
                    </w:rPr>
                    <w:t>4月</w:t>
                  </w:r>
                </w:p>
              </w:tc>
              <w:tc>
                <w:tcPr>
                  <w:tcW w:w="854" w:type="pct"/>
                  <w:shd w:val="clear" w:color="auto" w:fill="auto"/>
                </w:tcPr>
                <w:p w14:paraId="196D6AC0">
                  <w:pPr>
                    <w:widowControl/>
                    <w:jc w:val="center"/>
                    <w:rPr>
                      <w:kern w:val="0"/>
                      <w:szCs w:val="21"/>
                    </w:rPr>
                  </w:pPr>
                  <w:r>
                    <w:t>--</w:t>
                  </w:r>
                </w:p>
              </w:tc>
              <w:tc>
                <w:tcPr>
                  <w:tcW w:w="512" w:type="pct"/>
                  <w:shd w:val="clear" w:color="auto" w:fill="auto"/>
                </w:tcPr>
                <w:p w14:paraId="15A50E69">
                  <w:pPr>
                    <w:widowControl/>
                    <w:jc w:val="center"/>
                    <w:rPr>
                      <w:kern w:val="0"/>
                      <w:szCs w:val="21"/>
                    </w:rPr>
                  </w:pPr>
                  <w:r>
                    <w:t>--</w:t>
                  </w:r>
                </w:p>
              </w:tc>
              <w:tc>
                <w:tcPr>
                  <w:tcW w:w="566" w:type="pct"/>
                  <w:shd w:val="clear" w:color="auto" w:fill="auto"/>
                </w:tcPr>
                <w:p w14:paraId="782690A2">
                  <w:pPr>
                    <w:widowControl/>
                    <w:jc w:val="center"/>
                    <w:rPr>
                      <w:kern w:val="0"/>
                      <w:szCs w:val="21"/>
                    </w:rPr>
                  </w:pPr>
                  <w:r>
                    <w:t>--</w:t>
                  </w:r>
                </w:p>
              </w:tc>
              <w:tc>
                <w:tcPr>
                  <w:tcW w:w="605" w:type="pct"/>
                  <w:shd w:val="clear" w:color="auto" w:fill="auto"/>
                </w:tcPr>
                <w:p w14:paraId="7A87836B">
                  <w:pPr>
                    <w:widowControl/>
                    <w:jc w:val="center"/>
                    <w:rPr>
                      <w:kern w:val="0"/>
                      <w:szCs w:val="21"/>
                    </w:rPr>
                  </w:pPr>
                  <w:r>
                    <w:t>--</w:t>
                  </w:r>
                </w:p>
              </w:tc>
              <w:tc>
                <w:tcPr>
                  <w:tcW w:w="559" w:type="pct"/>
                  <w:shd w:val="clear" w:color="auto" w:fill="auto"/>
                </w:tcPr>
                <w:p w14:paraId="3BC9A7B7">
                  <w:pPr>
                    <w:widowControl/>
                    <w:jc w:val="center"/>
                    <w:rPr>
                      <w:kern w:val="0"/>
                      <w:szCs w:val="21"/>
                    </w:rPr>
                  </w:pPr>
                  <w:r>
                    <w:t>--</w:t>
                  </w:r>
                </w:p>
              </w:tc>
              <w:tc>
                <w:tcPr>
                  <w:tcW w:w="562" w:type="pct"/>
                  <w:shd w:val="clear" w:color="auto" w:fill="auto"/>
                </w:tcPr>
                <w:p w14:paraId="4233FD75">
                  <w:pPr>
                    <w:widowControl/>
                    <w:jc w:val="center"/>
                    <w:rPr>
                      <w:kern w:val="0"/>
                      <w:szCs w:val="21"/>
                    </w:rPr>
                  </w:pPr>
                  <w:r>
                    <w:t>--</w:t>
                  </w:r>
                </w:p>
              </w:tc>
              <w:tc>
                <w:tcPr>
                  <w:tcW w:w="715" w:type="pct"/>
                  <w:shd w:val="clear" w:color="auto" w:fill="auto"/>
                </w:tcPr>
                <w:p w14:paraId="5F8F5382">
                  <w:pPr>
                    <w:widowControl/>
                    <w:jc w:val="center"/>
                    <w:rPr>
                      <w:kern w:val="0"/>
                      <w:szCs w:val="21"/>
                    </w:rPr>
                  </w:pPr>
                  <w:r>
                    <w:t>--</w:t>
                  </w:r>
                </w:p>
              </w:tc>
            </w:tr>
            <w:tr w14:paraId="71F7C7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627" w:type="pct"/>
                  <w:shd w:val="clear" w:color="auto" w:fill="auto"/>
                  <w:vAlign w:val="center"/>
                </w:tcPr>
                <w:p w14:paraId="0A99C30E">
                  <w:pPr>
                    <w:widowControl/>
                    <w:jc w:val="center"/>
                    <w:rPr>
                      <w:kern w:val="0"/>
                      <w:szCs w:val="21"/>
                    </w:rPr>
                  </w:pPr>
                  <w:r>
                    <w:rPr>
                      <w:kern w:val="0"/>
                      <w:szCs w:val="21"/>
                    </w:rPr>
                    <w:t>5月</w:t>
                  </w:r>
                </w:p>
              </w:tc>
              <w:tc>
                <w:tcPr>
                  <w:tcW w:w="854" w:type="pct"/>
                  <w:shd w:val="clear" w:color="auto" w:fill="auto"/>
                </w:tcPr>
                <w:p w14:paraId="47DC9A6C">
                  <w:pPr>
                    <w:widowControl/>
                    <w:jc w:val="center"/>
                    <w:rPr>
                      <w:kern w:val="0"/>
                      <w:szCs w:val="21"/>
                    </w:rPr>
                  </w:pPr>
                  <w:r>
                    <w:t>--</w:t>
                  </w:r>
                </w:p>
              </w:tc>
              <w:tc>
                <w:tcPr>
                  <w:tcW w:w="512" w:type="pct"/>
                  <w:shd w:val="clear" w:color="auto" w:fill="auto"/>
                </w:tcPr>
                <w:p w14:paraId="751CECC2">
                  <w:pPr>
                    <w:widowControl/>
                    <w:jc w:val="center"/>
                    <w:rPr>
                      <w:kern w:val="0"/>
                      <w:szCs w:val="21"/>
                    </w:rPr>
                  </w:pPr>
                  <w:r>
                    <w:t>--</w:t>
                  </w:r>
                </w:p>
              </w:tc>
              <w:tc>
                <w:tcPr>
                  <w:tcW w:w="566" w:type="pct"/>
                  <w:shd w:val="clear" w:color="auto" w:fill="auto"/>
                </w:tcPr>
                <w:p w14:paraId="71B3D246">
                  <w:pPr>
                    <w:widowControl/>
                    <w:jc w:val="center"/>
                    <w:rPr>
                      <w:kern w:val="0"/>
                      <w:szCs w:val="21"/>
                    </w:rPr>
                  </w:pPr>
                  <w:r>
                    <w:t>--</w:t>
                  </w:r>
                </w:p>
              </w:tc>
              <w:tc>
                <w:tcPr>
                  <w:tcW w:w="605" w:type="pct"/>
                  <w:shd w:val="clear" w:color="auto" w:fill="auto"/>
                </w:tcPr>
                <w:p w14:paraId="1A96B4C1">
                  <w:pPr>
                    <w:widowControl/>
                    <w:jc w:val="center"/>
                    <w:rPr>
                      <w:kern w:val="0"/>
                      <w:szCs w:val="21"/>
                    </w:rPr>
                  </w:pPr>
                  <w:r>
                    <w:t>--</w:t>
                  </w:r>
                </w:p>
              </w:tc>
              <w:tc>
                <w:tcPr>
                  <w:tcW w:w="559" w:type="pct"/>
                  <w:shd w:val="clear" w:color="auto" w:fill="auto"/>
                </w:tcPr>
                <w:p w14:paraId="22A10431">
                  <w:pPr>
                    <w:widowControl/>
                    <w:jc w:val="center"/>
                    <w:rPr>
                      <w:kern w:val="0"/>
                      <w:szCs w:val="21"/>
                    </w:rPr>
                  </w:pPr>
                  <w:r>
                    <w:t>--</w:t>
                  </w:r>
                </w:p>
              </w:tc>
              <w:tc>
                <w:tcPr>
                  <w:tcW w:w="562" w:type="pct"/>
                  <w:shd w:val="clear" w:color="auto" w:fill="auto"/>
                </w:tcPr>
                <w:p w14:paraId="162A887F">
                  <w:pPr>
                    <w:widowControl/>
                    <w:jc w:val="center"/>
                    <w:rPr>
                      <w:kern w:val="0"/>
                      <w:szCs w:val="21"/>
                    </w:rPr>
                  </w:pPr>
                  <w:r>
                    <w:t>--</w:t>
                  </w:r>
                </w:p>
              </w:tc>
              <w:tc>
                <w:tcPr>
                  <w:tcW w:w="715" w:type="pct"/>
                  <w:shd w:val="clear" w:color="auto" w:fill="auto"/>
                </w:tcPr>
                <w:p w14:paraId="78C3288E">
                  <w:pPr>
                    <w:widowControl/>
                    <w:jc w:val="center"/>
                    <w:rPr>
                      <w:kern w:val="0"/>
                      <w:szCs w:val="21"/>
                    </w:rPr>
                  </w:pPr>
                  <w:r>
                    <w:t>--</w:t>
                  </w:r>
                </w:p>
              </w:tc>
            </w:tr>
            <w:tr w14:paraId="65FF8C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27" w:type="pct"/>
                  <w:shd w:val="clear" w:color="auto" w:fill="auto"/>
                  <w:vAlign w:val="center"/>
                </w:tcPr>
                <w:p w14:paraId="49A0B8ED">
                  <w:pPr>
                    <w:widowControl/>
                    <w:jc w:val="center"/>
                    <w:rPr>
                      <w:kern w:val="0"/>
                      <w:szCs w:val="21"/>
                    </w:rPr>
                  </w:pPr>
                  <w:r>
                    <w:rPr>
                      <w:kern w:val="0"/>
                      <w:szCs w:val="21"/>
                    </w:rPr>
                    <w:t>6月</w:t>
                  </w:r>
                </w:p>
              </w:tc>
              <w:tc>
                <w:tcPr>
                  <w:tcW w:w="854" w:type="pct"/>
                  <w:shd w:val="clear" w:color="auto" w:fill="auto"/>
                </w:tcPr>
                <w:p w14:paraId="35E34320">
                  <w:pPr>
                    <w:widowControl/>
                    <w:jc w:val="center"/>
                    <w:rPr>
                      <w:kern w:val="0"/>
                      <w:szCs w:val="21"/>
                    </w:rPr>
                  </w:pPr>
                  <w:r>
                    <w:t>--</w:t>
                  </w:r>
                </w:p>
              </w:tc>
              <w:tc>
                <w:tcPr>
                  <w:tcW w:w="512" w:type="pct"/>
                  <w:shd w:val="clear" w:color="auto" w:fill="auto"/>
                </w:tcPr>
                <w:p w14:paraId="6A92F319">
                  <w:pPr>
                    <w:widowControl/>
                    <w:jc w:val="center"/>
                    <w:rPr>
                      <w:kern w:val="0"/>
                      <w:szCs w:val="21"/>
                    </w:rPr>
                  </w:pPr>
                  <w:r>
                    <w:t>--</w:t>
                  </w:r>
                </w:p>
              </w:tc>
              <w:tc>
                <w:tcPr>
                  <w:tcW w:w="566" w:type="pct"/>
                  <w:shd w:val="clear" w:color="auto" w:fill="auto"/>
                </w:tcPr>
                <w:p w14:paraId="2284E312">
                  <w:pPr>
                    <w:widowControl/>
                    <w:jc w:val="center"/>
                    <w:rPr>
                      <w:kern w:val="0"/>
                      <w:szCs w:val="21"/>
                    </w:rPr>
                  </w:pPr>
                  <w:r>
                    <w:t>--</w:t>
                  </w:r>
                </w:p>
              </w:tc>
              <w:tc>
                <w:tcPr>
                  <w:tcW w:w="605" w:type="pct"/>
                  <w:shd w:val="clear" w:color="auto" w:fill="auto"/>
                </w:tcPr>
                <w:p w14:paraId="5F07ECF9">
                  <w:pPr>
                    <w:widowControl/>
                    <w:jc w:val="center"/>
                    <w:rPr>
                      <w:kern w:val="0"/>
                      <w:szCs w:val="21"/>
                    </w:rPr>
                  </w:pPr>
                  <w:r>
                    <w:t>--</w:t>
                  </w:r>
                </w:p>
              </w:tc>
              <w:tc>
                <w:tcPr>
                  <w:tcW w:w="559" w:type="pct"/>
                  <w:shd w:val="clear" w:color="auto" w:fill="auto"/>
                </w:tcPr>
                <w:p w14:paraId="4E1AF894">
                  <w:pPr>
                    <w:widowControl/>
                    <w:jc w:val="center"/>
                    <w:rPr>
                      <w:kern w:val="0"/>
                      <w:szCs w:val="21"/>
                    </w:rPr>
                  </w:pPr>
                  <w:r>
                    <w:t>--</w:t>
                  </w:r>
                </w:p>
              </w:tc>
              <w:tc>
                <w:tcPr>
                  <w:tcW w:w="562" w:type="pct"/>
                  <w:shd w:val="clear" w:color="auto" w:fill="auto"/>
                </w:tcPr>
                <w:p w14:paraId="7BBF23B9">
                  <w:pPr>
                    <w:widowControl/>
                    <w:jc w:val="center"/>
                    <w:rPr>
                      <w:kern w:val="0"/>
                      <w:szCs w:val="21"/>
                    </w:rPr>
                  </w:pPr>
                  <w:r>
                    <w:t>--</w:t>
                  </w:r>
                </w:p>
              </w:tc>
              <w:tc>
                <w:tcPr>
                  <w:tcW w:w="715" w:type="pct"/>
                  <w:shd w:val="clear" w:color="auto" w:fill="auto"/>
                </w:tcPr>
                <w:p w14:paraId="6ECA67DD">
                  <w:pPr>
                    <w:widowControl/>
                    <w:jc w:val="center"/>
                    <w:rPr>
                      <w:kern w:val="0"/>
                      <w:szCs w:val="21"/>
                    </w:rPr>
                  </w:pPr>
                  <w:r>
                    <w:t>--</w:t>
                  </w:r>
                </w:p>
              </w:tc>
            </w:tr>
            <w:tr w14:paraId="0E5E70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627" w:type="pct"/>
                  <w:shd w:val="clear" w:color="auto" w:fill="auto"/>
                  <w:vAlign w:val="center"/>
                </w:tcPr>
                <w:p w14:paraId="17C30CBA">
                  <w:pPr>
                    <w:widowControl/>
                    <w:jc w:val="center"/>
                    <w:rPr>
                      <w:kern w:val="0"/>
                      <w:szCs w:val="21"/>
                    </w:rPr>
                  </w:pPr>
                  <w:r>
                    <w:rPr>
                      <w:kern w:val="0"/>
                      <w:szCs w:val="21"/>
                    </w:rPr>
                    <w:t>7月</w:t>
                  </w:r>
                </w:p>
              </w:tc>
              <w:tc>
                <w:tcPr>
                  <w:tcW w:w="854" w:type="pct"/>
                  <w:shd w:val="clear" w:color="auto" w:fill="auto"/>
                </w:tcPr>
                <w:p w14:paraId="30CC084C">
                  <w:pPr>
                    <w:widowControl/>
                    <w:jc w:val="center"/>
                    <w:rPr>
                      <w:kern w:val="0"/>
                      <w:szCs w:val="21"/>
                    </w:rPr>
                  </w:pPr>
                  <w:r>
                    <w:t>--</w:t>
                  </w:r>
                </w:p>
              </w:tc>
              <w:tc>
                <w:tcPr>
                  <w:tcW w:w="512" w:type="pct"/>
                  <w:shd w:val="clear" w:color="auto" w:fill="auto"/>
                </w:tcPr>
                <w:p w14:paraId="1E672573">
                  <w:pPr>
                    <w:widowControl/>
                    <w:jc w:val="center"/>
                    <w:rPr>
                      <w:kern w:val="0"/>
                      <w:szCs w:val="21"/>
                    </w:rPr>
                  </w:pPr>
                  <w:r>
                    <w:t>--</w:t>
                  </w:r>
                </w:p>
              </w:tc>
              <w:tc>
                <w:tcPr>
                  <w:tcW w:w="566" w:type="pct"/>
                  <w:shd w:val="clear" w:color="auto" w:fill="auto"/>
                </w:tcPr>
                <w:p w14:paraId="76147E72">
                  <w:pPr>
                    <w:widowControl/>
                    <w:jc w:val="center"/>
                    <w:rPr>
                      <w:kern w:val="0"/>
                      <w:szCs w:val="21"/>
                    </w:rPr>
                  </w:pPr>
                  <w:r>
                    <w:t>--</w:t>
                  </w:r>
                </w:p>
              </w:tc>
              <w:tc>
                <w:tcPr>
                  <w:tcW w:w="605" w:type="pct"/>
                  <w:shd w:val="clear" w:color="auto" w:fill="auto"/>
                </w:tcPr>
                <w:p w14:paraId="0B43DB2C">
                  <w:pPr>
                    <w:widowControl/>
                    <w:jc w:val="center"/>
                    <w:rPr>
                      <w:kern w:val="0"/>
                      <w:szCs w:val="21"/>
                    </w:rPr>
                  </w:pPr>
                  <w:r>
                    <w:t>--</w:t>
                  </w:r>
                </w:p>
              </w:tc>
              <w:tc>
                <w:tcPr>
                  <w:tcW w:w="559" w:type="pct"/>
                  <w:shd w:val="clear" w:color="auto" w:fill="auto"/>
                </w:tcPr>
                <w:p w14:paraId="453BCEEC">
                  <w:pPr>
                    <w:widowControl/>
                    <w:jc w:val="center"/>
                    <w:rPr>
                      <w:kern w:val="0"/>
                      <w:szCs w:val="21"/>
                    </w:rPr>
                  </w:pPr>
                  <w:r>
                    <w:t>--</w:t>
                  </w:r>
                </w:p>
              </w:tc>
              <w:tc>
                <w:tcPr>
                  <w:tcW w:w="562" w:type="pct"/>
                  <w:shd w:val="clear" w:color="auto" w:fill="auto"/>
                </w:tcPr>
                <w:p w14:paraId="227E0675">
                  <w:pPr>
                    <w:widowControl/>
                    <w:jc w:val="center"/>
                    <w:rPr>
                      <w:kern w:val="0"/>
                      <w:szCs w:val="21"/>
                    </w:rPr>
                  </w:pPr>
                  <w:r>
                    <w:t>--</w:t>
                  </w:r>
                </w:p>
              </w:tc>
              <w:tc>
                <w:tcPr>
                  <w:tcW w:w="715" w:type="pct"/>
                  <w:shd w:val="clear" w:color="auto" w:fill="auto"/>
                </w:tcPr>
                <w:p w14:paraId="57CA7E5C">
                  <w:pPr>
                    <w:widowControl/>
                    <w:jc w:val="center"/>
                    <w:rPr>
                      <w:kern w:val="0"/>
                      <w:szCs w:val="21"/>
                    </w:rPr>
                  </w:pPr>
                  <w:r>
                    <w:t>--</w:t>
                  </w:r>
                </w:p>
              </w:tc>
            </w:tr>
            <w:tr w14:paraId="0524E5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627" w:type="pct"/>
                  <w:shd w:val="clear" w:color="auto" w:fill="auto"/>
                  <w:vAlign w:val="center"/>
                </w:tcPr>
                <w:p w14:paraId="58159435">
                  <w:pPr>
                    <w:widowControl/>
                    <w:jc w:val="center"/>
                    <w:rPr>
                      <w:kern w:val="0"/>
                      <w:szCs w:val="21"/>
                    </w:rPr>
                  </w:pPr>
                  <w:r>
                    <w:rPr>
                      <w:kern w:val="0"/>
                      <w:szCs w:val="21"/>
                    </w:rPr>
                    <w:t>8月</w:t>
                  </w:r>
                </w:p>
              </w:tc>
              <w:tc>
                <w:tcPr>
                  <w:tcW w:w="854" w:type="pct"/>
                  <w:shd w:val="clear" w:color="auto" w:fill="auto"/>
                </w:tcPr>
                <w:p w14:paraId="4EE39CA8">
                  <w:pPr>
                    <w:widowControl/>
                    <w:jc w:val="center"/>
                    <w:rPr>
                      <w:kern w:val="0"/>
                      <w:szCs w:val="21"/>
                    </w:rPr>
                  </w:pPr>
                  <w:r>
                    <w:t>--</w:t>
                  </w:r>
                </w:p>
              </w:tc>
              <w:tc>
                <w:tcPr>
                  <w:tcW w:w="512" w:type="pct"/>
                  <w:shd w:val="clear" w:color="auto" w:fill="auto"/>
                </w:tcPr>
                <w:p w14:paraId="0CFDA5FC">
                  <w:pPr>
                    <w:widowControl/>
                    <w:jc w:val="center"/>
                    <w:rPr>
                      <w:kern w:val="0"/>
                      <w:szCs w:val="21"/>
                    </w:rPr>
                  </w:pPr>
                  <w:r>
                    <w:t>--</w:t>
                  </w:r>
                </w:p>
              </w:tc>
              <w:tc>
                <w:tcPr>
                  <w:tcW w:w="566" w:type="pct"/>
                  <w:shd w:val="clear" w:color="auto" w:fill="auto"/>
                </w:tcPr>
                <w:p w14:paraId="79D57CED">
                  <w:pPr>
                    <w:widowControl/>
                    <w:jc w:val="center"/>
                    <w:rPr>
                      <w:kern w:val="0"/>
                      <w:szCs w:val="21"/>
                    </w:rPr>
                  </w:pPr>
                  <w:r>
                    <w:t>--</w:t>
                  </w:r>
                </w:p>
              </w:tc>
              <w:tc>
                <w:tcPr>
                  <w:tcW w:w="605" w:type="pct"/>
                  <w:shd w:val="clear" w:color="auto" w:fill="auto"/>
                </w:tcPr>
                <w:p w14:paraId="0E267BC6">
                  <w:pPr>
                    <w:widowControl/>
                    <w:jc w:val="center"/>
                    <w:rPr>
                      <w:kern w:val="0"/>
                      <w:szCs w:val="21"/>
                    </w:rPr>
                  </w:pPr>
                  <w:r>
                    <w:t>--</w:t>
                  </w:r>
                </w:p>
              </w:tc>
              <w:tc>
                <w:tcPr>
                  <w:tcW w:w="559" w:type="pct"/>
                  <w:shd w:val="clear" w:color="auto" w:fill="auto"/>
                </w:tcPr>
                <w:p w14:paraId="75670F27">
                  <w:pPr>
                    <w:widowControl/>
                    <w:jc w:val="center"/>
                    <w:rPr>
                      <w:kern w:val="0"/>
                      <w:szCs w:val="21"/>
                    </w:rPr>
                  </w:pPr>
                  <w:r>
                    <w:t>--</w:t>
                  </w:r>
                </w:p>
              </w:tc>
              <w:tc>
                <w:tcPr>
                  <w:tcW w:w="562" w:type="pct"/>
                  <w:shd w:val="clear" w:color="auto" w:fill="auto"/>
                </w:tcPr>
                <w:p w14:paraId="0DBD3C2A">
                  <w:pPr>
                    <w:widowControl/>
                    <w:jc w:val="center"/>
                    <w:rPr>
                      <w:kern w:val="0"/>
                      <w:szCs w:val="21"/>
                    </w:rPr>
                  </w:pPr>
                  <w:r>
                    <w:t>--</w:t>
                  </w:r>
                </w:p>
              </w:tc>
              <w:tc>
                <w:tcPr>
                  <w:tcW w:w="715" w:type="pct"/>
                  <w:shd w:val="clear" w:color="auto" w:fill="auto"/>
                </w:tcPr>
                <w:p w14:paraId="2FB9C770">
                  <w:pPr>
                    <w:widowControl/>
                    <w:jc w:val="center"/>
                    <w:rPr>
                      <w:kern w:val="0"/>
                      <w:szCs w:val="21"/>
                    </w:rPr>
                  </w:pPr>
                  <w:r>
                    <w:t>--</w:t>
                  </w:r>
                </w:p>
              </w:tc>
            </w:tr>
            <w:tr w14:paraId="52149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627" w:type="pct"/>
                  <w:shd w:val="clear" w:color="auto" w:fill="auto"/>
                  <w:vAlign w:val="center"/>
                </w:tcPr>
                <w:p w14:paraId="738B534B">
                  <w:pPr>
                    <w:widowControl/>
                    <w:jc w:val="center"/>
                    <w:rPr>
                      <w:kern w:val="0"/>
                      <w:szCs w:val="21"/>
                    </w:rPr>
                  </w:pPr>
                  <w:r>
                    <w:rPr>
                      <w:kern w:val="0"/>
                      <w:szCs w:val="21"/>
                    </w:rPr>
                    <w:t>9月</w:t>
                  </w:r>
                </w:p>
              </w:tc>
              <w:tc>
                <w:tcPr>
                  <w:tcW w:w="854" w:type="pct"/>
                  <w:shd w:val="clear" w:color="auto" w:fill="auto"/>
                  <w:vAlign w:val="center"/>
                </w:tcPr>
                <w:p w14:paraId="4307485A">
                  <w:pPr>
                    <w:widowControl/>
                    <w:jc w:val="center"/>
                    <w:rPr>
                      <w:szCs w:val="21"/>
                    </w:rPr>
                  </w:pPr>
                  <w:r>
                    <w:rPr>
                      <w:szCs w:val="21"/>
                    </w:rPr>
                    <w:t>1037.99163</w:t>
                  </w:r>
                </w:p>
              </w:tc>
              <w:tc>
                <w:tcPr>
                  <w:tcW w:w="512" w:type="pct"/>
                  <w:shd w:val="clear" w:color="auto" w:fill="auto"/>
                  <w:vAlign w:val="center"/>
                </w:tcPr>
                <w:p w14:paraId="096F71F3">
                  <w:pPr>
                    <w:widowControl/>
                    <w:jc w:val="center"/>
                    <w:rPr>
                      <w:szCs w:val="21"/>
                    </w:rPr>
                  </w:pPr>
                  <w:r>
                    <w:rPr>
                      <w:szCs w:val="21"/>
                    </w:rPr>
                    <w:t>2.697</w:t>
                  </w:r>
                </w:p>
              </w:tc>
              <w:tc>
                <w:tcPr>
                  <w:tcW w:w="566" w:type="pct"/>
                  <w:shd w:val="clear" w:color="auto" w:fill="auto"/>
                  <w:vAlign w:val="center"/>
                </w:tcPr>
                <w:p w14:paraId="1373352C">
                  <w:pPr>
                    <w:widowControl/>
                    <w:jc w:val="center"/>
                    <w:rPr>
                      <w:szCs w:val="21"/>
                    </w:rPr>
                  </w:pPr>
                  <w:r>
                    <w:rPr>
                      <w:szCs w:val="21"/>
                    </w:rPr>
                    <w:t>2.689</w:t>
                  </w:r>
                </w:p>
              </w:tc>
              <w:tc>
                <w:tcPr>
                  <w:tcW w:w="605" w:type="pct"/>
                  <w:shd w:val="clear" w:color="auto" w:fill="auto"/>
                  <w:vAlign w:val="center"/>
                </w:tcPr>
                <w:p w14:paraId="45CB8DCF">
                  <w:pPr>
                    <w:widowControl/>
                    <w:jc w:val="center"/>
                    <w:rPr>
                      <w:szCs w:val="21"/>
                    </w:rPr>
                  </w:pPr>
                  <w:r>
                    <w:rPr>
                      <w:szCs w:val="21"/>
                    </w:rPr>
                    <w:t>31.766</w:t>
                  </w:r>
                </w:p>
              </w:tc>
              <w:tc>
                <w:tcPr>
                  <w:tcW w:w="559" w:type="pct"/>
                  <w:shd w:val="clear" w:color="auto" w:fill="auto"/>
                  <w:vAlign w:val="center"/>
                </w:tcPr>
                <w:p w14:paraId="2D0C1A36">
                  <w:pPr>
                    <w:widowControl/>
                    <w:jc w:val="center"/>
                    <w:rPr>
                      <w:szCs w:val="21"/>
                    </w:rPr>
                  </w:pPr>
                  <w:r>
                    <w:rPr>
                      <w:szCs w:val="21"/>
                    </w:rPr>
                    <w:t>17.933</w:t>
                  </w:r>
                </w:p>
              </w:tc>
              <w:tc>
                <w:tcPr>
                  <w:tcW w:w="562" w:type="pct"/>
                  <w:shd w:val="clear" w:color="auto" w:fill="auto"/>
                  <w:vAlign w:val="center"/>
                </w:tcPr>
                <w:p w14:paraId="4456658E">
                  <w:pPr>
                    <w:widowControl/>
                    <w:jc w:val="center"/>
                    <w:rPr>
                      <w:szCs w:val="21"/>
                    </w:rPr>
                  </w:pPr>
                  <w:r>
                    <w:rPr>
                      <w:szCs w:val="21"/>
                    </w:rPr>
                    <w:t>13.553</w:t>
                  </w:r>
                </w:p>
              </w:tc>
              <w:tc>
                <w:tcPr>
                  <w:tcW w:w="715" w:type="pct"/>
                  <w:shd w:val="clear" w:color="auto" w:fill="auto"/>
                  <w:vAlign w:val="center"/>
                </w:tcPr>
                <w:p w14:paraId="4182CD8E">
                  <w:pPr>
                    <w:widowControl/>
                    <w:jc w:val="center"/>
                    <w:rPr>
                      <w:szCs w:val="21"/>
                    </w:rPr>
                  </w:pPr>
                  <w:r>
                    <w:rPr>
                      <w:szCs w:val="21"/>
                    </w:rPr>
                    <w:t>175.701</w:t>
                  </w:r>
                </w:p>
              </w:tc>
            </w:tr>
            <w:tr w14:paraId="4BCC37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2" w:hRule="atLeast"/>
              </w:trPr>
              <w:tc>
                <w:tcPr>
                  <w:tcW w:w="627" w:type="pct"/>
                  <w:shd w:val="clear" w:color="auto" w:fill="auto"/>
                  <w:vAlign w:val="center"/>
                </w:tcPr>
                <w:p w14:paraId="7B585A8F">
                  <w:pPr>
                    <w:widowControl/>
                    <w:jc w:val="center"/>
                    <w:rPr>
                      <w:kern w:val="0"/>
                      <w:szCs w:val="21"/>
                    </w:rPr>
                  </w:pPr>
                  <w:r>
                    <w:rPr>
                      <w:kern w:val="0"/>
                      <w:szCs w:val="21"/>
                    </w:rPr>
                    <w:t>10月</w:t>
                  </w:r>
                </w:p>
              </w:tc>
              <w:tc>
                <w:tcPr>
                  <w:tcW w:w="854" w:type="pct"/>
                  <w:shd w:val="clear" w:color="auto" w:fill="auto"/>
                  <w:vAlign w:val="center"/>
                </w:tcPr>
                <w:p w14:paraId="0797228E">
                  <w:pPr>
                    <w:widowControl/>
                    <w:jc w:val="center"/>
                    <w:rPr>
                      <w:szCs w:val="21"/>
                    </w:rPr>
                  </w:pPr>
                  <w:r>
                    <w:rPr>
                      <w:szCs w:val="21"/>
                    </w:rPr>
                    <w:t>2646.70248</w:t>
                  </w:r>
                </w:p>
              </w:tc>
              <w:tc>
                <w:tcPr>
                  <w:tcW w:w="512" w:type="pct"/>
                  <w:shd w:val="clear" w:color="auto" w:fill="auto"/>
                  <w:vAlign w:val="center"/>
                </w:tcPr>
                <w:p w14:paraId="4C1545C7">
                  <w:pPr>
                    <w:widowControl/>
                    <w:jc w:val="center"/>
                    <w:rPr>
                      <w:szCs w:val="21"/>
                    </w:rPr>
                  </w:pPr>
                  <w:r>
                    <w:rPr>
                      <w:szCs w:val="21"/>
                    </w:rPr>
                    <w:t>3.657</w:t>
                  </w:r>
                </w:p>
              </w:tc>
              <w:tc>
                <w:tcPr>
                  <w:tcW w:w="566" w:type="pct"/>
                  <w:shd w:val="clear" w:color="auto" w:fill="auto"/>
                  <w:vAlign w:val="center"/>
                </w:tcPr>
                <w:p w14:paraId="6722B2DD">
                  <w:pPr>
                    <w:widowControl/>
                    <w:jc w:val="center"/>
                    <w:rPr>
                      <w:szCs w:val="21"/>
                    </w:rPr>
                  </w:pPr>
                  <w:r>
                    <w:rPr>
                      <w:szCs w:val="21"/>
                    </w:rPr>
                    <w:t>3.689</w:t>
                  </w:r>
                </w:p>
              </w:tc>
              <w:tc>
                <w:tcPr>
                  <w:tcW w:w="605" w:type="pct"/>
                  <w:shd w:val="clear" w:color="auto" w:fill="auto"/>
                  <w:vAlign w:val="center"/>
                </w:tcPr>
                <w:p w14:paraId="3934C4BE">
                  <w:pPr>
                    <w:widowControl/>
                    <w:jc w:val="center"/>
                    <w:rPr>
                      <w:szCs w:val="21"/>
                    </w:rPr>
                  </w:pPr>
                  <w:r>
                    <w:rPr>
                      <w:szCs w:val="21"/>
                    </w:rPr>
                    <w:t>109.816</w:t>
                  </w:r>
                </w:p>
              </w:tc>
              <w:tc>
                <w:tcPr>
                  <w:tcW w:w="559" w:type="pct"/>
                  <w:shd w:val="clear" w:color="auto" w:fill="auto"/>
                  <w:vAlign w:val="center"/>
                </w:tcPr>
                <w:p w14:paraId="386C7B8D">
                  <w:pPr>
                    <w:widowControl/>
                    <w:jc w:val="center"/>
                    <w:rPr>
                      <w:szCs w:val="21"/>
                    </w:rPr>
                  </w:pPr>
                  <w:r>
                    <w:rPr>
                      <w:szCs w:val="21"/>
                    </w:rPr>
                    <w:t>23.872</w:t>
                  </w:r>
                </w:p>
              </w:tc>
              <w:tc>
                <w:tcPr>
                  <w:tcW w:w="562" w:type="pct"/>
                  <w:shd w:val="clear" w:color="auto" w:fill="auto"/>
                  <w:vAlign w:val="center"/>
                </w:tcPr>
                <w:p w14:paraId="34CC917C">
                  <w:pPr>
                    <w:widowControl/>
                    <w:jc w:val="center"/>
                    <w:rPr>
                      <w:szCs w:val="21"/>
                    </w:rPr>
                  </w:pPr>
                  <w:r>
                    <w:rPr>
                      <w:szCs w:val="21"/>
                    </w:rPr>
                    <w:t>23.612</w:t>
                  </w:r>
                </w:p>
              </w:tc>
              <w:tc>
                <w:tcPr>
                  <w:tcW w:w="715" w:type="pct"/>
                  <w:shd w:val="clear" w:color="auto" w:fill="auto"/>
                  <w:vAlign w:val="center"/>
                </w:tcPr>
                <w:p w14:paraId="26F623E8">
                  <w:pPr>
                    <w:widowControl/>
                    <w:jc w:val="center"/>
                    <w:rPr>
                      <w:szCs w:val="21"/>
                    </w:rPr>
                  </w:pPr>
                  <w:r>
                    <w:rPr>
                      <w:szCs w:val="21"/>
                    </w:rPr>
                    <w:t>708.586</w:t>
                  </w:r>
                </w:p>
              </w:tc>
            </w:tr>
            <w:tr w14:paraId="32A1D6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627" w:type="pct"/>
                  <w:shd w:val="clear" w:color="auto" w:fill="auto"/>
                  <w:vAlign w:val="center"/>
                </w:tcPr>
                <w:p w14:paraId="74724B67">
                  <w:pPr>
                    <w:widowControl/>
                    <w:jc w:val="center"/>
                    <w:rPr>
                      <w:kern w:val="0"/>
                      <w:szCs w:val="21"/>
                    </w:rPr>
                  </w:pPr>
                  <w:r>
                    <w:rPr>
                      <w:kern w:val="0"/>
                      <w:szCs w:val="21"/>
                    </w:rPr>
                    <w:t>11月</w:t>
                  </w:r>
                </w:p>
              </w:tc>
              <w:tc>
                <w:tcPr>
                  <w:tcW w:w="854" w:type="pct"/>
                  <w:shd w:val="clear" w:color="auto" w:fill="auto"/>
                  <w:vAlign w:val="center"/>
                </w:tcPr>
                <w:p w14:paraId="5FC3A4BA">
                  <w:pPr>
                    <w:widowControl/>
                    <w:jc w:val="center"/>
                    <w:rPr>
                      <w:szCs w:val="21"/>
                    </w:rPr>
                  </w:pPr>
                  <w:r>
                    <w:rPr>
                      <w:szCs w:val="21"/>
                    </w:rPr>
                    <w:t>1045.12032</w:t>
                  </w:r>
                </w:p>
              </w:tc>
              <w:tc>
                <w:tcPr>
                  <w:tcW w:w="512" w:type="pct"/>
                  <w:shd w:val="clear" w:color="auto" w:fill="auto"/>
                  <w:vAlign w:val="center"/>
                </w:tcPr>
                <w:p w14:paraId="6F936C94">
                  <w:pPr>
                    <w:widowControl/>
                    <w:jc w:val="center"/>
                    <w:rPr>
                      <w:szCs w:val="21"/>
                    </w:rPr>
                  </w:pPr>
                  <w:r>
                    <w:rPr>
                      <w:szCs w:val="21"/>
                    </w:rPr>
                    <w:t>3.942</w:t>
                  </w:r>
                </w:p>
              </w:tc>
              <w:tc>
                <w:tcPr>
                  <w:tcW w:w="566" w:type="pct"/>
                  <w:shd w:val="clear" w:color="auto" w:fill="auto"/>
                  <w:vAlign w:val="center"/>
                </w:tcPr>
                <w:p w14:paraId="05B95105">
                  <w:pPr>
                    <w:widowControl/>
                    <w:jc w:val="center"/>
                    <w:rPr>
                      <w:szCs w:val="21"/>
                    </w:rPr>
                  </w:pPr>
                  <w:r>
                    <w:rPr>
                      <w:szCs w:val="21"/>
                    </w:rPr>
                    <w:t>3.691</w:t>
                  </w:r>
                </w:p>
              </w:tc>
              <w:tc>
                <w:tcPr>
                  <w:tcW w:w="605" w:type="pct"/>
                  <w:shd w:val="clear" w:color="auto" w:fill="auto"/>
                  <w:vAlign w:val="center"/>
                </w:tcPr>
                <w:p w14:paraId="3165EBFB">
                  <w:pPr>
                    <w:widowControl/>
                    <w:jc w:val="center"/>
                    <w:rPr>
                      <w:szCs w:val="21"/>
                    </w:rPr>
                  </w:pPr>
                  <w:r>
                    <w:rPr>
                      <w:szCs w:val="21"/>
                    </w:rPr>
                    <w:t>44.117</w:t>
                  </w:r>
                </w:p>
              </w:tc>
              <w:tc>
                <w:tcPr>
                  <w:tcW w:w="559" w:type="pct"/>
                  <w:shd w:val="clear" w:color="auto" w:fill="auto"/>
                  <w:vAlign w:val="center"/>
                </w:tcPr>
                <w:p w14:paraId="2E1ADABF">
                  <w:pPr>
                    <w:widowControl/>
                    <w:jc w:val="center"/>
                    <w:rPr>
                      <w:szCs w:val="21"/>
                    </w:rPr>
                  </w:pPr>
                  <w:r>
                    <w:rPr>
                      <w:szCs w:val="21"/>
                    </w:rPr>
                    <w:t>20.747</w:t>
                  </w:r>
                </w:p>
              </w:tc>
              <w:tc>
                <w:tcPr>
                  <w:tcW w:w="562" w:type="pct"/>
                  <w:shd w:val="clear" w:color="auto" w:fill="auto"/>
                  <w:vAlign w:val="center"/>
                </w:tcPr>
                <w:p w14:paraId="57468DB4">
                  <w:pPr>
                    <w:widowControl/>
                    <w:jc w:val="center"/>
                    <w:rPr>
                      <w:szCs w:val="21"/>
                    </w:rPr>
                  </w:pPr>
                  <w:r>
                    <w:rPr>
                      <w:szCs w:val="21"/>
                    </w:rPr>
                    <w:t>19.354</w:t>
                  </w:r>
                </w:p>
              </w:tc>
              <w:tc>
                <w:tcPr>
                  <w:tcW w:w="715" w:type="pct"/>
                  <w:shd w:val="clear" w:color="auto" w:fill="auto"/>
                  <w:vAlign w:val="center"/>
                </w:tcPr>
                <w:p w14:paraId="48B714B2">
                  <w:pPr>
                    <w:widowControl/>
                    <w:jc w:val="center"/>
                    <w:rPr>
                      <w:szCs w:val="21"/>
                    </w:rPr>
                  </w:pPr>
                  <w:r>
                    <w:rPr>
                      <w:szCs w:val="21"/>
                    </w:rPr>
                    <w:t>246.436</w:t>
                  </w:r>
                </w:p>
              </w:tc>
            </w:tr>
            <w:tr w14:paraId="1A74B0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627" w:type="pct"/>
                  <w:shd w:val="clear" w:color="auto" w:fill="auto"/>
                  <w:vAlign w:val="center"/>
                </w:tcPr>
                <w:p w14:paraId="0E294560">
                  <w:pPr>
                    <w:widowControl/>
                    <w:jc w:val="center"/>
                    <w:rPr>
                      <w:kern w:val="0"/>
                      <w:szCs w:val="21"/>
                    </w:rPr>
                  </w:pPr>
                  <w:r>
                    <w:rPr>
                      <w:kern w:val="0"/>
                      <w:szCs w:val="21"/>
                    </w:rPr>
                    <w:t>12月</w:t>
                  </w:r>
                </w:p>
              </w:tc>
              <w:tc>
                <w:tcPr>
                  <w:tcW w:w="854" w:type="pct"/>
                  <w:shd w:val="clear" w:color="auto" w:fill="auto"/>
                  <w:vAlign w:val="center"/>
                </w:tcPr>
                <w:p w14:paraId="605728D9">
                  <w:pPr>
                    <w:widowControl/>
                    <w:jc w:val="center"/>
                    <w:rPr>
                      <w:szCs w:val="21"/>
                    </w:rPr>
                  </w:pPr>
                  <w:r>
                    <w:rPr>
                      <w:szCs w:val="21"/>
                    </w:rPr>
                    <w:t>--</w:t>
                  </w:r>
                </w:p>
              </w:tc>
              <w:tc>
                <w:tcPr>
                  <w:tcW w:w="512" w:type="pct"/>
                  <w:shd w:val="clear" w:color="auto" w:fill="auto"/>
                  <w:vAlign w:val="center"/>
                </w:tcPr>
                <w:p w14:paraId="0AC6F6C9">
                  <w:pPr>
                    <w:widowControl/>
                    <w:jc w:val="center"/>
                    <w:rPr>
                      <w:szCs w:val="21"/>
                    </w:rPr>
                  </w:pPr>
                  <w:r>
                    <w:rPr>
                      <w:szCs w:val="21"/>
                    </w:rPr>
                    <w:t>--</w:t>
                  </w:r>
                </w:p>
              </w:tc>
              <w:tc>
                <w:tcPr>
                  <w:tcW w:w="566" w:type="pct"/>
                  <w:shd w:val="clear" w:color="auto" w:fill="auto"/>
                  <w:vAlign w:val="center"/>
                </w:tcPr>
                <w:p w14:paraId="0DF62A5B">
                  <w:pPr>
                    <w:widowControl/>
                    <w:jc w:val="center"/>
                    <w:rPr>
                      <w:szCs w:val="21"/>
                    </w:rPr>
                  </w:pPr>
                  <w:r>
                    <w:rPr>
                      <w:szCs w:val="21"/>
                    </w:rPr>
                    <w:t>--</w:t>
                  </w:r>
                </w:p>
              </w:tc>
              <w:tc>
                <w:tcPr>
                  <w:tcW w:w="605" w:type="pct"/>
                  <w:shd w:val="clear" w:color="auto" w:fill="auto"/>
                  <w:vAlign w:val="center"/>
                </w:tcPr>
                <w:p w14:paraId="37C3946A">
                  <w:pPr>
                    <w:widowControl/>
                    <w:jc w:val="center"/>
                    <w:rPr>
                      <w:szCs w:val="21"/>
                    </w:rPr>
                  </w:pPr>
                  <w:r>
                    <w:rPr>
                      <w:szCs w:val="21"/>
                    </w:rPr>
                    <w:t>--</w:t>
                  </w:r>
                </w:p>
              </w:tc>
              <w:tc>
                <w:tcPr>
                  <w:tcW w:w="559" w:type="pct"/>
                  <w:shd w:val="clear" w:color="auto" w:fill="auto"/>
                  <w:vAlign w:val="center"/>
                </w:tcPr>
                <w:p w14:paraId="6521788D">
                  <w:pPr>
                    <w:widowControl/>
                    <w:jc w:val="center"/>
                    <w:rPr>
                      <w:szCs w:val="21"/>
                    </w:rPr>
                  </w:pPr>
                  <w:r>
                    <w:rPr>
                      <w:szCs w:val="21"/>
                    </w:rPr>
                    <w:t>--</w:t>
                  </w:r>
                </w:p>
              </w:tc>
              <w:tc>
                <w:tcPr>
                  <w:tcW w:w="562" w:type="pct"/>
                  <w:shd w:val="clear" w:color="auto" w:fill="auto"/>
                  <w:vAlign w:val="center"/>
                </w:tcPr>
                <w:p w14:paraId="501AB574">
                  <w:pPr>
                    <w:widowControl/>
                    <w:jc w:val="center"/>
                    <w:rPr>
                      <w:szCs w:val="21"/>
                    </w:rPr>
                  </w:pPr>
                  <w:r>
                    <w:rPr>
                      <w:szCs w:val="21"/>
                    </w:rPr>
                    <w:t>--</w:t>
                  </w:r>
                </w:p>
              </w:tc>
              <w:tc>
                <w:tcPr>
                  <w:tcW w:w="715" w:type="pct"/>
                  <w:shd w:val="clear" w:color="auto" w:fill="auto"/>
                  <w:vAlign w:val="center"/>
                </w:tcPr>
                <w:p w14:paraId="2BB00320">
                  <w:pPr>
                    <w:widowControl/>
                    <w:jc w:val="center"/>
                    <w:rPr>
                      <w:szCs w:val="21"/>
                    </w:rPr>
                  </w:pPr>
                  <w:r>
                    <w:rPr>
                      <w:szCs w:val="21"/>
                    </w:rPr>
                    <w:t>--</w:t>
                  </w:r>
                </w:p>
              </w:tc>
            </w:tr>
            <w:tr w14:paraId="255D0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627" w:type="pct"/>
                  <w:shd w:val="clear" w:color="auto" w:fill="auto"/>
                  <w:vAlign w:val="center"/>
                </w:tcPr>
                <w:p w14:paraId="6E412099">
                  <w:pPr>
                    <w:widowControl/>
                    <w:jc w:val="center"/>
                    <w:rPr>
                      <w:kern w:val="0"/>
                      <w:szCs w:val="21"/>
                    </w:rPr>
                  </w:pPr>
                  <w:r>
                    <w:rPr>
                      <w:kern w:val="0"/>
                      <w:szCs w:val="21"/>
                    </w:rPr>
                    <w:t>平均值</w:t>
                  </w:r>
                </w:p>
              </w:tc>
              <w:tc>
                <w:tcPr>
                  <w:tcW w:w="854" w:type="pct"/>
                  <w:shd w:val="clear" w:color="auto" w:fill="auto"/>
                  <w:vAlign w:val="center"/>
                </w:tcPr>
                <w:p w14:paraId="538C8248">
                  <w:pPr>
                    <w:widowControl/>
                    <w:jc w:val="center"/>
                    <w:rPr>
                      <w:szCs w:val="21"/>
                    </w:rPr>
                  </w:pPr>
                  <w:r>
                    <w:rPr>
                      <w:szCs w:val="21"/>
                    </w:rPr>
                    <w:t>--</w:t>
                  </w:r>
                </w:p>
              </w:tc>
              <w:tc>
                <w:tcPr>
                  <w:tcW w:w="512" w:type="pct"/>
                  <w:shd w:val="clear" w:color="auto" w:fill="auto"/>
                  <w:vAlign w:val="center"/>
                </w:tcPr>
                <w:p w14:paraId="506EED94">
                  <w:pPr>
                    <w:widowControl/>
                    <w:jc w:val="center"/>
                    <w:rPr>
                      <w:szCs w:val="21"/>
                    </w:rPr>
                  </w:pPr>
                  <w:r>
                    <w:rPr>
                      <w:szCs w:val="21"/>
                    </w:rPr>
                    <w:t>3.432</w:t>
                  </w:r>
                </w:p>
              </w:tc>
              <w:tc>
                <w:tcPr>
                  <w:tcW w:w="566" w:type="pct"/>
                  <w:shd w:val="clear" w:color="auto" w:fill="auto"/>
                  <w:vAlign w:val="center"/>
                </w:tcPr>
                <w:p w14:paraId="4A9D3669">
                  <w:pPr>
                    <w:widowControl/>
                    <w:jc w:val="center"/>
                    <w:rPr>
                      <w:szCs w:val="21"/>
                    </w:rPr>
                  </w:pPr>
                  <w:r>
                    <w:rPr>
                      <w:szCs w:val="21"/>
                    </w:rPr>
                    <w:t>3.356</w:t>
                  </w:r>
                </w:p>
              </w:tc>
              <w:tc>
                <w:tcPr>
                  <w:tcW w:w="605" w:type="pct"/>
                  <w:shd w:val="clear" w:color="auto" w:fill="auto"/>
                  <w:vAlign w:val="center"/>
                </w:tcPr>
                <w:p w14:paraId="0C3D265A">
                  <w:pPr>
                    <w:widowControl/>
                    <w:jc w:val="center"/>
                    <w:rPr>
                      <w:szCs w:val="21"/>
                    </w:rPr>
                  </w:pPr>
                  <w:r>
                    <w:rPr>
                      <w:szCs w:val="21"/>
                    </w:rPr>
                    <w:t>--</w:t>
                  </w:r>
                </w:p>
              </w:tc>
              <w:tc>
                <w:tcPr>
                  <w:tcW w:w="559" w:type="pct"/>
                  <w:shd w:val="clear" w:color="auto" w:fill="auto"/>
                  <w:vAlign w:val="center"/>
                </w:tcPr>
                <w:p w14:paraId="20F4F3C2">
                  <w:pPr>
                    <w:widowControl/>
                    <w:jc w:val="center"/>
                    <w:rPr>
                      <w:szCs w:val="21"/>
                    </w:rPr>
                  </w:pPr>
                  <w:r>
                    <w:rPr>
                      <w:szCs w:val="21"/>
                    </w:rPr>
                    <w:t>20.85</w:t>
                  </w:r>
                </w:p>
              </w:tc>
              <w:tc>
                <w:tcPr>
                  <w:tcW w:w="562" w:type="pct"/>
                  <w:shd w:val="clear" w:color="auto" w:fill="auto"/>
                  <w:vAlign w:val="center"/>
                </w:tcPr>
                <w:p w14:paraId="703821A1">
                  <w:pPr>
                    <w:widowControl/>
                    <w:jc w:val="center"/>
                    <w:rPr>
                      <w:szCs w:val="21"/>
                    </w:rPr>
                  </w:pPr>
                  <w:r>
                    <w:rPr>
                      <w:szCs w:val="21"/>
                    </w:rPr>
                    <w:t>18.839</w:t>
                  </w:r>
                </w:p>
              </w:tc>
              <w:tc>
                <w:tcPr>
                  <w:tcW w:w="715" w:type="pct"/>
                  <w:shd w:val="clear" w:color="auto" w:fill="auto"/>
                  <w:vAlign w:val="center"/>
                </w:tcPr>
                <w:p w14:paraId="346F1A9F">
                  <w:pPr>
                    <w:widowControl/>
                    <w:jc w:val="center"/>
                    <w:rPr>
                      <w:szCs w:val="21"/>
                    </w:rPr>
                  </w:pPr>
                  <w:r>
                    <w:rPr>
                      <w:szCs w:val="21"/>
                    </w:rPr>
                    <w:t>--</w:t>
                  </w:r>
                </w:p>
              </w:tc>
            </w:tr>
            <w:tr w14:paraId="0F4558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627" w:type="pct"/>
                  <w:shd w:val="clear" w:color="auto" w:fill="auto"/>
                  <w:vAlign w:val="center"/>
                </w:tcPr>
                <w:p w14:paraId="024795DA">
                  <w:pPr>
                    <w:widowControl/>
                    <w:jc w:val="center"/>
                    <w:rPr>
                      <w:kern w:val="0"/>
                      <w:szCs w:val="21"/>
                    </w:rPr>
                  </w:pPr>
                  <w:r>
                    <w:rPr>
                      <w:kern w:val="0"/>
                      <w:szCs w:val="21"/>
                    </w:rPr>
                    <w:t>最大值</w:t>
                  </w:r>
                </w:p>
              </w:tc>
              <w:tc>
                <w:tcPr>
                  <w:tcW w:w="854" w:type="pct"/>
                  <w:shd w:val="clear" w:color="auto" w:fill="auto"/>
                  <w:vAlign w:val="center"/>
                </w:tcPr>
                <w:p w14:paraId="0F4C7064">
                  <w:pPr>
                    <w:widowControl/>
                    <w:jc w:val="center"/>
                    <w:rPr>
                      <w:szCs w:val="21"/>
                    </w:rPr>
                  </w:pPr>
                  <w:r>
                    <w:rPr>
                      <w:szCs w:val="21"/>
                    </w:rPr>
                    <w:t>2646.70248</w:t>
                  </w:r>
                </w:p>
              </w:tc>
              <w:tc>
                <w:tcPr>
                  <w:tcW w:w="512" w:type="pct"/>
                  <w:shd w:val="clear" w:color="auto" w:fill="auto"/>
                  <w:vAlign w:val="center"/>
                </w:tcPr>
                <w:p w14:paraId="0280558C">
                  <w:pPr>
                    <w:widowControl/>
                    <w:jc w:val="center"/>
                    <w:rPr>
                      <w:szCs w:val="21"/>
                    </w:rPr>
                  </w:pPr>
                  <w:r>
                    <w:rPr>
                      <w:szCs w:val="21"/>
                    </w:rPr>
                    <w:t>3.942</w:t>
                  </w:r>
                </w:p>
              </w:tc>
              <w:tc>
                <w:tcPr>
                  <w:tcW w:w="566" w:type="pct"/>
                  <w:shd w:val="clear" w:color="auto" w:fill="auto"/>
                  <w:vAlign w:val="center"/>
                </w:tcPr>
                <w:p w14:paraId="105E7C3B">
                  <w:pPr>
                    <w:widowControl/>
                    <w:jc w:val="center"/>
                    <w:rPr>
                      <w:szCs w:val="21"/>
                    </w:rPr>
                  </w:pPr>
                  <w:r>
                    <w:rPr>
                      <w:szCs w:val="21"/>
                    </w:rPr>
                    <w:t>3.691</w:t>
                  </w:r>
                </w:p>
              </w:tc>
              <w:tc>
                <w:tcPr>
                  <w:tcW w:w="605" w:type="pct"/>
                  <w:shd w:val="clear" w:color="auto" w:fill="auto"/>
                  <w:vAlign w:val="center"/>
                </w:tcPr>
                <w:p w14:paraId="13D0A8E6">
                  <w:pPr>
                    <w:widowControl/>
                    <w:jc w:val="center"/>
                    <w:rPr>
                      <w:szCs w:val="21"/>
                    </w:rPr>
                  </w:pPr>
                  <w:r>
                    <w:rPr>
                      <w:szCs w:val="21"/>
                    </w:rPr>
                    <w:t>109.816</w:t>
                  </w:r>
                </w:p>
              </w:tc>
              <w:tc>
                <w:tcPr>
                  <w:tcW w:w="559" w:type="pct"/>
                  <w:shd w:val="clear" w:color="auto" w:fill="auto"/>
                  <w:vAlign w:val="center"/>
                </w:tcPr>
                <w:p w14:paraId="46EC3248">
                  <w:pPr>
                    <w:widowControl/>
                    <w:jc w:val="center"/>
                    <w:rPr>
                      <w:szCs w:val="21"/>
                    </w:rPr>
                  </w:pPr>
                  <w:r>
                    <w:rPr>
                      <w:szCs w:val="21"/>
                    </w:rPr>
                    <w:t>23.872</w:t>
                  </w:r>
                </w:p>
              </w:tc>
              <w:tc>
                <w:tcPr>
                  <w:tcW w:w="562" w:type="pct"/>
                  <w:shd w:val="clear" w:color="auto" w:fill="auto"/>
                  <w:vAlign w:val="center"/>
                </w:tcPr>
                <w:p w14:paraId="6E51CCDE">
                  <w:pPr>
                    <w:widowControl/>
                    <w:jc w:val="center"/>
                    <w:rPr>
                      <w:szCs w:val="21"/>
                    </w:rPr>
                  </w:pPr>
                  <w:r>
                    <w:rPr>
                      <w:szCs w:val="21"/>
                    </w:rPr>
                    <w:t>23.612</w:t>
                  </w:r>
                </w:p>
              </w:tc>
              <w:tc>
                <w:tcPr>
                  <w:tcW w:w="715" w:type="pct"/>
                  <w:shd w:val="clear" w:color="auto" w:fill="auto"/>
                  <w:vAlign w:val="center"/>
                </w:tcPr>
                <w:p w14:paraId="532D633F">
                  <w:pPr>
                    <w:widowControl/>
                    <w:jc w:val="center"/>
                    <w:rPr>
                      <w:szCs w:val="21"/>
                    </w:rPr>
                  </w:pPr>
                  <w:r>
                    <w:rPr>
                      <w:szCs w:val="21"/>
                    </w:rPr>
                    <w:t>708.586</w:t>
                  </w:r>
                </w:p>
              </w:tc>
            </w:tr>
            <w:tr w14:paraId="6D46EF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15" w:hRule="atLeast"/>
              </w:trPr>
              <w:tc>
                <w:tcPr>
                  <w:tcW w:w="627" w:type="pct"/>
                  <w:shd w:val="clear" w:color="auto" w:fill="auto"/>
                  <w:vAlign w:val="center"/>
                </w:tcPr>
                <w:p w14:paraId="726CA668">
                  <w:pPr>
                    <w:widowControl/>
                    <w:jc w:val="center"/>
                    <w:rPr>
                      <w:kern w:val="0"/>
                      <w:szCs w:val="21"/>
                    </w:rPr>
                  </w:pPr>
                  <w:r>
                    <w:rPr>
                      <w:kern w:val="0"/>
                      <w:szCs w:val="21"/>
                    </w:rPr>
                    <w:t>最小值</w:t>
                  </w:r>
                </w:p>
              </w:tc>
              <w:tc>
                <w:tcPr>
                  <w:tcW w:w="854" w:type="pct"/>
                  <w:shd w:val="clear" w:color="auto" w:fill="auto"/>
                  <w:vAlign w:val="center"/>
                </w:tcPr>
                <w:p w14:paraId="4D38E03D">
                  <w:pPr>
                    <w:widowControl/>
                    <w:jc w:val="center"/>
                    <w:rPr>
                      <w:szCs w:val="21"/>
                    </w:rPr>
                  </w:pPr>
                  <w:r>
                    <w:rPr>
                      <w:szCs w:val="21"/>
                    </w:rPr>
                    <w:t>1037.99163</w:t>
                  </w:r>
                </w:p>
              </w:tc>
              <w:tc>
                <w:tcPr>
                  <w:tcW w:w="512" w:type="pct"/>
                  <w:shd w:val="clear" w:color="auto" w:fill="auto"/>
                  <w:vAlign w:val="center"/>
                </w:tcPr>
                <w:p w14:paraId="19FF52C3">
                  <w:pPr>
                    <w:widowControl/>
                    <w:jc w:val="center"/>
                    <w:rPr>
                      <w:szCs w:val="21"/>
                    </w:rPr>
                  </w:pPr>
                  <w:r>
                    <w:rPr>
                      <w:szCs w:val="21"/>
                    </w:rPr>
                    <w:t>2.697</w:t>
                  </w:r>
                </w:p>
              </w:tc>
              <w:tc>
                <w:tcPr>
                  <w:tcW w:w="566" w:type="pct"/>
                  <w:shd w:val="clear" w:color="auto" w:fill="auto"/>
                  <w:vAlign w:val="center"/>
                </w:tcPr>
                <w:p w14:paraId="7316CB11">
                  <w:pPr>
                    <w:widowControl/>
                    <w:jc w:val="center"/>
                    <w:rPr>
                      <w:szCs w:val="21"/>
                    </w:rPr>
                  </w:pPr>
                  <w:r>
                    <w:rPr>
                      <w:szCs w:val="21"/>
                    </w:rPr>
                    <w:t>2.689</w:t>
                  </w:r>
                </w:p>
              </w:tc>
              <w:tc>
                <w:tcPr>
                  <w:tcW w:w="605" w:type="pct"/>
                  <w:shd w:val="clear" w:color="auto" w:fill="auto"/>
                  <w:vAlign w:val="center"/>
                </w:tcPr>
                <w:p w14:paraId="4C794F46">
                  <w:pPr>
                    <w:widowControl/>
                    <w:jc w:val="center"/>
                    <w:rPr>
                      <w:szCs w:val="21"/>
                    </w:rPr>
                  </w:pPr>
                  <w:r>
                    <w:rPr>
                      <w:szCs w:val="21"/>
                    </w:rPr>
                    <w:t>31.766</w:t>
                  </w:r>
                </w:p>
              </w:tc>
              <w:tc>
                <w:tcPr>
                  <w:tcW w:w="559" w:type="pct"/>
                  <w:shd w:val="clear" w:color="auto" w:fill="auto"/>
                  <w:vAlign w:val="center"/>
                </w:tcPr>
                <w:p w14:paraId="64E31342">
                  <w:pPr>
                    <w:widowControl/>
                    <w:jc w:val="center"/>
                    <w:rPr>
                      <w:szCs w:val="21"/>
                    </w:rPr>
                  </w:pPr>
                  <w:r>
                    <w:rPr>
                      <w:szCs w:val="21"/>
                    </w:rPr>
                    <w:t>17.933</w:t>
                  </w:r>
                </w:p>
              </w:tc>
              <w:tc>
                <w:tcPr>
                  <w:tcW w:w="562" w:type="pct"/>
                  <w:shd w:val="clear" w:color="auto" w:fill="auto"/>
                  <w:vAlign w:val="center"/>
                </w:tcPr>
                <w:p w14:paraId="7666BB37">
                  <w:pPr>
                    <w:widowControl/>
                    <w:jc w:val="center"/>
                    <w:rPr>
                      <w:szCs w:val="21"/>
                    </w:rPr>
                  </w:pPr>
                  <w:r>
                    <w:rPr>
                      <w:szCs w:val="21"/>
                    </w:rPr>
                    <w:t>13.553</w:t>
                  </w:r>
                </w:p>
              </w:tc>
              <w:tc>
                <w:tcPr>
                  <w:tcW w:w="715" w:type="pct"/>
                  <w:shd w:val="clear" w:color="auto" w:fill="auto"/>
                  <w:vAlign w:val="center"/>
                </w:tcPr>
                <w:p w14:paraId="5E2930ED">
                  <w:pPr>
                    <w:widowControl/>
                    <w:jc w:val="center"/>
                    <w:rPr>
                      <w:szCs w:val="21"/>
                    </w:rPr>
                  </w:pPr>
                  <w:r>
                    <w:rPr>
                      <w:szCs w:val="21"/>
                    </w:rPr>
                    <w:t>175.701</w:t>
                  </w:r>
                </w:p>
              </w:tc>
            </w:tr>
            <w:tr w14:paraId="41AC83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627" w:type="pct"/>
                  <w:shd w:val="clear" w:color="auto" w:fill="auto"/>
                  <w:vAlign w:val="center"/>
                </w:tcPr>
                <w:p w14:paraId="3D3143B8">
                  <w:pPr>
                    <w:widowControl/>
                    <w:jc w:val="center"/>
                    <w:rPr>
                      <w:kern w:val="0"/>
                      <w:szCs w:val="21"/>
                    </w:rPr>
                  </w:pPr>
                  <w:r>
                    <w:rPr>
                      <w:kern w:val="0"/>
                      <w:szCs w:val="21"/>
                    </w:rPr>
                    <w:t>年排放总量(吨)</w:t>
                  </w:r>
                </w:p>
              </w:tc>
              <w:tc>
                <w:tcPr>
                  <w:tcW w:w="854" w:type="pct"/>
                  <w:shd w:val="clear" w:color="auto" w:fill="auto"/>
                  <w:vAlign w:val="center"/>
                </w:tcPr>
                <w:p w14:paraId="25FFB479">
                  <w:pPr>
                    <w:widowControl/>
                    <w:jc w:val="center"/>
                    <w:rPr>
                      <w:szCs w:val="21"/>
                    </w:rPr>
                  </w:pPr>
                  <w:r>
                    <w:rPr>
                      <w:szCs w:val="21"/>
                    </w:rPr>
                    <w:t>4729.81443</w:t>
                  </w:r>
                </w:p>
              </w:tc>
              <w:tc>
                <w:tcPr>
                  <w:tcW w:w="512" w:type="pct"/>
                  <w:shd w:val="clear" w:color="auto" w:fill="auto"/>
                  <w:vAlign w:val="center"/>
                </w:tcPr>
                <w:p w14:paraId="5DBB5C7F">
                  <w:pPr>
                    <w:widowControl/>
                    <w:jc w:val="center"/>
                    <w:rPr>
                      <w:szCs w:val="21"/>
                    </w:rPr>
                  </w:pPr>
                  <w:r>
                    <w:rPr>
                      <w:szCs w:val="21"/>
                    </w:rPr>
                    <w:t>--</w:t>
                  </w:r>
                </w:p>
              </w:tc>
              <w:tc>
                <w:tcPr>
                  <w:tcW w:w="566" w:type="pct"/>
                  <w:shd w:val="clear" w:color="auto" w:fill="auto"/>
                  <w:vAlign w:val="center"/>
                </w:tcPr>
                <w:p w14:paraId="77D86C78">
                  <w:pPr>
                    <w:widowControl/>
                    <w:jc w:val="center"/>
                    <w:rPr>
                      <w:szCs w:val="21"/>
                    </w:rPr>
                  </w:pPr>
                  <w:r>
                    <w:rPr>
                      <w:szCs w:val="21"/>
                    </w:rPr>
                    <w:t>--</w:t>
                  </w:r>
                </w:p>
              </w:tc>
              <w:tc>
                <w:tcPr>
                  <w:tcW w:w="605" w:type="pct"/>
                  <w:shd w:val="clear" w:color="auto" w:fill="auto"/>
                  <w:vAlign w:val="center"/>
                </w:tcPr>
                <w:p w14:paraId="44C62CDB">
                  <w:pPr>
                    <w:widowControl/>
                    <w:jc w:val="center"/>
                    <w:rPr>
                      <w:szCs w:val="21"/>
                    </w:rPr>
                  </w:pPr>
                  <w:r>
                    <w:rPr>
                      <w:szCs w:val="21"/>
                    </w:rPr>
                    <w:t>0.18569</w:t>
                  </w:r>
                </w:p>
              </w:tc>
              <w:tc>
                <w:tcPr>
                  <w:tcW w:w="559" w:type="pct"/>
                  <w:shd w:val="clear" w:color="auto" w:fill="auto"/>
                  <w:vAlign w:val="center"/>
                </w:tcPr>
                <w:p w14:paraId="01B3B1BE">
                  <w:pPr>
                    <w:widowControl/>
                    <w:jc w:val="center"/>
                    <w:rPr>
                      <w:szCs w:val="21"/>
                    </w:rPr>
                  </w:pPr>
                  <w:r>
                    <w:rPr>
                      <w:szCs w:val="21"/>
                    </w:rPr>
                    <w:t>--</w:t>
                  </w:r>
                </w:p>
              </w:tc>
              <w:tc>
                <w:tcPr>
                  <w:tcW w:w="562" w:type="pct"/>
                  <w:shd w:val="clear" w:color="auto" w:fill="auto"/>
                  <w:vAlign w:val="center"/>
                </w:tcPr>
                <w:p w14:paraId="65B673E1">
                  <w:pPr>
                    <w:widowControl/>
                    <w:jc w:val="center"/>
                    <w:rPr>
                      <w:szCs w:val="21"/>
                    </w:rPr>
                  </w:pPr>
                  <w:r>
                    <w:rPr>
                      <w:szCs w:val="21"/>
                    </w:rPr>
                    <w:t>--</w:t>
                  </w:r>
                </w:p>
              </w:tc>
              <w:tc>
                <w:tcPr>
                  <w:tcW w:w="715" w:type="pct"/>
                  <w:shd w:val="clear" w:color="auto" w:fill="auto"/>
                  <w:vAlign w:val="center"/>
                </w:tcPr>
                <w:p w14:paraId="23885EE0">
                  <w:pPr>
                    <w:widowControl/>
                    <w:jc w:val="center"/>
                    <w:rPr>
                      <w:szCs w:val="21"/>
                    </w:rPr>
                  </w:pPr>
                  <w:r>
                    <w:rPr>
                      <w:szCs w:val="21"/>
                    </w:rPr>
                    <w:t>1.13072</w:t>
                  </w:r>
                </w:p>
              </w:tc>
            </w:tr>
          </w:tbl>
          <w:p w14:paraId="491BEC88">
            <w:pPr>
              <w:jc w:val="left"/>
              <w:rPr>
                <w:rFonts w:eastAsia="黑体"/>
                <w:szCs w:val="21"/>
              </w:rPr>
            </w:pPr>
            <w:r>
              <w:rPr>
                <w:rFonts w:eastAsia="黑体"/>
                <w:szCs w:val="21"/>
              </w:rPr>
              <w:t>备注：2025年1月~8月份、12月份均为停产状态。</w:t>
            </w:r>
          </w:p>
          <w:p w14:paraId="24901606">
            <w:pPr>
              <w:spacing w:line="520" w:lineRule="exact"/>
              <w:jc w:val="center"/>
              <w:rPr>
                <w:rFonts w:eastAsia="黑体"/>
                <w:sz w:val="24"/>
                <w:szCs w:val="32"/>
              </w:rPr>
            </w:pPr>
            <w:r>
              <w:rPr>
                <w:rFonts w:eastAsia="黑体"/>
                <w:sz w:val="24"/>
                <w:szCs w:val="32"/>
              </w:rPr>
              <w:t>表2-15      2025年窑炉烟气排放连续监测月平均值年报表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317"/>
              <w:gridCol w:w="1317"/>
              <w:gridCol w:w="1752"/>
              <w:gridCol w:w="1429"/>
              <w:gridCol w:w="1340"/>
            </w:tblGrid>
            <w:tr w14:paraId="0DCF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69" w:type="pct"/>
                  <w:vMerge w:val="restart"/>
                  <w:shd w:val="clear" w:color="auto" w:fill="auto"/>
                  <w:noWrap/>
                  <w:vAlign w:val="center"/>
                </w:tcPr>
                <w:p w14:paraId="5E7C83EF">
                  <w:pPr>
                    <w:widowControl/>
                    <w:jc w:val="center"/>
                    <w:rPr>
                      <w:kern w:val="0"/>
                      <w:szCs w:val="21"/>
                    </w:rPr>
                  </w:pPr>
                  <w:r>
                    <w:rPr>
                      <w:kern w:val="0"/>
                      <w:szCs w:val="21"/>
                    </w:rPr>
                    <w:t>时间</w:t>
                  </w:r>
                </w:p>
              </w:tc>
              <w:tc>
                <w:tcPr>
                  <w:tcW w:w="2594" w:type="pct"/>
                  <w:gridSpan w:val="3"/>
                  <w:shd w:val="clear" w:color="auto" w:fill="auto"/>
                  <w:vAlign w:val="center"/>
                </w:tcPr>
                <w:p w14:paraId="12D3F708">
                  <w:pPr>
                    <w:widowControl/>
                    <w:jc w:val="center"/>
                    <w:rPr>
                      <w:kern w:val="0"/>
                      <w:szCs w:val="21"/>
                    </w:rPr>
                  </w:pPr>
                  <w:r>
                    <w:rPr>
                      <w:kern w:val="0"/>
                      <w:szCs w:val="21"/>
                    </w:rPr>
                    <w:t>氮氧化物（毫克/立方米）</w:t>
                  </w:r>
                </w:p>
              </w:tc>
              <w:tc>
                <w:tcPr>
                  <w:tcW w:w="1638" w:type="pct"/>
                  <w:gridSpan w:val="2"/>
                  <w:shd w:val="clear" w:color="auto" w:fill="auto"/>
                  <w:noWrap/>
                  <w:vAlign w:val="center"/>
                </w:tcPr>
                <w:p w14:paraId="68B89F95">
                  <w:pPr>
                    <w:widowControl/>
                    <w:jc w:val="center"/>
                    <w:rPr>
                      <w:kern w:val="0"/>
                      <w:szCs w:val="21"/>
                    </w:rPr>
                  </w:pPr>
                  <w:r>
                    <w:rPr>
                      <w:kern w:val="0"/>
                      <w:szCs w:val="21"/>
                    </w:rPr>
                    <w:t>氧含量(百分比)</w:t>
                  </w:r>
                </w:p>
              </w:tc>
            </w:tr>
            <w:tr w14:paraId="32B0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vMerge w:val="continue"/>
                  <w:vAlign w:val="center"/>
                </w:tcPr>
                <w:p w14:paraId="5974AF71">
                  <w:pPr>
                    <w:widowControl/>
                    <w:jc w:val="center"/>
                    <w:rPr>
                      <w:kern w:val="0"/>
                      <w:szCs w:val="21"/>
                    </w:rPr>
                  </w:pPr>
                </w:p>
              </w:tc>
              <w:tc>
                <w:tcPr>
                  <w:tcW w:w="2594" w:type="pct"/>
                  <w:gridSpan w:val="3"/>
                  <w:shd w:val="clear" w:color="auto" w:fill="auto"/>
                  <w:vAlign w:val="center"/>
                </w:tcPr>
                <w:p w14:paraId="562A4CD9">
                  <w:pPr>
                    <w:widowControl/>
                    <w:jc w:val="center"/>
                    <w:rPr>
                      <w:kern w:val="0"/>
                      <w:szCs w:val="21"/>
                    </w:rPr>
                  </w:pPr>
                  <w:r>
                    <w:rPr>
                      <w:kern w:val="0"/>
                      <w:szCs w:val="21"/>
                    </w:rPr>
                    <w:t>修正值</w:t>
                  </w:r>
                </w:p>
              </w:tc>
              <w:tc>
                <w:tcPr>
                  <w:tcW w:w="845" w:type="pct"/>
                  <w:vMerge w:val="restart"/>
                  <w:shd w:val="clear" w:color="auto" w:fill="auto"/>
                  <w:vAlign w:val="center"/>
                </w:tcPr>
                <w:p w14:paraId="2FD30F0E">
                  <w:pPr>
                    <w:widowControl/>
                    <w:jc w:val="center"/>
                    <w:rPr>
                      <w:kern w:val="0"/>
                      <w:szCs w:val="21"/>
                    </w:rPr>
                  </w:pPr>
                  <w:r>
                    <w:rPr>
                      <w:kern w:val="0"/>
                      <w:szCs w:val="21"/>
                    </w:rPr>
                    <w:t>监测值</w:t>
                  </w:r>
                </w:p>
              </w:tc>
              <w:tc>
                <w:tcPr>
                  <w:tcW w:w="793" w:type="pct"/>
                  <w:vMerge w:val="restart"/>
                  <w:shd w:val="clear" w:color="auto" w:fill="auto"/>
                  <w:vAlign w:val="center"/>
                </w:tcPr>
                <w:p w14:paraId="4EF546FB">
                  <w:pPr>
                    <w:widowControl/>
                    <w:jc w:val="center"/>
                    <w:rPr>
                      <w:kern w:val="0"/>
                      <w:szCs w:val="21"/>
                    </w:rPr>
                  </w:pPr>
                  <w:r>
                    <w:rPr>
                      <w:kern w:val="0"/>
                      <w:szCs w:val="21"/>
                    </w:rPr>
                    <w:t>修正值</w:t>
                  </w:r>
                </w:p>
              </w:tc>
            </w:tr>
            <w:tr w14:paraId="78E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vMerge w:val="continue"/>
                  <w:vAlign w:val="center"/>
                </w:tcPr>
                <w:p w14:paraId="45FBB81D">
                  <w:pPr>
                    <w:widowControl/>
                    <w:jc w:val="center"/>
                    <w:rPr>
                      <w:kern w:val="0"/>
                      <w:szCs w:val="21"/>
                    </w:rPr>
                  </w:pPr>
                </w:p>
              </w:tc>
              <w:tc>
                <w:tcPr>
                  <w:tcW w:w="1558" w:type="pct"/>
                  <w:gridSpan w:val="2"/>
                  <w:shd w:val="clear" w:color="auto" w:fill="auto"/>
                  <w:vAlign w:val="center"/>
                </w:tcPr>
                <w:p w14:paraId="0D536CCB">
                  <w:pPr>
                    <w:widowControl/>
                    <w:jc w:val="center"/>
                    <w:rPr>
                      <w:kern w:val="0"/>
                      <w:szCs w:val="21"/>
                    </w:rPr>
                  </w:pPr>
                  <w:r>
                    <w:rPr>
                      <w:kern w:val="0"/>
                      <w:szCs w:val="21"/>
                    </w:rPr>
                    <w:t>浓度-标记后</w:t>
                  </w:r>
                </w:p>
              </w:tc>
              <w:tc>
                <w:tcPr>
                  <w:tcW w:w="1036" w:type="pct"/>
                  <w:vMerge w:val="restart"/>
                  <w:shd w:val="clear" w:color="auto" w:fill="auto"/>
                  <w:vAlign w:val="center"/>
                </w:tcPr>
                <w:p w14:paraId="54816D0E">
                  <w:pPr>
                    <w:widowControl/>
                    <w:jc w:val="center"/>
                    <w:rPr>
                      <w:kern w:val="0"/>
                      <w:szCs w:val="21"/>
                    </w:rPr>
                  </w:pPr>
                  <w:r>
                    <w:rPr>
                      <w:kern w:val="0"/>
                      <w:szCs w:val="21"/>
                    </w:rPr>
                    <w:t>排放量(千克)</w:t>
                  </w:r>
                </w:p>
              </w:tc>
              <w:tc>
                <w:tcPr>
                  <w:tcW w:w="845" w:type="pct"/>
                  <w:vMerge w:val="continue"/>
                  <w:vAlign w:val="center"/>
                </w:tcPr>
                <w:p w14:paraId="04418C9A">
                  <w:pPr>
                    <w:widowControl/>
                    <w:jc w:val="center"/>
                    <w:rPr>
                      <w:kern w:val="0"/>
                      <w:szCs w:val="21"/>
                    </w:rPr>
                  </w:pPr>
                </w:p>
              </w:tc>
              <w:tc>
                <w:tcPr>
                  <w:tcW w:w="793" w:type="pct"/>
                  <w:vMerge w:val="continue"/>
                  <w:vAlign w:val="center"/>
                </w:tcPr>
                <w:p w14:paraId="61BBB39B">
                  <w:pPr>
                    <w:widowControl/>
                    <w:jc w:val="center"/>
                    <w:rPr>
                      <w:kern w:val="0"/>
                      <w:szCs w:val="21"/>
                    </w:rPr>
                  </w:pPr>
                </w:p>
              </w:tc>
            </w:tr>
            <w:tr w14:paraId="2EF5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vMerge w:val="continue"/>
                  <w:vAlign w:val="center"/>
                </w:tcPr>
                <w:p w14:paraId="2ECBF10E">
                  <w:pPr>
                    <w:widowControl/>
                    <w:jc w:val="center"/>
                    <w:rPr>
                      <w:kern w:val="0"/>
                      <w:szCs w:val="21"/>
                    </w:rPr>
                  </w:pPr>
                </w:p>
              </w:tc>
              <w:tc>
                <w:tcPr>
                  <w:tcW w:w="779" w:type="pct"/>
                  <w:shd w:val="clear" w:color="auto" w:fill="auto"/>
                  <w:vAlign w:val="center"/>
                </w:tcPr>
                <w:p w14:paraId="447DC572">
                  <w:pPr>
                    <w:widowControl/>
                    <w:jc w:val="center"/>
                    <w:rPr>
                      <w:kern w:val="0"/>
                      <w:szCs w:val="21"/>
                    </w:rPr>
                  </w:pPr>
                  <w:r>
                    <w:rPr>
                      <w:kern w:val="0"/>
                      <w:szCs w:val="21"/>
                    </w:rPr>
                    <w:t>实测值</w:t>
                  </w:r>
                </w:p>
              </w:tc>
              <w:tc>
                <w:tcPr>
                  <w:tcW w:w="779" w:type="pct"/>
                  <w:shd w:val="clear" w:color="auto" w:fill="auto"/>
                  <w:vAlign w:val="center"/>
                </w:tcPr>
                <w:p w14:paraId="280C6DAC">
                  <w:pPr>
                    <w:widowControl/>
                    <w:jc w:val="center"/>
                    <w:rPr>
                      <w:kern w:val="0"/>
                      <w:szCs w:val="21"/>
                    </w:rPr>
                  </w:pPr>
                  <w:r>
                    <w:rPr>
                      <w:kern w:val="0"/>
                      <w:szCs w:val="21"/>
                    </w:rPr>
                    <w:t>折算值</w:t>
                  </w:r>
                </w:p>
              </w:tc>
              <w:tc>
                <w:tcPr>
                  <w:tcW w:w="1036" w:type="pct"/>
                  <w:vMerge w:val="continue"/>
                  <w:vAlign w:val="center"/>
                </w:tcPr>
                <w:p w14:paraId="7FD82F5B">
                  <w:pPr>
                    <w:widowControl/>
                    <w:jc w:val="center"/>
                    <w:rPr>
                      <w:kern w:val="0"/>
                      <w:szCs w:val="21"/>
                    </w:rPr>
                  </w:pPr>
                </w:p>
              </w:tc>
              <w:tc>
                <w:tcPr>
                  <w:tcW w:w="845" w:type="pct"/>
                  <w:vMerge w:val="continue"/>
                  <w:vAlign w:val="center"/>
                </w:tcPr>
                <w:p w14:paraId="239DA807">
                  <w:pPr>
                    <w:widowControl/>
                    <w:jc w:val="center"/>
                    <w:rPr>
                      <w:kern w:val="0"/>
                      <w:szCs w:val="21"/>
                    </w:rPr>
                  </w:pPr>
                </w:p>
              </w:tc>
              <w:tc>
                <w:tcPr>
                  <w:tcW w:w="793" w:type="pct"/>
                  <w:vMerge w:val="continue"/>
                  <w:vAlign w:val="center"/>
                </w:tcPr>
                <w:p w14:paraId="7243D2A8">
                  <w:pPr>
                    <w:widowControl/>
                    <w:jc w:val="center"/>
                    <w:rPr>
                      <w:kern w:val="0"/>
                      <w:szCs w:val="21"/>
                    </w:rPr>
                  </w:pPr>
                </w:p>
              </w:tc>
            </w:tr>
            <w:tr w14:paraId="5B7D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shd w:val="clear" w:color="auto" w:fill="auto"/>
                  <w:vAlign w:val="center"/>
                </w:tcPr>
                <w:p w14:paraId="17820647">
                  <w:pPr>
                    <w:widowControl/>
                    <w:jc w:val="center"/>
                    <w:rPr>
                      <w:kern w:val="0"/>
                      <w:szCs w:val="21"/>
                    </w:rPr>
                  </w:pPr>
                  <w:r>
                    <w:rPr>
                      <w:kern w:val="0"/>
                      <w:szCs w:val="21"/>
                    </w:rPr>
                    <w:t>1月</w:t>
                  </w:r>
                </w:p>
              </w:tc>
              <w:tc>
                <w:tcPr>
                  <w:tcW w:w="779" w:type="pct"/>
                  <w:shd w:val="clear" w:color="auto" w:fill="auto"/>
                  <w:vAlign w:val="center"/>
                </w:tcPr>
                <w:p w14:paraId="577C142D">
                  <w:pPr>
                    <w:widowControl/>
                    <w:jc w:val="center"/>
                    <w:rPr>
                      <w:kern w:val="0"/>
                      <w:szCs w:val="21"/>
                    </w:rPr>
                  </w:pPr>
                  <w:r>
                    <w:rPr>
                      <w:kern w:val="0"/>
                      <w:szCs w:val="21"/>
                    </w:rPr>
                    <w:t>--</w:t>
                  </w:r>
                </w:p>
              </w:tc>
              <w:tc>
                <w:tcPr>
                  <w:tcW w:w="779" w:type="pct"/>
                  <w:shd w:val="clear" w:color="auto" w:fill="auto"/>
                  <w:vAlign w:val="center"/>
                </w:tcPr>
                <w:p w14:paraId="4E1EEA6C">
                  <w:pPr>
                    <w:widowControl/>
                    <w:jc w:val="center"/>
                    <w:rPr>
                      <w:kern w:val="0"/>
                      <w:szCs w:val="21"/>
                    </w:rPr>
                  </w:pPr>
                  <w:r>
                    <w:rPr>
                      <w:kern w:val="0"/>
                      <w:szCs w:val="21"/>
                    </w:rPr>
                    <w:t>--</w:t>
                  </w:r>
                </w:p>
              </w:tc>
              <w:tc>
                <w:tcPr>
                  <w:tcW w:w="1036" w:type="pct"/>
                  <w:shd w:val="clear" w:color="auto" w:fill="auto"/>
                  <w:vAlign w:val="center"/>
                </w:tcPr>
                <w:p w14:paraId="1314168A">
                  <w:pPr>
                    <w:widowControl/>
                    <w:jc w:val="center"/>
                    <w:rPr>
                      <w:kern w:val="0"/>
                      <w:szCs w:val="21"/>
                    </w:rPr>
                  </w:pPr>
                  <w:r>
                    <w:rPr>
                      <w:kern w:val="0"/>
                      <w:szCs w:val="21"/>
                    </w:rPr>
                    <w:t>--</w:t>
                  </w:r>
                </w:p>
              </w:tc>
              <w:tc>
                <w:tcPr>
                  <w:tcW w:w="845" w:type="pct"/>
                  <w:shd w:val="clear" w:color="auto" w:fill="auto"/>
                  <w:vAlign w:val="center"/>
                </w:tcPr>
                <w:p w14:paraId="04B175CB">
                  <w:pPr>
                    <w:widowControl/>
                    <w:jc w:val="center"/>
                    <w:rPr>
                      <w:kern w:val="0"/>
                      <w:szCs w:val="21"/>
                    </w:rPr>
                  </w:pPr>
                  <w:r>
                    <w:rPr>
                      <w:kern w:val="0"/>
                      <w:szCs w:val="21"/>
                    </w:rPr>
                    <w:t>--</w:t>
                  </w:r>
                </w:p>
              </w:tc>
              <w:tc>
                <w:tcPr>
                  <w:tcW w:w="793" w:type="pct"/>
                  <w:shd w:val="clear" w:color="auto" w:fill="auto"/>
                  <w:vAlign w:val="center"/>
                </w:tcPr>
                <w:p w14:paraId="27008F11">
                  <w:pPr>
                    <w:widowControl/>
                    <w:jc w:val="center"/>
                    <w:rPr>
                      <w:kern w:val="0"/>
                      <w:szCs w:val="21"/>
                    </w:rPr>
                  </w:pPr>
                  <w:r>
                    <w:rPr>
                      <w:kern w:val="0"/>
                      <w:szCs w:val="21"/>
                    </w:rPr>
                    <w:t>--</w:t>
                  </w:r>
                </w:p>
              </w:tc>
            </w:tr>
            <w:tr w14:paraId="0B89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shd w:val="clear" w:color="auto" w:fill="auto"/>
                  <w:vAlign w:val="center"/>
                </w:tcPr>
                <w:p w14:paraId="6E26B5AA">
                  <w:pPr>
                    <w:widowControl/>
                    <w:jc w:val="center"/>
                    <w:rPr>
                      <w:kern w:val="0"/>
                      <w:szCs w:val="21"/>
                    </w:rPr>
                  </w:pPr>
                  <w:r>
                    <w:rPr>
                      <w:kern w:val="0"/>
                      <w:szCs w:val="21"/>
                    </w:rPr>
                    <w:t>2月</w:t>
                  </w:r>
                </w:p>
              </w:tc>
              <w:tc>
                <w:tcPr>
                  <w:tcW w:w="779" w:type="pct"/>
                  <w:shd w:val="clear" w:color="auto" w:fill="auto"/>
                  <w:vAlign w:val="center"/>
                </w:tcPr>
                <w:p w14:paraId="460D64CF">
                  <w:pPr>
                    <w:widowControl/>
                    <w:jc w:val="center"/>
                    <w:rPr>
                      <w:kern w:val="0"/>
                      <w:szCs w:val="21"/>
                    </w:rPr>
                  </w:pPr>
                  <w:r>
                    <w:rPr>
                      <w:kern w:val="0"/>
                      <w:szCs w:val="21"/>
                    </w:rPr>
                    <w:t>--</w:t>
                  </w:r>
                </w:p>
              </w:tc>
              <w:tc>
                <w:tcPr>
                  <w:tcW w:w="779" w:type="pct"/>
                  <w:shd w:val="clear" w:color="auto" w:fill="auto"/>
                  <w:vAlign w:val="center"/>
                </w:tcPr>
                <w:p w14:paraId="0AE12C13">
                  <w:pPr>
                    <w:widowControl/>
                    <w:jc w:val="center"/>
                    <w:rPr>
                      <w:kern w:val="0"/>
                      <w:szCs w:val="21"/>
                    </w:rPr>
                  </w:pPr>
                  <w:r>
                    <w:rPr>
                      <w:kern w:val="0"/>
                      <w:szCs w:val="21"/>
                    </w:rPr>
                    <w:t>--</w:t>
                  </w:r>
                </w:p>
              </w:tc>
              <w:tc>
                <w:tcPr>
                  <w:tcW w:w="1036" w:type="pct"/>
                  <w:shd w:val="clear" w:color="auto" w:fill="auto"/>
                  <w:vAlign w:val="center"/>
                </w:tcPr>
                <w:p w14:paraId="7B648454">
                  <w:pPr>
                    <w:widowControl/>
                    <w:jc w:val="center"/>
                    <w:rPr>
                      <w:kern w:val="0"/>
                      <w:szCs w:val="21"/>
                    </w:rPr>
                  </w:pPr>
                  <w:r>
                    <w:rPr>
                      <w:kern w:val="0"/>
                      <w:szCs w:val="21"/>
                    </w:rPr>
                    <w:t>--</w:t>
                  </w:r>
                </w:p>
              </w:tc>
              <w:tc>
                <w:tcPr>
                  <w:tcW w:w="845" w:type="pct"/>
                  <w:shd w:val="clear" w:color="auto" w:fill="auto"/>
                  <w:vAlign w:val="center"/>
                </w:tcPr>
                <w:p w14:paraId="5A3589E4">
                  <w:pPr>
                    <w:widowControl/>
                    <w:jc w:val="center"/>
                    <w:rPr>
                      <w:kern w:val="0"/>
                      <w:szCs w:val="21"/>
                    </w:rPr>
                  </w:pPr>
                  <w:r>
                    <w:rPr>
                      <w:kern w:val="0"/>
                      <w:szCs w:val="21"/>
                    </w:rPr>
                    <w:t>--</w:t>
                  </w:r>
                </w:p>
              </w:tc>
              <w:tc>
                <w:tcPr>
                  <w:tcW w:w="793" w:type="pct"/>
                  <w:shd w:val="clear" w:color="auto" w:fill="auto"/>
                  <w:vAlign w:val="center"/>
                </w:tcPr>
                <w:p w14:paraId="52F7E7F0">
                  <w:pPr>
                    <w:widowControl/>
                    <w:jc w:val="center"/>
                    <w:rPr>
                      <w:kern w:val="0"/>
                      <w:szCs w:val="21"/>
                    </w:rPr>
                  </w:pPr>
                  <w:r>
                    <w:rPr>
                      <w:kern w:val="0"/>
                      <w:szCs w:val="21"/>
                    </w:rPr>
                    <w:t>--</w:t>
                  </w:r>
                </w:p>
              </w:tc>
            </w:tr>
            <w:tr w14:paraId="6BF1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shd w:val="clear" w:color="auto" w:fill="auto"/>
                  <w:vAlign w:val="center"/>
                </w:tcPr>
                <w:p w14:paraId="3EF93EF7">
                  <w:pPr>
                    <w:widowControl/>
                    <w:jc w:val="center"/>
                    <w:rPr>
                      <w:kern w:val="0"/>
                      <w:szCs w:val="21"/>
                    </w:rPr>
                  </w:pPr>
                  <w:r>
                    <w:rPr>
                      <w:kern w:val="0"/>
                      <w:szCs w:val="21"/>
                    </w:rPr>
                    <w:t>3月</w:t>
                  </w:r>
                </w:p>
              </w:tc>
              <w:tc>
                <w:tcPr>
                  <w:tcW w:w="779" w:type="pct"/>
                  <w:shd w:val="clear" w:color="auto" w:fill="auto"/>
                  <w:vAlign w:val="center"/>
                </w:tcPr>
                <w:p w14:paraId="1777A161">
                  <w:pPr>
                    <w:widowControl/>
                    <w:jc w:val="center"/>
                    <w:rPr>
                      <w:kern w:val="0"/>
                      <w:szCs w:val="21"/>
                    </w:rPr>
                  </w:pPr>
                  <w:r>
                    <w:rPr>
                      <w:kern w:val="0"/>
                      <w:szCs w:val="21"/>
                    </w:rPr>
                    <w:t>--</w:t>
                  </w:r>
                </w:p>
              </w:tc>
              <w:tc>
                <w:tcPr>
                  <w:tcW w:w="779" w:type="pct"/>
                  <w:shd w:val="clear" w:color="auto" w:fill="auto"/>
                  <w:vAlign w:val="center"/>
                </w:tcPr>
                <w:p w14:paraId="6376D297">
                  <w:pPr>
                    <w:widowControl/>
                    <w:jc w:val="center"/>
                    <w:rPr>
                      <w:kern w:val="0"/>
                      <w:szCs w:val="21"/>
                    </w:rPr>
                  </w:pPr>
                  <w:r>
                    <w:rPr>
                      <w:kern w:val="0"/>
                      <w:szCs w:val="21"/>
                    </w:rPr>
                    <w:t>--</w:t>
                  </w:r>
                </w:p>
              </w:tc>
              <w:tc>
                <w:tcPr>
                  <w:tcW w:w="1036" w:type="pct"/>
                  <w:shd w:val="clear" w:color="auto" w:fill="auto"/>
                  <w:vAlign w:val="center"/>
                </w:tcPr>
                <w:p w14:paraId="6079C837">
                  <w:pPr>
                    <w:widowControl/>
                    <w:jc w:val="center"/>
                    <w:rPr>
                      <w:kern w:val="0"/>
                      <w:szCs w:val="21"/>
                    </w:rPr>
                  </w:pPr>
                  <w:r>
                    <w:rPr>
                      <w:kern w:val="0"/>
                      <w:szCs w:val="21"/>
                    </w:rPr>
                    <w:t>--</w:t>
                  </w:r>
                </w:p>
              </w:tc>
              <w:tc>
                <w:tcPr>
                  <w:tcW w:w="845" w:type="pct"/>
                  <w:shd w:val="clear" w:color="auto" w:fill="auto"/>
                  <w:vAlign w:val="center"/>
                </w:tcPr>
                <w:p w14:paraId="3B02CC42">
                  <w:pPr>
                    <w:widowControl/>
                    <w:jc w:val="center"/>
                    <w:rPr>
                      <w:kern w:val="0"/>
                      <w:szCs w:val="21"/>
                    </w:rPr>
                  </w:pPr>
                  <w:r>
                    <w:rPr>
                      <w:kern w:val="0"/>
                      <w:szCs w:val="21"/>
                    </w:rPr>
                    <w:t>--</w:t>
                  </w:r>
                </w:p>
              </w:tc>
              <w:tc>
                <w:tcPr>
                  <w:tcW w:w="793" w:type="pct"/>
                  <w:shd w:val="clear" w:color="auto" w:fill="auto"/>
                  <w:vAlign w:val="center"/>
                </w:tcPr>
                <w:p w14:paraId="7562D77D">
                  <w:pPr>
                    <w:widowControl/>
                    <w:jc w:val="center"/>
                    <w:rPr>
                      <w:kern w:val="0"/>
                      <w:szCs w:val="21"/>
                    </w:rPr>
                  </w:pPr>
                  <w:r>
                    <w:rPr>
                      <w:kern w:val="0"/>
                      <w:szCs w:val="21"/>
                    </w:rPr>
                    <w:t>--</w:t>
                  </w:r>
                </w:p>
              </w:tc>
            </w:tr>
            <w:tr w14:paraId="60F8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shd w:val="clear" w:color="auto" w:fill="auto"/>
                  <w:vAlign w:val="center"/>
                </w:tcPr>
                <w:p w14:paraId="38A90C70">
                  <w:pPr>
                    <w:widowControl/>
                    <w:jc w:val="center"/>
                    <w:rPr>
                      <w:kern w:val="0"/>
                      <w:szCs w:val="21"/>
                    </w:rPr>
                  </w:pPr>
                  <w:r>
                    <w:rPr>
                      <w:kern w:val="0"/>
                      <w:szCs w:val="21"/>
                    </w:rPr>
                    <w:t>4月</w:t>
                  </w:r>
                </w:p>
              </w:tc>
              <w:tc>
                <w:tcPr>
                  <w:tcW w:w="779" w:type="pct"/>
                  <w:shd w:val="clear" w:color="auto" w:fill="auto"/>
                  <w:vAlign w:val="center"/>
                </w:tcPr>
                <w:p w14:paraId="171A6EA7">
                  <w:pPr>
                    <w:widowControl/>
                    <w:jc w:val="center"/>
                    <w:rPr>
                      <w:kern w:val="0"/>
                      <w:szCs w:val="21"/>
                    </w:rPr>
                  </w:pPr>
                  <w:r>
                    <w:rPr>
                      <w:kern w:val="0"/>
                      <w:szCs w:val="21"/>
                    </w:rPr>
                    <w:t>--</w:t>
                  </w:r>
                </w:p>
              </w:tc>
              <w:tc>
                <w:tcPr>
                  <w:tcW w:w="779" w:type="pct"/>
                  <w:shd w:val="clear" w:color="auto" w:fill="auto"/>
                  <w:vAlign w:val="center"/>
                </w:tcPr>
                <w:p w14:paraId="6C13B77C">
                  <w:pPr>
                    <w:widowControl/>
                    <w:jc w:val="center"/>
                    <w:rPr>
                      <w:kern w:val="0"/>
                      <w:szCs w:val="21"/>
                    </w:rPr>
                  </w:pPr>
                  <w:r>
                    <w:rPr>
                      <w:kern w:val="0"/>
                      <w:szCs w:val="21"/>
                    </w:rPr>
                    <w:t>--</w:t>
                  </w:r>
                </w:p>
              </w:tc>
              <w:tc>
                <w:tcPr>
                  <w:tcW w:w="1036" w:type="pct"/>
                  <w:shd w:val="clear" w:color="auto" w:fill="auto"/>
                  <w:vAlign w:val="center"/>
                </w:tcPr>
                <w:p w14:paraId="4B730070">
                  <w:pPr>
                    <w:widowControl/>
                    <w:jc w:val="center"/>
                    <w:rPr>
                      <w:kern w:val="0"/>
                      <w:szCs w:val="21"/>
                    </w:rPr>
                  </w:pPr>
                  <w:r>
                    <w:rPr>
                      <w:kern w:val="0"/>
                      <w:szCs w:val="21"/>
                    </w:rPr>
                    <w:t>--</w:t>
                  </w:r>
                </w:p>
              </w:tc>
              <w:tc>
                <w:tcPr>
                  <w:tcW w:w="845" w:type="pct"/>
                  <w:shd w:val="clear" w:color="auto" w:fill="auto"/>
                  <w:vAlign w:val="center"/>
                </w:tcPr>
                <w:p w14:paraId="15E4B436">
                  <w:pPr>
                    <w:widowControl/>
                    <w:jc w:val="center"/>
                    <w:rPr>
                      <w:kern w:val="0"/>
                      <w:szCs w:val="21"/>
                    </w:rPr>
                  </w:pPr>
                  <w:r>
                    <w:rPr>
                      <w:kern w:val="0"/>
                      <w:szCs w:val="21"/>
                    </w:rPr>
                    <w:t>--</w:t>
                  </w:r>
                </w:p>
              </w:tc>
              <w:tc>
                <w:tcPr>
                  <w:tcW w:w="793" w:type="pct"/>
                  <w:shd w:val="clear" w:color="auto" w:fill="auto"/>
                  <w:vAlign w:val="center"/>
                </w:tcPr>
                <w:p w14:paraId="01E24833">
                  <w:pPr>
                    <w:widowControl/>
                    <w:jc w:val="center"/>
                    <w:rPr>
                      <w:kern w:val="0"/>
                      <w:szCs w:val="21"/>
                    </w:rPr>
                  </w:pPr>
                  <w:r>
                    <w:rPr>
                      <w:kern w:val="0"/>
                      <w:szCs w:val="21"/>
                    </w:rPr>
                    <w:t>--</w:t>
                  </w:r>
                </w:p>
              </w:tc>
            </w:tr>
            <w:tr w14:paraId="1C10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pct"/>
                  <w:shd w:val="clear" w:color="auto" w:fill="auto"/>
                  <w:vAlign w:val="center"/>
                </w:tcPr>
                <w:p w14:paraId="363CD018">
                  <w:pPr>
                    <w:widowControl/>
                    <w:jc w:val="center"/>
                    <w:rPr>
                      <w:kern w:val="0"/>
                      <w:szCs w:val="21"/>
                    </w:rPr>
                  </w:pPr>
                  <w:r>
                    <w:rPr>
                      <w:kern w:val="0"/>
                      <w:szCs w:val="21"/>
                    </w:rPr>
                    <w:t>5月</w:t>
                  </w:r>
                </w:p>
              </w:tc>
              <w:tc>
                <w:tcPr>
                  <w:tcW w:w="779" w:type="pct"/>
                  <w:shd w:val="clear" w:color="auto" w:fill="auto"/>
                  <w:vAlign w:val="center"/>
                </w:tcPr>
                <w:p w14:paraId="09DBB635">
                  <w:pPr>
                    <w:widowControl/>
                    <w:jc w:val="center"/>
                    <w:rPr>
                      <w:kern w:val="0"/>
                      <w:szCs w:val="21"/>
                    </w:rPr>
                  </w:pPr>
                  <w:r>
                    <w:rPr>
                      <w:kern w:val="0"/>
                      <w:szCs w:val="21"/>
                    </w:rPr>
                    <w:t>--</w:t>
                  </w:r>
                </w:p>
              </w:tc>
              <w:tc>
                <w:tcPr>
                  <w:tcW w:w="779" w:type="pct"/>
                  <w:shd w:val="clear" w:color="auto" w:fill="auto"/>
                  <w:vAlign w:val="center"/>
                </w:tcPr>
                <w:p w14:paraId="4CE9B850">
                  <w:pPr>
                    <w:widowControl/>
                    <w:jc w:val="center"/>
                    <w:rPr>
                      <w:kern w:val="0"/>
                      <w:szCs w:val="21"/>
                    </w:rPr>
                  </w:pPr>
                  <w:r>
                    <w:rPr>
                      <w:kern w:val="0"/>
                      <w:szCs w:val="21"/>
                    </w:rPr>
                    <w:t>--</w:t>
                  </w:r>
                </w:p>
              </w:tc>
              <w:tc>
                <w:tcPr>
                  <w:tcW w:w="1036" w:type="pct"/>
                  <w:shd w:val="clear" w:color="auto" w:fill="auto"/>
                  <w:vAlign w:val="center"/>
                </w:tcPr>
                <w:p w14:paraId="3D50C395">
                  <w:pPr>
                    <w:widowControl/>
                    <w:jc w:val="center"/>
                    <w:rPr>
                      <w:kern w:val="0"/>
                      <w:szCs w:val="21"/>
                    </w:rPr>
                  </w:pPr>
                  <w:r>
                    <w:rPr>
                      <w:kern w:val="0"/>
                      <w:szCs w:val="21"/>
                    </w:rPr>
                    <w:t>--</w:t>
                  </w:r>
                </w:p>
              </w:tc>
              <w:tc>
                <w:tcPr>
                  <w:tcW w:w="845" w:type="pct"/>
                  <w:shd w:val="clear" w:color="auto" w:fill="auto"/>
                  <w:vAlign w:val="center"/>
                </w:tcPr>
                <w:p w14:paraId="5E6C01E5">
                  <w:pPr>
                    <w:widowControl/>
                    <w:jc w:val="center"/>
                    <w:rPr>
                      <w:kern w:val="0"/>
                      <w:szCs w:val="21"/>
                    </w:rPr>
                  </w:pPr>
                  <w:r>
                    <w:rPr>
                      <w:kern w:val="0"/>
                      <w:szCs w:val="21"/>
                    </w:rPr>
                    <w:t>--</w:t>
                  </w:r>
                </w:p>
              </w:tc>
              <w:tc>
                <w:tcPr>
                  <w:tcW w:w="793" w:type="pct"/>
                  <w:shd w:val="clear" w:color="auto" w:fill="auto"/>
                  <w:vAlign w:val="center"/>
                </w:tcPr>
                <w:p w14:paraId="70919511">
                  <w:pPr>
                    <w:widowControl/>
                    <w:jc w:val="center"/>
                    <w:rPr>
                      <w:kern w:val="0"/>
                      <w:szCs w:val="21"/>
                    </w:rPr>
                  </w:pPr>
                  <w:r>
                    <w:rPr>
                      <w:kern w:val="0"/>
                      <w:szCs w:val="21"/>
                    </w:rPr>
                    <w:t>--</w:t>
                  </w:r>
                </w:p>
              </w:tc>
            </w:tr>
            <w:tr w14:paraId="1A50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69" w:type="pct"/>
                  <w:shd w:val="clear" w:color="auto" w:fill="auto"/>
                  <w:vAlign w:val="center"/>
                </w:tcPr>
                <w:p w14:paraId="435A3C21">
                  <w:pPr>
                    <w:widowControl/>
                    <w:jc w:val="center"/>
                    <w:rPr>
                      <w:kern w:val="0"/>
                      <w:szCs w:val="21"/>
                    </w:rPr>
                  </w:pPr>
                  <w:r>
                    <w:rPr>
                      <w:kern w:val="0"/>
                      <w:szCs w:val="21"/>
                    </w:rPr>
                    <w:t>6月</w:t>
                  </w:r>
                </w:p>
              </w:tc>
              <w:tc>
                <w:tcPr>
                  <w:tcW w:w="779" w:type="pct"/>
                  <w:shd w:val="clear" w:color="auto" w:fill="auto"/>
                  <w:vAlign w:val="center"/>
                </w:tcPr>
                <w:p w14:paraId="5B31F76F">
                  <w:pPr>
                    <w:widowControl/>
                    <w:jc w:val="center"/>
                    <w:rPr>
                      <w:kern w:val="0"/>
                      <w:szCs w:val="21"/>
                    </w:rPr>
                  </w:pPr>
                  <w:r>
                    <w:rPr>
                      <w:kern w:val="0"/>
                      <w:szCs w:val="21"/>
                    </w:rPr>
                    <w:t>--</w:t>
                  </w:r>
                </w:p>
              </w:tc>
              <w:tc>
                <w:tcPr>
                  <w:tcW w:w="779" w:type="pct"/>
                  <w:shd w:val="clear" w:color="auto" w:fill="auto"/>
                  <w:vAlign w:val="center"/>
                </w:tcPr>
                <w:p w14:paraId="26EE3E35">
                  <w:pPr>
                    <w:widowControl/>
                    <w:jc w:val="center"/>
                    <w:rPr>
                      <w:kern w:val="0"/>
                      <w:szCs w:val="21"/>
                    </w:rPr>
                  </w:pPr>
                  <w:r>
                    <w:rPr>
                      <w:kern w:val="0"/>
                      <w:szCs w:val="21"/>
                    </w:rPr>
                    <w:t>--</w:t>
                  </w:r>
                </w:p>
              </w:tc>
              <w:tc>
                <w:tcPr>
                  <w:tcW w:w="1036" w:type="pct"/>
                  <w:shd w:val="clear" w:color="auto" w:fill="auto"/>
                  <w:vAlign w:val="center"/>
                </w:tcPr>
                <w:p w14:paraId="1CD54BC7">
                  <w:pPr>
                    <w:widowControl/>
                    <w:jc w:val="center"/>
                    <w:rPr>
                      <w:kern w:val="0"/>
                      <w:szCs w:val="21"/>
                    </w:rPr>
                  </w:pPr>
                  <w:r>
                    <w:rPr>
                      <w:kern w:val="0"/>
                      <w:szCs w:val="21"/>
                    </w:rPr>
                    <w:t>--</w:t>
                  </w:r>
                </w:p>
              </w:tc>
              <w:tc>
                <w:tcPr>
                  <w:tcW w:w="845" w:type="pct"/>
                  <w:shd w:val="clear" w:color="auto" w:fill="auto"/>
                  <w:vAlign w:val="center"/>
                </w:tcPr>
                <w:p w14:paraId="3DC8C093">
                  <w:pPr>
                    <w:widowControl/>
                    <w:jc w:val="center"/>
                    <w:rPr>
                      <w:kern w:val="0"/>
                      <w:szCs w:val="21"/>
                    </w:rPr>
                  </w:pPr>
                  <w:r>
                    <w:rPr>
                      <w:kern w:val="0"/>
                      <w:szCs w:val="21"/>
                    </w:rPr>
                    <w:t>--</w:t>
                  </w:r>
                </w:p>
              </w:tc>
              <w:tc>
                <w:tcPr>
                  <w:tcW w:w="793" w:type="pct"/>
                  <w:shd w:val="clear" w:color="auto" w:fill="auto"/>
                  <w:vAlign w:val="center"/>
                </w:tcPr>
                <w:p w14:paraId="5990927B">
                  <w:pPr>
                    <w:widowControl/>
                    <w:jc w:val="center"/>
                    <w:rPr>
                      <w:kern w:val="0"/>
                      <w:szCs w:val="21"/>
                    </w:rPr>
                  </w:pPr>
                  <w:r>
                    <w:rPr>
                      <w:kern w:val="0"/>
                      <w:szCs w:val="21"/>
                    </w:rPr>
                    <w:t>--</w:t>
                  </w:r>
                </w:p>
              </w:tc>
            </w:tr>
            <w:tr w14:paraId="5ECB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69" w:type="pct"/>
                  <w:shd w:val="clear" w:color="auto" w:fill="auto"/>
                  <w:vAlign w:val="center"/>
                </w:tcPr>
                <w:p w14:paraId="16807019">
                  <w:pPr>
                    <w:widowControl/>
                    <w:jc w:val="center"/>
                    <w:rPr>
                      <w:kern w:val="0"/>
                      <w:szCs w:val="21"/>
                    </w:rPr>
                  </w:pPr>
                  <w:r>
                    <w:rPr>
                      <w:kern w:val="0"/>
                      <w:szCs w:val="21"/>
                    </w:rPr>
                    <w:t>7月</w:t>
                  </w:r>
                </w:p>
              </w:tc>
              <w:tc>
                <w:tcPr>
                  <w:tcW w:w="779" w:type="pct"/>
                  <w:shd w:val="clear" w:color="auto" w:fill="auto"/>
                  <w:vAlign w:val="center"/>
                </w:tcPr>
                <w:p w14:paraId="6D42289F">
                  <w:pPr>
                    <w:widowControl/>
                    <w:jc w:val="center"/>
                    <w:rPr>
                      <w:kern w:val="0"/>
                      <w:szCs w:val="21"/>
                    </w:rPr>
                  </w:pPr>
                  <w:r>
                    <w:rPr>
                      <w:kern w:val="0"/>
                      <w:szCs w:val="21"/>
                    </w:rPr>
                    <w:t>--</w:t>
                  </w:r>
                </w:p>
              </w:tc>
              <w:tc>
                <w:tcPr>
                  <w:tcW w:w="779" w:type="pct"/>
                  <w:shd w:val="clear" w:color="auto" w:fill="auto"/>
                  <w:vAlign w:val="center"/>
                </w:tcPr>
                <w:p w14:paraId="1E1D46D6">
                  <w:pPr>
                    <w:widowControl/>
                    <w:jc w:val="center"/>
                    <w:rPr>
                      <w:kern w:val="0"/>
                      <w:szCs w:val="21"/>
                    </w:rPr>
                  </w:pPr>
                  <w:r>
                    <w:rPr>
                      <w:kern w:val="0"/>
                      <w:szCs w:val="21"/>
                    </w:rPr>
                    <w:t>--</w:t>
                  </w:r>
                </w:p>
              </w:tc>
              <w:tc>
                <w:tcPr>
                  <w:tcW w:w="1036" w:type="pct"/>
                  <w:shd w:val="clear" w:color="auto" w:fill="auto"/>
                  <w:vAlign w:val="center"/>
                </w:tcPr>
                <w:p w14:paraId="643348F2">
                  <w:pPr>
                    <w:widowControl/>
                    <w:jc w:val="center"/>
                    <w:rPr>
                      <w:kern w:val="0"/>
                      <w:szCs w:val="21"/>
                    </w:rPr>
                  </w:pPr>
                  <w:r>
                    <w:rPr>
                      <w:kern w:val="0"/>
                      <w:szCs w:val="21"/>
                    </w:rPr>
                    <w:t>--</w:t>
                  </w:r>
                </w:p>
              </w:tc>
              <w:tc>
                <w:tcPr>
                  <w:tcW w:w="845" w:type="pct"/>
                  <w:shd w:val="clear" w:color="auto" w:fill="auto"/>
                  <w:vAlign w:val="center"/>
                </w:tcPr>
                <w:p w14:paraId="1E825783">
                  <w:pPr>
                    <w:widowControl/>
                    <w:jc w:val="center"/>
                    <w:rPr>
                      <w:kern w:val="0"/>
                      <w:szCs w:val="21"/>
                    </w:rPr>
                  </w:pPr>
                  <w:r>
                    <w:rPr>
                      <w:szCs w:val="21"/>
                    </w:rPr>
                    <w:t>0</w:t>
                  </w:r>
                </w:p>
              </w:tc>
              <w:tc>
                <w:tcPr>
                  <w:tcW w:w="793" w:type="pct"/>
                  <w:shd w:val="clear" w:color="auto" w:fill="auto"/>
                  <w:vAlign w:val="center"/>
                </w:tcPr>
                <w:p w14:paraId="09641023">
                  <w:pPr>
                    <w:widowControl/>
                    <w:jc w:val="center"/>
                    <w:rPr>
                      <w:kern w:val="0"/>
                      <w:szCs w:val="21"/>
                    </w:rPr>
                  </w:pPr>
                  <w:r>
                    <w:rPr>
                      <w:kern w:val="0"/>
                      <w:szCs w:val="21"/>
                    </w:rPr>
                    <w:t>--</w:t>
                  </w:r>
                </w:p>
              </w:tc>
            </w:tr>
            <w:tr w14:paraId="22AF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9" w:type="pct"/>
                  <w:shd w:val="clear" w:color="auto" w:fill="auto"/>
                  <w:vAlign w:val="center"/>
                </w:tcPr>
                <w:p w14:paraId="4CF0A06D">
                  <w:pPr>
                    <w:widowControl/>
                    <w:jc w:val="center"/>
                    <w:rPr>
                      <w:kern w:val="0"/>
                      <w:szCs w:val="21"/>
                    </w:rPr>
                  </w:pPr>
                  <w:r>
                    <w:rPr>
                      <w:kern w:val="0"/>
                      <w:szCs w:val="21"/>
                    </w:rPr>
                    <w:t>8月</w:t>
                  </w:r>
                </w:p>
              </w:tc>
              <w:tc>
                <w:tcPr>
                  <w:tcW w:w="779" w:type="pct"/>
                  <w:shd w:val="clear" w:color="auto" w:fill="auto"/>
                  <w:vAlign w:val="center"/>
                </w:tcPr>
                <w:p w14:paraId="380A3582">
                  <w:pPr>
                    <w:widowControl/>
                    <w:jc w:val="center"/>
                    <w:rPr>
                      <w:kern w:val="0"/>
                      <w:szCs w:val="21"/>
                    </w:rPr>
                  </w:pPr>
                  <w:r>
                    <w:rPr>
                      <w:kern w:val="0"/>
                      <w:szCs w:val="21"/>
                    </w:rPr>
                    <w:t>--</w:t>
                  </w:r>
                </w:p>
              </w:tc>
              <w:tc>
                <w:tcPr>
                  <w:tcW w:w="779" w:type="pct"/>
                  <w:shd w:val="clear" w:color="auto" w:fill="auto"/>
                  <w:vAlign w:val="center"/>
                </w:tcPr>
                <w:p w14:paraId="7AB38CB2">
                  <w:pPr>
                    <w:widowControl/>
                    <w:jc w:val="center"/>
                    <w:rPr>
                      <w:kern w:val="0"/>
                      <w:szCs w:val="21"/>
                    </w:rPr>
                  </w:pPr>
                  <w:r>
                    <w:rPr>
                      <w:kern w:val="0"/>
                      <w:szCs w:val="21"/>
                    </w:rPr>
                    <w:t>--</w:t>
                  </w:r>
                </w:p>
              </w:tc>
              <w:tc>
                <w:tcPr>
                  <w:tcW w:w="1036" w:type="pct"/>
                  <w:shd w:val="clear" w:color="auto" w:fill="auto"/>
                  <w:vAlign w:val="center"/>
                </w:tcPr>
                <w:p w14:paraId="55298C03">
                  <w:pPr>
                    <w:widowControl/>
                    <w:jc w:val="center"/>
                    <w:rPr>
                      <w:kern w:val="0"/>
                      <w:szCs w:val="21"/>
                    </w:rPr>
                  </w:pPr>
                  <w:r>
                    <w:rPr>
                      <w:kern w:val="0"/>
                      <w:szCs w:val="21"/>
                    </w:rPr>
                    <w:t>--</w:t>
                  </w:r>
                </w:p>
              </w:tc>
              <w:tc>
                <w:tcPr>
                  <w:tcW w:w="845" w:type="pct"/>
                  <w:shd w:val="clear" w:color="auto" w:fill="auto"/>
                  <w:vAlign w:val="center"/>
                </w:tcPr>
                <w:p w14:paraId="35ED38F7">
                  <w:pPr>
                    <w:widowControl/>
                    <w:jc w:val="center"/>
                    <w:rPr>
                      <w:kern w:val="0"/>
                      <w:szCs w:val="21"/>
                    </w:rPr>
                  </w:pPr>
                  <w:r>
                    <w:rPr>
                      <w:szCs w:val="21"/>
                    </w:rPr>
                    <w:t>0</w:t>
                  </w:r>
                </w:p>
              </w:tc>
              <w:tc>
                <w:tcPr>
                  <w:tcW w:w="793" w:type="pct"/>
                  <w:shd w:val="clear" w:color="auto" w:fill="auto"/>
                  <w:vAlign w:val="center"/>
                </w:tcPr>
                <w:p w14:paraId="68AF2874">
                  <w:pPr>
                    <w:widowControl/>
                    <w:jc w:val="center"/>
                    <w:rPr>
                      <w:kern w:val="0"/>
                      <w:szCs w:val="21"/>
                    </w:rPr>
                  </w:pPr>
                  <w:r>
                    <w:rPr>
                      <w:kern w:val="0"/>
                      <w:szCs w:val="21"/>
                    </w:rPr>
                    <w:t>--</w:t>
                  </w:r>
                </w:p>
              </w:tc>
            </w:tr>
            <w:tr w14:paraId="33E1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69" w:type="pct"/>
                  <w:shd w:val="clear" w:color="auto" w:fill="auto"/>
                  <w:vAlign w:val="center"/>
                </w:tcPr>
                <w:p w14:paraId="51BE03A4">
                  <w:pPr>
                    <w:widowControl/>
                    <w:jc w:val="center"/>
                    <w:rPr>
                      <w:kern w:val="0"/>
                      <w:szCs w:val="21"/>
                    </w:rPr>
                  </w:pPr>
                  <w:r>
                    <w:rPr>
                      <w:kern w:val="0"/>
                      <w:szCs w:val="21"/>
                    </w:rPr>
                    <w:t>9月</w:t>
                  </w:r>
                </w:p>
              </w:tc>
              <w:tc>
                <w:tcPr>
                  <w:tcW w:w="779" w:type="pct"/>
                  <w:shd w:val="clear" w:color="auto" w:fill="auto"/>
                  <w:vAlign w:val="center"/>
                </w:tcPr>
                <w:p w14:paraId="39398F52">
                  <w:pPr>
                    <w:widowControl/>
                    <w:jc w:val="center"/>
                    <w:rPr>
                      <w:kern w:val="0"/>
                      <w:szCs w:val="21"/>
                    </w:rPr>
                  </w:pPr>
                  <w:r>
                    <w:rPr>
                      <w:szCs w:val="21"/>
                    </w:rPr>
                    <w:t>27.417</w:t>
                  </w:r>
                </w:p>
              </w:tc>
              <w:tc>
                <w:tcPr>
                  <w:tcW w:w="779" w:type="pct"/>
                  <w:shd w:val="clear" w:color="auto" w:fill="auto"/>
                  <w:vAlign w:val="center"/>
                </w:tcPr>
                <w:p w14:paraId="703C088A">
                  <w:pPr>
                    <w:widowControl/>
                    <w:jc w:val="center"/>
                    <w:rPr>
                      <w:kern w:val="0"/>
                      <w:szCs w:val="21"/>
                    </w:rPr>
                  </w:pPr>
                  <w:r>
                    <w:rPr>
                      <w:szCs w:val="21"/>
                    </w:rPr>
                    <w:t>21.458</w:t>
                  </w:r>
                </w:p>
              </w:tc>
              <w:tc>
                <w:tcPr>
                  <w:tcW w:w="1036" w:type="pct"/>
                  <w:shd w:val="clear" w:color="auto" w:fill="auto"/>
                  <w:vAlign w:val="center"/>
                </w:tcPr>
                <w:p w14:paraId="4A2093F0">
                  <w:pPr>
                    <w:widowControl/>
                    <w:jc w:val="center"/>
                    <w:rPr>
                      <w:kern w:val="0"/>
                      <w:szCs w:val="21"/>
                    </w:rPr>
                  </w:pPr>
                  <w:r>
                    <w:rPr>
                      <w:szCs w:val="21"/>
                    </w:rPr>
                    <w:t>291.601</w:t>
                  </w:r>
                </w:p>
              </w:tc>
              <w:tc>
                <w:tcPr>
                  <w:tcW w:w="845" w:type="pct"/>
                  <w:shd w:val="clear" w:color="auto" w:fill="auto"/>
                  <w:vAlign w:val="center"/>
                </w:tcPr>
                <w:p w14:paraId="5ED83720">
                  <w:pPr>
                    <w:widowControl/>
                    <w:jc w:val="center"/>
                    <w:rPr>
                      <w:kern w:val="0"/>
                      <w:szCs w:val="21"/>
                    </w:rPr>
                  </w:pPr>
                  <w:r>
                    <w:rPr>
                      <w:szCs w:val="21"/>
                    </w:rPr>
                    <w:t>17.492</w:t>
                  </w:r>
                </w:p>
              </w:tc>
              <w:tc>
                <w:tcPr>
                  <w:tcW w:w="793" w:type="pct"/>
                  <w:shd w:val="clear" w:color="auto" w:fill="auto"/>
                  <w:vAlign w:val="center"/>
                </w:tcPr>
                <w:p w14:paraId="27C7B7C5">
                  <w:pPr>
                    <w:widowControl/>
                    <w:jc w:val="center"/>
                    <w:rPr>
                      <w:kern w:val="0"/>
                      <w:szCs w:val="21"/>
                    </w:rPr>
                  </w:pPr>
                  <w:r>
                    <w:rPr>
                      <w:szCs w:val="21"/>
                    </w:rPr>
                    <w:t>16.923</w:t>
                  </w:r>
                </w:p>
              </w:tc>
            </w:tr>
            <w:tr w14:paraId="3E3F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69" w:type="pct"/>
                  <w:shd w:val="clear" w:color="auto" w:fill="auto"/>
                  <w:vAlign w:val="center"/>
                </w:tcPr>
                <w:p w14:paraId="765D094D">
                  <w:pPr>
                    <w:widowControl/>
                    <w:jc w:val="center"/>
                    <w:rPr>
                      <w:kern w:val="0"/>
                      <w:szCs w:val="21"/>
                    </w:rPr>
                  </w:pPr>
                  <w:r>
                    <w:rPr>
                      <w:kern w:val="0"/>
                      <w:szCs w:val="21"/>
                    </w:rPr>
                    <w:t>10月</w:t>
                  </w:r>
                </w:p>
              </w:tc>
              <w:tc>
                <w:tcPr>
                  <w:tcW w:w="779" w:type="pct"/>
                  <w:shd w:val="clear" w:color="auto" w:fill="auto"/>
                  <w:vAlign w:val="center"/>
                </w:tcPr>
                <w:p w14:paraId="6BA3D4AE">
                  <w:pPr>
                    <w:widowControl/>
                    <w:jc w:val="center"/>
                    <w:rPr>
                      <w:kern w:val="0"/>
                      <w:szCs w:val="21"/>
                    </w:rPr>
                  </w:pPr>
                  <w:r>
                    <w:rPr>
                      <w:szCs w:val="21"/>
                    </w:rPr>
                    <w:t>29.687</w:t>
                  </w:r>
                </w:p>
              </w:tc>
              <w:tc>
                <w:tcPr>
                  <w:tcW w:w="779" w:type="pct"/>
                  <w:shd w:val="clear" w:color="auto" w:fill="auto"/>
                  <w:vAlign w:val="center"/>
                </w:tcPr>
                <w:p w14:paraId="07230EF3">
                  <w:pPr>
                    <w:widowControl/>
                    <w:jc w:val="center"/>
                    <w:rPr>
                      <w:kern w:val="0"/>
                      <w:szCs w:val="21"/>
                    </w:rPr>
                  </w:pPr>
                  <w:r>
                    <w:rPr>
                      <w:szCs w:val="21"/>
                    </w:rPr>
                    <w:t>29.069</w:t>
                  </w:r>
                </w:p>
              </w:tc>
              <w:tc>
                <w:tcPr>
                  <w:tcW w:w="1036" w:type="pct"/>
                  <w:shd w:val="clear" w:color="auto" w:fill="auto"/>
                  <w:vAlign w:val="center"/>
                </w:tcPr>
                <w:p w14:paraId="67013DF1">
                  <w:pPr>
                    <w:widowControl/>
                    <w:jc w:val="center"/>
                    <w:rPr>
                      <w:kern w:val="0"/>
                      <w:szCs w:val="21"/>
                    </w:rPr>
                  </w:pPr>
                  <w:r>
                    <w:rPr>
                      <w:szCs w:val="21"/>
                    </w:rPr>
                    <w:t>853.933</w:t>
                  </w:r>
                </w:p>
              </w:tc>
              <w:tc>
                <w:tcPr>
                  <w:tcW w:w="845" w:type="pct"/>
                  <w:shd w:val="clear" w:color="auto" w:fill="auto"/>
                  <w:vAlign w:val="center"/>
                </w:tcPr>
                <w:p w14:paraId="35B23333">
                  <w:pPr>
                    <w:widowControl/>
                    <w:jc w:val="center"/>
                    <w:rPr>
                      <w:kern w:val="0"/>
                      <w:szCs w:val="21"/>
                    </w:rPr>
                  </w:pPr>
                  <w:r>
                    <w:rPr>
                      <w:szCs w:val="21"/>
                    </w:rPr>
                    <w:t>17.838</w:t>
                  </w:r>
                </w:p>
              </w:tc>
              <w:tc>
                <w:tcPr>
                  <w:tcW w:w="793" w:type="pct"/>
                  <w:shd w:val="clear" w:color="auto" w:fill="auto"/>
                  <w:vAlign w:val="center"/>
                </w:tcPr>
                <w:p w14:paraId="1062ED8B">
                  <w:pPr>
                    <w:widowControl/>
                    <w:jc w:val="center"/>
                    <w:rPr>
                      <w:kern w:val="0"/>
                      <w:szCs w:val="21"/>
                    </w:rPr>
                  </w:pPr>
                  <w:r>
                    <w:rPr>
                      <w:szCs w:val="21"/>
                    </w:rPr>
                    <w:t>17.861</w:t>
                  </w:r>
                </w:p>
              </w:tc>
            </w:tr>
            <w:tr w14:paraId="1E29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shd w:val="clear" w:color="auto" w:fill="auto"/>
                  <w:vAlign w:val="center"/>
                </w:tcPr>
                <w:p w14:paraId="2A34A073">
                  <w:pPr>
                    <w:widowControl/>
                    <w:jc w:val="center"/>
                    <w:rPr>
                      <w:kern w:val="0"/>
                      <w:szCs w:val="21"/>
                    </w:rPr>
                  </w:pPr>
                  <w:r>
                    <w:rPr>
                      <w:kern w:val="0"/>
                      <w:szCs w:val="21"/>
                    </w:rPr>
                    <w:t>11月</w:t>
                  </w:r>
                </w:p>
              </w:tc>
              <w:tc>
                <w:tcPr>
                  <w:tcW w:w="779" w:type="pct"/>
                  <w:shd w:val="clear" w:color="auto" w:fill="auto"/>
                  <w:vAlign w:val="center"/>
                </w:tcPr>
                <w:p w14:paraId="4748FB19">
                  <w:pPr>
                    <w:widowControl/>
                    <w:jc w:val="center"/>
                    <w:rPr>
                      <w:kern w:val="0"/>
                      <w:szCs w:val="21"/>
                    </w:rPr>
                  </w:pPr>
                  <w:r>
                    <w:rPr>
                      <w:szCs w:val="21"/>
                    </w:rPr>
                    <w:t>25.141</w:t>
                  </w:r>
                </w:p>
              </w:tc>
              <w:tc>
                <w:tcPr>
                  <w:tcW w:w="779" w:type="pct"/>
                  <w:shd w:val="clear" w:color="auto" w:fill="auto"/>
                  <w:vAlign w:val="center"/>
                </w:tcPr>
                <w:p w14:paraId="55D5D8C7">
                  <w:pPr>
                    <w:widowControl/>
                    <w:jc w:val="center"/>
                    <w:rPr>
                      <w:kern w:val="0"/>
                      <w:szCs w:val="21"/>
                    </w:rPr>
                  </w:pPr>
                  <w:r>
                    <w:rPr>
                      <w:szCs w:val="21"/>
                    </w:rPr>
                    <w:t>22.514</w:t>
                  </w:r>
                </w:p>
              </w:tc>
              <w:tc>
                <w:tcPr>
                  <w:tcW w:w="1036" w:type="pct"/>
                  <w:shd w:val="clear" w:color="auto" w:fill="auto"/>
                  <w:vAlign w:val="center"/>
                </w:tcPr>
                <w:p w14:paraId="07EA3D50">
                  <w:pPr>
                    <w:widowControl/>
                    <w:jc w:val="center"/>
                    <w:rPr>
                      <w:kern w:val="0"/>
                      <w:szCs w:val="21"/>
                    </w:rPr>
                  </w:pPr>
                  <w:r>
                    <w:rPr>
                      <w:szCs w:val="21"/>
                    </w:rPr>
                    <w:t>282.073</w:t>
                  </w:r>
                </w:p>
              </w:tc>
              <w:tc>
                <w:tcPr>
                  <w:tcW w:w="845" w:type="pct"/>
                  <w:shd w:val="clear" w:color="auto" w:fill="auto"/>
                  <w:vAlign w:val="center"/>
                </w:tcPr>
                <w:p w14:paraId="403ED292">
                  <w:pPr>
                    <w:widowControl/>
                    <w:jc w:val="center"/>
                    <w:rPr>
                      <w:kern w:val="0"/>
                      <w:szCs w:val="21"/>
                    </w:rPr>
                  </w:pPr>
                  <w:r>
                    <w:rPr>
                      <w:szCs w:val="21"/>
                    </w:rPr>
                    <w:t>18.967</w:t>
                  </w:r>
                </w:p>
              </w:tc>
              <w:tc>
                <w:tcPr>
                  <w:tcW w:w="793" w:type="pct"/>
                  <w:shd w:val="clear" w:color="auto" w:fill="auto"/>
                  <w:vAlign w:val="center"/>
                </w:tcPr>
                <w:p w14:paraId="452100D5">
                  <w:pPr>
                    <w:widowControl/>
                    <w:jc w:val="center"/>
                    <w:rPr>
                      <w:kern w:val="0"/>
                      <w:szCs w:val="21"/>
                    </w:rPr>
                  </w:pPr>
                  <w:r>
                    <w:rPr>
                      <w:szCs w:val="21"/>
                    </w:rPr>
                    <w:t>17.605</w:t>
                  </w:r>
                </w:p>
              </w:tc>
            </w:tr>
            <w:tr w14:paraId="5E44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shd w:val="clear" w:color="auto" w:fill="auto"/>
                  <w:vAlign w:val="center"/>
                </w:tcPr>
                <w:p w14:paraId="655C0422">
                  <w:pPr>
                    <w:widowControl/>
                    <w:jc w:val="center"/>
                    <w:rPr>
                      <w:kern w:val="0"/>
                      <w:szCs w:val="21"/>
                    </w:rPr>
                  </w:pPr>
                  <w:r>
                    <w:rPr>
                      <w:kern w:val="0"/>
                      <w:szCs w:val="21"/>
                    </w:rPr>
                    <w:t>12月</w:t>
                  </w:r>
                </w:p>
              </w:tc>
              <w:tc>
                <w:tcPr>
                  <w:tcW w:w="779" w:type="pct"/>
                  <w:shd w:val="clear" w:color="auto" w:fill="auto"/>
                  <w:vAlign w:val="center"/>
                </w:tcPr>
                <w:p w14:paraId="1DFF91B6">
                  <w:pPr>
                    <w:widowControl/>
                    <w:jc w:val="center"/>
                    <w:rPr>
                      <w:kern w:val="0"/>
                      <w:szCs w:val="21"/>
                    </w:rPr>
                  </w:pPr>
                  <w:r>
                    <w:rPr>
                      <w:szCs w:val="21"/>
                    </w:rPr>
                    <w:t>--</w:t>
                  </w:r>
                </w:p>
              </w:tc>
              <w:tc>
                <w:tcPr>
                  <w:tcW w:w="779" w:type="pct"/>
                  <w:shd w:val="clear" w:color="auto" w:fill="auto"/>
                  <w:vAlign w:val="center"/>
                </w:tcPr>
                <w:p w14:paraId="7085BE6B">
                  <w:pPr>
                    <w:widowControl/>
                    <w:jc w:val="center"/>
                    <w:rPr>
                      <w:kern w:val="0"/>
                      <w:szCs w:val="21"/>
                    </w:rPr>
                  </w:pPr>
                  <w:r>
                    <w:rPr>
                      <w:szCs w:val="21"/>
                    </w:rPr>
                    <w:t>--</w:t>
                  </w:r>
                </w:p>
              </w:tc>
              <w:tc>
                <w:tcPr>
                  <w:tcW w:w="1036" w:type="pct"/>
                  <w:shd w:val="clear" w:color="auto" w:fill="auto"/>
                  <w:vAlign w:val="center"/>
                </w:tcPr>
                <w:p w14:paraId="55E6FDC4">
                  <w:pPr>
                    <w:widowControl/>
                    <w:jc w:val="center"/>
                    <w:rPr>
                      <w:kern w:val="0"/>
                      <w:szCs w:val="21"/>
                    </w:rPr>
                  </w:pPr>
                  <w:r>
                    <w:rPr>
                      <w:szCs w:val="21"/>
                    </w:rPr>
                    <w:t>--</w:t>
                  </w:r>
                </w:p>
              </w:tc>
              <w:tc>
                <w:tcPr>
                  <w:tcW w:w="845" w:type="pct"/>
                  <w:shd w:val="clear" w:color="auto" w:fill="auto"/>
                  <w:vAlign w:val="center"/>
                </w:tcPr>
                <w:p w14:paraId="19A21B73">
                  <w:pPr>
                    <w:widowControl/>
                    <w:jc w:val="center"/>
                    <w:rPr>
                      <w:kern w:val="0"/>
                      <w:szCs w:val="21"/>
                    </w:rPr>
                  </w:pPr>
                  <w:r>
                    <w:rPr>
                      <w:szCs w:val="21"/>
                    </w:rPr>
                    <w:t>--</w:t>
                  </w:r>
                </w:p>
              </w:tc>
              <w:tc>
                <w:tcPr>
                  <w:tcW w:w="793" w:type="pct"/>
                  <w:shd w:val="clear" w:color="auto" w:fill="auto"/>
                  <w:vAlign w:val="center"/>
                </w:tcPr>
                <w:p w14:paraId="7B03DD0C">
                  <w:pPr>
                    <w:widowControl/>
                    <w:jc w:val="center"/>
                    <w:rPr>
                      <w:kern w:val="0"/>
                      <w:szCs w:val="21"/>
                    </w:rPr>
                  </w:pPr>
                  <w:r>
                    <w:rPr>
                      <w:szCs w:val="21"/>
                    </w:rPr>
                    <w:t>--</w:t>
                  </w:r>
                </w:p>
              </w:tc>
            </w:tr>
            <w:tr w14:paraId="344A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shd w:val="clear" w:color="auto" w:fill="auto"/>
                  <w:vAlign w:val="center"/>
                </w:tcPr>
                <w:p w14:paraId="5653C207">
                  <w:pPr>
                    <w:widowControl/>
                    <w:jc w:val="center"/>
                    <w:rPr>
                      <w:kern w:val="0"/>
                      <w:szCs w:val="21"/>
                    </w:rPr>
                  </w:pPr>
                  <w:r>
                    <w:rPr>
                      <w:kern w:val="0"/>
                      <w:szCs w:val="21"/>
                    </w:rPr>
                    <w:t>平均值</w:t>
                  </w:r>
                </w:p>
              </w:tc>
              <w:tc>
                <w:tcPr>
                  <w:tcW w:w="779" w:type="pct"/>
                  <w:shd w:val="clear" w:color="auto" w:fill="auto"/>
                  <w:vAlign w:val="center"/>
                </w:tcPr>
                <w:p w14:paraId="5AC52739">
                  <w:pPr>
                    <w:widowControl/>
                    <w:jc w:val="center"/>
                    <w:rPr>
                      <w:kern w:val="0"/>
                      <w:szCs w:val="21"/>
                    </w:rPr>
                  </w:pPr>
                  <w:r>
                    <w:rPr>
                      <w:szCs w:val="21"/>
                    </w:rPr>
                    <w:t>27.415</w:t>
                  </w:r>
                </w:p>
              </w:tc>
              <w:tc>
                <w:tcPr>
                  <w:tcW w:w="779" w:type="pct"/>
                  <w:shd w:val="clear" w:color="auto" w:fill="auto"/>
                  <w:vAlign w:val="center"/>
                </w:tcPr>
                <w:p w14:paraId="587E8CD9">
                  <w:pPr>
                    <w:widowControl/>
                    <w:jc w:val="center"/>
                    <w:rPr>
                      <w:kern w:val="0"/>
                      <w:szCs w:val="21"/>
                    </w:rPr>
                  </w:pPr>
                  <w:r>
                    <w:rPr>
                      <w:szCs w:val="21"/>
                    </w:rPr>
                    <w:t>24.346</w:t>
                  </w:r>
                </w:p>
              </w:tc>
              <w:tc>
                <w:tcPr>
                  <w:tcW w:w="1036" w:type="pct"/>
                  <w:shd w:val="clear" w:color="auto" w:fill="auto"/>
                  <w:vAlign w:val="center"/>
                </w:tcPr>
                <w:p w14:paraId="09EE4431">
                  <w:pPr>
                    <w:widowControl/>
                    <w:jc w:val="center"/>
                    <w:rPr>
                      <w:kern w:val="0"/>
                      <w:szCs w:val="21"/>
                    </w:rPr>
                  </w:pPr>
                  <w:r>
                    <w:rPr>
                      <w:szCs w:val="21"/>
                    </w:rPr>
                    <w:t>--</w:t>
                  </w:r>
                </w:p>
              </w:tc>
              <w:tc>
                <w:tcPr>
                  <w:tcW w:w="845" w:type="pct"/>
                  <w:shd w:val="clear" w:color="auto" w:fill="auto"/>
                  <w:vAlign w:val="center"/>
                </w:tcPr>
                <w:p w14:paraId="14BAB9BC">
                  <w:pPr>
                    <w:widowControl/>
                    <w:jc w:val="center"/>
                    <w:rPr>
                      <w:kern w:val="0"/>
                      <w:szCs w:val="21"/>
                    </w:rPr>
                  </w:pPr>
                  <w:r>
                    <w:rPr>
                      <w:szCs w:val="21"/>
                    </w:rPr>
                    <w:t>10.859</w:t>
                  </w:r>
                </w:p>
              </w:tc>
              <w:tc>
                <w:tcPr>
                  <w:tcW w:w="793" w:type="pct"/>
                  <w:shd w:val="clear" w:color="auto" w:fill="auto"/>
                  <w:vAlign w:val="center"/>
                </w:tcPr>
                <w:p w14:paraId="5A742209">
                  <w:pPr>
                    <w:widowControl/>
                    <w:jc w:val="center"/>
                    <w:rPr>
                      <w:kern w:val="0"/>
                      <w:szCs w:val="21"/>
                    </w:rPr>
                  </w:pPr>
                  <w:r>
                    <w:rPr>
                      <w:szCs w:val="21"/>
                    </w:rPr>
                    <w:t>17.462</w:t>
                  </w:r>
                </w:p>
              </w:tc>
            </w:tr>
            <w:tr w14:paraId="0BCF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69" w:type="pct"/>
                  <w:shd w:val="clear" w:color="auto" w:fill="auto"/>
                  <w:vAlign w:val="center"/>
                </w:tcPr>
                <w:p w14:paraId="655C413D">
                  <w:pPr>
                    <w:widowControl/>
                    <w:jc w:val="center"/>
                    <w:rPr>
                      <w:kern w:val="0"/>
                      <w:szCs w:val="21"/>
                    </w:rPr>
                  </w:pPr>
                  <w:r>
                    <w:rPr>
                      <w:kern w:val="0"/>
                      <w:szCs w:val="21"/>
                    </w:rPr>
                    <w:t>最大值</w:t>
                  </w:r>
                </w:p>
              </w:tc>
              <w:tc>
                <w:tcPr>
                  <w:tcW w:w="779" w:type="pct"/>
                  <w:shd w:val="clear" w:color="auto" w:fill="auto"/>
                  <w:vAlign w:val="center"/>
                </w:tcPr>
                <w:p w14:paraId="66F9175C">
                  <w:pPr>
                    <w:widowControl/>
                    <w:jc w:val="center"/>
                    <w:rPr>
                      <w:kern w:val="0"/>
                      <w:szCs w:val="21"/>
                    </w:rPr>
                  </w:pPr>
                  <w:r>
                    <w:rPr>
                      <w:szCs w:val="21"/>
                    </w:rPr>
                    <w:t>29.687</w:t>
                  </w:r>
                </w:p>
              </w:tc>
              <w:tc>
                <w:tcPr>
                  <w:tcW w:w="779" w:type="pct"/>
                  <w:shd w:val="clear" w:color="auto" w:fill="auto"/>
                  <w:vAlign w:val="center"/>
                </w:tcPr>
                <w:p w14:paraId="7D020800">
                  <w:pPr>
                    <w:widowControl/>
                    <w:jc w:val="center"/>
                    <w:rPr>
                      <w:kern w:val="0"/>
                      <w:szCs w:val="21"/>
                    </w:rPr>
                  </w:pPr>
                  <w:r>
                    <w:rPr>
                      <w:szCs w:val="21"/>
                    </w:rPr>
                    <w:t>29.069</w:t>
                  </w:r>
                </w:p>
              </w:tc>
              <w:tc>
                <w:tcPr>
                  <w:tcW w:w="1036" w:type="pct"/>
                  <w:shd w:val="clear" w:color="auto" w:fill="auto"/>
                  <w:vAlign w:val="center"/>
                </w:tcPr>
                <w:p w14:paraId="51F9D133">
                  <w:pPr>
                    <w:widowControl/>
                    <w:jc w:val="center"/>
                    <w:rPr>
                      <w:kern w:val="0"/>
                      <w:szCs w:val="21"/>
                    </w:rPr>
                  </w:pPr>
                  <w:r>
                    <w:rPr>
                      <w:szCs w:val="21"/>
                    </w:rPr>
                    <w:t>853.933</w:t>
                  </w:r>
                </w:p>
              </w:tc>
              <w:tc>
                <w:tcPr>
                  <w:tcW w:w="845" w:type="pct"/>
                  <w:shd w:val="clear" w:color="auto" w:fill="auto"/>
                  <w:vAlign w:val="center"/>
                </w:tcPr>
                <w:p w14:paraId="77DB6C43">
                  <w:pPr>
                    <w:widowControl/>
                    <w:jc w:val="center"/>
                    <w:rPr>
                      <w:kern w:val="0"/>
                      <w:szCs w:val="21"/>
                    </w:rPr>
                  </w:pPr>
                  <w:r>
                    <w:rPr>
                      <w:szCs w:val="21"/>
                    </w:rPr>
                    <w:t>18.967</w:t>
                  </w:r>
                </w:p>
              </w:tc>
              <w:tc>
                <w:tcPr>
                  <w:tcW w:w="793" w:type="pct"/>
                  <w:shd w:val="clear" w:color="auto" w:fill="auto"/>
                  <w:vAlign w:val="center"/>
                </w:tcPr>
                <w:p w14:paraId="37D54545">
                  <w:pPr>
                    <w:widowControl/>
                    <w:jc w:val="center"/>
                    <w:rPr>
                      <w:kern w:val="0"/>
                      <w:szCs w:val="21"/>
                    </w:rPr>
                  </w:pPr>
                  <w:r>
                    <w:rPr>
                      <w:szCs w:val="21"/>
                    </w:rPr>
                    <w:t>17.861</w:t>
                  </w:r>
                </w:p>
              </w:tc>
            </w:tr>
            <w:tr w14:paraId="457E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shd w:val="clear" w:color="auto" w:fill="auto"/>
                  <w:vAlign w:val="center"/>
                </w:tcPr>
                <w:p w14:paraId="276B469D">
                  <w:pPr>
                    <w:widowControl/>
                    <w:jc w:val="center"/>
                    <w:rPr>
                      <w:kern w:val="0"/>
                      <w:szCs w:val="21"/>
                    </w:rPr>
                  </w:pPr>
                  <w:r>
                    <w:rPr>
                      <w:kern w:val="0"/>
                      <w:szCs w:val="21"/>
                    </w:rPr>
                    <w:t>最小值</w:t>
                  </w:r>
                </w:p>
              </w:tc>
              <w:tc>
                <w:tcPr>
                  <w:tcW w:w="779" w:type="pct"/>
                  <w:shd w:val="clear" w:color="auto" w:fill="auto"/>
                  <w:vAlign w:val="center"/>
                </w:tcPr>
                <w:p w14:paraId="399F2650">
                  <w:pPr>
                    <w:widowControl/>
                    <w:jc w:val="center"/>
                    <w:rPr>
                      <w:kern w:val="0"/>
                      <w:szCs w:val="21"/>
                    </w:rPr>
                  </w:pPr>
                  <w:r>
                    <w:rPr>
                      <w:szCs w:val="21"/>
                    </w:rPr>
                    <w:t>25.141</w:t>
                  </w:r>
                </w:p>
              </w:tc>
              <w:tc>
                <w:tcPr>
                  <w:tcW w:w="779" w:type="pct"/>
                  <w:shd w:val="clear" w:color="auto" w:fill="auto"/>
                  <w:vAlign w:val="center"/>
                </w:tcPr>
                <w:p w14:paraId="298D9505">
                  <w:pPr>
                    <w:widowControl/>
                    <w:jc w:val="center"/>
                    <w:rPr>
                      <w:kern w:val="0"/>
                      <w:szCs w:val="21"/>
                    </w:rPr>
                  </w:pPr>
                  <w:r>
                    <w:rPr>
                      <w:szCs w:val="21"/>
                    </w:rPr>
                    <w:t>21.458</w:t>
                  </w:r>
                </w:p>
              </w:tc>
              <w:tc>
                <w:tcPr>
                  <w:tcW w:w="1036" w:type="pct"/>
                  <w:shd w:val="clear" w:color="auto" w:fill="auto"/>
                  <w:vAlign w:val="center"/>
                </w:tcPr>
                <w:p w14:paraId="379A9F02">
                  <w:pPr>
                    <w:widowControl/>
                    <w:jc w:val="center"/>
                    <w:rPr>
                      <w:kern w:val="0"/>
                      <w:szCs w:val="21"/>
                    </w:rPr>
                  </w:pPr>
                  <w:r>
                    <w:rPr>
                      <w:szCs w:val="21"/>
                    </w:rPr>
                    <w:t>282.073</w:t>
                  </w:r>
                </w:p>
              </w:tc>
              <w:tc>
                <w:tcPr>
                  <w:tcW w:w="845" w:type="pct"/>
                  <w:shd w:val="clear" w:color="auto" w:fill="auto"/>
                  <w:vAlign w:val="center"/>
                </w:tcPr>
                <w:p w14:paraId="41D2E06D">
                  <w:pPr>
                    <w:widowControl/>
                    <w:jc w:val="center"/>
                    <w:rPr>
                      <w:kern w:val="0"/>
                      <w:szCs w:val="21"/>
                    </w:rPr>
                  </w:pPr>
                  <w:r>
                    <w:rPr>
                      <w:szCs w:val="21"/>
                    </w:rPr>
                    <w:t>0</w:t>
                  </w:r>
                </w:p>
              </w:tc>
              <w:tc>
                <w:tcPr>
                  <w:tcW w:w="793" w:type="pct"/>
                  <w:shd w:val="clear" w:color="auto" w:fill="auto"/>
                  <w:vAlign w:val="center"/>
                </w:tcPr>
                <w:p w14:paraId="51F88120">
                  <w:pPr>
                    <w:widowControl/>
                    <w:jc w:val="center"/>
                    <w:rPr>
                      <w:kern w:val="0"/>
                      <w:szCs w:val="21"/>
                    </w:rPr>
                  </w:pPr>
                  <w:r>
                    <w:rPr>
                      <w:szCs w:val="21"/>
                    </w:rPr>
                    <w:t>16.923</w:t>
                  </w:r>
                </w:p>
              </w:tc>
            </w:tr>
            <w:tr w14:paraId="67B4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pct"/>
                  <w:shd w:val="clear" w:color="auto" w:fill="auto"/>
                  <w:vAlign w:val="center"/>
                </w:tcPr>
                <w:p w14:paraId="0C00496A">
                  <w:pPr>
                    <w:widowControl/>
                    <w:jc w:val="center"/>
                    <w:rPr>
                      <w:kern w:val="0"/>
                      <w:szCs w:val="21"/>
                    </w:rPr>
                  </w:pPr>
                  <w:r>
                    <w:rPr>
                      <w:kern w:val="0"/>
                      <w:szCs w:val="21"/>
                    </w:rPr>
                    <w:t>年排放总量(吨)</w:t>
                  </w:r>
                </w:p>
              </w:tc>
              <w:tc>
                <w:tcPr>
                  <w:tcW w:w="779" w:type="pct"/>
                  <w:shd w:val="clear" w:color="auto" w:fill="auto"/>
                  <w:vAlign w:val="center"/>
                </w:tcPr>
                <w:p w14:paraId="4D8313B1">
                  <w:pPr>
                    <w:widowControl/>
                    <w:jc w:val="center"/>
                    <w:rPr>
                      <w:kern w:val="0"/>
                      <w:szCs w:val="21"/>
                    </w:rPr>
                  </w:pPr>
                  <w:r>
                    <w:rPr>
                      <w:szCs w:val="21"/>
                    </w:rPr>
                    <w:t>--</w:t>
                  </w:r>
                </w:p>
              </w:tc>
              <w:tc>
                <w:tcPr>
                  <w:tcW w:w="779" w:type="pct"/>
                  <w:shd w:val="clear" w:color="auto" w:fill="auto"/>
                  <w:vAlign w:val="center"/>
                </w:tcPr>
                <w:p w14:paraId="38973E3A">
                  <w:pPr>
                    <w:widowControl/>
                    <w:jc w:val="center"/>
                    <w:rPr>
                      <w:kern w:val="0"/>
                      <w:szCs w:val="21"/>
                    </w:rPr>
                  </w:pPr>
                  <w:r>
                    <w:rPr>
                      <w:szCs w:val="21"/>
                    </w:rPr>
                    <w:t>--</w:t>
                  </w:r>
                </w:p>
              </w:tc>
              <w:tc>
                <w:tcPr>
                  <w:tcW w:w="1036" w:type="pct"/>
                  <w:shd w:val="clear" w:color="auto" w:fill="auto"/>
                  <w:vAlign w:val="center"/>
                </w:tcPr>
                <w:p w14:paraId="1D3B0825">
                  <w:pPr>
                    <w:widowControl/>
                    <w:jc w:val="center"/>
                    <w:rPr>
                      <w:kern w:val="0"/>
                      <w:szCs w:val="21"/>
                      <w:highlight w:val="yellow"/>
                    </w:rPr>
                  </w:pPr>
                  <w:r>
                    <w:rPr>
                      <w:szCs w:val="21"/>
                    </w:rPr>
                    <w:t>1.4276</w:t>
                  </w:r>
                </w:p>
              </w:tc>
              <w:tc>
                <w:tcPr>
                  <w:tcW w:w="845" w:type="pct"/>
                  <w:shd w:val="clear" w:color="auto" w:fill="auto"/>
                  <w:vAlign w:val="center"/>
                </w:tcPr>
                <w:p w14:paraId="7CB43B72">
                  <w:pPr>
                    <w:widowControl/>
                    <w:jc w:val="center"/>
                    <w:rPr>
                      <w:kern w:val="0"/>
                      <w:szCs w:val="21"/>
                    </w:rPr>
                  </w:pPr>
                  <w:r>
                    <w:rPr>
                      <w:szCs w:val="21"/>
                    </w:rPr>
                    <w:t>--</w:t>
                  </w:r>
                </w:p>
              </w:tc>
              <w:tc>
                <w:tcPr>
                  <w:tcW w:w="793" w:type="pct"/>
                  <w:shd w:val="clear" w:color="auto" w:fill="auto"/>
                  <w:vAlign w:val="center"/>
                </w:tcPr>
                <w:p w14:paraId="2959739C">
                  <w:pPr>
                    <w:widowControl/>
                    <w:jc w:val="center"/>
                    <w:rPr>
                      <w:kern w:val="0"/>
                      <w:szCs w:val="21"/>
                    </w:rPr>
                  </w:pPr>
                  <w:r>
                    <w:rPr>
                      <w:szCs w:val="21"/>
                    </w:rPr>
                    <w:t>--</w:t>
                  </w:r>
                </w:p>
              </w:tc>
            </w:tr>
          </w:tbl>
          <w:p w14:paraId="3211C4C1">
            <w:pPr>
              <w:jc w:val="left"/>
              <w:rPr>
                <w:rFonts w:eastAsia="黑体"/>
                <w:szCs w:val="21"/>
              </w:rPr>
            </w:pPr>
            <w:r>
              <w:rPr>
                <w:rFonts w:eastAsia="黑体"/>
                <w:szCs w:val="21"/>
              </w:rPr>
              <w:t>备注：2025年1月~8月份、12月份均为停产状态。</w:t>
            </w:r>
          </w:p>
          <w:p w14:paraId="004D1861">
            <w:pPr>
              <w:adjustRightInd w:val="0"/>
              <w:snapToGrid w:val="0"/>
              <w:spacing w:line="520" w:lineRule="exact"/>
              <w:ind w:firstLine="480" w:firstLineChars="200"/>
              <w:rPr>
                <w:bCs/>
                <w:sz w:val="24"/>
                <w:szCs w:val="21"/>
              </w:rPr>
            </w:pPr>
            <w:r>
              <w:rPr>
                <w:bCs/>
                <w:sz w:val="24"/>
              </w:rPr>
              <w:t>窑炉烟气中氟化物</w:t>
            </w:r>
            <w:r>
              <w:rPr>
                <w:bCs/>
                <w:sz w:val="24"/>
                <w:szCs w:val="21"/>
              </w:rPr>
              <w:t>河南省宗树环境检测技术研究有限公司2025年10月15日对三兴建材窑炉烟气排放口氟化物检测结果统计见表2-16。</w:t>
            </w:r>
          </w:p>
          <w:p w14:paraId="28ACE641">
            <w:pPr>
              <w:spacing w:line="520" w:lineRule="exact"/>
              <w:jc w:val="center"/>
              <w:rPr>
                <w:rFonts w:eastAsia="黑体"/>
                <w:sz w:val="24"/>
                <w:szCs w:val="32"/>
              </w:rPr>
            </w:pPr>
            <w:r>
              <w:rPr>
                <w:rFonts w:eastAsia="黑体"/>
                <w:sz w:val="24"/>
                <w:szCs w:val="32"/>
              </w:rPr>
              <w:t>表2-16        三兴建材窑炉烟气排放口DA002氟化物排放情况</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410"/>
              <w:gridCol w:w="1590"/>
              <w:gridCol w:w="2166"/>
              <w:gridCol w:w="2104"/>
            </w:tblGrid>
            <w:tr w14:paraId="3EE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1" w:type="pct"/>
                  <w:vMerge w:val="restart"/>
                  <w:vAlign w:val="center"/>
                </w:tcPr>
                <w:p w14:paraId="0C0A1B1E">
                  <w:pPr>
                    <w:spacing w:line="320" w:lineRule="exact"/>
                    <w:jc w:val="center"/>
                  </w:pPr>
                  <w:r>
                    <w:t>采样</w:t>
                  </w:r>
                </w:p>
                <w:p w14:paraId="7ABF050B">
                  <w:pPr>
                    <w:spacing w:line="320" w:lineRule="exact"/>
                    <w:jc w:val="center"/>
                  </w:pPr>
                  <w:r>
                    <w:t>日期</w:t>
                  </w:r>
                </w:p>
              </w:tc>
              <w:tc>
                <w:tcPr>
                  <w:tcW w:w="834" w:type="pct"/>
                  <w:vMerge w:val="restart"/>
                  <w:vAlign w:val="center"/>
                </w:tcPr>
                <w:p w14:paraId="0D316B37">
                  <w:pPr>
                    <w:spacing w:line="320" w:lineRule="exact"/>
                    <w:jc w:val="center"/>
                  </w:pPr>
                  <w:r>
                    <w:t>检测点位</w:t>
                  </w:r>
                </w:p>
              </w:tc>
              <w:tc>
                <w:tcPr>
                  <w:tcW w:w="940" w:type="pct"/>
                  <w:vMerge w:val="restart"/>
                  <w:vAlign w:val="center"/>
                </w:tcPr>
                <w:p w14:paraId="3BEAC5F8">
                  <w:pPr>
                    <w:spacing w:line="320" w:lineRule="exact"/>
                    <w:jc w:val="center"/>
                  </w:pPr>
                  <w:r>
                    <w:t>标干流量（Nm</w:t>
                  </w:r>
                  <w:r>
                    <w:rPr>
                      <w:vertAlign w:val="superscript"/>
                    </w:rPr>
                    <w:t>3</w:t>
                  </w:r>
                  <w:r>
                    <w:t>/h）</w:t>
                  </w:r>
                </w:p>
              </w:tc>
              <w:tc>
                <w:tcPr>
                  <w:tcW w:w="2525" w:type="pct"/>
                  <w:gridSpan w:val="2"/>
                  <w:vAlign w:val="center"/>
                </w:tcPr>
                <w:p w14:paraId="38B97C48">
                  <w:pPr>
                    <w:spacing w:line="320" w:lineRule="exact"/>
                    <w:jc w:val="center"/>
                  </w:pPr>
                  <w:r>
                    <w:t>氟化物</w:t>
                  </w:r>
                </w:p>
              </w:tc>
            </w:tr>
            <w:tr w14:paraId="10C6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7351D97F">
                  <w:pPr>
                    <w:spacing w:line="320" w:lineRule="exact"/>
                    <w:jc w:val="center"/>
                  </w:pPr>
                </w:p>
              </w:tc>
              <w:tc>
                <w:tcPr>
                  <w:tcW w:w="834" w:type="pct"/>
                  <w:vMerge w:val="continue"/>
                  <w:vAlign w:val="center"/>
                </w:tcPr>
                <w:p w14:paraId="2611C98F">
                  <w:pPr>
                    <w:spacing w:line="320" w:lineRule="exact"/>
                    <w:jc w:val="center"/>
                  </w:pPr>
                </w:p>
              </w:tc>
              <w:tc>
                <w:tcPr>
                  <w:tcW w:w="940" w:type="pct"/>
                  <w:vMerge w:val="continue"/>
                  <w:vAlign w:val="center"/>
                </w:tcPr>
                <w:p w14:paraId="136E467F">
                  <w:pPr>
                    <w:spacing w:line="320" w:lineRule="exact"/>
                    <w:jc w:val="center"/>
                  </w:pPr>
                </w:p>
              </w:tc>
              <w:tc>
                <w:tcPr>
                  <w:tcW w:w="1281" w:type="pct"/>
                  <w:vAlign w:val="center"/>
                </w:tcPr>
                <w:p w14:paraId="08933DEC">
                  <w:pPr>
                    <w:spacing w:line="320" w:lineRule="exact"/>
                    <w:jc w:val="center"/>
                  </w:pPr>
                  <w:r>
                    <w:t>排放浓度（mg/m</w:t>
                  </w:r>
                  <w:r>
                    <w:rPr>
                      <w:vertAlign w:val="superscript"/>
                    </w:rPr>
                    <w:t>3</w:t>
                  </w:r>
                  <w:r>
                    <w:t>）</w:t>
                  </w:r>
                </w:p>
              </w:tc>
              <w:tc>
                <w:tcPr>
                  <w:tcW w:w="1244" w:type="pct"/>
                </w:tcPr>
                <w:p w14:paraId="13BB3AAA">
                  <w:pPr>
                    <w:spacing w:line="320" w:lineRule="exact"/>
                    <w:jc w:val="center"/>
                  </w:pPr>
                  <w:r>
                    <w:t>排放速率（kg/h）</w:t>
                  </w:r>
                </w:p>
              </w:tc>
            </w:tr>
            <w:tr w14:paraId="42A0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restart"/>
                  <w:vAlign w:val="center"/>
                </w:tcPr>
                <w:p w14:paraId="1FBF9A9E">
                  <w:pPr>
                    <w:spacing w:line="320" w:lineRule="exact"/>
                    <w:jc w:val="center"/>
                  </w:pPr>
                  <w:r>
                    <w:t>2025.10.15</w:t>
                  </w:r>
                </w:p>
              </w:tc>
              <w:tc>
                <w:tcPr>
                  <w:tcW w:w="834" w:type="pct"/>
                  <w:vMerge w:val="restart"/>
                  <w:vAlign w:val="center"/>
                </w:tcPr>
                <w:p w14:paraId="149B6FE0">
                  <w:pPr>
                    <w:spacing w:line="320" w:lineRule="exact"/>
                    <w:jc w:val="center"/>
                  </w:pPr>
                  <w:r>
                    <w:t>窑炉烟气排放口DA002</w:t>
                  </w:r>
                </w:p>
              </w:tc>
              <w:tc>
                <w:tcPr>
                  <w:tcW w:w="940" w:type="pct"/>
                  <w:vAlign w:val="center"/>
                </w:tcPr>
                <w:p w14:paraId="2A1F9B00">
                  <w:pPr>
                    <w:spacing w:line="320" w:lineRule="exact"/>
                    <w:jc w:val="center"/>
                  </w:pPr>
                  <w:r>
                    <w:t>4.03×10</w:t>
                  </w:r>
                  <w:r>
                    <w:rPr>
                      <w:vertAlign w:val="superscript"/>
                    </w:rPr>
                    <w:t>4</w:t>
                  </w:r>
                </w:p>
              </w:tc>
              <w:tc>
                <w:tcPr>
                  <w:tcW w:w="1281" w:type="pct"/>
                  <w:vAlign w:val="center"/>
                </w:tcPr>
                <w:p w14:paraId="198A1270">
                  <w:pPr>
                    <w:spacing w:line="320" w:lineRule="exact"/>
                    <w:jc w:val="center"/>
                  </w:pPr>
                  <w:r>
                    <w:t>＜6.0×10</w:t>
                  </w:r>
                  <w:r>
                    <w:rPr>
                      <w:vertAlign w:val="superscript"/>
                    </w:rPr>
                    <w:t>-2</w:t>
                  </w:r>
                </w:p>
              </w:tc>
              <w:tc>
                <w:tcPr>
                  <w:tcW w:w="1244" w:type="pct"/>
                </w:tcPr>
                <w:p w14:paraId="60F21872">
                  <w:pPr>
                    <w:spacing w:line="320" w:lineRule="exact"/>
                    <w:jc w:val="center"/>
                  </w:pPr>
                  <w:r>
                    <w:t>1.21×10</w:t>
                  </w:r>
                  <w:r>
                    <w:rPr>
                      <w:vertAlign w:val="superscript"/>
                    </w:rPr>
                    <w:t>-3</w:t>
                  </w:r>
                </w:p>
              </w:tc>
            </w:tr>
            <w:tr w14:paraId="595A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28DB532D">
                  <w:pPr>
                    <w:spacing w:line="320" w:lineRule="exact"/>
                    <w:jc w:val="center"/>
                    <w:rPr>
                      <w:color w:val="EE0000"/>
                    </w:rPr>
                  </w:pPr>
                </w:p>
              </w:tc>
              <w:tc>
                <w:tcPr>
                  <w:tcW w:w="834" w:type="pct"/>
                  <w:vMerge w:val="continue"/>
                  <w:vAlign w:val="center"/>
                </w:tcPr>
                <w:p w14:paraId="01129BE6">
                  <w:pPr>
                    <w:spacing w:line="320" w:lineRule="exact"/>
                    <w:jc w:val="center"/>
                  </w:pPr>
                </w:p>
              </w:tc>
              <w:tc>
                <w:tcPr>
                  <w:tcW w:w="940" w:type="pct"/>
                  <w:vAlign w:val="center"/>
                </w:tcPr>
                <w:p w14:paraId="41F38306">
                  <w:pPr>
                    <w:spacing w:line="320" w:lineRule="exact"/>
                    <w:jc w:val="center"/>
                  </w:pPr>
                  <w:r>
                    <w:t>3.88×10</w:t>
                  </w:r>
                  <w:r>
                    <w:rPr>
                      <w:vertAlign w:val="superscript"/>
                    </w:rPr>
                    <w:t>4</w:t>
                  </w:r>
                </w:p>
              </w:tc>
              <w:tc>
                <w:tcPr>
                  <w:tcW w:w="1281" w:type="pct"/>
                  <w:vAlign w:val="center"/>
                </w:tcPr>
                <w:p w14:paraId="35F64710">
                  <w:pPr>
                    <w:spacing w:line="320" w:lineRule="exact"/>
                    <w:jc w:val="center"/>
                  </w:pPr>
                  <w:r>
                    <w:t>＜6.0×10</w:t>
                  </w:r>
                  <w:r>
                    <w:rPr>
                      <w:vertAlign w:val="superscript"/>
                    </w:rPr>
                    <w:t>-2</w:t>
                  </w:r>
                </w:p>
              </w:tc>
              <w:tc>
                <w:tcPr>
                  <w:tcW w:w="1244" w:type="pct"/>
                </w:tcPr>
                <w:p w14:paraId="4410F380">
                  <w:pPr>
                    <w:spacing w:line="320" w:lineRule="exact"/>
                    <w:jc w:val="center"/>
                  </w:pPr>
                  <w:r>
                    <w:t>1.16×10</w:t>
                  </w:r>
                  <w:r>
                    <w:rPr>
                      <w:vertAlign w:val="superscript"/>
                    </w:rPr>
                    <w:t>-3</w:t>
                  </w:r>
                </w:p>
              </w:tc>
            </w:tr>
            <w:tr w14:paraId="2D80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76AE64C7">
                  <w:pPr>
                    <w:spacing w:line="320" w:lineRule="exact"/>
                    <w:jc w:val="center"/>
                    <w:rPr>
                      <w:color w:val="EE0000"/>
                    </w:rPr>
                  </w:pPr>
                </w:p>
              </w:tc>
              <w:tc>
                <w:tcPr>
                  <w:tcW w:w="834" w:type="pct"/>
                  <w:vMerge w:val="continue"/>
                  <w:vAlign w:val="center"/>
                </w:tcPr>
                <w:p w14:paraId="1B5D1A36">
                  <w:pPr>
                    <w:spacing w:line="320" w:lineRule="exact"/>
                    <w:jc w:val="center"/>
                  </w:pPr>
                </w:p>
              </w:tc>
              <w:tc>
                <w:tcPr>
                  <w:tcW w:w="940" w:type="pct"/>
                  <w:vAlign w:val="center"/>
                </w:tcPr>
                <w:p w14:paraId="5DC33D17">
                  <w:pPr>
                    <w:spacing w:line="320" w:lineRule="exact"/>
                    <w:jc w:val="center"/>
                  </w:pPr>
                  <w:r>
                    <w:t>3.93×10</w:t>
                  </w:r>
                  <w:r>
                    <w:rPr>
                      <w:vertAlign w:val="superscript"/>
                    </w:rPr>
                    <w:t>4</w:t>
                  </w:r>
                </w:p>
              </w:tc>
              <w:tc>
                <w:tcPr>
                  <w:tcW w:w="1281" w:type="pct"/>
                  <w:vAlign w:val="center"/>
                </w:tcPr>
                <w:p w14:paraId="260B9364">
                  <w:pPr>
                    <w:spacing w:line="320" w:lineRule="exact"/>
                    <w:jc w:val="center"/>
                  </w:pPr>
                  <w:r>
                    <w:t>＜6.0×10</w:t>
                  </w:r>
                  <w:r>
                    <w:rPr>
                      <w:vertAlign w:val="superscript"/>
                    </w:rPr>
                    <w:t>-2</w:t>
                  </w:r>
                </w:p>
              </w:tc>
              <w:tc>
                <w:tcPr>
                  <w:tcW w:w="1244" w:type="pct"/>
                </w:tcPr>
                <w:p w14:paraId="25223CB8">
                  <w:pPr>
                    <w:spacing w:line="320" w:lineRule="exact"/>
                    <w:jc w:val="center"/>
                  </w:pPr>
                  <w:r>
                    <w:t>1.18×10</w:t>
                  </w:r>
                  <w:r>
                    <w:rPr>
                      <w:vertAlign w:val="superscript"/>
                    </w:rPr>
                    <w:t>-3</w:t>
                  </w:r>
                </w:p>
              </w:tc>
            </w:tr>
            <w:tr w14:paraId="2CC1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14:paraId="294DD74B">
                  <w:pPr>
                    <w:spacing w:line="320" w:lineRule="exact"/>
                    <w:jc w:val="center"/>
                    <w:rPr>
                      <w:color w:val="EE0000"/>
                    </w:rPr>
                  </w:pPr>
                </w:p>
              </w:tc>
              <w:tc>
                <w:tcPr>
                  <w:tcW w:w="834" w:type="pct"/>
                  <w:vAlign w:val="center"/>
                </w:tcPr>
                <w:p w14:paraId="2A49243A">
                  <w:pPr>
                    <w:spacing w:line="320" w:lineRule="exact"/>
                    <w:jc w:val="center"/>
                  </w:pPr>
                  <w:r>
                    <w:t>均值</w:t>
                  </w:r>
                </w:p>
              </w:tc>
              <w:tc>
                <w:tcPr>
                  <w:tcW w:w="940" w:type="pct"/>
                  <w:vAlign w:val="center"/>
                </w:tcPr>
                <w:p w14:paraId="52FF7F97">
                  <w:pPr>
                    <w:spacing w:line="320" w:lineRule="exact"/>
                    <w:jc w:val="center"/>
                  </w:pPr>
                  <w:r>
                    <w:t>3.95×10</w:t>
                  </w:r>
                  <w:r>
                    <w:rPr>
                      <w:vertAlign w:val="superscript"/>
                    </w:rPr>
                    <w:t>4</w:t>
                  </w:r>
                </w:p>
              </w:tc>
              <w:tc>
                <w:tcPr>
                  <w:tcW w:w="1281" w:type="pct"/>
                  <w:vAlign w:val="center"/>
                </w:tcPr>
                <w:p w14:paraId="2ECE9860">
                  <w:pPr>
                    <w:spacing w:line="320" w:lineRule="exact"/>
                    <w:jc w:val="center"/>
                  </w:pPr>
                  <w:r>
                    <w:t>＜6.0×10</w:t>
                  </w:r>
                  <w:r>
                    <w:rPr>
                      <w:vertAlign w:val="superscript"/>
                    </w:rPr>
                    <w:t>-2</w:t>
                  </w:r>
                </w:p>
              </w:tc>
              <w:tc>
                <w:tcPr>
                  <w:tcW w:w="1244" w:type="pct"/>
                </w:tcPr>
                <w:p w14:paraId="46B87085">
                  <w:pPr>
                    <w:spacing w:line="320" w:lineRule="exact"/>
                    <w:jc w:val="center"/>
                  </w:pPr>
                  <w:r>
                    <w:t>1.18×10</w:t>
                  </w:r>
                  <w:r>
                    <w:rPr>
                      <w:vertAlign w:val="superscript"/>
                    </w:rPr>
                    <w:t>-3</w:t>
                  </w:r>
                </w:p>
              </w:tc>
            </w:tr>
          </w:tbl>
          <w:p w14:paraId="3BEE270A">
            <w:pPr>
              <w:adjustRightInd w:val="0"/>
              <w:snapToGrid w:val="0"/>
              <w:spacing w:line="520" w:lineRule="exact"/>
              <w:ind w:firstLine="480" w:firstLineChars="200"/>
              <w:rPr>
                <w:bCs/>
                <w:sz w:val="24"/>
                <w:szCs w:val="21"/>
              </w:rPr>
            </w:pPr>
            <w:r>
              <w:rPr>
                <w:bCs/>
                <w:sz w:val="24"/>
              </w:rPr>
              <w:t>由表2-15~2-17检测结果可知，现有工程三兴建材窑炉烟气中</w:t>
            </w:r>
            <w:r>
              <w:rPr>
                <w:bCs/>
                <w:sz w:val="24"/>
                <w:szCs w:val="21"/>
              </w:rPr>
              <w:t>颗粒物排放浓度范围为2.689~3.691mg/m</w:t>
            </w:r>
            <w:r>
              <w:rPr>
                <w:bCs/>
                <w:sz w:val="24"/>
                <w:szCs w:val="21"/>
                <w:vertAlign w:val="superscript"/>
              </w:rPr>
              <w:t>3</w:t>
            </w:r>
            <w:r>
              <w:rPr>
                <w:bCs/>
                <w:sz w:val="24"/>
                <w:szCs w:val="21"/>
              </w:rPr>
              <w:t>、二氧化硫排放浓度范围为13.553~23.612mg/m</w:t>
            </w:r>
            <w:r>
              <w:rPr>
                <w:bCs/>
                <w:sz w:val="24"/>
                <w:szCs w:val="21"/>
                <w:vertAlign w:val="superscript"/>
              </w:rPr>
              <w:t>3</w:t>
            </w:r>
            <w:r>
              <w:rPr>
                <w:bCs/>
                <w:sz w:val="24"/>
                <w:szCs w:val="21"/>
              </w:rPr>
              <w:t>、氮氧化物排放浓度范围为21.458~29.069mg/m</w:t>
            </w:r>
            <w:r>
              <w:rPr>
                <w:bCs/>
                <w:sz w:val="24"/>
                <w:szCs w:val="21"/>
                <w:vertAlign w:val="superscript"/>
              </w:rPr>
              <w:t>3</w:t>
            </w:r>
            <w:r>
              <w:rPr>
                <w:bCs/>
                <w:sz w:val="24"/>
                <w:szCs w:val="21"/>
              </w:rPr>
              <w:t>、氟化物排放浓度＜6.0×10</w:t>
            </w:r>
            <w:r>
              <w:rPr>
                <w:bCs/>
                <w:sz w:val="24"/>
                <w:szCs w:val="21"/>
                <w:vertAlign w:val="superscript"/>
              </w:rPr>
              <w:t>-2</w:t>
            </w:r>
            <w:r>
              <w:rPr>
                <w:bCs/>
                <w:sz w:val="24"/>
                <w:szCs w:val="21"/>
              </w:rPr>
              <w:t>mg/m</w:t>
            </w:r>
            <w:r>
              <w:rPr>
                <w:bCs/>
                <w:sz w:val="24"/>
                <w:szCs w:val="21"/>
                <w:vertAlign w:val="superscript"/>
              </w:rPr>
              <w:t>3</w:t>
            </w:r>
            <w:r>
              <w:rPr>
                <w:bCs/>
                <w:sz w:val="24"/>
                <w:szCs w:val="21"/>
              </w:rPr>
              <w:t>。</w:t>
            </w:r>
            <w:r>
              <w:rPr>
                <w:bCs/>
                <w:sz w:val="24"/>
              </w:rPr>
              <w:t>均满足《砖瓦工业大气污染物排放标准》（DB41/2234-2022）</w:t>
            </w:r>
            <w:r>
              <w:rPr>
                <w:snapToGrid w:val="0"/>
                <w:kern w:val="0"/>
                <w:sz w:val="24"/>
              </w:rPr>
              <w:t>干燥、焙烧工序颗粒物排放浓度限值10mg/m</w:t>
            </w:r>
            <w:r>
              <w:rPr>
                <w:snapToGrid w:val="0"/>
                <w:kern w:val="0"/>
                <w:sz w:val="24"/>
                <w:vertAlign w:val="superscript"/>
              </w:rPr>
              <w:t>3</w:t>
            </w:r>
            <w:r>
              <w:rPr>
                <w:snapToGrid w:val="0"/>
                <w:kern w:val="0"/>
                <w:sz w:val="24"/>
              </w:rPr>
              <w:t>、二氧化硫排放浓度限值50mg/m</w:t>
            </w:r>
            <w:r>
              <w:rPr>
                <w:snapToGrid w:val="0"/>
                <w:kern w:val="0"/>
                <w:sz w:val="24"/>
                <w:vertAlign w:val="superscript"/>
              </w:rPr>
              <w:t>3</w:t>
            </w:r>
            <w:r>
              <w:rPr>
                <w:snapToGrid w:val="0"/>
                <w:kern w:val="0"/>
                <w:sz w:val="24"/>
              </w:rPr>
              <w:t>、氮氧化物排放浓度限值100mg/m</w:t>
            </w:r>
            <w:r>
              <w:rPr>
                <w:snapToGrid w:val="0"/>
                <w:kern w:val="0"/>
                <w:sz w:val="24"/>
                <w:vertAlign w:val="superscript"/>
              </w:rPr>
              <w:t>3</w:t>
            </w:r>
            <w:r>
              <w:rPr>
                <w:snapToGrid w:val="0"/>
                <w:kern w:val="0"/>
                <w:sz w:val="24"/>
              </w:rPr>
              <w:t>、氟化物排放浓度限值3mg/m</w:t>
            </w:r>
            <w:r>
              <w:rPr>
                <w:snapToGrid w:val="0"/>
                <w:kern w:val="0"/>
                <w:sz w:val="24"/>
                <w:vertAlign w:val="superscript"/>
              </w:rPr>
              <w:t>3</w:t>
            </w:r>
            <w:r>
              <w:rPr>
                <w:snapToGrid w:val="0"/>
                <w:kern w:val="0"/>
                <w:sz w:val="24"/>
              </w:rPr>
              <w:t>的要求；</w:t>
            </w:r>
          </w:p>
          <w:p w14:paraId="776F8341">
            <w:pPr>
              <w:adjustRightInd w:val="0"/>
              <w:snapToGrid w:val="0"/>
              <w:spacing w:line="520" w:lineRule="exact"/>
              <w:ind w:firstLine="480" w:firstLineChars="200"/>
              <w:rPr>
                <w:bCs/>
                <w:sz w:val="24"/>
                <w:szCs w:val="21"/>
              </w:rPr>
            </w:pPr>
            <w:r>
              <w:rPr>
                <w:bCs/>
                <w:sz w:val="24"/>
                <w:szCs w:val="21"/>
              </w:rPr>
              <w:fldChar w:fldCharType="begin"/>
            </w:r>
            <w:r>
              <w:rPr>
                <w:bCs/>
                <w:sz w:val="24"/>
                <w:szCs w:val="21"/>
              </w:rPr>
              <w:instrText xml:space="preserve"> = 3 \* GB3 </w:instrText>
            </w:r>
            <w:r>
              <w:rPr>
                <w:bCs/>
                <w:sz w:val="24"/>
                <w:szCs w:val="21"/>
              </w:rPr>
              <w:fldChar w:fldCharType="separate"/>
            </w:r>
            <w:r>
              <w:rPr>
                <w:rFonts w:ascii="Cambria Math" w:hAnsi="Cambria Math" w:cs="Cambria Math"/>
                <w:bCs/>
                <w:sz w:val="24"/>
                <w:szCs w:val="21"/>
              </w:rPr>
              <w:t>③</w:t>
            </w:r>
            <w:r>
              <w:rPr>
                <w:bCs/>
                <w:sz w:val="24"/>
                <w:szCs w:val="21"/>
              </w:rPr>
              <w:fldChar w:fldCharType="end"/>
            </w:r>
            <w:r>
              <w:rPr>
                <w:bCs/>
                <w:sz w:val="24"/>
                <w:szCs w:val="21"/>
              </w:rPr>
              <w:t>全厂无组织废气排放情况</w:t>
            </w:r>
          </w:p>
          <w:p w14:paraId="0C4FB0BE">
            <w:pPr>
              <w:adjustRightInd w:val="0"/>
              <w:snapToGrid w:val="0"/>
              <w:spacing w:line="520" w:lineRule="exact"/>
              <w:ind w:firstLine="480" w:firstLineChars="200"/>
              <w:rPr>
                <w:snapToGrid w:val="0"/>
                <w:kern w:val="0"/>
                <w:sz w:val="24"/>
              </w:rPr>
            </w:pPr>
            <w:r>
              <w:rPr>
                <w:bCs/>
                <w:sz w:val="24"/>
                <w:szCs w:val="21"/>
              </w:rPr>
              <w:t>河南省宗树环境检测技术研究有限公司2025年10月15日对三兴建材厂界无组织颗粒物进行检测、2025年10月28日对三兴建材厂界无组织二氧化硫、氟化物进行检测，检测结果见下表：</w:t>
            </w:r>
          </w:p>
          <w:p w14:paraId="6CAAE05C">
            <w:pPr>
              <w:spacing w:line="520" w:lineRule="exact"/>
              <w:jc w:val="center"/>
              <w:rPr>
                <w:rFonts w:eastAsia="黑体"/>
                <w:sz w:val="24"/>
                <w:szCs w:val="32"/>
              </w:rPr>
            </w:pPr>
            <w:r>
              <w:rPr>
                <w:rFonts w:eastAsia="黑体"/>
                <w:sz w:val="24"/>
                <w:szCs w:val="32"/>
              </w:rPr>
              <w:t>表2-17      现有工程三兴建材厂界无组织废气排放情况</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562"/>
              <w:gridCol w:w="696"/>
              <w:gridCol w:w="1129"/>
              <w:gridCol w:w="1129"/>
              <w:gridCol w:w="1129"/>
              <w:gridCol w:w="842"/>
              <w:gridCol w:w="1070"/>
            </w:tblGrid>
            <w:tr w14:paraId="7B12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4" w:type="pct"/>
                  <w:vMerge w:val="restart"/>
                  <w:vAlign w:val="center"/>
                </w:tcPr>
                <w:p w14:paraId="3451F984">
                  <w:pPr>
                    <w:spacing w:line="320" w:lineRule="exact"/>
                    <w:jc w:val="center"/>
                  </w:pPr>
                  <w:r>
                    <w:t>采样</w:t>
                  </w:r>
                </w:p>
                <w:p w14:paraId="47DDFC6B">
                  <w:pPr>
                    <w:spacing w:line="320" w:lineRule="exact"/>
                    <w:jc w:val="center"/>
                  </w:pPr>
                  <w:r>
                    <w:t>日期</w:t>
                  </w:r>
                </w:p>
              </w:tc>
              <w:tc>
                <w:tcPr>
                  <w:tcW w:w="939" w:type="pct"/>
                  <w:vMerge w:val="restart"/>
                  <w:vAlign w:val="center"/>
                </w:tcPr>
                <w:p w14:paraId="2A2968F1">
                  <w:pPr>
                    <w:spacing w:line="320" w:lineRule="exact"/>
                    <w:jc w:val="center"/>
                  </w:pPr>
                  <w:r>
                    <w:t>检测点位</w:t>
                  </w:r>
                </w:p>
              </w:tc>
              <w:tc>
                <w:tcPr>
                  <w:tcW w:w="1110" w:type="pct"/>
                  <w:gridSpan w:val="2"/>
                  <w:vAlign w:val="center"/>
                </w:tcPr>
                <w:p w14:paraId="03B4FE32">
                  <w:pPr>
                    <w:spacing w:line="320" w:lineRule="exact"/>
                    <w:jc w:val="center"/>
                  </w:pPr>
                  <w:r>
                    <w:t>二氧化硫（mg/m</w:t>
                  </w:r>
                  <w:r>
                    <w:rPr>
                      <w:vertAlign w:val="superscript"/>
                    </w:rPr>
                    <w:t>3</w:t>
                  </w:r>
                  <w:r>
                    <w:t>）</w:t>
                  </w:r>
                </w:p>
              </w:tc>
              <w:tc>
                <w:tcPr>
                  <w:tcW w:w="1366" w:type="pct"/>
                  <w:gridSpan w:val="2"/>
                  <w:vAlign w:val="center"/>
                </w:tcPr>
                <w:p w14:paraId="5188758B">
                  <w:pPr>
                    <w:spacing w:line="320" w:lineRule="exact"/>
                    <w:jc w:val="center"/>
                  </w:pPr>
                  <w:r>
                    <w:t>氟化物（mg/m</w:t>
                  </w:r>
                  <w:r>
                    <w:rPr>
                      <w:vertAlign w:val="superscript"/>
                    </w:rPr>
                    <w:t>3</w:t>
                  </w:r>
                  <w:r>
                    <w:t>）</w:t>
                  </w:r>
                </w:p>
              </w:tc>
              <w:tc>
                <w:tcPr>
                  <w:tcW w:w="1160" w:type="pct"/>
                  <w:gridSpan w:val="2"/>
                  <w:vAlign w:val="center"/>
                </w:tcPr>
                <w:p w14:paraId="7891117C">
                  <w:pPr>
                    <w:spacing w:line="320" w:lineRule="exact"/>
                    <w:jc w:val="center"/>
                  </w:pPr>
                  <w:r>
                    <w:t>颗粒物（mg/m</w:t>
                  </w:r>
                  <w:r>
                    <w:rPr>
                      <w:vertAlign w:val="superscript"/>
                    </w:rPr>
                    <w:t>3</w:t>
                  </w:r>
                  <w:r>
                    <w:t>）</w:t>
                  </w:r>
                </w:p>
              </w:tc>
            </w:tr>
            <w:tr w14:paraId="7066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24" w:type="pct"/>
                  <w:vMerge w:val="continue"/>
                  <w:vAlign w:val="center"/>
                </w:tcPr>
                <w:p w14:paraId="01F6FBB4">
                  <w:pPr>
                    <w:spacing w:line="320" w:lineRule="exact"/>
                    <w:jc w:val="center"/>
                  </w:pPr>
                </w:p>
              </w:tc>
              <w:tc>
                <w:tcPr>
                  <w:tcW w:w="939" w:type="pct"/>
                  <w:vMerge w:val="continue"/>
                  <w:vAlign w:val="center"/>
                </w:tcPr>
                <w:p w14:paraId="7B22EC33">
                  <w:pPr>
                    <w:spacing w:line="320" w:lineRule="exact"/>
                    <w:jc w:val="center"/>
                  </w:pPr>
                </w:p>
              </w:tc>
              <w:tc>
                <w:tcPr>
                  <w:tcW w:w="427" w:type="pct"/>
                  <w:vAlign w:val="center"/>
                </w:tcPr>
                <w:p w14:paraId="091E576D">
                  <w:pPr>
                    <w:spacing w:line="320" w:lineRule="exact"/>
                    <w:jc w:val="center"/>
                  </w:pPr>
                  <w:r>
                    <w:t>检测浓度</w:t>
                  </w:r>
                </w:p>
              </w:tc>
              <w:tc>
                <w:tcPr>
                  <w:tcW w:w="683" w:type="pct"/>
                  <w:vAlign w:val="center"/>
                </w:tcPr>
                <w:p w14:paraId="6C0C9B4E">
                  <w:pPr>
                    <w:spacing w:line="320" w:lineRule="exact"/>
                    <w:jc w:val="center"/>
                  </w:pPr>
                  <w:r>
                    <w:t>厂周界最大浓度值</w:t>
                  </w:r>
                </w:p>
              </w:tc>
              <w:tc>
                <w:tcPr>
                  <w:tcW w:w="683" w:type="pct"/>
                  <w:vAlign w:val="center"/>
                </w:tcPr>
                <w:p w14:paraId="3AAEEDB5">
                  <w:pPr>
                    <w:spacing w:line="320" w:lineRule="exact"/>
                    <w:jc w:val="center"/>
                  </w:pPr>
                  <w:r>
                    <w:t>检测浓度</w:t>
                  </w:r>
                </w:p>
              </w:tc>
              <w:tc>
                <w:tcPr>
                  <w:tcW w:w="683" w:type="pct"/>
                  <w:vAlign w:val="center"/>
                </w:tcPr>
                <w:p w14:paraId="63E201A8">
                  <w:pPr>
                    <w:spacing w:line="320" w:lineRule="exact"/>
                    <w:jc w:val="center"/>
                    <w:rPr>
                      <w:spacing w:val="-16"/>
                    </w:rPr>
                  </w:pPr>
                  <w:r>
                    <w:t>厂周界最大浓度值</w:t>
                  </w:r>
                </w:p>
              </w:tc>
              <w:tc>
                <w:tcPr>
                  <w:tcW w:w="513" w:type="pct"/>
                  <w:vAlign w:val="center"/>
                </w:tcPr>
                <w:p w14:paraId="7C32442E">
                  <w:pPr>
                    <w:spacing w:line="320" w:lineRule="exact"/>
                    <w:jc w:val="center"/>
                  </w:pPr>
                  <w:r>
                    <w:t>检测浓度</w:t>
                  </w:r>
                </w:p>
              </w:tc>
              <w:tc>
                <w:tcPr>
                  <w:tcW w:w="647" w:type="pct"/>
                  <w:vAlign w:val="center"/>
                </w:tcPr>
                <w:p w14:paraId="14440F7D">
                  <w:pPr>
                    <w:spacing w:line="320" w:lineRule="exact"/>
                    <w:jc w:val="center"/>
                  </w:pPr>
                  <w:r>
                    <w:t>厂周界最大浓度值</w:t>
                  </w:r>
                </w:p>
              </w:tc>
            </w:tr>
            <w:tr w14:paraId="5ECA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72078AD1">
                  <w:pPr>
                    <w:spacing w:line="320" w:lineRule="exact"/>
                    <w:jc w:val="center"/>
                  </w:pPr>
                  <w:r>
                    <w:t>2025.10</w:t>
                  </w:r>
                </w:p>
              </w:tc>
              <w:tc>
                <w:tcPr>
                  <w:tcW w:w="939" w:type="pct"/>
                  <w:vAlign w:val="center"/>
                </w:tcPr>
                <w:p w14:paraId="26656345">
                  <w:pPr>
                    <w:spacing w:line="320" w:lineRule="exact"/>
                    <w:jc w:val="center"/>
                  </w:pPr>
                  <w:r>
                    <w:t>厂界上风向01</w:t>
                  </w:r>
                </w:p>
              </w:tc>
              <w:tc>
                <w:tcPr>
                  <w:tcW w:w="427" w:type="pct"/>
                  <w:vAlign w:val="center"/>
                </w:tcPr>
                <w:p w14:paraId="3FFAC620">
                  <w:pPr>
                    <w:spacing w:line="320" w:lineRule="exact"/>
                    <w:jc w:val="center"/>
                  </w:pPr>
                  <w:r>
                    <w:t>ND</w:t>
                  </w:r>
                </w:p>
              </w:tc>
              <w:tc>
                <w:tcPr>
                  <w:tcW w:w="683" w:type="pct"/>
                  <w:vMerge w:val="restart"/>
                  <w:vAlign w:val="center"/>
                </w:tcPr>
                <w:p w14:paraId="128F9E68">
                  <w:pPr>
                    <w:spacing w:line="320" w:lineRule="exact"/>
                    <w:jc w:val="center"/>
                  </w:pPr>
                  <w:r>
                    <w:t>0.010</w:t>
                  </w:r>
                </w:p>
              </w:tc>
              <w:tc>
                <w:tcPr>
                  <w:tcW w:w="683" w:type="pct"/>
                  <w:vAlign w:val="center"/>
                </w:tcPr>
                <w:p w14:paraId="2ABCBB06">
                  <w:pPr>
                    <w:spacing w:line="320" w:lineRule="exact"/>
                  </w:pPr>
                  <w:r>
                    <w:t>9.0×10</w:t>
                  </w:r>
                  <w:r>
                    <w:rPr>
                      <w:vertAlign w:val="superscript"/>
                    </w:rPr>
                    <w:t>-4</w:t>
                  </w:r>
                </w:p>
              </w:tc>
              <w:tc>
                <w:tcPr>
                  <w:tcW w:w="683" w:type="pct"/>
                  <w:vMerge w:val="restart"/>
                  <w:vAlign w:val="center"/>
                </w:tcPr>
                <w:p w14:paraId="255F9459">
                  <w:pPr>
                    <w:spacing w:line="320" w:lineRule="exact"/>
                    <w:jc w:val="center"/>
                  </w:pPr>
                  <w:r>
                    <w:t>1.7×10</w:t>
                  </w:r>
                  <w:r>
                    <w:rPr>
                      <w:vertAlign w:val="superscript"/>
                    </w:rPr>
                    <w:t>-3</w:t>
                  </w:r>
                </w:p>
              </w:tc>
              <w:tc>
                <w:tcPr>
                  <w:tcW w:w="513" w:type="pct"/>
                  <w:vAlign w:val="center"/>
                </w:tcPr>
                <w:p w14:paraId="3D5DE3D4">
                  <w:pPr>
                    <w:spacing w:line="320" w:lineRule="exact"/>
                    <w:jc w:val="center"/>
                  </w:pPr>
                  <w:r>
                    <w:t>0.191</w:t>
                  </w:r>
                </w:p>
              </w:tc>
              <w:tc>
                <w:tcPr>
                  <w:tcW w:w="647" w:type="pct"/>
                  <w:vMerge w:val="restart"/>
                  <w:vAlign w:val="center"/>
                </w:tcPr>
                <w:p w14:paraId="7A288ADB">
                  <w:pPr>
                    <w:spacing w:line="320" w:lineRule="exact"/>
                    <w:jc w:val="center"/>
                  </w:pPr>
                  <w:r>
                    <w:t>0.228</w:t>
                  </w:r>
                </w:p>
              </w:tc>
            </w:tr>
            <w:tr w14:paraId="449C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75C77BE5">
                  <w:pPr>
                    <w:spacing w:line="320" w:lineRule="exact"/>
                    <w:jc w:val="center"/>
                  </w:pPr>
                </w:p>
              </w:tc>
              <w:tc>
                <w:tcPr>
                  <w:tcW w:w="939" w:type="pct"/>
                  <w:vAlign w:val="center"/>
                </w:tcPr>
                <w:p w14:paraId="00E8F59C">
                  <w:pPr>
                    <w:spacing w:line="320" w:lineRule="exact"/>
                    <w:jc w:val="center"/>
                  </w:pPr>
                  <w:r>
                    <w:t>厂界下风向02</w:t>
                  </w:r>
                </w:p>
              </w:tc>
              <w:tc>
                <w:tcPr>
                  <w:tcW w:w="427" w:type="pct"/>
                  <w:vAlign w:val="center"/>
                </w:tcPr>
                <w:p w14:paraId="4ED2BCCA">
                  <w:pPr>
                    <w:spacing w:line="320" w:lineRule="exact"/>
                    <w:jc w:val="center"/>
                  </w:pPr>
                  <w:r>
                    <w:t>0.008</w:t>
                  </w:r>
                </w:p>
              </w:tc>
              <w:tc>
                <w:tcPr>
                  <w:tcW w:w="683" w:type="pct"/>
                  <w:vMerge w:val="continue"/>
                  <w:vAlign w:val="center"/>
                </w:tcPr>
                <w:p w14:paraId="05A17DC4">
                  <w:pPr>
                    <w:spacing w:line="320" w:lineRule="exact"/>
                    <w:jc w:val="center"/>
                  </w:pPr>
                </w:p>
              </w:tc>
              <w:tc>
                <w:tcPr>
                  <w:tcW w:w="683" w:type="pct"/>
                </w:tcPr>
                <w:p w14:paraId="1F627D68">
                  <w:pPr>
                    <w:spacing w:line="320" w:lineRule="exact"/>
                    <w:jc w:val="center"/>
                  </w:pPr>
                  <w:r>
                    <w:t>1.7×10</w:t>
                  </w:r>
                  <w:r>
                    <w:rPr>
                      <w:vertAlign w:val="superscript"/>
                    </w:rPr>
                    <w:t>-3</w:t>
                  </w:r>
                </w:p>
              </w:tc>
              <w:tc>
                <w:tcPr>
                  <w:tcW w:w="683" w:type="pct"/>
                  <w:vMerge w:val="continue"/>
                  <w:vAlign w:val="center"/>
                </w:tcPr>
                <w:p w14:paraId="2071B0E9">
                  <w:pPr>
                    <w:spacing w:line="320" w:lineRule="exact"/>
                    <w:jc w:val="center"/>
                  </w:pPr>
                </w:p>
              </w:tc>
              <w:tc>
                <w:tcPr>
                  <w:tcW w:w="513" w:type="pct"/>
                  <w:vAlign w:val="center"/>
                </w:tcPr>
                <w:p w14:paraId="72B88BAC">
                  <w:pPr>
                    <w:spacing w:line="320" w:lineRule="exact"/>
                    <w:jc w:val="center"/>
                  </w:pPr>
                  <w:r>
                    <w:t>0.208</w:t>
                  </w:r>
                </w:p>
              </w:tc>
              <w:tc>
                <w:tcPr>
                  <w:tcW w:w="647" w:type="pct"/>
                  <w:vMerge w:val="continue"/>
                  <w:vAlign w:val="center"/>
                </w:tcPr>
                <w:p w14:paraId="16320A17">
                  <w:pPr>
                    <w:spacing w:line="320" w:lineRule="exact"/>
                    <w:jc w:val="center"/>
                  </w:pPr>
                </w:p>
              </w:tc>
            </w:tr>
            <w:tr w14:paraId="29D5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0E14739D">
                  <w:pPr>
                    <w:spacing w:line="320" w:lineRule="exact"/>
                    <w:jc w:val="center"/>
                  </w:pPr>
                </w:p>
              </w:tc>
              <w:tc>
                <w:tcPr>
                  <w:tcW w:w="939" w:type="pct"/>
                  <w:vAlign w:val="center"/>
                </w:tcPr>
                <w:p w14:paraId="41A3F539">
                  <w:pPr>
                    <w:spacing w:line="320" w:lineRule="exact"/>
                    <w:jc w:val="center"/>
                  </w:pPr>
                  <w:r>
                    <w:t>厂界下风向03</w:t>
                  </w:r>
                </w:p>
              </w:tc>
              <w:tc>
                <w:tcPr>
                  <w:tcW w:w="427" w:type="pct"/>
                  <w:vAlign w:val="center"/>
                </w:tcPr>
                <w:p w14:paraId="7F589DA8">
                  <w:pPr>
                    <w:spacing w:line="320" w:lineRule="exact"/>
                    <w:jc w:val="center"/>
                  </w:pPr>
                  <w:r>
                    <w:t>0.010</w:t>
                  </w:r>
                </w:p>
              </w:tc>
              <w:tc>
                <w:tcPr>
                  <w:tcW w:w="683" w:type="pct"/>
                  <w:vMerge w:val="continue"/>
                  <w:vAlign w:val="center"/>
                </w:tcPr>
                <w:p w14:paraId="05A539E9">
                  <w:pPr>
                    <w:spacing w:line="320" w:lineRule="exact"/>
                    <w:jc w:val="center"/>
                  </w:pPr>
                </w:p>
              </w:tc>
              <w:tc>
                <w:tcPr>
                  <w:tcW w:w="683" w:type="pct"/>
                </w:tcPr>
                <w:p w14:paraId="2EAB4722">
                  <w:pPr>
                    <w:spacing w:line="320" w:lineRule="exact"/>
                    <w:jc w:val="center"/>
                  </w:pPr>
                  <w:r>
                    <w:t>1.3×10</w:t>
                  </w:r>
                  <w:r>
                    <w:rPr>
                      <w:vertAlign w:val="superscript"/>
                    </w:rPr>
                    <w:t>-3</w:t>
                  </w:r>
                </w:p>
              </w:tc>
              <w:tc>
                <w:tcPr>
                  <w:tcW w:w="683" w:type="pct"/>
                  <w:vMerge w:val="continue"/>
                  <w:vAlign w:val="center"/>
                </w:tcPr>
                <w:p w14:paraId="7BD4B29F">
                  <w:pPr>
                    <w:spacing w:line="320" w:lineRule="exact"/>
                    <w:jc w:val="center"/>
                  </w:pPr>
                </w:p>
              </w:tc>
              <w:tc>
                <w:tcPr>
                  <w:tcW w:w="513" w:type="pct"/>
                  <w:vAlign w:val="center"/>
                </w:tcPr>
                <w:p w14:paraId="3EB83309">
                  <w:pPr>
                    <w:spacing w:line="320" w:lineRule="exact"/>
                    <w:jc w:val="center"/>
                  </w:pPr>
                  <w:r>
                    <w:t>0.219</w:t>
                  </w:r>
                </w:p>
              </w:tc>
              <w:tc>
                <w:tcPr>
                  <w:tcW w:w="647" w:type="pct"/>
                  <w:vMerge w:val="continue"/>
                  <w:vAlign w:val="center"/>
                </w:tcPr>
                <w:p w14:paraId="29DAFA6E">
                  <w:pPr>
                    <w:spacing w:line="320" w:lineRule="exact"/>
                    <w:jc w:val="center"/>
                  </w:pPr>
                </w:p>
              </w:tc>
            </w:tr>
            <w:tr w14:paraId="4E10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279046E3">
                  <w:pPr>
                    <w:spacing w:line="320" w:lineRule="exact"/>
                    <w:jc w:val="center"/>
                  </w:pPr>
                </w:p>
              </w:tc>
              <w:tc>
                <w:tcPr>
                  <w:tcW w:w="939" w:type="pct"/>
                  <w:vAlign w:val="center"/>
                </w:tcPr>
                <w:p w14:paraId="64FC4C60">
                  <w:pPr>
                    <w:spacing w:line="320" w:lineRule="exact"/>
                    <w:jc w:val="center"/>
                  </w:pPr>
                  <w:r>
                    <w:t>厂界下风向04</w:t>
                  </w:r>
                </w:p>
              </w:tc>
              <w:tc>
                <w:tcPr>
                  <w:tcW w:w="427" w:type="pct"/>
                  <w:vAlign w:val="center"/>
                </w:tcPr>
                <w:p w14:paraId="46BA7602">
                  <w:pPr>
                    <w:spacing w:line="320" w:lineRule="exact"/>
                    <w:jc w:val="center"/>
                  </w:pPr>
                  <w:r>
                    <w:t>0.009</w:t>
                  </w:r>
                </w:p>
              </w:tc>
              <w:tc>
                <w:tcPr>
                  <w:tcW w:w="683" w:type="pct"/>
                  <w:vMerge w:val="continue"/>
                  <w:vAlign w:val="center"/>
                </w:tcPr>
                <w:p w14:paraId="7A4DF953">
                  <w:pPr>
                    <w:spacing w:line="320" w:lineRule="exact"/>
                    <w:jc w:val="center"/>
                  </w:pPr>
                </w:p>
              </w:tc>
              <w:tc>
                <w:tcPr>
                  <w:tcW w:w="683" w:type="pct"/>
                </w:tcPr>
                <w:p w14:paraId="1C62D3C0">
                  <w:pPr>
                    <w:spacing w:line="320" w:lineRule="exact"/>
                    <w:jc w:val="center"/>
                  </w:pPr>
                  <w:r>
                    <w:t>1.6×10</w:t>
                  </w:r>
                  <w:r>
                    <w:rPr>
                      <w:vertAlign w:val="superscript"/>
                    </w:rPr>
                    <w:t>-3</w:t>
                  </w:r>
                </w:p>
              </w:tc>
              <w:tc>
                <w:tcPr>
                  <w:tcW w:w="683" w:type="pct"/>
                  <w:vMerge w:val="continue"/>
                  <w:vAlign w:val="center"/>
                </w:tcPr>
                <w:p w14:paraId="16622420">
                  <w:pPr>
                    <w:spacing w:line="320" w:lineRule="exact"/>
                    <w:jc w:val="center"/>
                  </w:pPr>
                </w:p>
              </w:tc>
              <w:tc>
                <w:tcPr>
                  <w:tcW w:w="513" w:type="pct"/>
                  <w:vAlign w:val="center"/>
                </w:tcPr>
                <w:p w14:paraId="51F34E49">
                  <w:pPr>
                    <w:spacing w:line="320" w:lineRule="exact"/>
                    <w:jc w:val="center"/>
                  </w:pPr>
                  <w:r>
                    <w:t>0.228</w:t>
                  </w:r>
                </w:p>
              </w:tc>
              <w:tc>
                <w:tcPr>
                  <w:tcW w:w="647" w:type="pct"/>
                  <w:vMerge w:val="continue"/>
                  <w:vAlign w:val="center"/>
                </w:tcPr>
                <w:p w14:paraId="597BA507">
                  <w:pPr>
                    <w:spacing w:line="320" w:lineRule="exact"/>
                    <w:jc w:val="center"/>
                  </w:pPr>
                </w:p>
              </w:tc>
            </w:tr>
            <w:tr w14:paraId="06F7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195F59FC">
                  <w:pPr>
                    <w:spacing w:line="320" w:lineRule="exact"/>
                    <w:jc w:val="center"/>
                  </w:pPr>
                  <w:r>
                    <w:t>2025.10</w:t>
                  </w:r>
                </w:p>
              </w:tc>
              <w:tc>
                <w:tcPr>
                  <w:tcW w:w="939" w:type="pct"/>
                  <w:vAlign w:val="center"/>
                </w:tcPr>
                <w:p w14:paraId="7A0BE6EB">
                  <w:pPr>
                    <w:spacing w:line="320" w:lineRule="exact"/>
                    <w:jc w:val="center"/>
                  </w:pPr>
                  <w:r>
                    <w:t>厂界上风向01</w:t>
                  </w:r>
                </w:p>
              </w:tc>
              <w:tc>
                <w:tcPr>
                  <w:tcW w:w="427" w:type="pct"/>
                  <w:vAlign w:val="center"/>
                </w:tcPr>
                <w:p w14:paraId="35A6C56D">
                  <w:pPr>
                    <w:spacing w:line="320" w:lineRule="exact"/>
                    <w:jc w:val="center"/>
                  </w:pPr>
                  <w:r>
                    <w:t>ND</w:t>
                  </w:r>
                </w:p>
              </w:tc>
              <w:tc>
                <w:tcPr>
                  <w:tcW w:w="683" w:type="pct"/>
                  <w:vMerge w:val="restart"/>
                  <w:vAlign w:val="center"/>
                </w:tcPr>
                <w:p w14:paraId="59F0AA68">
                  <w:pPr>
                    <w:spacing w:line="320" w:lineRule="exact"/>
                    <w:jc w:val="center"/>
                  </w:pPr>
                  <w:r>
                    <w:t>0.010</w:t>
                  </w:r>
                </w:p>
              </w:tc>
              <w:tc>
                <w:tcPr>
                  <w:tcW w:w="683" w:type="pct"/>
                </w:tcPr>
                <w:p w14:paraId="00C64063">
                  <w:pPr>
                    <w:spacing w:line="320" w:lineRule="exact"/>
                    <w:jc w:val="center"/>
                  </w:pPr>
                  <w:r>
                    <w:t>0.7×10</w:t>
                  </w:r>
                  <w:r>
                    <w:rPr>
                      <w:vertAlign w:val="superscript"/>
                    </w:rPr>
                    <w:t>-4</w:t>
                  </w:r>
                </w:p>
              </w:tc>
              <w:tc>
                <w:tcPr>
                  <w:tcW w:w="683" w:type="pct"/>
                  <w:vMerge w:val="restart"/>
                  <w:vAlign w:val="center"/>
                </w:tcPr>
                <w:p w14:paraId="50A0B8F5">
                  <w:pPr>
                    <w:spacing w:line="320" w:lineRule="exact"/>
                    <w:jc w:val="center"/>
                  </w:pPr>
                  <w:r>
                    <w:t>1.7×10</w:t>
                  </w:r>
                  <w:r>
                    <w:rPr>
                      <w:vertAlign w:val="superscript"/>
                    </w:rPr>
                    <w:t>-3</w:t>
                  </w:r>
                </w:p>
              </w:tc>
              <w:tc>
                <w:tcPr>
                  <w:tcW w:w="513" w:type="pct"/>
                  <w:vAlign w:val="center"/>
                </w:tcPr>
                <w:p w14:paraId="40E4622D">
                  <w:pPr>
                    <w:spacing w:line="320" w:lineRule="exact"/>
                    <w:jc w:val="center"/>
                  </w:pPr>
                  <w:r>
                    <w:t>0.187</w:t>
                  </w:r>
                </w:p>
              </w:tc>
              <w:tc>
                <w:tcPr>
                  <w:tcW w:w="647" w:type="pct"/>
                  <w:vMerge w:val="restart"/>
                  <w:vAlign w:val="center"/>
                </w:tcPr>
                <w:p w14:paraId="14972F1E">
                  <w:pPr>
                    <w:spacing w:line="320" w:lineRule="exact"/>
                    <w:jc w:val="center"/>
                  </w:pPr>
                  <w:r>
                    <w:t>0.235</w:t>
                  </w:r>
                </w:p>
              </w:tc>
            </w:tr>
            <w:tr w14:paraId="6046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1B69E056">
                  <w:pPr>
                    <w:spacing w:line="320" w:lineRule="exact"/>
                    <w:jc w:val="center"/>
                  </w:pPr>
                </w:p>
              </w:tc>
              <w:tc>
                <w:tcPr>
                  <w:tcW w:w="939" w:type="pct"/>
                  <w:vAlign w:val="center"/>
                </w:tcPr>
                <w:p w14:paraId="47CFFD03">
                  <w:pPr>
                    <w:spacing w:line="320" w:lineRule="exact"/>
                    <w:jc w:val="center"/>
                  </w:pPr>
                  <w:r>
                    <w:t>厂界下风向02</w:t>
                  </w:r>
                </w:p>
              </w:tc>
              <w:tc>
                <w:tcPr>
                  <w:tcW w:w="427" w:type="pct"/>
                  <w:vAlign w:val="center"/>
                </w:tcPr>
                <w:p w14:paraId="112A37A8">
                  <w:pPr>
                    <w:spacing w:line="320" w:lineRule="exact"/>
                    <w:jc w:val="center"/>
                  </w:pPr>
                  <w:r>
                    <w:t>0.010</w:t>
                  </w:r>
                </w:p>
              </w:tc>
              <w:tc>
                <w:tcPr>
                  <w:tcW w:w="683" w:type="pct"/>
                  <w:vMerge w:val="continue"/>
                  <w:vAlign w:val="center"/>
                </w:tcPr>
                <w:p w14:paraId="1BA5DA29">
                  <w:pPr>
                    <w:spacing w:line="320" w:lineRule="exact"/>
                    <w:jc w:val="center"/>
                  </w:pPr>
                </w:p>
              </w:tc>
              <w:tc>
                <w:tcPr>
                  <w:tcW w:w="683" w:type="pct"/>
                </w:tcPr>
                <w:p w14:paraId="44AF1E3A">
                  <w:pPr>
                    <w:spacing w:line="320" w:lineRule="exact"/>
                    <w:jc w:val="center"/>
                  </w:pPr>
                  <w:r>
                    <w:t>1.4×10</w:t>
                  </w:r>
                  <w:r>
                    <w:rPr>
                      <w:vertAlign w:val="superscript"/>
                    </w:rPr>
                    <w:t>-3</w:t>
                  </w:r>
                </w:p>
              </w:tc>
              <w:tc>
                <w:tcPr>
                  <w:tcW w:w="683" w:type="pct"/>
                  <w:vMerge w:val="continue"/>
                  <w:vAlign w:val="center"/>
                </w:tcPr>
                <w:p w14:paraId="0D276DEA">
                  <w:pPr>
                    <w:spacing w:line="320" w:lineRule="exact"/>
                    <w:jc w:val="center"/>
                  </w:pPr>
                </w:p>
              </w:tc>
              <w:tc>
                <w:tcPr>
                  <w:tcW w:w="513" w:type="pct"/>
                  <w:vAlign w:val="center"/>
                </w:tcPr>
                <w:p w14:paraId="3CB0717D">
                  <w:pPr>
                    <w:spacing w:line="320" w:lineRule="exact"/>
                    <w:jc w:val="center"/>
                  </w:pPr>
                  <w:r>
                    <w:t>0.229</w:t>
                  </w:r>
                </w:p>
              </w:tc>
              <w:tc>
                <w:tcPr>
                  <w:tcW w:w="647" w:type="pct"/>
                  <w:vMerge w:val="continue"/>
                  <w:vAlign w:val="center"/>
                </w:tcPr>
                <w:p w14:paraId="57FEAD30">
                  <w:pPr>
                    <w:spacing w:line="320" w:lineRule="exact"/>
                    <w:jc w:val="center"/>
                  </w:pPr>
                </w:p>
              </w:tc>
            </w:tr>
            <w:tr w14:paraId="0DAB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65D15587">
                  <w:pPr>
                    <w:spacing w:line="320" w:lineRule="exact"/>
                    <w:jc w:val="center"/>
                  </w:pPr>
                </w:p>
              </w:tc>
              <w:tc>
                <w:tcPr>
                  <w:tcW w:w="939" w:type="pct"/>
                  <w:vAlign w:val="center"/>
                </w:tcPr>
                <w:p w14:paraId="2ACAFC41">
                  <w:pPr>
                    <w:spacing w:line="320" w:lineRule="exact"/>
                    <w:jc w:val="center"/>
                  </w:pPr>
                  <w:r>
                    <w:t>厂界下风向03</w:t>
                  </w:r>
                </w:p>
              </w:tc>
              <w:tc>
                <w:tcPr>
                  <w:tcW w:w="427" w:type="pct"/>
                  <w:vAlign w:val="center"/>
                </w:tcPr>
                <w:p w14:paraId="483C05C8">
                  <w:pPr>
                    <w:spacing w:line="320" w:lineRule="exact"/>
                    <w:jc w:val="center"/>
                  </w:pPr>
                  <w:r>
                    <w:t>0.008</w:t>
                  </w:r>
                </w:p>
              </w:tc>
              <w:tc>
                <w:tcPr>
                  <w:tcW w:w="683" w:type="pct"/>
                  <w:vMerge w:val="continue"/>
                  <w:vAlign w:val="center"/>
                </w:tcPr>
                <w:p w14:paraId="41B69E07">
                  <w:pPr>
                    <w:spacing w:line="320" w:lineRule="exact"/>
                    <w:jc w:val="center"/>
                  </w:pPr>
                </w:p>
              </w:tc>
              <w:tc>
                <w:tcPr>
                  <w:tcW w:w="683" w:type="pct"/>
                </w:tcPr>
                <w:p w14:paraId="15D93A41">
                  <w:pPr>
                    <w:spacing w:line="320" w:lineRule="exact"/>
                    <w:jc w:val="center"/>
                  </w:pPr>
                  <w:r>
                    <w:t>1.2×10</w:t>
                  </w:r>
                  <w:r>
                    <w:rPr>
                      <w:vertAlign w:val="superscript"/>
                    </w:rPr>
                    <w:t>-3</w:t>
                  </w:r>
                </w:p>
              </w:tc>
              <w:tc>
                <w:tcPr>
                  <w:tcW w:w="683" w:type="pct"/>
                  <w:vMerge w:val="continue"/>
                  <w:vAlign w:val="center"/>
                </w:tcPr>
                <w:p w14:paraId="499C7C92">
                  <w:pPr>
                    <w:spacing w:line="320" w:lineRule="exact"/>
                    <w:jc w:val="center"/>
                  </w:pPr>
                </w:p>
              </w:tc>
              <w:tc>
                <w:tcPr>
                  <w:tcW w:w="513" w:type="pct"/>
                  <w:vAlign w:val="center"/>
                </w:tcPr>
                <w:p w14:paraId="1363C648">
                  <w:pPr>
                    <w:spacing w:line="320" w:lineRule="exact"/>
                    <w:jc w:val="center"/>
                  </w:pPr>
                  <w:r>
                    <w:t>0.225</w:t>
                  </w:r>
                </w:p>
              </w:tc>
              <w:tc>
                <w:tcPr>
                  <w:tcW w:w="647" w:type="pct"/>
                  <w:vMerge w:val="continue"/>
                  <w:vAlign w:val="center"/>
                </w:tcPr>
                <w:p w14:paraId="75BA7871">
                  <w:pPr>
                    <w:spacing w:line="320" w:lineRule="exact"/>
                    <w:jc w:val="center"/>
                  </w:pPr>
                </w:p>
              </w:tc>
            </w:tr>
            <w:tr w14:paraId="2D6A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319BE358">
                  <w:pPr>
                    <w:spacing w:line="320" w:lineRule="exact"/>
                    <w:jc w:val="center"/>
                  </w:pPr>
                </w:p>
              </w:tc>
              <w:tc>
                <w:tcPr>
                  <w:tcW w:w="939" w:type="pct"/>
                  <w:vAlign w:val="center"/>
                </w:tcPr>
                <w:p w14:paraId="446D824E">
                  <w:pPr>
                    <w:spacing w:line="320" w:lineRule="exact"/>
                    <w:jc w:val="center"/>
                  </w:pPr>
                  <w:r>
                    <w:t>厂界下风向04</w:t>
                  </w:r>
                </w:p>
              </w:tc>
              <w:tc>
                <w:tcPr>
                  <w:tcW w:w="427" w:type="pct"/>
                  <w:vAlign w:val="center"/>
                </w:tcPr>
                <w:p w14:paraId="382CD449">
                  <w:pPr>
                    <w:spacing w:line="320" w:lineRule="exact"/>
                    <w:jc w:val="center"/>
                  </w:pPr>
                  <w:r>
                    <w:t>0.008</w:t>
                  </w:r>
                </w:p>
              </w:tc>
              <w:tc>
                <w:tcPr>
                  <w:tcW w:w="683" w:type="pct"/>
                  <w:vMerge w:val="continue"/>
                  <w:vAlign w:val="center"/>
                </w:tcPr>
                <w:p w14:paraId="2AD8C837">
                  <w:pPr>
                    <w:spacing w:line="320" w:lineRule="exact"/>
                    <w:jc w:val="center"/>
                  </w:pPr>
                </w:p>
              </w:tc>
              <w:tc>
                <w:tcPr>
                  <w:tcW w:w="683" w:type="pct"/>
                </w:tcPr>
                <w:p w14:paraId="5985BBB2">
                  <w:pPr>
                    <w:spacing w:line="320" w:lineRule="exact"/>
                    <w:jc w:val="center"/>
                  </w:pPr>
                  <w:r>
                    <w:t>1.7×10</w:t>
                  </w:r>
                  <w:r>
                    <w:rPr>
                      <w:vertAlign w:val="superscript"/>
                    </w:rPr>
                    <w:t>-3</w:t>
                  </w:r>
                </w:p>
              </w:tc>
              <w:tc>
                <w:tcPr>
                  <w:tcW w:w="683" w:type="pct"/>
                  <w:vMerge w:val="continue"/>
                  <w:vAlign w:val="center"/>
                </w:tcPr>
                <w:p w14:paraId="7A7E9412">
                  <w:pPr>
                    <w:spacing w:line="320" w:lineRule="exact"/>
                    <w:jc w:val="center"/>
                  </w:pPr>
                </w:p>
              </w:tc>
              <w:tc>
                <w:tcPr>
                  <w:tcW w:w="513" w:type="pct"/>
                  <w:vAlign w:val="center"/>
                </w:tcPr>
                <w:p w14:paraId="650372C5">
                  <w:pPr>
                    <w:spacing w:line="320" w:lineRule="exact"/>
                    <w:jc w:val="center"/>
                  </w:pPr>
                  <w:r>
                    <w:t>0.235</w:t>
                  </w:r>
                </w:p>
              </w:tc>
              <w:tc>
                <w:tcPr>
                  <w:tcW w:w="647" w:type="pct"/>
                  <w:vMerge w:val="continue"/>
                  <w:vAlign w:val="center"/>
                </w:tcPr>
                <w:p w14:paraId="5056CFB3">
                  <w:pPr>
                    <w:spacing w:line="320" w:lineRule="exact"/>
                    <w:jc w:val="center"/>
                  </w:pPr>
                </w:p>
              </w:tc>
            </w:tr>
            <w:tr w14:paraId="7113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3D23547D">
                  <w:pPr>
                    <w:spacing w:line="320" w:lineRule="exact"/>
                    <w:jc w:val="center"/>
                  </w:pPr>
                  <w:r>
                    <w:t>2025.10</w:t>
                  </w:r>
                </w:p>
              </w:tc>
              <w:tc>
                <w:tcPr>
                  <w:tcW w:w="939" w:type="pct"/>
                  <w:vAlign w:val="center"/>
                </w:tcPr>
                <w:p w14:paraId="0F6D120F">
                  <w:pPr>
                    <w:spacing w:line="320" w:lineRule="exact"/>
                    <w:jc w:val="center"/>
                  </w:pPr>
                  <w:r>
                    <w:t>厂界上风向01</w:t>
                  </w:r>
                </w:p>
              </w:tc>
              <w:tc>
                <w:tcPr>
                  <w:tcW w:w="427" w:type="pct"/>
                  <w:vAlign w:val="center"/>
                </w:tcPr>
                <w:p w14:paraId="665A8A56">
                  <w:pPr>
                    <w:spacing w:line="320" w:lineRule="exact"/>
                    <w:jc w:val="center"/>
                  </w:pPr>
                  <w:r>
                    <w:t>ND</w:t>
                  </w:r>
                </w:p>
              </w:tc>
              <w:tc>
                <w:tcPr>
                  <w:tcW w:w="683" w:type="pct"/>
                  <w:vMerge w:val="restart"/>
                  <w:vAlign w:val="center"/>
                </w:tcPr>
                <w:p w14:paraId="3A79EA9F">
                  <w:pPr>
                    <w:spacing w:line="320" w:lineRule="exact"/>
                    <w:jc w:val="center"/>
                  </w:pPr>
                  <w:r>
                    <w:t>0.012</w:t>
                  </w:r>
                </w:p>
              </w:tc>
              <w:tc>
                <w:tcPr>
                  <w:tcW w:w="683" w:type="pct"/>
                </w:tcPr>
                <w:p w14:paraId="722AA662">
                  <w:pPr>
                    <w:spacing w:line="320" w:lineRule="exact"/>
                    <w:jc w:val="center"/>
                  </w:pPr>
                  <w:r>
                    <w:t>0.7×10</w:t>
                  </w:r>
                  <w:r>
                    <w:rPr>
                      <w:vertAlign w:val="superscript"/>
                    </w:rPr>
                    <w:t>-4</w:t>
                  </w:r>
                </w:p>
              </w:tc>
              <w:tc>
                <w:tcPr>
                  <w:tcW w:w="683" w:type="pct"/>
                  <w:vMerge w:val="restart"/>
                  <w:vAlign w:val="center"/>
                </w:tcPr>
                <w:p w14:paraId="693DE886">
                  <w:pPr>
                    <w:spacing w:line="320" w:lineRule="exact"/>
                    <w:jc w:val="center"/>
                  </w:pPr>
                  <w:r>
                    <w:t>1.6×10</w:t>
                  </w:r>
                  <w:r>
                    <w:rPr>
                      <w:vertAlign w:val="superscript"/>
                    </w:rPr>
                    <w:t>-3</w:t>
                  </w:r>
                </w:p>
              </w:tc>
              <w:tc>
                <w:tcPr>
                  <w:tcW w:w="513" w:type="pct"/>
                  <w:vAlign w:val="center"/>
                </w:tcPr>
                <w:p w14:paraId="070E3E51">
                  <w:pPr>
                    <w:spacing w:line="320" w:lineRule="exact"/>
                    <w:jc w:val="center"/>
                  </w:pPr>
                  <w:r>
                    <w:t>0.190</w:t>
                  </w:r>
                </w:p>
              </w:tc>
              <w:tc>
                <w:tcPr>
                  <w:tcW w:w="647" w:type="pct"/>
                  <w:vMerge w:val="restart"/>
                  <w:vAlign w:val="center"/>
                </w:tcPr>
                <w:p w14:paraId="4879508A">
                  <w:pPr>
                    <w:spacing w:line="320" w:lineRule="exact"/>
                    <w:jc w:val="center"/>
                  </w:pPr>
                  <w:r>
                    <w:t>0.223</w:t>
                  </w:r>
                </w:p>
              </w:tc>
            </w:tr>
            <w:tr w14:paraId="65D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247A120F">
                  <w:pPr>
                    <w:spacing w:line="320" w:lineRule="exact"/>
                    <w:jc w:val="center"/>
                  </w:pPr>
                </w:p>
              </w:tc>
              <w:tc>
                <w:tcPr>
                  <w:tcW w:w="939" w:type="pct"/>
                  <w:vAlign w:val="center"/>
                </w:tcPr>
                <w:p w14:paraId="7A1385C3">
                  <w:pPr>
                    <w:spacing w:line="320" w:lineRule="exact"/>
                    <w:jc w:val="center"/>
                  </w:pPr>
                  <w:r>
                    <w:t>厂界下风向02</w:t>
                  </w:r>
                </w:p>
              </w:tc>
              <w:tc>
                <w:tcPr>
                  <w:tcW w:w="427" w:type="pct"/>
                  <w:vAlign w:val="center"/>
                </w:tcPr>
                <w:p w14:paraId="59FF9282">
                  <w:pPr>
                    <w:spacing w:line="320" w:lineRule="exact"/>
                    <w:jc w:val="center"/>
                  </w:pPr>
                  <w:r>
                    <w:t>0.008</w:t>
                  </w:r>
                </w:p>
              </w:tc>
              <w:tc>
                <w:tcPr>
                  <w:tcW w:w="683" w:type="pct"/>
                  <w:vMerge w:val="continue"/>
                  <w:vAlign w:val="center"/>
                </w:tcPr>
                <w:p w14:paraId="3CA46B0E">
                  <w:pPr>
                    <w:spacing w:line="320" w:lineRule="exact"/>
                    <w:jc w:val="center"/>
                  </w:pPr>
                </w:p>
              </w:tc>
              <w:tc>
                <w:tcPr>
                  <w:tcW w:w="683" w:type="pct"/>
                </w:tcPr>
                <w:p w14:paraId="0AABCC29">
                  <w:pPr>
                    <w:spacing w:line="320" w:lineRule="exact"/>
                    <w:jc w:val="center"/>
                  </w:pPr>
                  <w:r>
                    <w:t>1.5×10</w:t>
                  </w:r>
                  <w:r>
                    <w:rPr>
                      <w:vertAlign w:val="superscript"/>
                    </w:rPr>
                    <w:t>-3</w:t>
                  </w:r>
                </w:p>
              </w:tc>
              <w:tc>
                <w:tcPr>
                  <w:tcW w:w="683" w:type="pct"/>
                  <w:vMerge w:val="continue"/>
                  <w:vAlign w:val="center"/>
                </w:tcPr>
                <w:p w14:paraId="7BC3ECB9">
                  <w:pPr>
                    <w:spacing w:line="320" w:lineRule="exact"/>
                    <w:jc w:val="center"/>
                  </w:pPr>
                </w:p>
              </w:tc>
              <w:tc>
                <w:tcPr>
                  <w:tcW w:w="513" w:type="pct"/>
                  <w:vAlign w:val="center"/>
                </w:tcPr>
                <w:p w14:paraId="265D7F60">
                  <w:pPr>
                    <w:spacing w:line="320" w:lineRule="exact"/>
                    <w:jc w:val="center"/>
                  </w:pPr>
                  <w:r>
                    <w:t>0.215</w:t>
                  </w:r>
                </w:p>
              </w:tc>
              <w:tc>
                <w:tcPr>
                  <w:tcW w:w="647" w:type="pct"/>
                  <w:vMerge w:val="continue"/>
                  <w:vAlign w:val="center"/>
                </w:tcPr>
                <w:p w14:paraId="6BEC5D9D">
                  <w:pPr>
                    <w:spacing w:line="320" w:lineRule="exact"/>
                    <w:jc w:val="center"/>
                  </w:pPr>
                </w:p>
              </w:tc>
            </w:tr>
            <w:tr w14:paraId="7457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7C239156">
                  <w:pPr>
                    <w:spacing w:line="320" w:lineRule="exact"/>
                    <w:jc w:val="center"/>
                  </w:pPr>
                </w:p>
              </w:tc>
              <w:tc>
                <w:tcPr>
                  <w:tcW w:w="939" w:type="pct"/>
                  <w:vAlign w:val="center"/>
                </w:tcPr>
                <w:p w14:paraId="7B8B7E75">
                  <w:pPr>
                    <w:spacing w:line="320" w:lineRule="exact"/>
                    <w:jc w:val="center"/>
                  </w:pPr>
                  <w:r>
                    <w:t>厂界下风向03</w:t>
                  </w:r>
                </w:p>
              </w:tc>
              <w:tc>
                <w:tcPr>
                  <w:tcW w:w="427" w:type="pct"/>
                  <w:vAlign w:val="center"/>
                </w:tcPr>
                <w:p w14:paraId="317F5633">
                  <w:pPr>
                    <w:spacing w:line="320" w:lineRule="exact"/>
                    <w:jc w:val="center"/>
                  </w:pPr>
                  <w:r>
                    <w:t>0.012</w:t>
                  </w:r>
                </w:p>
              </w:tc>
              <w:tc>
                <w:tcPr>
                  <w:tcW w:w="683" w:type="pct"/>
                  <w:vMerge w:val="continue"/>
                  <w:vAlign w:val="center"/>
                </w:tcPr>
                <w:p w14:paraId="7D1ABA91">
                  <w:pPr>
                    <w:spacing w:line="320" w:lineRule="exact"/>
                    <w:jc w:val="center"/>
                  </w:pPr>
                </w:p>
              </w:tc>
              <w:tc>
                <w:tcPr>
                  <w:tcW w:w="683" w:type="pct"/>
                </w:tcPr>
                <w:p w14:paraId="057436EE">
                  <w:pPr>
                    <w:spacing w:line="320" w:lineRule="exact"/>
                    <w:jc w:val="center"/>
                  </w:pPr>
                  <w:r>
                    <w:t>1.6×10</w:t>
                  </w:r>
                  <w:r>
                    <w:rPr>
                      <w:vertAlign w:val="superscript"/>
                    </w:rPr>
                    <w:t>-3</w:t>
                  </w:r>
                </w:p>
              </w:tc>
              <w:tc>
                <w:tcPr>
                  <w:tcW w:w="683" w:type="pct"/>
                  <w:vMerge w:val="continue"/>
                  <w:vAlign w:val="center"/>
                </w:tcPr>
                <w:p w14:paraId="566BEB74">
                  <w:pPr>
                    <w:spacing w:line="320" w:lineRule="exact"/>
                    <w:jc w:val="center"/>
                  </w:pPr>
                </w:p>
              </w:tc>
              <w:tc>
                <w:tcPr>
                  <w:tcW w:w="513" w:type="pct"/>
                  <w:vAlign w:val="center"/>
                </w:tcPr>
                <w:p w14:paraId="05349451">
                  <w:pPr>
                    <w:spacing w:line="320" w:lineRule="exact"/>
                    <w:jc w:val="center"/>
                  </w:pPr>
                  <w:r>
                    <w:t>0.220</w:t>
                  </w:r>
                </w:p>
              </w:tc>
              <w:tc>
                <w:tcPr>
                  <w:tcW w:w="647" w:type="pct"/>
                  <w:vMerge w:val="continue"/>
                  <w:vAlign w:val="center"/>
                </w:tcPr>
                <w:p w14:paraId="4D2A8C5D">
                  <w:pPr>
                    <w:spacing w:line="320" w:lineRule="exact"/>
                    <w:jc w:val="center"/>
                  </w:pPr>
                </w:p>
              </w:tc>
            </w:tr>
            <w:tr w14:paraId="2E58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4FA94CA5">
                  <w:pPr>
                    <w:spacing w:line="320" w:lineRule="exact"/>
                    <w:jc w:val="center"/>
                  </w:pPr>
                </w:p>
              </w:tc>
              <w:tc>
                <w:tcPr>
                  <w:tcW w:w="939" w:type="pct"/>
                  <w:vAlign w:val="center"/>
                </w:tcPr>
                <w:p w14:paraId="2CEE2C43">
                  <w:pPr>
                    <w:spacing w:line="320" w:lineRule="exact"/>
                    <w:jc w:val="center"/>
                  </w:pPr>
                  <w:r>
                    <w:t>厂界下风向04</w:t>
                  </w:r>
                </w:p>
              </w:tc>
              <w:tc>
                <w:tcPr>
                  <w:tcW w:w="427" w:type="pct"/>
                  <w:vAlign w:val="center"/>
                </w:tcPr>
                <w:p w14:paraId="4824C368">
                  <w:pPr>
                    <w:spacing w:line="320" w:lineRule="exact"/>
                    <w:jc w:val="center"/>
                  </w:pPr>
                  <w:r>
                    <w:t>0.012</w:t>
                  </w:r>
                </w:p>
              </w:tc>
              <w:tc>
                <w:tcPr>
                  <w:tcW w:w="683" w:type="pct"/>
                  <w:vMerge w:val="continue"/>
                  <w:vAlign w:val="center"/>
                </w:tcPr>
                <w:p w14:paraId="4569480B">
                  <w:pPr>
                    <w:spacing w:line="320" w:lineRule="exact"/>
                    <w:jc w:val="center"/>
                  </w:pPr>
                </w:p>
              </w:tc>
              <w:tc>
                <w:tcPr>
                  <w:tcW w:w="683" w:type="pct"/>
                </w:tcPr>
                <w:p w14:paraId="72FDB0F9">
                  <w:pPr>
                    <w:spacing w:line="320" w:lineRule="exact"/>
                    <w:jc w:val="center"/>
                  </w:pPr>
                  <w:r>
                    <w:t>1.5×10</w:t>
                  </w:r>
                  <w:r>
                    <w:rPr>
                      <w:vertAlign w:val="superscript"/>
                    </w:rPr>
                    <w:t>-3</w:t>
                  </w:r>
                </w:p>
              </w:tc>
              <w:tc>
                <w:tcPr>
                  <w:tcW w:w="683" w:type="pct"/>
                  <w:vMerge w:val="continue"/>
                  <w:vAlign w:val="center"/>
                </w:tcPr>
                <w:p w14:paraId="097B3EA4">
                  <w:pPr>
                    <w:spacing w:line="320" w:lineRule="exact"/>
                    <w:jc w:val="center"/>
                  </w:pPr>
                </w:p>
              </w:tc>
              <w:tc>
                <w:tcPr>
                  <w:tcW w:w="513" w:type="pct"/>
                  <w:vAlign w:val="center"/>
                </w:tcPr>
                <w:p w14:paraId="581EC88F">
                  <w:pPr>
                    <w:spacing w:line="320" w:lineRule="exact"/>
                    <w:jc w:val="center"/>
                  </w:pPr>
                  <w:r>
                    <w:t>0.223</w:t>
                  </w:r>
                </w:p>
              </w:tc>
              <w:tc>
                <w:tcPr>
                  <w:tcW w:w="647" w:type="pct"/>
                  <w:vMerge w:val="continue"/>
                  <w:vAlign w:val="center"/>
                </w:tcPr>
                <w:p w14:paraId="3000EB85">
                  <w:pPr>
                    <w:spacing w:line="320" w:lineRule="exact"/>
                    <w:jc w:val="center"/>
                  </w:pPr>
                </w:p>
              </w:tc>
            </w:tr>
            <w:tr w14:paraId="458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722CF5DA">
                  <w:pPr>
                    <w:spacing w:line="320" w:lineRule="exact"/>
                    <w:jc w:val="center"/>
                  </w:pPr>
                  <w:r>
                    <w:t>2025.10</w:t>
                  </w:r>
                </w:p>
              </w:tc>
              <w:tc>
                <w:tcPr>
                  <w:tcW w:w="939" w:type="pct"/>
                  <w:vAlign w:val="center"/>
                </w:tcPr>
                <w:p w14:paraId="41E09013">
                  <w:pPr>
                    <w:spacing w:line="320" w:lineRule="exact"/>
                    <w:jc w:val="center"/>
                  </w:pPr>
                  <w:r>
                    <w:t>厂界上风向01</w:t>
                  </w:r>
                </w:p>
              </w:tc>
              <w:tc>
                <w:tcPr>
                  <w:tcW w:w="427" w:type="pct"/>
                  <w:vAlign w:val="center"/>
                </w:tcPr>
                <w:p w14:paraId="5F0407AF">
                  <w:pPr>
                    <w:spacing w:line="320" w:lineRule="exact"/>
                    <w:jc w:val="center"/>
                  </w:pPr>
                  <w:r>
                    <w:t>ND</w:t>
                  </w:r>
                </w:p>
              </w:tc>
              <w:tc>
                <w:tcPr>
                  <w:tcW w:w="683" w:type="pct"/>
                  <w:vMerge w:val="restart"/>
                  <w:vAlign w:val="center"/>
                </w:tcPr>
                <w:p w14:paraId="38A7BC29">
                  <w:pPr>
                    <w:spacing w:line="320" w:lineRule="exact"/>
                    <w:jc w:val="center"/>
                  </w:pPr>
                  <w:r>
                    <w:t>0.011</w:t>
                  </w:r>
                </w:p>
              </w:tc>
              <w:tc>
                <w:tcPr>
                  <w:tcW w:w="683" w:type="pct"/>
                </w:tcPr>
                <w:p w14:paraId="15EA46D7">
                  <w:pPr>
                    <w:spacing w:line="320" w:lineRule="exact"/>
                    <w:jc w:val="center"/>
                  </w:pPr>
                  <w:r>
                    <w:t>0.8×10</w:t>
                  </w:r>
                  <w:r>
                    <w:rPr>
                      <w:vertAlign w:val="superscript"/>
                    </w:rPr>
                    <w:t>-4</w:t>
                  </w:r>
                </w:p>
              </w:tc>
              <w:tc>
                <w:tcPr>
                  <w:tcW w:w="683" w:type="pct"/>
                  <w:vMerge w:val="restart"/>
                  <w:vAlign w:val="center"/>
                </w:tcPr>
                <w:p w14:paraId="57AC66B1">
                  <w:pPr>
                    <w:spacing w:line="320" w:lineRule="exact"/>
                    <w:jc w:val="center"/>
                  </w:pPr>
                  <w:r>
                    <w:t>1.6×10</w:t>
                  </w:r>
                  <w:r>
                    <w:rPr>
                      <w:vertAlign w:val="superscript"/>
                    </w:rPr>
                    <w:t>-3</w:t>
                  </w:r>
                </w:p>
              </w:tc>
              <w:tc>
                <w:tcPr>
                  <w:tcW w:w="513" w:type="pct"/>
                  <w:vAlign w:val="center"/>
                </w:tcPr>
                <w:p w14:paraId="0BEC842C">
                  <w:pPr>
                    <w:spacing w:line="320" w:lineRule="exact"/>
                    <w:jc w:val="center"/>
                  </w:pPr>
                  <w:r>
                    <w:t>0.202</w:t>
                  </w:r>
                </w:p>
              </w:tc>
              <w:tc>
                <w:tcPr>
                  <w:tcW w:w="647" w:type="pct"/>
                  <w:vMerge w:val="restart"/>
                  <w:vAlign w:val="center"/>
                </w:tcPr>
                <w:p w14:paraId="0B9746BB">
                  <w:pPr>
                    <w:spacing w:line="320" w:lineRule="exact"/>
                    <w:jc w:val="center"/>
                  </w:pPr>
                  <w:r>
                    <w:t>0.222</w:t>
                  </w:r>
                </w:p>
              </w:tc>
            </w:tr>
            <w:tr w14:paraId="6D60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2487684E">
                  <w:pPr>
                    <w:spacing w:line="320" w:lineRule="exact"/>
                    <w:jc w:val="center"/>
                  </w:pPr>
                </w:p>
              </w:tc>
              <w:tc>
                <w:tcPr>
                  <w:tcW w:w="939" w:type="pct"/>
                  <w:vAlign w:val="center"/>
                </w:tcPr>
                <w:p w14:paraId="79B94FB3">
                  <w:pPr>
                    <w:spacing w:line="320" w:lineRule="exact"/>
                    <w:jc w:val="center"/>
                  </w:pPr>
                  <w:r>
                    <w:t>厂界下风向02</w:t>
                  </w:r>
                </w:p>
              </w:tc>
              <w:tc>
                <w:tcPr>
                  <w:tcW w:w="427" w:type="pct"/>
                  <w:vAlign w:val="center"/>
                </w:tcPr>
                <w:p w14:paraId="55337E49">
                  <w:pPr>
                    <w:spacing w:line="320" w:lineRule="exact"/>
                    <w:jc w:val="center"/>
                  </w:pPr>
                  <w:r>
                    <w:t>0.009</w:t>
                  </w:r>
                </w:p>
              </w:tc>
              <w:tc>
                <w:tcPr>
                  <w:tcW w:w="683" w:type="pct"/>
                  <w:vMerge w:val="continue"/>
                  <w:vAlign w:val="center"/>
                </w:tcPr>
                <w:p w14:paraId="3380A4E4">
                  <w:pPr>
                    <w:spacing w:line="320" w:lineRule="exact"/>
                    <w:jc w:val="center"/>
                  </w:pPr>
                </w:p>
              </w:tc>
              <w:tc>
                <w:tcPr>
                  <w:tcW w:w="683" w:type="pct"/>
                </w:tcPr>
                <w:p w14:paraId="694287A8">
                  <w:pPr>
                    <w:spacing w:line="320" w:lineRule="exact"/>
                    <w:jc w:val="center"/>
                  </w:pPr>
                  <w:r>
                    <w:t>1.4×10</w:t>
                  </w:r>
                  <w:r>
                    <w:rPr>
                      <w:vertAlign w:val="superscript"/>
                    </w:rPr>
                    <w:t>-3</w:t>
                  </w:r>
                </w:p>
              </w:tc>
              <w:tc>
                <w:tcPr>
                  <w:tcW w:w="683" w:type="pct"/>
                  <w:vMerge w:val="continue"/>
                  <w:vAlign w:val="center"/>
                </w:tcPr>
                <w:p w14:paraId="385B2727">
                  <w:pPr>
                    <w:spacing w:line="320" w:lineRule="exact"/>
                    <w:jc w:val="center"/>
                  </w:pPr>
                </w:p>
              </w:tc>
              <w:tc>
                <w:tcPr>
                  <w:tcW w:w="513" w:type="pct"/>
                  <w:vAlign w:val="center"/>
                </w:tcPr>
                <w:p w14:paraId="1BF9C4F5">
                  <w:pPr>
                    <w:spacing w:line="320" w:lineRule="exact"/>
                    <w:jc w:val="center"/>
                  </w:pPr>
                  <w:r>
                    <w:t>0.222</w:t>
                  </w:r>
                </w:p>
              </w:tc>
              <w:tc>
                <w:tcPr>
                  <w:tcW w:w="647" w:type="pct"/>
                  <w:vMerge w:val="continue"/>
                  <w:vAlign w:val="center"/>
                </w:tcPr>
                <w:p w14:paraId="5805B0E9">
                  <w:pPr>
                    <w:spacing w:line="320" w:lineRule="exact"/>
                    <w:jc w:val="center"/>
                  </w:pPr>
                </w:p>
              </w:tc>
            </w:tr>
            <w:tr w14:paraId="4F4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10A91D57">
                  <w:pPr>
                    <w:spacing w:line="320" w:lineRule="exact"/>
                    <w:jc w:val="center"/>
                  </w:pPr>
                </w:p>
              </w:tc>
              <w:tc>
                <w:tcPr>
                  <w:tcW w:w="939" w:type="pct"/>
                  <w:vAlign w:val="center"/>
                </w:tcPr>
                <w:p w14:paraId="42D75657">
                  <w:pPr>
                    <w:spacing w:line="320" w:lineRule="exact"/>
                    <w:jc w:val="center"/>
                  </w:pPr>
                  <w:r>
                    <w:t>厂界下风向03</w:t>
                  </w:r>
                </w:p>
              </w:tc>
              <w:tc>
                <w:tcPr>
                  <w:tcW w:w="427" w:type="pct"/>
                  <w:vAlign w:val="center"/>
                </w:tcPr>
                <w:p w14:paraId="5A18293C">
                  <w:pPr>
                    <w:spacing w:line="320" w:lineRule="exact"/>
                    <w:jc w:val="center"/>
                  </w:pPr>
                  <w:r>
                    <w:t>0.011</w:t>
                  </w:r>
                </w:p>
              </w:tc>
              <w:tc>
                <w:tcPr>
                  <w:tcW w:w="683" w:type="pct"/>
                  <w:vMerge w:val="continue"/>
                  <w:vAlign w:val="center"/>
                </w:tcPr>
                <w:p w14:paraId="6BF2D6A2">
                  <w:pPr>
                    <w:spacing w:line="320" w:lineRule="exact"/>
                    <w:jc w:val="center"/>
                  </w:pPr>
                </w:p>
              </w:tc>
              <w:tc>
                <w:tcPr>
                  <w:tcW w:w="683" w:type="pct"/>
                </w:tcPr>
                <w:p w14:paraId="5E20FE02">
                  <w:pPr>
                    <w:spacing w:line="320" w:lineRule="exact"/>
                    <w:jc w:val="center"/>
                  </w:pPr>
                  <w:r>
                    <w:t>1.4×10</w:t>
                  </w:r>
                  <w:r>
                    <w:rPr>
                      <w:vertAlign w:val="superscript"/>
                    </w:rPr>
                    <w:t>-3</w:t>
                  </w:r>
                </w:p>
              </w:tc>
              <w:tc>
                <w:tcPr>
                  <w:tcW w:w="683" w:type="pct"/>
                  <w:vMerge w:val="continue"/>
                  <w:vAlign w:val="center"/>
                </w:tcPr>
                <w:p w14:paraId="32BD87FE">
                  <w:pPr>
                    <w:spacing w:line="320" w:lineRule="exact"/>
                    <w:jc w:val="center"/>
                  </w:pPr>
                </w:p>
              </w:tc>
              <w:tc>
                <w:tcPr>
                  <w:tcW w:w="513" w:type="pct"/>
                  <w:vAlign w:val="center"/>
                </w:tcPr>
                <w:p w14:paraId="2C16D904">
                  <w:pPr>
                    <w:spacing w:line="320" w:lineRule="exact"/>
                    <w:jc w:val="center"/>
                  </w:pPr>
                  <w:r>
                    <w:t>0.218</w:t>
                  </w:r>
                </w:p>
              </w:tc>
              <w:tc>
                <w:tcPr>
                  <w:tcW w:w="647" w:type="pct"/>
                  <w:vMerge w:val="continue"/>
                  <w:vAlign w:val="center"/>
                </w:tcPr>
                <w:p w14:paraId="03903BB5">
                  <w:pPr>
                    <w:spacing w:line="320" w:lineRule="exact"/>
                    <w:jc w:val="center"/>
                  </w:pPr>
                </w:p>
              </w:tc>
            </w:tr>
            <w:tr w14:paraId="310B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5777FA16">
                  <w:pPr>
                    <w:spacing w:line="320" w:lineRule="exact"/>
                    <w:jc w:val="center"/>
                  </w:pPr>
                </w:p>
              </w:tc>
              <w:tc>
                <w:tcPr>
                  <w:tcW w:w="939" w:type="pct"/>
                  <w:vAlign w:val="center"/>
                </w:tcPr>
                <w:p w14:paraId="30C1EF84">
                  <w:pPr>
                    <w:spacing w:line="320" w:lineRule="exact"/>
                    <w:jc w:val="center"/>
                  </w:pPr>
                  <w:r>
                    <w:t>厂界下风向04</w:t>
                  </w:r>
                </w:p>
              </w:tc>
              <w:tc>
                <w:tcPr>
                  <w:tcW w:w="427" w:type="pct"/>
                  <w:vAlign w:val="center"/>
                </w:tcPr>
                <w:p w14:paraId="1B0E6669">
                  <w:pPr>
                    <w:spacing w:line="320" w:lineRule="exact"/>
                    <w:jc w:val="center"/>
                  </w:pPr>
                  <w:r>
                    <w:t>0.008</w:t>
                  </w:r>
                </w:p>
              </w:tc>
              <w:tc>
                <w:tcPr>
                  <w:tcW w:w="683" w:type="pct"/>
                  <w:vMerge w:val="continue"/>
                  <w:vAlign w:val="center"/>
                </w:tcPr>
                <w:p w14:paraId="127B7A40">
                  <w:pPr>
                    <w:spacing w:line="320" w:lineRule="exact"/>
                    <w:jc w:val="center"/>
                  </w:pPr>
                </w:p>
              </w:tc>
              <w:tc>
                <w:tcPr>
                  <w:tcW w:w="683" w:type="pct"/>
                </w:tcPr>
                <w:p w14:paraId="260DB441">
                  <w:pPr>
                    <w:spacing w:line="320" w:lineRule="exact"/>
                    <w:jc w:val="center"/>
                  </w:pPr>
                  <w:r>
                    <w:t>1.6×10</w:t>
                  </w:r>
                  <w:r>
                    <w:rPr>
                      <w:vertAlign w:val="superscript"/>
                    </w:rPr>
                    <w:t>-3</w:t>
                  </w:r>
                </w:p>
              </w:tc>
              <w:tc>
                <w:tcPr>
                  <w:tcW w:w="683" w:type="pct"/>
                  <w:vMerge w:val="continue"/>
                  <w:vAlign w:val="center"/>
                </w:tcPr>
                <w:p w14:paraId="76C8F4A1">
                  <w:pPr>
                    <w:spacing w:line="320" w:lineRule="exact"/>
                    <w:jc w:val="center"/>
                  </w:pPr>
                </w:p>
              </w:tc>
              <w:tc>
                <w:tcPr>
                  <w:tcW w:w="513" w:type="pct"/>
                  <w:vAlign w:val="center"/>
                </w:tcPr>
                <w:p w14:paraId="165DCE96">
                  <w:pPr>
                    <w:spacing w:line="320" w:lineRule="exact"/>
                    <w:jc w:val="center"/>
                  </w:pPr>
                  <w:r>
                    <w:t>0.215</w:t>
                  </w:r>
                </w:p>
              </w:tc>
              <w:tc>
                <w:tcPr>
                  <w:tcW w:w="647" w:type="pct"/>
                  <w:vMerge w:val="continue"/>
                  <w:vAlign w:val="center"/>
                </w:tcPr>
                <w:p w14:paraId="27CAFAFA">
                  <w:pPr>
                    <w:spacing w:line="320" w:lineRule="exact"/>
                    <w:jc w:val="center"/>
                  </w:pPr>
                </w:p>
              </w:tc>
            </w:tr>
            <w:tr w14:paraId="1C6C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34E3A638">
                  <w:pPr>
                    <w:jc w:val="left"/>
                    <w:rPr>
                      <w:b/>
                      <w:bCs/>
                      <w:szCs w:val="21"/>
                    </w:rPr>
                  </w:pPr>
                  <w:r>
                    <w:rPr>
                      <w:b/>
                      <w:szCs w:val="21"/>
                    </w:rPr>
                    <w:t>备注：</w:t>
                  </w:r>
                  <w:r>
                    <w:rPr>
                      <w:bCs/>
                      <w:szCs w:val="21"/>
                    </w:rPr>
                    <w:t>颗粒物检测时间2025年10月15日、二氧化硫、氟化物检测时间2025年10月28日</w:t>
                  </w:r>
                </w:p>
              </w:tc>
            </w:tr>
          </w:tbl>
          <w:p w14:paraId="7FF740D0">
            <w:pPr>
              <w:adjustRightInd w:val="0"/>
              <w:snapToGrid w:val="0"/>
              <w:spacing w:line="520" w:lineRule="exact"/>
              <w:ind w:firstLine="480" w:firstLineChars="200"/>
              <w:rPr>
                <w:snapToGrid w:val="0"/>
                <w:kern w:val="0"/>
                <w:sz w:val="24"/>
              </w:rPr>
            </w:pPr>
            <w:r>
              <w:rPr>
                <w:snapToGrid w:val="0"/>
                <w:kern w:val="0"/>
                <w:sz w:val="24"/>
              </w:rPr>
              <w:t>由上表可知，</w:t>
            </w:r>
            <w:r>
              <w:rPr>
                <w:bCs/>
                <w:sz w:val="24"/>
              </w:rPr>
              <w:t>现有工程无组织废气中</w:t>
            </w:r>
            <w:r>
              <w:rPr>
                <w:bCs/>
                <w:sz w:val="24"/>
                <w:szCs w:val="21"/>
              </w:rPr>
              <w:t>颗粒物厂周界最大浓度值浓度范围为0.222~0.235mg/m</w:t>
            </w:r>
            <w:r>
              <w:rPr>
                <w:bCs/>
                <w:sz w:val="24"/>
                <w:szCs w:val="21"/>
                <w:vertAlign w:val="superscript"/>
              </w:rPr>
              <w:t>3</w:t>
            </w:r>
            <w:r>
              <w:rPr>
                <w:bCs/>
                <w:sz w:val="24"/>
                <w:szCs w:val="21"/>
              </w:rPr>
              <w:t>、二氧化硫排放浓度范围为0.010~0.012mg/m</w:t>
            </w:r>
            <w:r>
              <w:rPr>
                <w:bCs/>
                <w:sz w:val="24"/>
                <w:szCs w:val="21"/>
                <w:vertAlign w:val="superscript"/>
              </w:rPr>
              <w:t>3</w:t>
            </w:r>
            <w:r>
              <w:rPr>
                <w:bCs/>
                <w:sz w:val="24"/>
                <w:szCs w:val="21"/>
              </w:rPr>
              <w:t>、氟化物排放浓度范围为0.0016~0.0017mg/m</w:t>
            </w:r>
            <w:r>
              <w:rPr>
                <w:bCs/>
                <w:sz w:val="24"/>
                <w:szCs w:val="21"/>
                <w:vertAlign w:val="superscript"/>
              </w:rPr>
              <w:t>3</w:t>
            </w:r>
            <w:r>
              <w:rPr>
                <w:bCs/>
                <w:sz w:val="24"/>
                <w:szCs w:val="21"/>
              </w:rPr>
              <w:t>，</w:t>
            </w:r>
            <w:r>
              <w:rPr>
                <w:bCs/>
                <w:sz w:val="24"/>
              </w:rPr>
              <w:t>无组织排放废气均满足《砖瓦工业大气污染物排放标准》（DB41/2234-2022）企业边界</w:t>
            </w:r>
            <w:r>
              <w:rPr>
                <w:snapToGrid w:val="0"/>
                <w:kern w:val="0"/>
                <w:sz w:val="24"/>
              </w:rPr>
              <w:t>颗粒物监控浓度限值1mg/m</w:t>
            </w:r>
            <w:r>
              <w:rPr>
                <w:snapToGrid w:val="0"/>
                <w:kern w:val="0"/>
                <w:sz w:val="24"/>
                <w:vertAlign w:val="superscript"/>
              </w:rPr>
              <w:t>3</w:t>
            </w:r>
            <w:r>
              <w:rPr>
                <w:snapToGrid w:val="0"/>
                <w:kern w:val="0"/>
                <w:sz w:val="24"/>
              </w:rPr>
              <w:t>、二氧化硫监控浓度限值0.5mg/m</w:t>
            </w:r>
            <w:r>
              <w:rPr>
                <w:snapToGrid w:val="0"/>
                <w:kern w:val="0"/>
                <w:sz w:val="24"/>
                <w:vertAlign w:val="superscript"/>
              </w:rPr>
              <w:t>3</w:t>
            </w:r>
            <w:r>
              <w:rPr>
                <w:snapToGrid w:val="0"/>
                <w:kern w:val="0"/>
                <w:sz w:val="24"/>
              </w:rPr>
              <w:t>、氟化物监控浓度限值0.02mg/m</w:t>
            </w:r>
            <w:r>
              <w:rPr>
                <w:snapToGrid w:val="0"/>
                <w:kern w:val="0"/>
                <w:sz w:val="24"/>
                <w:vertAlign w:val="superscript"/>
              </w:rPr>
              <w:t>3</w:t>
            </w:r>
            <w:r>
              <w:rPr>
                <w:snapToGrid w:val="0"/>
                <w:kern w:val="0"/>
                <w:sz w:val="24"/>
              </w:rPr>
              <w:t>的要求；</w:t>
            </w:r>
          </w:p>
          <w:p w14:paraId="07CD4658">
            <w:pPr>
              <w:adjustRightInd w:val="0"/>
              <w:snapToGrid w:val="0"/>
              <w:spacing w:line="520" w:lineRule="exact"/>
              <w:ind w:firstLine="480" w:firstLineChars="200"/>
              <w:rPr>
                <w:snapToGrid w:val="0"/>
                <w:kern w:val="0"/>
                <w:sz w:val="24"/>
              </w:rPr>
            </w:pPr>
            <w:r>
              <w:rPr>
                <w:snapToGrid w:val="0"/>
                <w:kern w:val="0"/>
                <w:sz w:val="24"/>
              </w:rPr>
              <w:fldChar w:fldCharType="begin"/>
            </w:r>
            <w:r>
              <w:rPr>
                <w:snapToGrid w:val="0"/>
                <w:kern w:val="0"/>
                <w:sz w:val="24"/>
              </w:rPr>
              <w:instrText xml:space="preserve"> = 4 \* GB3 </w:instrText>
            </w:r>
            <w:r>
              <w:rPr>
                <w:snapToGrid w:val="0"/>
                <w:kern w:val="0"/>
                <w:sz w:val="24"/>
              </w:rPr>
              <w:fldChar w:fldCharType="separate"/>
            </w:r>
            <w:r>
              <w:rPr>
                <w:rFonts w:ascii="Cambria Math" w:hAnsi="Cambria Math" w:cs="Cambria Math"/>
                <w:snapToGrid w:val="0"/>
                <w:kern w:val="0"/>
                <w:sz w:val="24"/>
              </w:rPr>
              <w:t>④</w:t>
            </w:r>
            <w:r>
              <w:rPr>
                <w:snapToGrid w:val="0"/>
                <w:kern w:val="0"/>
                <w:sz w:val="24"/>
              </w:rPr>
              <w:fldChar w:fldCharType="end"/>
            </w:r>
            <w:r>
              <w:rPr>
                <w:snapToGrid w:val="0"/>
                <w:kern w:val="0"/>
                <w:sz w:val="24"/>
              </w:rPr>
              <w:t>废气污染物排放总量核算</w:t>
            </w:r>
          </w:p>
          <w:p w14:paraId="4B7E5C08">
            <w:pPr>
              <w:adjustRightInd w:val="0"/>
              <w:snapToGrid w:val="0"/>
              <w:spacing w:line="520" w:lineRule="exact"/>
              <w:ind w:firstLine="480" w:firstLineChars="200"/>
              <w:rPr>
                <w:snapToGrid w:val="0"/>
                <w:kern w:val="0"/>
                <w:sz w:val="24"/>
              </w:rPr>
            </w:pPr>
            <w:r>
              <w:rPr>
                <w:snapToGrid w:val="0"/>
                <w:kern w:val="0"/>
                <w:sz w:val="24"/>
              </w:rPr>
              <w:t>根据2025年企业自动和手工检测数据，核算现有工程废气污染物排放量情况，见表2-18。</w:t>
            </w:r>
          </w:p>
          <w:p w14:paraId="08F7FB86">
            <w:pPr>
              <w:adjustRightInd w:val="0"/>
              <w:snapToGrid w:val="0"/>
              <w:spacing w:line="520" w:lineRule="exact"/>
              <w:ind w:firstLine="480" w:firstLineChars="200"/>
              <w:jc w:val="center"/>
              <w:rPr>
                <w:rFonts w:eastAsia="黑体"/>
                <w:snapToGrid w:val="0"/>
                <w:color w:val="EE0000"/>
                <w:kern w:val="0"/>
                <w:sz w:val="24"/>
                <w:u w:val="single"/>
              </w:rPr>
            </w:pPr>
            <w:r>
              <w:rPr>
                <w:rFonts w:eastAsia="黑体"/>
                <w:snapToGrid w:val="0"/>
                <w:color w:val="EE0000"/>
                <w:kern w:val="0"/>
                <w:sz w:val="24"/>
                <w:u w:val="single"/>
              </w:rPr>
              <w:t>表2-18       三兴建材现有工程废气污染物排放量情况</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2163"/>
              <w:gridCol w:w="2248"/>
              <w:gridCol w:w="2445"/>
            </w:tblGrid>
            <w:tr w14:paraId="01ED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6" w:type="pct"/>
                  <w:vAlign w:val="center"/>
                </w:tcPr>
                <w:p w14:paraId="19F3747E">
                  <w:pPr>
                    <w:adjustRightInd w:val="0"/>
                    <w:snapToGrid w:val="0"/>
                    <w:spacing w:line="320" w:lineRule="exact"/>
                    <w:jc w:val="center"/>
                    <w:rPr>
                      <w:color w:val="EE0000"/>
                      <w:szCs w:val="21"/>
                      <w:u w:val="single"/>
                    </w:rPr>
                  </w:pPr>
                  <w:r>
                    <w:rPr>
                      <w:color w:val="EE0000"/>
                      <w:szCs w:val="21"/>
                      <w:u w:val="single"/>
                    </w:rPr>
                    <w:t>项目</w:t>
                  </w:r>
                </w:p>
              </w:tc>
              <w:tc>
                <w:tcPr>
                  <w:tcW w:w="1279" w:type="pct"/>
                  <w:vAlign w:val="center"/>
                </w:tcPr>
                <w:p w14:paraId="0C28F065">
                  <w:pPr>
                    <w:adjustRightInd w:val="0"/>
                    <w:snapToGrid w:val="0"/>
                    <w:spacing w:line="320" w:lineRule="exact"/>
                    <w:jc w:val="center"/>
                    <w:rPr>
                      <w:color w:val="EE0000"/>
                      <w:szCs w:val="21"/>
                      <w:u w:val="single"/>
                    </w:rPr>
                  </w:pPr>
                  <w:r>
                    <w:rPr>
                      <w:color w:val="EE0000"/>
                      <w:szCs w:val="21"/>
                      <w:u w:val="single"/>
                    </w:rPr>
                    <w:t>2025年废气排放量（t/a）</w:t>
                  </w:r>
                </w:p>
              </w:tc>
              <w:tc>
                <w:tcPr>
                  <w:tcW w:w="1329" w:type="pct"/>
                </w:tcPr>
                <w:p w14:paraId="78D890CF">
                  <w:pPr>
                    <w:adjustRightInd w:val="0"/>
                    <w:snapToGrid w:val="0"/>
                    <w:spacing w:line="320" w:lineRule="exact"/>
                    <w:jc w:val="center"/>
                    <w:rPr>
                      <w:color w:val="EE0000"/>
                      <w:szCs w:val="21"/>
                      <w:u w:val="single"/>
                    </w:rPr>
                  </w:pPr>
                  <w:r>
                    <w:rPr>
                      <w:color w:val="EE0000"/>
                      <w:szCs w:val="21"/>
                      <w:u w:val="single"/>
                    </w:rPr>
                    <w:t>折合满负荷生产排放量（t/a）</w:t>
                  </w:r>
                </w:p>
              </w:tc>
              <w:tc>
                <w:tcPr>
                  <w:tcW w:w="1446" w:type="pct"/>
                  <w:vAlign w:val="center"/>
                </w:tcPr>
                <w:p w14:paraId="62AF80CD">
                  <w:pPr>
                    <w:adjustRightInd w:val="0"/>
                    <w:snapToGrid w:val="0"/>
                    <w:spacing w:line="320" w:lineRule="exact"/>
                    <w:jc w:val="center"/>
                    <w:rPr>
                      <w:color w:val="EE0000"/>
                      <w:szCs w:val="21"/>
                      <w:u w:val="single"/>
                    </w:rPr>
                  </w:pPr>
                  <w:r>
                    <w:rPr>
                      <w:color w:val="EE0000"/>
                      <w:szCs w:val="21"/>
                      <w:u w:val="single"/>
                    </w:rPr>
                    <w:t>原总量核定文件核定总量（t/a）</w:t>
                  </w:r>
                </w:p>
              </w:tc>
            </w:tr>
            <w:tr w14:paraId="33D9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6" w:type="pct"/>
                  <w:vAlign w:val="center"/>
                </w:tcPr>
                <w:p w14:paraId="04414B97">
                  <w:pPr>
                    <w:adjustRightInd w:val="0"/>
                    <w:snapToGrid w:val="0"/>
                    <w:spacing w:line="320" w:lineRule="exact"/>
                    <w:jc w:val="center"/>
                    <w:rPr>
                      <w:color w:val="EE0000"/>
                      <w:szCs w:val="21"/>
                      <w:u w:val="single"/>
                    </w:rPr>
                  </w:pPr>
                  <w:r>
                    <w:rPr>
                      <w:color w:val="EE0000"/>
                      <w:szCs w:val="21"/>
                      <w:u w:val="single"/>
                    </w:rPr>
                    <w:t>粉尘</w:t>
                  </w:r>
                </w:p>
              </w:tc>
              <w:tc>
                <w:tcPr>
                  <w:tcW w:w="1279" w:type="pct"/>
                  <w:vAlign w:val="center"/>
                </w:tcPr>
                <w:p w14:paraId="57FD9CC5">
                  <w:pPr>
                    <w:adjustRightInd w:val="0"/>
                    <w:snapToGrid w:val="0"/>
                    <w:spacing w:line="320" w:lineRule="exact"/>
                    <w:jc w:val="center"/>
                    <w:rPr>
                      <w:color w:val="EE0000"/>
                      <w:szCs w:val="21"/>
                      <w:u w:val="single"/>
                    </w:rPr>
                  </w:pPr>
                  <w:r>
                    <w:rPr>
                      <w:color w:val="EE0000"/>
                      <w:szCs w:val="21"/>
                      <w:u w:val="single"/>
                    </w:rPr>
                    <w:t>0.09302</w:t>
                  </w:r>
                </w:p>
              </w:tc>
              <w:tc>
                <w:tcPr>
                  <w:tcW w:w="1329" w:type="pct"/>
                  <w:vAlign w:val="center"/>
                </w:tcPr>
                <w:p w14:paraId="34DB3D11">
                  <w:pPr>
                    <w:adjustRightInd w:val="0"/>
                    <w:snapToGrid w:val="0"/>
                    <w:spacing w:line="320" w:lineRule="exact"/>
                    <w:jc w:val="center"/>
                    <w:rPr>
                      <w:color w:val="EE0000"/>
                      <w:szCs w:val="21"/>
                      <w:u w:val="single"/>
                    </w:rPr>
                  </w:pPr>
                  <w:r>
                    <w:rPr>
                      <w:color w:val="EE0000"/>
                      <w:szCs w:val="21"/>
                      <w:u w:val="single"/>
                    </w:rPr>
                    <w:t>1.8604</w:t>
                  </w:r>
                </w:p>
              </w:tc>
              <w:tc>
                <w:tcPr>
                  <w:tcW w:w="1446" w:type="pct"/>
                  <w:vAlign w:val="center"/>
                </w:tcPr>
                <w:p w14:paraId="7DC619D5">
                  <w:pPr>
                    <w:adjustRightInd w:val="0"/>
                    <w:snapToGrid w:val="0"/>
                    <w:spacing w:line="320" w:lineRule="exact"/>
                    <w:jc w:val="center"/>
                    <w:rPr>
                      <w:color w:val="EE0000"/>
                      <w:szCs w:val="21"/>
                      <w:u w:val="single"/>
                    </w:rPr>
                  </w:pPr>
                  <w:r>
                    <w:rPr>
                      <w:color w:val="EE0000"/>
                      <w:szCs w:val="21"/>
                      <w:u w:val="single"/>
                    </w:rPr>
                    <w:t>21.4</w:t>
                  </w:r>
                </w:p>
              </w:tc>
            </w:tr>
            <w:tr w14:paraId="3D19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pct"/>
                  <w:vAlign w:val="center"/>
                </w:tcPr>
                <w:p w14:paraId="71CCEC3C">
                  <w:pPr>
                    <w:adjustRightInd w:val="0"/>
                    <w:snapToGrid w:val="0"/>
                    <w:spacing w:line="320" w:lineRule="exact"/>
                    <w:jc w:val="center"/>
                    <w:rPr>
                      <w:color w:val="EE0000"/>
                      <w:szCs w:val="21"/>
                      <w:u w:val="single"/>
                    </w:rPr>
                  </w:pPr>
                  <w:r>
                    <w:rPr>
                      <w:color w:val="EE0000"/>
                      <w:szCs w:val="21"/>
                      <w:u w:val="single"/>
                    </w:rPr>
                    <w:t>烟尘</w:t>
                  </w:r>
                </w:p>
              </w:tc>
              <w:tc>
                <w:tcPr>
                  <w:tcW w:w="1279" w:type="pct"/>
                  <w:vAlign w:val="center"/>
                </w:tcPr>
                <w:p w14:paraId="3671D7DD">
                  <w:pPr>
                    <w:adjustRightInd w:val="0"/>
                    <w:snapToGrid w:val="0"/>
                    <w:spacing w:line="320" w:lineRule="exact"/>
                    <w:jc w:val="center"/>
                    <w:rPr>
                      <w:color w:val="EE0000"/>
                      <w:szCs w:val="21"/>
                      <w:u w:val="single"/>
                    </w:rPr>
                  </w:pPr>
                  <w:r>
                    <w:rPr>
                      <w:color w:val="EE0000"/>
                      <w:szCs w:val="21"/>
                      <w:u w:val="single"/>
                    </w:rPr>
                    <w:t>0.18569</w:t>
                  </w:r>
                </w:p>
              </w:tc>
              <w:tc>
                <w:tcPr>
                  <w:tcW w:w="1329" w:type="pct"/>
                  <w:vAlign w:val="center"/>
                </w:tcPr>
                <w:p w14:paraId="15299E54">
                  <w:pPr>
                    <w:adjustRightInd w:val="0"/>
                    <w:snapToGrid w:val="0"/>
                    <w:spacing w:line="320" w:lineRule="exact"/>
                    <w:jc w:val="center"/>
                    <w:rPr>
                      <w:color w:val="EE0000"/>
                      <w:szCs w:val="21"/>
                      <w:u w:val="single"/>
                    </w:rPr>
                  </w:pPr>
                  <w:r>
                    <w:rPr>
                      <w:color w:val="EE0000"/>
                      <w:szCs w:val="21"/>
                      <w:u w:val="single"/>
                    </w:rPr>
                    <w:t>3.7138</w:t>
                  </w:r>
                </w:p>
              </w:tc>
              <w:tc>
                <w:tcPr>
                  <w:tcW w:w="1446" w:type="pct"/>
                  <w:vAlign w:val="center"/>
                </w:tcPr>
                <w:p w14:paraId="4463A0BB">
                  <w:pPr>
                    <w:adjustRightInd w:val="0"/>
                    <w:snapToGrid w:val="0"/>
                    <w:spacing w:line="320" w:lineRule="exact"/>
                    <w:jc w:val="center"/>
                    <w:rPr>
                      <w:color w:val="EE0000"/>
                      <w:szCs w:val="21"/>
                      <w:u w:val="single"/>
                    </w:rPr>
                  </w:pPr>
                  <w:r>
                    <w:rPr>
                      <w:color w:val="EE0000"/>
                      <w:szCs w:val="21"/>
                      <w:u w:val="single"/>
                    </w:rPr>
                    <w:t>11.88</w:t>
                  </w:r>
                </w:p>
              </w:tc>
            </w:tr>
            <w:tr w14:paraId="0066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pct"/>
                  <w:vAlign w:val="center"/>
                </w:tcPr>
                <w:p w14:paraId="613FA24C">
                  <w:pPr>
                    <w:adjustRightInd w:val="0"/>
                    <w:snapToGrid w:val="0"/>
                    <w:spacing w:line="320" w:lineRule="exact"/>
                    <w:jc w:val="center"/>
                    <w:rPr>
                      <w:color w:val="EE0000"/>
                      <w:szCs w:val="21"/>
                      <w:u w:val="single"/>
                    </w:rPr>
                  </w:pPr>
                  <w:r>
                    <w:rPr>
                      <w:color w:val="EE0000"/>
                      <w:szCs w:val="21"/>
                      <w:u w:val="single"/>
                    </w:rPr>
                    <w:t>二氧化硫</w:t>
                  </w:r>
                </w:p>
              </w:tc>
              <w:tc>
                <w:tcPr>
                  <w:tcW w:w="1279" w:type="pct"/>
                  <w:vAlign w:val="center"/>
                </w:tcPr>
                <w:p w14:paraId="6842C10A">
                  <w:pPr>
                    <w:adjustRightInd w:val="0"/>
                    <w:snapToGrid w:val="0"/>
                    <w:spacing w:line="320" w:lineRule="exact"/>
                    <w:jc w:val="center"/>
                    <w:rPr>
                      <w:color w:val="EE0000"/>
                      <w:szCs w:val="21"/>
                      <w:u w:val="single"/>
                    </w:rPr>
                  </w:pPr>
                  <w:r>
                    <w:rPr>
                      <w:color w:val="EE0000"/>
                      <w:kern w:val="0"/>
                      <w:szCs w:val="21"/>
                      <w:u w:val="single"/>
                    </w:rPr>
                    <w:t>1.13072</w:t>
                  </w:r>
                </w:p>
              </w:tc>
              <w:tc>
                <w:tcPr>
                  <w:tcW w:w="1329" w:type="pct"/>
                  <w:vAlign w:val="center"/>
                </w:tcPr>
                <w:p w14:paraId="71C72430">
                  <w:pPr>
                    <w:adjustRightInd w:val="0"/>
                    <w:snapToGrid w:val="0"/>
                    <w:spacing w:line="320" w:lineRule="exact"/>
                    <w:jc w:val="center"/>
                    <w:rPr>
                      <w:color w:val="EE0000"/>
                      <w:szCs w:val="21"/>
                      <w:u w:val="single"/>
                    </w:rPr>
                  </w:pPr>
                  <w:r>
                    <w:rPr>
                      <w:color w:val="EE0000"/>
                      <w:szCs w:val="21"/>
                      <w:u w:val="single"/>
                    </w:rPr>
                    <w:t>22.6144</w:t>
                  </w:r>
                </w:p>
              </w:tc>
              <w:tc>
                <w:tcPr>
                  <w:tcW w:w="1446" w:type="pct"/>
                  <w:vAlign w:val="center"/>
                </w:tcPr>
                <w:p w14:paraId="7415B8FA">
                  <w:pPr>
                    <w:adjustRightInd w:val="0"/>
                    <w:snapToGrid w:val="0"/>
                    <w:spacing w:line="320" w:lineRule="exact"/>
                    <w:jc w:val="center"/>
                    <w:rPr>
                      <w:color w:val="EE0000"/>
                      <w:szCs w:val="21"/>
                      <w:u w:val="single"/>
                    </w:rPr>
                  </w:pPr>
                  <w:r>
                    <w:rPr>
                      <w:color w:val="EE0000"/>
                      <w:szCs w:val="21"/>
                      <w:u w:val="single"/>
                    </w:rPr>
                    <w:t>49.9</w:t>
                  </w:r>
                </w:p>
              </w:tc>
            </w:tr>
            <w:tr w14:paraId="293B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pct"/>
                  <w:vAlign w:val="center"/>
                </w:tcPr>
                <w:p w14:paraId="634AF465">
                  <w:pPr>
                    <w:adjustRightInd w:val="0"/>
                    <w:snapToGrid w:val="0"/>
                    <w:spacing w:line="320" w:lineRule="exact"/>
                    <w:jc w:val="center"/>
                    <w:rPr>
                      <w:color w:val="EE0000"/>
                      <w:szCs w:val="21"/>
                      <w:u w:val="single"/>
                    </w:rPr>
                  </w:pPr>
                  <w:r>
                    <w:rPr>
                      <w:color w:val="EE0000"/>
                      <w:szCs w:val="21"/>
                      <w:u w:val="single"/>
                    </w:rPr>
                    <w:t>氮氧化物</w:t>
                  </w:r>
                </w:p>
              </w:tc>
              <w:tc>
                <w:tcPr>
                  <w:tcW w:w="1279" w:type="pct"/>
                  <w:vAlign w:val="center"/>
                </w:tcPr>
                <w:p w14:paraId="25FE0D92">
                  <w:pPr>
                    <w:adjustRightInd w:val="0"/>
                    <w:snapToGrid w:val="0"/>
                    <w:spacing w:line="320" w:lineRule="exact"/>
                    <w:jc w:val="center"/>
                    <w:rPr>
                      <w:color w:val="EE0000"/>
                      <w:szCs w:val="21"/>
                      <w:u w:val="single"/>
                    </w:rPr>
                  </w:pPr>
                  <w:r>
                    <w:rPr>
                      <w:color w:val="EE0000"/>
                      <w:kern w:val="0"/>
                      <w:szCs w:val="21"/>
                      <w:u w:val="single"/>
                    </w:rPr>
                    <w:t>1.4276</w:t>
                  </w:r>
                </w:p>
              </w:tc>
              <w:tc>
                <w:tcPr>
                  <w:tcW w:w="1329" w:type="pct"/>
                  <w:vAlign w:val="center"/>
                </w:tcPr>
                <w:p w14:paraId="24C517F4">
                  <w:pPr>
                    <w:adjustRightInd w:val="0"/>
                    <w:snapToGrid w:val="0"/>
                    <w:spacing w:line="320" w:lineRule="exact"/>
                    <w:jc w:val="center"/>
                    <w:rPr>
                      <w:color w:val="EE0000"/>
                      <w:szCs w:val="21"/>
                      <w:u w:val="single"/>
                    </w:rPr>
                  </w:pPr>
                  <w:r>
                    <w:rPr>
                      <w:color w:val="EE0000"/>
                      <w:szCs w:val="21"/>
                      <w:u w:val="single"/>
                    </w:rPr>
                    <w:t>28.552</w:t>
                  </w:r>
                </w:p>
              </w:tc>
              <w:tc>
                <w:tcPr>
                  <w:tcW w:w="1446" w:type="pct"/>
                  <w:vAlign w:val="center"/>
                </w:tcPr>
                <w:p w14:paraId="5A5FD354">
                  <w:pPr>
                    <w:adjustRightInd w:val="0"/>
                    <w:snapToGrid w:val="0"/>
                    <w:spacing w:line="320" w:lineRule="exact"/>
                    <w:jc w:val="center"/>
                    <w:rPr>
                      <w:color w:val="EE0000"/>
                      <w:szCs w:val="21"/>
                      <w:u w:val="single"/>
                    </w:rPr>
                  </w:pPr>
                  <w:r>
                    <w:rPr>
                      <w:color w:val="EE0000"/>
                      <w:szCs w:val="21"/>
                      <w:u w:val="single"/>
                    </w:rPr>
                    <w:t>/</w:t>
                  </w:r>
                </w:p>
              </w:tc>
            </w:tr>
            <w:tr w14:paraId="3482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pct"/>
                  <w:vAlign w:val="center"/>
                </w:tcPr>
                <w:p w14:paraId="7B906172">
                  <w:pPr>
                    <w:adjustRightInd w:val="0"/>
                    <w:snapToGrid w:val="0"/>
                    <w:spacing w:line="320" w:lineRule="exact"/>
                    <w:jc w:val="center"/>
                    <w:rPr>
                      <w:color w:val="EE0000"/>
                      <w:szCs w:val="21"/>
                      <w:u w:val="single"/>
                    </w:rPr>
                  </w:pPr>
                  <w:r>
                    <w:rPr>
                      <w:color w:val="EE0000"/>
                      <w:szCs w:val="21"/>
                      <w:u w:val="single"/>
                    </w:rPr>
                    <w:t>氟化物</w:t>
                  </w:r>
                </w:p>
              </w:tc>
              <w:tc>
                <w:tcPr>
                  <w:tcW w:w="1279" w:type="pct"/>
                  <w:vAlign w:val="center"/>
                </w:tcPr>
                <w:p w14:paraId="11B2B8F0">
                  <w:pPr>
                    <w:adjustRightInd w:val="0"/>
                    <w:snapToGrid w:val="0"/>
                    <w:spacing w:line="320" w:lineRule="exact"/>
                    <w:jc w:val="center"/>
                    <w:rPr>
                      <w:color w:val="EE0000"/>
                      <w:szCs w:val="21"/>
                      <w:u w:val="single"/>
                    </w:rPr>
                  </w:pPr>
                  <w:r>
                    <w:rPr>
                      <w:color w:val="EE0000"/>
                      <w:szCs w:val="21"/>
                      <w:u w:val="single"/>
                    </w:rPr>
                    <w:t>0.001614</w:t>
                  </w:r>
                </w:p>
              </w:tc>
              <w:tc>
                <w:tcPr>
                  <w:tcW w:w="1329" w:type="pct"/>
                  <w:vAlign w:val="center"/>
                </w:tcPr>
                <w:p w14:paraId="565E8CD8">
                  <w:pPr>
                    <w:adjustRightInd w:val="0"/>
                    <w:snapToGrid w:val="0"/>
                    <w:spacing w:line="320" w:lineRule="exact"/>
                    <w:jc w:val="center"/>
                    <w:rPr>
                      <w:color w:val="EE0000"/>
                      <w:szCs w:val="21"/>
                      <w:u w:val="single"/>
                    </w:rPr>
                  </w:pPr>
                  <w:r>
                    <w:rPr>
                      <w:color w:val="EE0000"/>
                      <w:szCs w:val="21"/>
                      <w:u w:val="single"/>
                    </w:rPr>
                    <w:t>0.03228</w:t>
                  </w:r>
                </w:p>
              </w:tc>
              <w:tc>
                <w:tcPr>
                  <w:tcW w:w="1446" w:type="pct"/>
                  <w:vAlign w:val="center"/>
                </w:tcPr>
                <w:p w14:paraId="2C437F94">
                  <w:pPr>
                    <w:adjustRightInd w:val="0"/>
                    <w:snapToGrid w:val="0"/>
                    <w:spacing w:line="320" w:lineRule="exact"/>
                    <w:jc w:val="center"/>
                    <w:rPr>
                      <w:color w:val="EE0000"/>
                      <w:szCs w:val="21"/>
                      <w:u w:val="single"/>
                    </w:rPr>
                  </w:pPr>
                  <w:r>
                    <w:rPr>
                      <w:color w:val="EE0000"/>
                      <w:szCs w:val="21"/>
                      <w:u w:val="single"/>
                    </w:rPr>
                    <w:t>/</w:t>
                  </w:r>
                </w:p>
              </w:tc>
            </w:tr>
          </w:tbl>
          <w:p w14:paraId="57563982">
            <w:pPr>
              <w:jc w:val="left"/>
              <w:rPr>
                <w:rFonts w:eastAsiaTheme="minorEastAsia"/>
                <w:b/>
                <w:bCs/>
                <w:color w:val="EE0000"/>
                <w:szCs w:val="21"/>
                <w:u w:val="single"/>
              </w:rPr>
            </w:pPr>
            <w:r>
              <w:rPr>
                <w:rFonts w:eastAsiaTheme="minorEastAsia"/>
                <w:b/>
                <w:bCs/>
                <w:color w:val="EE0000"/>
                <w:szCs w:val="21"/>
                <w:u w:val="single"/>
              </w:rPr>
              <w:t>备注：</w:t>
            </w:r>
          </w:p>
          <w:p w14:paraId="41D86B7F">
            <w:pPr>
              <w:jc w:val="left"/>
              <w:rPr>
                <w:rFonts w:eastAsiaTheme="minorEastAsia"/>
                <w:color w:val="EE0000"/>
                <w:szCs w:val="21"/>
                <w:u w:val="single"/>
              </w:rPr>
            </w:pPr>
            <w:r>
              <w:rPr>
                <w:rFonts w:eastAsiaTheme="minorEastAsia"/>
                <w:color w:val="EE0000"/>
                <w:szCs w:val="21"/>
                <w:u w:val="single"/>
              </w:rPr>
              <w:fldChar w:fldCharType="begin"/>
            </w:r>
            <w:r>
              <w:rPr>
                <w:rFonts w:eastAsiaTheme="minorEastAsia"/>
                <w:color w:val="EE0000"/>
                <w:szCs w:val="21"/>
                <w:u w:val="single"/>
              </w:rPr>
              <w:instrText xml:space="preserve"> = 1 \* GB3 </w:instrText>
            </w:r>
            <w:r>
              <w:rPr>
                <w:rFonts w:eastAsiaTheme="minorEastAsia"/>
                <w:color w:val="EE0000"/>
                <w:szCs w:val="21"/>
                <w:u w:val="single"/>
              </w:rPr>
              <w:fldChar w:fldCharType="separate"/>
            </w:r>
            <w:r>
              <w:rPr>
                <w:rFonts w:ascii="Cambria Math" w:hAnsi="Cambria Math" w:cs="Cambria Math" w:eastAsiaTheme="minorEastAsia"/>
                <w:color w:val="EE0000"/>
                <w:szCs w:val="21"/>
                <w:u w:val="single"/>
              </w:rPr>
              <w:t>①</w:t>
            </w:r>
            <w:r>
              <w:rPr>
                <w:rFonts w:eastAsiaTheme="minorEastAsia"/>
                <w:color w:val="EE0000"/>
                <w:szCs w:val="21"/>
                <w:u w:val="single"/>
              </w:rPr>
              <w:fldChar w:fldCharType="end"/>
            </w:r>
            <w:r>
              <w:rPr>
                <w:rFonts w:eastAsiaTheme="minorEastAsia"/>
                <w:color w:val="EE0000"/>
                <w:szCs w:val="21"/>
                <w:u w:val="single"/>
              </w:rPr>
              <w:t>2025年1月~8月份、12月份企业均为停产状态，窑炉烟气中颗粒物、二氧化硫、氮氧化物排放量数据引用烟气排放连续监测月平均值年报表中年排放总量数据，为2025年9月~11月排放量数据求和；</w:t>
            </w:r>
          </w:p>
          <w:p w14:paraId="12E1BEF4">
            <w:pPr>
              <w:jc w:val="left"/>
              <w:rPr>
                <w:rFonts w:eastAsiaTheme="minorEastAsia"/>
                <w:color w:val="EE0000"/>
                <w:szCs w:val="21"/>
                <w:u w:val="single"/>
              </w:rPr>
            </w:pPr>
            <w:r>
              <w:rPr>
                <w:rFonts w:eastAsiaTheme="minorEastAsia"/>
                <w:color w:val="EE0000"/>
                <w:szCs w:val="21"/>
                <w:u w:val="single"/>
              </w:rPr>
              <w:fldChar w:fldCharType="begin"/>
            </w:r>
            <w:r>
              <w:rPr>
                <w:rFonts w:eastAsiaTheme="minorEastAsia"/>
                <w:color w:val="EE0000"/>
                <w:szCs w:val="21"/>
                <w:u w:val="single"/>
              </w:rPr>
              <w:instrText xml:space="preserve"> = 2 \* GB3 </w:instrText>
            </w:r>
            <w:r>
              <w:rPr>
                <w:rFonts w:eastAsiaTheme="minorEastAsia"/>
                <w:color w:val="EE0000"/>
                <w:szCs w:val="21"/>
                <w:u w:val="single"/>
              </w:rPr>
              <w:fldChar w:fldCharType="separate"/>
            </w:r>
            <w:r>
              <w:rPr>
                <w:rFonts w:ascii="Cambria Math" w:hAnsi="Cambria Math" w:cs="Cambria Math" w:eastAsiaTheme="minorEastAsia"/>
                <w:color w:val="EE0000"/>
                <w:szCs w:val="21"/>
                <w:u w:val="single"/>
              </w:rPr>
              <w:t>②</w:t>
            </w:r>
            <w:r>
              <w:rPr>
                <w:rFonts w:eastAsiaTheme="minorEastAsia"/>
                <w:color w:val="EE0000"/>
                <w:szCs w:val="21"/>
                <w:u w:val="single"/>
              </w:rPr>
              <w:fldChar w:fldCharType="end"/>
            </w:r>
            <w:r>
              <w:rPr>
                <w:rFonts w:eastAsiaTheme="minorEastAsia"/>
                <w:color w:val="EE0000"/>
                <w:szCs w:val="21"/>
                <w:u w:val="single"/>
              </w:rPr>
              <w:t>根据企业提供的生产数据，2025年9月~11月企业实际运行天数为57d，总产量约为300万块折标砖。</w:t>
            </w:r>
          </w:p>
          <w:p w14:paraId="71649E41">
            <w:pPr>
              <w:jc w:val="left"/>
              <w:rPr>
                <w:rFonts w:eastAsiaTheme="minorEastAsia"/>
                <w:color w:val="EE0000"/>
                <w:szCs w:val="21"/>
                <w:u w:val="single"/>
              </w:rPr>
            </w:pPr>
            <w:r>
              <w:rPr>
                <w:rFonts w:eastAsiaTheme="minorEastAsia"/>
                <w:color w:val="EE0000"/>
                <w:szCs w:val="21"/>
                <w:u w:val="single"/>
              </w:rPr>
              <w:fldChar w:fldCharType="begin"/>
            </w:r>
            <w:r>
              <w:rPr>
                <w:rFonts w:eastAsiaTheme="minorEastAsia"/>
                <w:color w:val="EE0000"/>
                <w:szCs w:val="21"/>
                <w:u w:val="single"/>
              </w:rPr>
              <w:instrText xml:space="preserve"> = 3 \* GB3 </w:instrText>
            </w:r>
            <w:r>
              <w:rPr>
                <w:rFonts w:eastAsiaTheme="minorEastAsia"/>
                <w:color w:val="EE0000"/>
                <w:szCs w:val="21"/>
                <w:u w:val="single"/>
              </w:rPr>
              <w:fldChar w:fldCharType="separate"/>
            </w:r>
            <w:r>
              <w:rPr>
                <w:rFonts w:ascii="Cambria Math" w:hAnsi="Cambria Math" w:cs="Cambria Math" w:eastAsiaTheme="minorEastAsia"/>
                <w:color w:val="EE0000"/>
                <w:szCs w:val="21"/>
                <w:u w:val="single"/>
              </w:rPr>
              <w:t>③</w:t>
            </w:r>
            <w:r>
              <w:rPr>
                <w:rFonts w:eastAsiaTheme="minorEastAsia"/>
                <w:color w:val="EE0000"/>
                <w:szCs w:val="21"/>
                <w:u w:val="single"/>
              </w:rPr>
              <w:fldChar w:fldCharType="end"/>
            </w:r>
            <w:r>
              <w:rPr>
                <w:rFonts w:eastAsiaTheme="minorEastAsia"/>
                <w:color w:val="EE0000"/>
                <w:szCs w:val="21"/>
                <w:u w:val="single"/>
              </w:rPr>
              <w:t>喂料、破碎、筛分、搅拌、窑车清理颗粒物、窑炉烟气氟化物采用2025年10月手工检测数据折算，运行时间取2025年企业实际正常运行时间：2025年9月~11月约57d。</w:t>
            </w:r>
          </w:p>
          <w:p w14:paraId="29F306C9">
            <w:pPr>
              <w:adjustRightInd w:val="0"/>
              <w:snapToGrid w:val="0"/>
              <w:spacing w:line="520" w:lineRule="exact"/>
              <w:ind w:firstLine="480" w:firstLineChars="200"/>
              <w:rPr>
                <w:bCs/>
                <w:color w:val="EE0000"/>
                <w:sz w:val="24"/>
                <w:szCs w:val="21"/>
                <w:u w:val="single"/>
              </w:rPr>
            </w:pPr>
            <w:r>
              <w:rPr>
                <w:bCs/>
                <w:color w:val="EE0000"/>
                <w:sz w:val="24"/>
                <w:szCs w:val="21"/>
                <w:u w:val="single"/>
              </w:rPr>
              <w:t>（2）六和建材废气污染物排放情况</w:t>
            </w:r>
          </w:p>
          <w:p w14:paraId="6BF22AED">
            <w:pPr>
              <w:adjustRightInd w:val="0"/>
              <w:snapToGrid w:val="0"/>
              <w:spacing w:line="520" w:lineRule="exact"/>
              <w:ind w:firstLine="480" w:firstLineChars="200"/>
              <w:rPr>
                <w:bCs/>
                <w:color w:val="EE0000"/>
                <w:sz w:val="24"/>
                <w:u w:val="single"/>
              </w:rPr>
            </w:pPr>
            <w:r>
              <w:rPr>
                <w:bCs/>
                <w:color w:val="EE0000"/>
                <w:sz w:val="24"/>
                <w:u w:val="single"/>
              </w:rPr>
              <w:t>经调查，由于市场和经营原因，六和建材2022年至今未正常生产，评价收集2021年六和建材废气污染物自动和手工检测数据。</w:t>
            </w:r>
          </w:p>
          <w:p w14:paraId="4B30012C">
            <w:pPr>
              <w:adjustRightInd w:val="0"/>
              <w:snapToGrid w:val="0"/>
              <w:spacing w:line="520" w:lineRule="exact"/>
              <w:ind w:firstLine="480" w:firstLineChars="200"/>
              <w:rPr>
                <w:bCs/>
                <w:color w:val="EE0000"/>
                <w:sz w:val="24"/>
                <w:szCs w:val="21"/>
                <w:u w:val="single"/>
              </w:rPr>
            </w:pPr>
            <w:r>
              <w:rPr>
                <w:bCs/>
                <w:color w:val="EE0000"/>
                <w:sz w:val="24"/>
                <w:szCs w:val="21"/>
                <w:u w:val="single"/>
              </w:rPr>
              <w:fldChar w:fldCharType="begin"/>
            </w:r>
            <w:r>
              <w:rPr>
                <w:bCs/>
                <w:color w:val="EE0000"/>
                <w:sz w:val="24"/>
                <w:szCs w:val="21"/>
                <w:u w:val="single"/>
              </w:rPr>
              <w:instrText xml:space="preserve"> = 1 \* GB3 </w:instrText>
            </w:r>
            <w:r>
              <w:rPr>
                <w:bCs/>
                <w:color w:val="EE0000"/>
                <w:sz w:val="24"/>
                <w:szCs w:val="21"/>
                <w:u w:val="single"/>
              </w:rPr>
              <w:fldChar w:fldCharType="separate"/>
            </w:r>
            <w:r>
              <w:rPr>
                <w:rFonts w:ascii="Cambria Math" w:hAnsi="Cambria Math" w:cs="Cambria Math"/>
                <w:bCs/>
                <w:color w:val="EE0000"/>
                <w:sz w:val="24"/>
                <w:szCs w:val="21"/>
                <w:u w:val="single"/>
              </w:rPr>
              <w:t>①</w:t>
            </w:r>
            <w:r>
              <w:rPr>
                <w:bCs/>
                <w:color w:val="EE0000"/>
                <w:sz w:val="24"/>
                <w:szCs w:val="21"/>
                <w:u w:val="single"/>
              </w:rPr>
              <w:fldChar w:fldCharType="end"/>
            </w:r>
            <w:r>
              <w:rPr>
                <w:bCs/>
                <w:color w:val="EE0000"/>
                <w:sz w:val="24"/>
                <w:szCs w:val="21"/>
                <w:u w:val="single"/>
              </w:rPr>
              <w:t>破碎、筛分有组织废气排放情况</w:t>
            </w:r>
          </w:p>
          <w:p w14:paraId="0BA9CB28">
            <w:pPr>
              <w:adjustRightInd w:val="0"/>
              <w:snapToGrid w:val="0"/>
              <w:spacing w:line="520" w:lineRule="exact"/>
              <w:ind w:firstLine="480" w:firstLineChars="200"/>
              <w:rPr>
                <w:bCs/>
                <w:color w:val="EE0000"/>
                <w:sz w:val="24"/>
                <w:szCs w:val="21"/>
                <w:u w:val="single"/>
              </w:rPr>
            </w:pPr>
            <w:r>
              <w:rPr>
                <w:bCs/>
                <w:color w:val="EE0000"/>
                <w:sz w:val="24"/>
                <w:szCs w:val="21"/>
                <w:u w:val="single"/>
              </w:rPr>
              <w:t>河南昆翔检测技术服务有限公司于2021年7月23日对六和建材破碎、筛分工序袋式除尘器出口检测结果统计见表2-19。</w:t>
            </w:r>
          </w:p>
          <w:p w14:paraId="2ECC72E7">
            <w:pPr>
              <w:spacing w:line="520" w:lineRule="exact"/>
              <w:jc w:val="center"/>
              <w:rPr>
                <w:rFonts w:eastAsia="黑体"/>
                <w:color w:val="EE0000"/>
                <w:sz w:val="24"/>
                <w:szCs w:val="32"/>
                <w:u w:val="single"/>
              </w:rPr>
            </w:pPr>
            <w:r>
              <w:rPr>
                <w:rFonts w:eastAsia="黑体"/>
                <w:color w:val="EE0000"/>
                <w:sz w:val="24"/>
                <w:szCs w:val="32"/>
                <w:u w:val="single"/>
              </w:rPr>
              <w:t>表2-19     六和建材破碎、筛分工序排放口DA001颗粒物排放情况</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551"/>
              <w:gridCol w:w="1551"/>
              <w:gridCol w:w="2127"/>
              <w:gridCol w:w="2066"/>
            </w:tblGrid>
            <w:tr w14:paraId="5B83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95" w:type="pct"/>
                  <w:vMerge w:val="restart"/>
                  <w:vAlign w:val="center"/>
                </w:tcPr>
                <w:p w14:paraId="7460C3C8">
                  <w:pPr>
                    <w:spacing w:line="320" w:lineRule="exact"/>
                    <w:jc w:val="center"/>
                    <w:rPr>
                      <w:color w:val="EE0000"/>
                      <w:u w:val="single"/>
                    </w:rPr>
                  </w:pPr>
                  <w:r>
                    <w:rPr>
                      <w:color w:val="EE0000"/>
                      <w:u w:val="single"/>
                    </w:rPr>
                    <w:t>采样</w:t>
                  </w:r>
                </w:p>
                <w:p w14:paraId="3F43D4E1">
                  <w:pPr>
                    <w:spacing w:line="320" w:lineRule="exact"/>
                    <w:jc w:val="center"/>
                    <w:rPr>
                      <w:color w:val="EE0000"/>
                      <w:u w:val="single"/>
                    </w:rPr>
                  </w:pPr>
                  <w:r>
                    <w:rPr>
                      <w:color w:val="EE0000"/>
                      <w:u w:val="single"/>
                    </w:rPr>
                    <w:t>日期</w:t>
                  </w:r>
                </w:p>
              </w:tc>
              <w:tc>
                <w:tcPr>
                  <w:tcW w:w="940" w:type="pct"/>
                  <w:vMerge w:val="restart"/>
                  <w:vAlign w:val="center"/>
                </w:tcPr>
                <w:p w14:paraId="284A9415">
                  <w:pPr>
                    <w:spacing w:line="320" w:lineRule="exact"/>
                    <w:jc w:val="center"/>
                    <w:rPr>
                      <w:color w:val="EE0000"/>
                      <w:u w:val="single"/>
                    </w:rPr>
                  </w:pPr>
                  <w:r>
                    <w:rPr>
                      <w:color w:val="EE0000"/>
                      <w:u w:val="single"/>
                    </w:rPr>
                    <w:t>检测点位</w:t>
                  </w:r>
                </w:p>
              </w:tc>
              <w:tc>
                <w:tcPr>
                  <w:tcW w:w="940" w:type="pct"/>
                  <w:vMerge w:val="restart"/>
                  <w:vAlign w:val="center"/>
                </w:tcPr>
                <w:p w14:paraId="501FA306">
                  <w:pPr>
                    <w:spacing w:line="320" w:lineRule="exact"/>
                    <w:jc w:val="center"/>
                    <w:rPr>
                      <w:color w:val="EE0000"/>
                      <w:u w:val="single"/>
                    </w:rPr>
                  </w:pPr>
                  <w:r>
                    <w:rPr>
                      <w:color w:val="EE0000"/>
                      <w:u w:val="single"/>
                    </w:rPr>
                    <w:t>废气流量（Nm</w:t>
                  </w:r>
                  <w:r>
                    <w:rPr>
                      <w:color w:val="EE0000"/>
                      <w:u w:val="single"/>
                      <w:vertAlign w:val="superscript"/>
                    </w:rPr>
                    <w:t>3</w:t>
                  </w:r>
                  <w:r>
                    <w:rPr>
                      <w:color w:val="EE0000"/>
                      <w:u w:val="single"/>
                    </w:rPr>
                    <w:t>/h）</w:t>
                  </w:r>
                </w:p>
              </w:tc>
              <w:tc>
                <w:tcPr>
                  <w:tcW w:w="2525" w:type="pct"/>
                  <w:gridSpan w:val="2"/>
                  <w:vAlign w:val="center"/>
                </w:tcPr>
                <w:p w14:paraId="68BDFC43">
                  <w:pPr>
                    <w:spacing w:line="320" w:lineRule="exact"/>
                    <w:jc w:val="center"/>
                    <w:rPr>
                      <w:color w:val="EE0000"/>
                      <w:u w:val="single"/>
                    </w:rPr>
                  </w:pPr>
                  <w:r>
                    <w:rPr>
                      <w:color w:val="EE0000"/>
                      <w:u w:val="single"/>
                    </w:rPr>
                    <w:t>颗粒物</w:t>
                  </w:r>
                </w:p>
              </w:tc>
            </w:tr>
            <w:tr w14:paraId="6689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14:paraId="5F562525">
                  <w:pPr>
                    <w:spacing w:line="320" w:lineRule="exact"/>
                    <w:jc w:val="center"/>
                    <w:rPr>
                      <w:color w:val="EE0000"/>
                      <w:u w:val="single"/>
                    </w:rPr>
                  </w:pPr>
                </w:p>
              </w:tc>
              <w:tc>
                <w:tcPr>
                  <w:tcW w:w="940" w:type="pct"/>
                  <w:vMerge w:val="continue"/>
                  <w:vAlign w:val="center"/>
                </w:tcPr>
                <w:p w14:paraId="06DBE4E5">
                  <w:pPr>
                    <w:spacing w:line="320" w:lineRule="exact"/>
                    <w:jc w:val="center"/>
                    <w:rPr>
                      <w:color w:val="EE0000"/>
                      <w:u w:val="single"/>
                    </w:rPr>
                  </w:pPr>
                </w:p>
              </w:tc>
              <w:tc>
                <w:tcPr>
                  <w:tcW w:w="940" w:type="pct"/>
                  <w:vMerge w:val="continue"/>
                  <w:vAlign w:val="center"/>
                </w:tcPr>
                <w:p w14:paraId="3CE8E09C">
                  <w:pPr>
                    <w:spacing w:line="320" w:lineRule="exact"/>
                    <w:jc w:val="center"/>
                    <w:rPr>
                      <w:color w:val="EE0000"/>
                      <w:u w:val="single"/>
                    </w:rPr>
                  </w:pPr>
                </w:p>
              </w:tc>
              <w:tc>
                <w:tcPr>
                  <w:tcW w:w="1281" w:type="pct"/>
                  <w:vAlign w:val="center"/>
                </w:tcPr>
                <w:p w14:paraId="4CFD9C15">
                  <w:pPr>
                    <w:spacing w:line="320" w:lineRule="exact"/>
                    <w:jc w:val="center"/>
                    <w:rPr>
                      <w:color w:val="EE0000"/>
                      <w:u w:val="single"/>
                    </w:rPr>
                  </w:pPr>
                  <w:r>
                    <w:rPr>
                      <w:color w:val="EE0000"/>
                      <w:u w:val="single"/>
                    </w:rPr>
                    <w:t>排放浓度（mg/m</w:t>
                  </w:r>
                  <w:r>
                    <w:rPr>
                      <w:color w:val="EE0000"/>
                      <w:u w:val="single"/>
                      <w:vertAlign w:val="superscript"/>
                    </w:rPr>
                    <w:t>3</w:t>
                  </w:r>
                  <w:r>
                    <w:rPr>
                      <w:color w:val="EE0000"/>
                      <w:u w:val="single"/>
                    </w:rPr>
                    <w:t>）</w:t>
                  </w:r>
                </w:p>
              </w:tc>
              <w:tc>
                <w:tcPr>
                  <w:tcW w:w="1244" w:type="pct"/>
                </w:tcPr>
                <w:p w14:paraId="3859C28C">
                  <w:pPr>
                    <w:spacing w:line="320" w:lineRule="exact"/>
                    <w:jc w:val="center"/>
                    <w:rPr>
                      <w:color w:val="EE0000"/>
                      <w:u w:val="single"/>
                    </w:rPr>
                  </w:pPr>
                  <w:r>
                    <w:rPr>
                      <w:color w:val="EE0000"/>
                      <w:u w:val="single"/>
                    </w:rPr>
                    <w:t>排放速率（kg/h）</w:t>
                  </w:r>
                </w:p>
              </w:tc>
            </w:tr>
            <w:tr w14:paraId="6811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restart"/>
                  <w:vAlign w:val="center"/>
                </w:tcPr>
                <w:p w14:paraId="3B132C6B">
                  <w:pPr>
                    <w:spacing w:line="320" w:lineRule="exact"/>
                    <w:jc w:val="center"/>
                    <w:rPr>
                      <w:color w:val="EE0000"/>
                      <w:u w:val="single"/>
                    </w:rPr>
                  </w:pPr>
                  <w:r>
                    <w:rPr>
                      <w:color w:val="EE0000"/>
                      <w:u w:val="single"/>
                    </w:rPr>
                    <w:t>2021.07.23</w:t>
                  </w:r>
                </w:p>
              </w:tc>
              <w:tc>
                <w:tcPr>
                  <w:tcW w:w="940" w:type="pct"/>
                  <w:vMerge w:val="restart"/>
                  <w:vAlign w:val="center"/>
                </w:tcPr>
                <w:p w14:paraId="699BD365">
                  <w:pPr>
                    <w:spacing w:line="320" w:lineRule="exact"/>
                    <w:jc w:val="center"/>
                    <w:rPr>
                      <w:color w:val="EE0000"/>
                      <w:u w:val="single"/>
                    </w:rPr>
                  </w:pPr>
                  <w:r>
                    <w:rPr>
                      <w:color w:val="EE0000"/>
                      <w:u w:val="single"/>
                    </w:rPr>
                    <w:t>袋式除尘器出口DA001</w:t>
                  </w:r>
                </w:p>
              </w:tc>
              <w:tc>
                <w:tcPr>
                  <w:tcW w:w="940" w:type="pct"/>
                  <w:vAlign w:val="center"/>
                </w:tcPr>
                <w:p w14:paraId="1A09B152">
                  <w:pPr>
                    <w:spacing w:line="320" w:lineRule="exact"/>
                    <w:jc w:val="center"/>
                    <w:rPr>
                      <w:color w:val="EE0000"/>
                      <w:u w:val="single"/>
                    </w:rPr>
                  </w:pPr>
                  <w:r>
                    <w:rPr>
                      <w:color w:val="EE0000"/>
                      <w:u w:val="single"/>
                    </w:rPr>
                    <w:t>1.31×10</w:t>
                  </w:r>
                  <w:r>
                    <w:rPr>
                      <w:color w:val="EE0000"/>
                      <w:u w:val="single"/>
                      <w:vertAlign w:val="superscript"/>
                    </w:rPr>
                    <w:t>4</w:t>
                  </w:r>
                </w:p>
              </w:tc>
              <w:tc>
                <w:tcPr>
                  <w:tcW w:w="1281" w:type="pct"/>
                  <w:vAlign w:val="center"/>
                </w:tcPr>
                <w:p w14:paraId="00E45249">
                  <w:pPr>
                    <w:spacing w:line="320" w:lineRule="exact"/>
                    <w:jc w:val="center"/>
                    <w:rPr>
                      <w:color w:val="EE0000"/>
                      <w:u w:val="single"/>
                    </w:rPr>
                  </w:pPr>
                  <w:r>
                    <w:rPr>
                      <w:color w:val="EE0000"/>
                      <w:u w:val="single"/>
                    </w:rPr>
                    <w:t>13.5</w:t>
                  </w:r>
                </w:p>
              </w:tc>
              <w:tc>
                <w:tcPr>
                  <w:tcW w:w="1244" w:type="pct"/>
                </w:tcPr>
                <w:p w14:paraId="52357689">
                  <w:pPr>
                    <w:spacing w:line="320" w:lineRule="exact"/>
                    <w:jc w:val="center"/>
                    <w:rPr>
                      <w:color w:val="EE0000"/>
                      <w:u w:val="single"/>
                    </w:rPr>
                  </w:pPr>
                  <w:r>
                    <w:rPr>
                      <w:color w:val="EE0000"/>
                      <w:u w:val="single"/>
                    </w:rPr>
                    <w:t>0.18</w:t>
                  </w:r>
                </w:p>
              </w:tc>
            </w:tr>
            <w:tr w14:paraId="2129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14:paraId="7B996016">
                  <w:pPr>
                    <w:spacing w:line="320" w:lineRule="exact"/>
                    <w:jc w:val="center"/>
                    <w:rPr>
                      <w:color w:val="EE0000"/>
                      <w:u w:val="single"/>
                    </w:rPr>
                  </w:pPr>
                </w:p>
              </w:tc>
              <w:tc>
                <w:tcPr>
                  <w:tcW w:w="940" w:type="pct"/>
                  <w:vMerge w:val="continue"/>
                  <w:vAlign w:val="center"/>
                </w:tcPr>
                <w:p w14:paraId="46081CE9">
                  <w:pPr>
                    <w:spacing w:line="320" w:lineRule="exact"/>
                    <w:jc w:val="center"/>
                    <w:rPr>
                      <w:color w:val="EE0000"/>
                      <w:u w:val="single"/>
                    </w:rPr>
                  </w:pPr>
                </w:p>
              </w:tc>
              <w:tc>
                <w:tcPr>
                  <w:tcW w:w="940" w:type="pct"/>
                  <w:vAlign w:val="center"/>
                </w:tcPr>
                <w:p w14:paraId="4049E64B">
                  <w:pPr>
                    <w:spacing w:line="320" w:lineRule="exact"/>
                    <w:jc w:val="center"/>
                    <w:rPr>
                      <w:color w:val="EE0000"/>
                      <w:u w:val="single"/>
                    </w:rPr>
                  </w:pPr>
                  <w:r>
                    <w:rPr>
                      <w:color w:val="EE0000"/>
                      <w:u w:val="single"/>
                    </w:rPr>
                    <w:t>1.28×10</w:t>
                  </w:r>
                  <w:r>
                    <w:rPr>
                      <w:color w:val="EE0000"/>
                      <w:u w:val="single"/>
                      <w:vertAlign w:val="superscript"/>
                    </w:rPr>
                    <w:t>4</w:t>
                  </w:r>
                </w:p>
              </w:tc>
              <w:tc>
                <w:tcPr>
                  <w:tcW w:w="1281" w:type="pct"/>
                  <w:vAlign w:val="center"/>
                </w:tcPr>
                <w:p w14:paraId="6E14A84E">
                  <w:pPr>
                    <w:spacing w:line="320" w:lineRule="exact"/>
                    <w:jc w:val="center"/>
                    <w:rPr>
                      <w:color w:val="EE0000"/>
                      <w:u w:val="single"/>
                    </w:rPr>
                  </w:pPr>
                  <w:r>
                    <w:rPr>
                      <w:color w:val="EE0000"/>
                      <w:u w:val="single"/>
                    </w:rPr>
                    <w:t>12.9</w:t>
                  </w:r>
                </w:p>
              </w:tc>
              <w:tc>
                <w:tcPr>
                  <w:tcW w:w="1244" w:type="pct"/>
                </w:tcPr>
                <w:p w14:paraId="2989A91B">
                  <w:pPr>
                    <w:spacing w:line="320" w:lineRule="exact"/>
                    <w:jc w:val="center"/>
                    <w:rPr>
                      <w:color w:val="EE0000"/>
                      <w:u w:val="single"/>
                    </w:rPr>
                  </w:pPr>
                  <w:r>
                    <w:rPr>
                      <w:color w:val="EE0000"/>
                      <w:u w:val="single"/>
                    </w:rPr>
                    <w:t>0.17</w:t>
                  </w:r>
                </w:p>
              </w:tc>
            </w:tr>
            <w:tr w14:paraId="35A6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14:paraId="4483FD9F">
                  <w:pPr>
                    <w:spacing w:line="320" w:lineRule="exact"/>
                    <w:jc w:val="center"/>
                    <w:rPr>
                      <w:color w:val="EE0000"/>
                      <w:u w:val="single"/>
                    </w:rPr>
                  </w:pPr>
                </w:p>
              </w:tc>
              <w:tc>
                <w:tcPr>
                  <w:tcW w:w="940" w:type="pct"/>
                  <w:vMerge w:val="continue"/>
                  <w:vAlign w:val="center"/>
                </w:tcPr>
                <w:p w14:paraId="16A5866B">
                  <w:pPr>
                    <w:spacing w:line="320" w:lineRule="exact"/>
                    <w:jc w:val="center"/>
                    <w:rPr>
                      <w:color w:val="EE0000"/>
                      <w:u w:val="single"/>
                    </w:rPr>
                  </w:pPr>
                </w:p>
              </w:tc>
              <w:tc>
                <w:tcPr>
                  <w:tcW w:w="940" w:type="pct"/>
                  <w:vAlign w:val="center"/>
                </w:tcPr>
                <w:p w14:paraId="67227F8D">
                  <w:pPr>
                    <w:spacing w:line="320" w:lineRule="exact"/>
                    <w:jc w:val="center"/>
                    <w:rPr>
                      <w:color w:val="EE0000"/>
                      <w:u w:val="single"/>
                    </w:rPr>
                  </w:pPr>
                  <w:r>
                    <w:rPr>
                      <w:color w:val="EE0000"/>
                      <w:u w:val="single"/>
                    </w:rPr>
                    <w:t>1.35×10</w:t>
                  </w:r>
                  <w:r>
                    <w:rPr>
                      <w:color w:val="EE0000"/>
                      <w:u w:val="single"/>
                      <w:vertAlign w:val="superscript"/>
                    </w:rPr>
                    <w:t>3</w:t>
                  </w:r>
                </w:p>
              </w:tc>
              <w:tc>
                <w:tcPr>
                  <w:tcW w:w="1281" w:type="pct"/>
                  <w:vAlign w:val="center"/>
                </w:tcPr>
                <w:p w14:paraId="31842568">
                  <w:pPr>
                    <w:spacing w:line="320" w:lineRule="exact"/>
                    <w:jc w:val="center"/>
                    <w:rPr>
                      <w:color w:val="EE0000"/>
                      <w:u w:val="single"/>
                    </w:rPr>
                  </w:pPr>
                  <w:r>
                    <w:rPr>
                      <w:color w:val="EE0000"/>
                      <w:u w:val="single"/>
                    </w:rPr>
                    <w:t>14.4</w:t>
                  </w:r>
                </w:p>
              </w:tc>
              <w:tc>
                <w:tcPr>
                  <w:tcW w:w="1244" w:type="pct"/>
                </w:tcPr>
                <w:p w14:paraId="359BD0D0">
                  <w:pPr>
                    <w:spacing w:line="320" w:lineRule="exact"/>
                    <w:jc w:val="center"/>
                    <w:rPr>
                      <w:color w:val="EE0000"/>
                      <w:u w:val="single"/>
                    </w:rPr>
                  </w:pPr>
                  <w:r>
                    <w:rPr>
                      <w:color w:val="EE0000"/>
                      <w:u w:val="single"/>
                    </w:rPr>
                    <w:t>0.19</w:t>
                  </w:r>
                </w:p>
              </w:tc>
            </w:tr>
            <w:tr w14:paraId="42A2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14:paraId="4FA505C8">
                  <w:pPr>
                    <w:spacing w:line="320" w:lineRule="exact"/>
                    <w:jc w:val="center"/>
                    <w:rPr>
                      <w:color w:val="EE0000"/>
                      <w:u w:val="single"/>
                    </w:rPr>
                  </w:pPr>
                </w:p>
              </w:tc>
              <w:tc>
                <w:tcPr>
                  <w:tcW w:w="940" w:type="pct"/>
                  <w:vAlign w:val="center"/>
                </w:tcPr>
                <w:p w14:paraId="08DBBBED">
                  <w:pPr>
                    <w:spacing w:line="320" w:lineRule="exact"/>
                    <w:jc w:val="center"/>
                    <w:rPr>
                      <w:color w:val="EE0000"/>
                      <w:u w:val="single"/>
                    </w:rPr>
                  </w:pPr>
                  <w:r>
                    <w:rPr>
                      <w:color w:val="EE0000"/>
                      <w:u w:val="single"/>
                    </w:rPr>
                    <w:t>均值</w:t>
                  </w:r>
                </w:p>
              </w:tc>
              <w:tc>
                <w:tcPr>
                  <w:tcW w:w="940" w:type="pct"/>
                  <w:vAlign w:val="center"/>
                </w:tcPr>
                <w:p w14:paraId="70C526A5">
                  <w:pPr>
                    <w:spacing w:line="320" w:lineRule="exact"/>
                    <w:jc w:val="center"/>
                    <w:rPr>
                      <w:color w:val="EE0000"/>
                      <w:u w:val="single"/>
                    </w:rPr>
                  </w:pPr>
                  <w:r>
                    <w:rPr>
                      <w:color w:val="EE0000"/>
                      <w:u w:val="single"/>
                    </w:rPr>
                    <w:t>1.31×10</w:t>
                  </w:r>
                  <w:r>
                    <w:rPr>
                      <w:color w:val="EE0000"/>
                      <w:u w:val="single"/>
                      <w:vertAlign w:val="superscript"/>
                    </w:rPr>
                    <w:t>4</w:t>
                  </w:r>
                </w:p>
              </w:tc>
              <w:tc>
                <w:tcPr>
                  <w:tcW w:w="1281" w:type="pct"/>
                  <w:vAlign w:val="center"/>
                </w:tcPr>
                <w:p w14:paraId="566886F2">
                  <w:pPr>
                    <w:spacing w:line="320" w:lineRule="exact"/>
                    <w:jc w:val="center"/>
                    <w:rPr>
                      <w:color w:val="EE0000"/>
                      <w:u w:val="single"/>
                    </w:rPr>
                  </w:pPr>
                  <w:r>
                    <w:rPr>
                      <w:color w:val="EE0000"/>
                      <w:u w:val="single"/>
                    </w:rPr>
                    <w:t>13.6</w:t>
                  </w:r>
                </w:p>
              </w:tc>
              <w:tc>
                <w:tcPr>
                  <w:tcW w:w="1244" w:type="pct"/>
                </w:tcPr>
                <w:p w14:paraId="030DC743">
                  <w:pPr>
                    <w:spacing w:line="320" w:lineRule="exact"/>
                    <w:jc w:val="center"/>
                    <w:rPr>
                      <w:color w:val="EE0000"/>
                      <w:u w:val="single"/>
                    </w:rPr>
                  </w:pPr>
                  <w:r>
                    <w:rPr>
                      <w:color w:val="EE0000"/>
                      <w:u w:val="single"/>
                    </w:rPr>
                    <w:t>0.18</w:t>
                  </w:r>
                </w:p>
              </w:tc>
            </w:tr>
          </w:tbl>
          <w:p w14:paraId="5C9532F8">
            <w:pPr>
              <w:adjustRightInd w:val="0"/>
              <w:snapToGrid w:val="0"/>
              <w:spacing w:line="520" w:lineRule="exact"/>
              <w:ind w:firstLine="480" w:firstLineChars="200"/>
              <w:rPr>
                <w:bCs/>
                <w:sz w:val="24"/>
                <w:szCs w:val="21"/>
              </w:rPr>
            </w:pPr>
            <w:r>
              <w:rPr>
                <w:bCs/>
                <w:color w:val="EE0000"/>
                <w:sz w:val="24"/>
                <w:szCs w:val="21"/>
                <w:u w:val="single"/>
              </w:rPr>
              <w:t>由上表可知，检测期间，六和建材喂料、破碎工序袋式除尘器排放口颗粒物的排放浓度范围为12.9~14.4mg/m</w:t>
            </w:r>
            <w:r>
              <w:rPr>
                <w:bCs/>
                <w:color w:val="EE0000"/>
                <w:sz w:val="24"/>
                <w:szCs w:val="21"/>
                <w:u w:val="single"/>
                <w:vertAlign w:val="superscript"/>
              </w:rPr>
              <w:t>3</w:t>
            </w:r>
            <w:r>
              <w:rPr>
                <w:bCs/>
                <w:color w:val="EE0000"/>
                <w:sz w:val="24"/>
                <w:szCs w:val="21"/>
                <w:u w:val="single"/>
              </w:rPr>
              <w:t>，不满足《砖瓦工业大气污染物排放标准》（DB41/2234-2022）标准限值（颗粒物10mg/m</w:t>
            </w:r>
            <w:r>
              <w:rPr>
                <w:bCs/>
                <w:color w:val="EE0000"/>
                <w:sz w:val="24"/>
                <w:szCs w:val="21"/>
                <w:u w:val="single"/>
                <w:vertAlign w:val="superscript"/>
              </w:rPr>
              <w:t>3</w:t>
            </w:r>
            <w:r>
              <w:rPr>
                <w:bCs/>
                <w:color w:val="EE0000"/>
                <w:sz w:val="24"/>
                <w:szCs w:val="21"/>
                <w:u w:val="single"/>
              </w:rPr>
              <w:t>）要求。</w:t>
            </w:r>
          </w:p>
          <w:p w14:paraId="602AFC60">
            <w:pPr>
              <w:adjustRightInd w:val="0"/>
              <w:snapToGrid w:val="0"/>
              <w:spacing w:line="520" w:lineRule="exact"/>
              <w:ind w:firstLine="480" w:firstLineChars="200"/>
              <w:rPr>
                <w:bCs/>
                <w:color w:val="EE0000"/>
                <w:sz w:val="24"/>
                <w:szCs w:val="21"/>
                <w:u w:val="single"/>
              </w:rPr>
            </w:pPr>
            <w:r>
              <w:rPr>
                <w:bCs/>
                <w:color w:val="EE0000"/>
                <w:sz w:val="24"/>
                <w:szCs w:val="21"/>
                <w:u w:val="single"/>
              </w:rPr>
              <w:fldChar w:fldCharType="begin"/>
            </w:r>
            <w:r>
              <w:rPr>
                <w:bCs/>
                <w:color w:val="EE0000"/>
                <w:sz w:val="24"/>
                <w:szCs w:val="21"/>
                <w:u w:val="single"/>
              </w:rPr>
              <w:instrText xml:space="preserve"> = 2 \* GB3 </w:instrText>
            </w:r>
            <w:r>
              <w:rPr>
                <w:bCs/>
                <w:color w:val="EE0000"/>
                <w:sz w:val="24"/>
                <w:szCs w:val="21"/>
                <w:u w:val="single"/>
              </w:rPr>
              <w:fldChar w:fldCharType="separate"/>
            </w:r>
            <w:r>
              <w:rPr>
                <w:rFonts w:ascii="Cambria Math" w:hAnsi="Cambria Math" w:cs="Cambria Math"/>
                <w:bCs/>
                <w:color w:val="EE0000"/>
                <w:sz w:val="24"/>
                <w:szCs w:val="21"/>
                <w:u w:val="single"/>
              </w:rPr>
              <w:t>②</w:t>
            </w:r>
            <w:r>
              <w:rPr>
                <w:bCs/>
                <w:color w:val="EE0000"/>
                <w:sz w:val="24"/>
                <w:szCs w:val="21"/>
                <w:u w:val="single"/>
              </w:rPr>
              <w:fldChar w:fldCharType="end"/>
            </w:r>
            <w:r>
              <w:rPr>
                <w:bCs/>
                <w:color w:val="EE0000"/>
                <w:sz w:val="24"/>
                <w:szCs w:val="21"/>
                <w:u w:val="single"/>
              </w:rPr>
              <w:t>窑炉烟气有组织废气排放情况</w:t>
            </w:r>
          </w:p>
          <w:p w14:paraId="6C20DC91">
            <w:pPr>
              <w:adjustRightInd w:val="0"/>
              <w:snapToGrid w:val="0"/>
              <w:spacing w:line="520" w:lineRule="exact"/>
              <w:ind w:firstLine="480" w:firstLineChars="200"/>
              <w:rPr>
                <w:bCs/>
                <w:color w:val="EE0000"/>
                <w:sz w:val="24"/>
                <w:szCs w:val="21"/>
                <w:u w:val="single"/>
              </w:rPr>
            </w:pPr>
            <w:r>
              <w:rPr>
                <w:bCs/>
                <w:color w:val="EE0000"/>
                <w:sz w:val="24"/>
                <w:szCs w:val="21"/>
                <w:u w:val="single"/>
              </w:rPr>
              <w:t>六和建材窑炉烟气安装了废气污染物自动监测系统，自动监测因子为颗粒物、二氧化硫、氮氧化物。2021年烟气排放连续监测月平均值年报表统计结果见表2-20：</w:t>
            </w:r>
          </w:p>
          <w:p w14:paraId="7656FB6D">
            <w:pPr>
              <w:spacing w:line="520" w:lineRule="exact"/>
              <w:jc w:val="center"/>
              <w:rPr>
                <w:rFonts w:eastAsia="黑体"/>
                <w:color w:val="EE0000"/>
                <w:sz w:val="24"/>
                <w:szCs w:val="32"/>
                <w:u w:val="single"/>
              </w:rPr>
            </w:pPr>
          </w:p>
          <w:p w14:paraId="368CBD8D">
            <w:pPr>
              <w:spacing w:line="520" w:lineRule="exact"/>
              <w:jc w:val="center"/>
              <w:rPr>
                <w:rFonts w:eastAsia="黑体"/>
                <w:color w:val="EE0000"/>
                <w:sz w:val="24"/>
                <w:szCs w:val="32"/>
                <w:u w:val="single"/>
              </w:rPr>
            </w:pPr>
            <w:r>
              <w:rPr>
                <w:rFonts w:eastAsia="黑体"/>
                <w:color w:val="EE0000"/>
                <w:sz w:val="24"/>
                <w:szCs w:val="32"/>
                <w:u w:val="single"/>
              </w:rPr>
              <w:t>表2-20      六和建材2021年窑炉烟气排放连续监测月平均值年报表</w:t>
            </w:r>
          </w:p>
          <w:tbl>
            <w:tblPr>
              <w:tblStyle w:val="37"/>
              <w:tblpPr w:leftFromText="180" w:rightFromText="180" w:vertAnchor="text" w:tblpY="1"/>
              <w:tblOverlap w:val="never"/>
              <w:tblW w:w="5000" w:type="pct"/>
              <w:tblInd w:w="0" w:type="dxa"/>
              <w:tblLayout w:type="autofit"/>
              <w:tblCellMar>
                <w:top w:w="0" w:type="dxa"/>
                <w:left w:w="108" w:type="dxa"/>
                <w:bottom w:w="0" w:type="dxa"/>
                <w:right w:w="108" w:type="dxa"/>
              </w:tblCellMar>
            </w:tblPr>
            <w:tblGrid>
              <w:gridCol w:w="624"/>
              <w:gridCol w:w="737"/>
              <w:gridCol w:w="941"/>
              <w:gridCol w:w="678"/>
              <w:gridCol w:w="737"/>
              <w:gridCol w:w="941"/>
              <w:gridCol w:w="678"/>
              <w:gridCol w:w="738"/>
              <w:gridCol w:w="942"/>
              <w:gridCol w:w="679"/>
              <w:gridCol w:w="766"/>
            </w:tblGrid>
            <w:tr w14:paraId="4EE8E564">
              <w:tblPrEx>
                <w:tblCellMar>
                  <w:top w:w="0" w:type="dxa"/>
                  <w:left w:w="108" w:type="dxa"/>
                  <w:bottom w:w="0" w:type="dxa"/>
                  <w:right w:w="108" w:type="dxa"/>
                </w:tblCellMar>
              </w:tblPrEx>
              <w:trPr>
                <w:trHeight w:val="285" w:hRule="atLeast"/>
              </w:trPr>
              <w:tc>
                <w:tcPr>
                  <w:tcW w:w="361"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0D24E016">
                  <w:pPr>
                    <w:widowControl/>
                    <w:jc w:val="center"/>
                    <w:rPr>
                      <w:color w:val="EE0000"/>
                      <w:spacing w:val="-10"/>
                      <w:kern w:val="0"/>
                      <w:sz w:val="18"/>
                      <w:szCs w:val="18"/>
                      <w:u w:val="single"/>
                    </w:rPr>
                  </w:pPr>
                  <w:r>
                    <w:rPr>
                      <w:color w:val="EE0000"/>
                      <w:spacing w:val="-10"/>
                      <w:kern w:val="0"/>
                      <w:sz w:val="18"/>
                      <w:szCs w:val="18"/>
                      <w:u w:val="single"/>
                    </w:rPr>
                    <w:t>监测时间</w:t>
                  </w:r>
                </w:p>
              </w:tc>
              <w:tc>
                <w:tcPr>
                  <w:tcW w:w="1365" w:type="pct"/>
                  <w:gridSpan w:val="3"/>
                  <w:tcBorders>
                    <w:top w:val="single" w:color="auto" w:sz="4" w:space="0"/>
                    <w:left w:val="nil"/>
                    <w:bottom w:val="single" w:color="auto" w:sz="4" w:space="0"/>
                    <w:right w:val="single" w:color="auto" w:sz="4" w:space="0"/>
                  </w:tcBorders>
                  <w:shd w:val="clear" w:color="000000" w:fill="FFFFFF"/>
                  <w:noWrap/>
                  <w:vAlign w:val="center"/>
                </w:tcPr>
                <w:p w14:paraId="5AB5647D">
                  <w:pPr>
                    <w:widowControl/>
                    <w:jc w:val="center"/>
                    <w:rPr>
                      <w:color w:val="EE0000"/>
                      <w:spacing w:val="-10"/>
                      <w:kern w:val="0"/>
                      <w:sz w:val="18"/>
                      <w:szCs w:val="18"/>
                      <w:u w:val="single"/>
                    </w:rPr>
                  </w:pPr>
                  <w:r>
                    <w:rPr>
                      <w:color w:val="EE0000"/>
                      <w:spacing w:val="-10"/>
                      <w:kern w:val="0"/>
                      <w:sz w:val="18"/>
                      <w:szCs w:val="18"/>
                      <w:u w:val="single"/>
                    </w:rPr>
                    <w:t>颗粒物</w:t>
                  </w:r>
                </w:p>
              </w:tc>
              <w:tc>
                <w:tcPr>
                  <w:tcW w:w="1414" w:type="pct"/>
                  <w:gridSpan w:val="3"/>
                  <w:tcBorders>
                    <w:top w:val="single" w:color="auto" w:sz="4" w:space="0"/>
                    <w:left w:val="nil"/>
                    <w:bottom w:val="single" w:color="auto" w:sz="4" w:space="0"/>
                    <w:right w:val="single" w:color="auto" w:sz="4" w:space="0"/>
                  </w:tcBorders>
                  <w:shd w:val="clear" w:color="000000" w:fill="FFFFFF"/>
                  <w:noWrap/>
                  <w:vAlign w:val="center"/>
                </w:tcPr>
                <w:p w14:paraId="7BDCE799">
                  <w:pPr>
                    <w:widowControl/>
                    <w:jc w:val="center"/>
                    <w:rPr>
                      <w:color w:val="EE0000"/>
                      <w:spacing w:val="-10"/>
                      <w:kern w:val="0"/>
                      <w:sz w:val="18"/>
                      <w:szCs w:val="18"/>
                      <w:u w:val="single"/>
                    </w:rPr>
                  </w:pPr>
                  <w:r>
                    <w:rPr>
                      <w:color w:val="EE0000"/>
                      <w:spacing w:val="-10"/>
                      <w:kern w:val="0"/>
                      <w:sz w:val="18"/>
                      <w:szCs w:val="18"/>
                      <w:u w:val="single"/>
                    </w:rPr>
                    <w:t>二氧化硫</w:t>
                  </w:r>
                </w:p>
              </w:tc>
              <w:tc>
                <w:tcPr>
                  <w:tcW w:w="1398" w:type="pct"/>
                  <w:gridSpan w:val="3"/>
                  <w:tcBorders>
                    <w:top w:val="single" w:color="auto" w:sz="4" w:space="0"/>
                    <w:left w:val="nil"/>
                    <w:bottom w:val="single" w:color="auto" w:sz="4" w:space="0"/>
                    <w:right w:val="single" w:color="auto" w:sz="4" w:space="0"/>
                  </w:tcBorders>
                  <w:shd w:val="clear" w:color="000000" w:fill="FFFFFF"/>
                  <w:noWrap/>
                  <w:vAlign w:val="center"/>
                </w:tcPr>
                <w:p w14:paraId="64ADD0C4">
                  <w:pPr>
                    <w:widowControl/>
                    <w:jc w:val="center"/>
                    <w:rPr>
                      <w:color w:val="EE0000"/>
                      <w:spacing w:val="-10"/>
                      <w:kern w:val="0"/>
                      <w:sz w:val="18"/>
                      <w:szCs w:val="18"/>
                      <w:u w:val="single"/>
                    </w:rPr>
                  </w:pPr>
                  <w:r>
                    <w:rPr>
                      <w:color w:val="EE0000"/>
                      <w:spacing w:val="-10"/>
                      <w:kern w:val="0"/>
                      <w:sz w:val="18"/>
                      <w:szCs w:val="18"/>
                      <w:u w:val="single"/>
                    </w:rPr>
                    <w:t>氮氧化物</w:t>
                  </w:r>
                </w:p>
              </w:tc>
              <w:tc>
                <w:tcPr>
                  <w:tcW w:w="462"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7B2ED687">
                  <w:pPr>
                    <w:widowControl/>
                    <w:jc w:val="center"/>
                    <w:rPr>
                      <w:color w:val="EE0000"/>
                      <w:spacing w:val="-10"/>
                      <w:kern w:val="0"/>
                      <w:sz w:val="18"/>
                      <w:szCs w:val="18"/>
                      <w:u w:val="single"/>
                    </w:rPr>
                  </w:pPr>
                  <w:r>
                    <w:rPr>
                      <w:color w:val="EE0000"/>
                      <w:spacing w:val="-10"/>
                      <w:kern w:val="0"/>
                      <w:sz w:val="18"/>
                      <w:szCs w:val="18"/>
                      <w:u w:val="single"/>
                    </w:rPr>
                    <w:t>流量(m</w:t>
                  </w:r>
                  <w:r>
                    <w:rPr>
                      <w:color w:val="EE0000"/>
                      <w:spacing w:val="-10"/>
                      <w:kern w:val="0"/>
                      <w:sz w:val="18"/>
                      <w:szCs w:val="18"/>
                      <w:u w:val="single"/>
                      <w:vertAlign w:val="superscript"/>
                    </w:rPr>
                    <w:t>3</w:t>
                  </w:r>
                  <w:r>
                    <w:rPr>
                      <w:color w:val="EE0000"/>
                      <w:spacing w:val="-10"/>
                      <w:kern w:val="0"/>
                      <w:sz w:val="18"/>
                      <w:szCs w:val="18"/>
                      <w:u w:val="single"/>
                    </w:rPr>
                    <w:t>)</w:t>
                  </w:r>
                </w:p>
              </w:tc>
            </w:tr>
            <w:tr w14:paraId="114C75BB">
              <w:tblPrEx>
                <w:tblCellMar>
                  <w:top w:w="0" w:type="dxa"/>
                  <w:left w:w="108" w:type="dxa"/>
                  <w:bottom w:w="0" w:type="dxa"/>
                  <w:right w:w="108" w:type="dxa"/>
                </w:tblCellMar>
              </w:tblPrEx>
              <w:trPr>
                <w:trHeight w:val="285" w:hRule="atLeast"/>
              </w:trPr>
              <w:tc>
                <w:tcPr>
                  <w:tcW w:w="361" w:type="pct"/>
                  <w:vMerge w:val="continue"/>
                  <w:tcBorders>
                    <w:top w:val="single" w:color="auto" w:sz="4" w:space="0"/>
                    <w:left w:val="single" w:color="auto" w:sz="4" w:space="0"/>
                    <w:bottom w:val="single" w:color="auto" w:sz="4" w:space="0"/>
                    <w:right w:val="single" w:color="auto" w:sz="4" w:space="0"/>
                  </w:tcBorders>
                  <w:vAlign w:val="center"/>
                </w:tcPr>
                <w:p w14:paraId="57B4F9FB">
                  <w:pPr>
                    <w:widowControl/>
                    <w:jc w:val="left"/>
                    <w:rPr>
                      <w:color w:val="EE0000"/>
                      <w:spacing w:val="-10"/>
                      <w:kern w:val="0"/>
                      <w:sz w:val="18"/>
                      <w:szCs w:val="18"/>
                      <w:u w:val="single"/>
                    </w:rPr>
                  </w:pPr>
                </w:p>
              </w:tc>
              <w:tc>
                <w:tcPr>
                  <w:tcW w:w="438" w:type="pct"/>
                  <w:tcBorders>
                    <w:top w:val="nil"/>
                    <w:left w:val="nil"/>
                    <w:bottom w:val="single" w:color="auto" w:sz="4" w:space="0"/>
                    <w:right w:val="single" w:color="auto" w:sz="4" w:space="0"/>
                  </w:tcBorders>
                  <w:shd w:val="clear" w:color="000000" w:fill="FFFFFF"/>
                  <w:noWrap/>
                  <w:vAlign w:val="center"/>
                </w:tcPr>
                <w:p w14:paraId="54E6E50E">
                  <w:pPr>
                    <w:widowControl/>
                    <w:jc w:val="center"/>
                    <w:rPr>
                      <w:color w:val="EE0000"/>
                      <w:spacing w:val="-10"/>
                      <w:kern w:val="0"/>
                      <w:sz w:val="18"/>
                      <w:szCs w:val="18"/>
                      <w:u w:val="single"/>
                    </w:rPr>
                  </w:pPr>
                  <w:r>
                    <w:rPr>
                      <w:color w:val="EE0000"/>
                      <w:spacing w:val="-10"/>
                      <w:kern w:val="0"/>
                      <w:sz w:val="18"/>
                      <w:szCs w:val="18"/>
                      <w:u w:val="single"/>
                    </w:rPr>
                    <w:t>浓度(mg/m</w:t>
                  </w:r>
                  <w:r>
                    <w:rPr>
                      <w:color w:val="EE0000"/>
                      <w:spacing w:val="-10"/>
                      <w:kern w:val="0"/>
                      <w:sz w:val="18"/>
                      <w:szCs w:val="18"/>
                      <w:u w:val="single"/>
                      <w:vertAlign w:val="superscript"/>
                    </w:rPr>
                    <w:t>3</w:t>
                  </w:r>
                  <w:r>
                    <w:rPr>
                      <w:color w:val="EE0000"/>
                      <w:spacing w:val="-10"/>
                      <w:kern w:val="0"/>
                      <w:sz w:val="18"/>
                      <w:szCs w:val="18"/>
                      <w:u w:val="single"/>
                    </w:rPr>
                    <w:t>)</w:t>
                  </w:r>
                </w:p>
              </w:tc>
              <w:tc>
                <w:tcPr>
                  <w:tcW w:w="512" w:type="pct"/>
                  <w:tcBorders>
                    <w:top w:val="nil"/>
                    <w:left w:val="nil"/>
                    <w:bottom w:val="single" w:color="auto" w:sz="4" w:space="0"/>
                    <w:right w:val="single" w:color="auto" w:sz="4" w:space="0"/>
                  </w:tcBorders>
                  <w:shd w:val="clear" w:color="000000" w:fill="FFFFFF"/>
                  <w:noWrap/>
                  <w:vAlign w:val="center"/>
                </w:tcPr>
                <w:p w14:paraId="38EE1FE1">
                  <w:pPr>
                    <w:widowControl/>
                    <w:jc w:val="center"/>
                    <w:rPr>
                      <w:color w:val="EE0000"/>
                      <w:spacing w:val="-10"/>
                      <w:kern w:val="0"/>
                      <w:sz w:val="18"/>
                      <w:szCs w:val="18"/>
                      <w:u w:val="single"/>
                    </w:rPr>
                  </w:pPr>
                  <w:r>
                    <w:rPr>
                      <w:color w:val="EE0000"/>
                      <w:spacing w:val="-10"/>
                      <w:kern w:val="0"/>
                      <w:sz w:val="18"/>
                      <w:szCs w:val="18"/>
                      <w:u w:val="single"/>
                    </w:rPr>
                    <w:t>折算浓度(mg/m</w:t>
                  </w:r>
                  <w:r>
                    <w:rPr>
                      <w:color w:val="EE0000"/>
                      <w:spacing w:val="-10"/>
                      <w:kern w:val="0"/>
                      <w:sz w:val="18"/>
                      <w:szCs w:val="18"/>
                      <w:u w:val="single"/>
                      <w:vertAlign w:val="superscript"/>
                    </w:rPr>
                    <w:t>3</w:t>
                  </w:r>
                  <w:r>
                    <w:rPr>
                      <w:color w:val="EE0000"/>
                      <w:spacing w:val="-10"/>
                      <w:kern w:val="0"/>
                      <w:sz w:val="18"/>
                      <w:szCs w:val="18"/>
                      <w:u w:val="single"/>
                    </w:rPr>
                    <w:t>)</w:t>
                  </w:r>
                </w:p>
              </w:tc>
              <w:tc>
                <w:tcPr>
                  <w:tcW w:w="415" w:type="pct"/>
                  <w:tcBorders>
                    <w:top w:val="nil"/>
                    <w:left w:val="nil"/>
                    <w:bottom w:val="single" w:color="auto" w:sz="4" w:space="0"/>
                    <w:right w:val="single" w:color="auto" w:sz="4" w:space="0"/>
                  </w:tcBorders>
                  <w:shd w:val="clear" w:color="000000" w:fill="FFFFFF"/>
                  <w:noWrap/>
                  <w:vAlign w:val="center"/>
                </w:tcPr>
                <w:p w14:paraId="2249D3C1">
                  <w:pPr>
                    <w:widowControl/>
                    <w:jc w:val="center"/>
                    <w:rPr>
                      <w:color w:val="EE0000"/>
                      <w:spacing w:val="-10"/>
                      <w:kern w:val="0"/>
                      <w:sz w:val="18"/>
                      <w:szCs w:val="18"/>
                      <w:u w:val="single"/>
                    </w:rPr>
                  </w:pPr>
                  <w:r>
                    <w:rPr>
                      <w:color w:val="EE0000"/>
                      <w:spacing w:val="-10"/>
                      <w:kern w:val="0"/>
                      <w:sz w:val="18"/>
                      <w:szCs w:val="18"/>
                      <w:u w:val="single"/>
                    </w:rPr>
                    <w:t>排放量(kg)</w:t>
                  </w:r>
                </w:p>
              </w:tc>
              <w:tc>
                <w:tcPr>
                  <w:tcW w:w="465" w:type="pct"/>
                  <w:tcBorders>
                    <w:top w:val="nil"/>
                    <w:left w:val="nil"/>
                    <w:bottom w:val="single" w:color="auto" w:sz="4" w:space="0"/>
                    <w:right w:val="single" w:color="auto" w:sz="4" w:space="0"/>
                  </w:tcBorders>
                  <w:shd w:val="clear" w:color="000000" w:fill="FFFFFF"/>
                  <w:noWrap/>
                  <w:vAlign w:val="center"/>
                </w:tcPr>
                <w:p w14:paraId="054D64DD">
                  <w:pPr>
                    <w:widowControl/>
                    <w:jc w:val="center"/>
                    <w:rPr>
                      <w:color w:val="EE0000"/>
                      <w:spacing w:val="-10"/>
                      <w:kern w:val="0"/>
                      <w:sz w:val="18"/>
                      <w:szCs w:val="18"/>
                      <w:u w:val="single"/>
                    </w:rPr>
                  </w:pPr>
                  <w:r>
                    <w:rPr>
                      <w:color w:val="EE0000"/>
                      <w:spacing w:val="-10"/>
                      <w:kern w:val="0"/>
                      <w:sz w:val="18"/>
                      <w:szCs w:val="18"/>
                      <w:u w:val="single"/>
                    </w:rPr>
                    <w:t>浓度(mg/m</w:t>
                  </w:r>
                  <w:r>
                    <w:rPr>
                      <w:color w:val="EE0000"/>
                      <w:spacing w:val="-10"/>
                      <w:kern w:val="0"/>
                      <w:sz w:val="18"/>
                      <w:szCs w:val="18"/>
                      <w:u w:val="single"/>
                      <w:vertAlign w:val="superscript"/>
                    </w:rPr>
                    <w:t>3</w:t>
                  </w:r>
                  <w:r>
                    <w:rPr>
                      <w:color w:val="EE0000"/>
                      <w:spacing w:val="-10"/>
                      <w:kern w:val="0"/>
                      <w:sz w:val="18"/>
                      <w:szCs w:val="18"/>
                      <w:u w:val="single"/>
                    </w:rPr>
                    <w:t>)</w:t>
                  </w:r>
                </w:p>
              </w:tc>
              <w:tc>
                <w:tcPr>
                  <w:tcW w:w="533" w:type="pct"/>
                  <w:tcBorders>
                    <w:top w:val="nil"/>
                    <w:left w:val="nil"/>
                    <w:bottom w:val="single" w:color="auto" w:sz="4" w:space="0"/>
                    <w:right w:val="single" w:color="auto" w:sz="4" w:space="0"/>
                  </w:tcBorders>
                  <w:shd w:val="clear" w:color="000000" w:fill="FFFFFF"/>
                  <w:noWrap/>
                  <w:vAlign w:val="center"/>
                </w:tcPr>
                <w:p w14:paraId="05232C49">
                  <w:pPr>
                    <w:widowControl/>
                    <w:jc w:val="center"/>
                    <w:rPr>
                      <w:color w:val="EE0000"/>
                      <w:spacing w:val="-10"/>
                      <w:kern w:val="0"/>
                      <w:sz w:val="18"/>
                      <w:szCs w:val="18"/>
                      <w:u w:val="single"/>
                    </w:rPr>
                  </w:pPr>
                  <w:r>
                    <w:rPr>
                      <w:color w:val="EE0000"/>
                      <w:spacing w:val="-10"/>
                      <w:kern w:val="0"/>
                      <w:sz w:val="18"/>
                      <w:szCs w:val="18"/>
                      <w:u w:val="single"/>
                    </w:rPr>
                    <w:t>折算浓度(mg/m</w:t>
                  </w:r>
                  <w:r>
                    <w:rPr>
                      <w:color w:val="EE0000"/>
                      <w:spacing w:val="-10"/>
                      <w:kern w:val="0"/>
                      <w:sz w:val="18"/>
                      <w:szCs w:val="18"/>
                      <w:u w:val="single"/>
                      <w:vertAlign w:val="superscript"/>
                    </w:rPr>
                    <w:t>3</w:t>
                  </w:r>
                  <w:r>
                    <w:rPr>
                      <w:color w:val="EE0000"/>
                      <w:spacing w:val="-10"/>
                      <w:kern w:val="0"/>
                      <w:sz w:val="18"/>
                      <w:szCs w:val="18"/>
                      <w:u w:val="single"/>
                    </w:rPr>
                    <w:t>)</w:t>
                  </w:r>
                </w:p>
              </w:tc>
              <w:tc>
                <w:tcPr>
                  <w:tcW w:w="416" w:type="pct"/>
                  <w:tcBorders>
                    <w:top w:val="nil"/>
                    <w:left w:val="nil"/>
                    <w:bottom w:val="single" w:color="auto" w:sz="4" w:space="0"/>
                    <w:right w:val="single" w:color="auto" w:sz="4" w:space="0"/>
                  </w:tcBorders>
                  <w:shd w:val="clear" w:color="000000" w:fill="FFFFFF"/>
                  <w:noWrap/>
                  <w:vAlign w:val="center"/>
                </w:tcPr>
                <w:p w14:paraId="31669043">
                  <w:pPr>
                    <w:widowControl/>
                    <w:jc w:val="center"/>
                    <w:rPr>
                      <w:color w:val="EE0000"/>
                      <w:spacing w:val="-10"/>
                      <w:kern w:val="0"/>
                      <w:sz w:val="18"/>
                      <w:szCs w:val="18"/>
                      <w:u w:val="single"/>
                    </w:rPr>
                  </w:pPr>
                  <w:r>
                    <w:rPr>
                      <w:color w:val="EE0000"/>
                      <w:spacing w:val="-10"/>
                      <w:kern w:val="0"/>
                      <w:sz w:val="18"/>
                      <w:szCs w:val="18"/>
                      <w:u w:val="single"/>
                    </w:rPr>
                    <w:t>排放量(kg)</w:t>
                  </w:r>
                </w:p>
              </w:tc>
              <w:tc>
                <w:tcPr>
                  <w:tcW w:w="444" w:type="pct"/>
                  <w:tcBorders>
                    <w:top w:val="nil"/>
                    <w:left w:val="nil"/>
                    <w:bottom w:val="single" w:color="auto" w:sz="4" w:space="0"/>
                    <w:right w:val="single" w:color="auto" w:sz="4" w:space="0"/>
                  </w:tcBorders>
                  <w:shd w:val="clear" w:color="000000" w:fill="FFFFFF"/>
                  <w:noWrap/>
                  <w:vAlign w:val="center"/>
                </w:tcPr>
                <w:p w14:paraId="46B92678">
                  <w:pPr>
                    <w:widowControl/>
                    <w:jc w:val="center"/>
                    <w:rPr>
                      <w:color w:val="EE0000"/>
                      <w:spacing w:val="-10"/>
                      <w:kern w:val="0"/>
                      <w:sz w:val="18"/>
                      <w:szCs w:val="18"/>
                      <w:u w:val="single"/>
                    </w:rPr>
                  </w:pPr>
                  <w:r>
                    <w:rPr>
                      <w:color w:val="EE0000"/>
                      <w:spacing w:val="-10"/>
                      <w:kern w:val="0"/>
                      <w:sz w:val="18"/>
                      <w:szCs w:val="18"/>
                      <w:u w:val="single"/>
                    </w:rPr>
                    <w:t>浓度(mg/m</w:t>
                  </w:r>
                  <w:r>
                    <w:rPr>
                      <w:color w:val="EE0000"/>
                      <w:spacing w:val="-10"/>
                      <w:kern w:val="0"/>
                      <w:sz w:val="18"/>
                      <w:szCs w:val="18"/>
                      <w:u w:val="single"/>
                      <w:vertAlign w:val="superscript"/>
                    </w:rPr>
                    <w:t>3</w:t>
                  </w:r>
                  <w:r>
                    <w:rPr>
                      <w:color w:val="EE0000"/>
                      <w:spacing w:val="-10"/>
                      <w:kern w:val="0"/>
                      <w:sz w:val="18"/>
                      <w:szCs w:val="18"/>
                      <w:u w:val="single"/>
                    </w:rPr>
                    <w:t>)</w:t>
                  </w:r>
                </w:p>
              </w:tc>
              <w:tc>
                <w:tcPr>
                  <w:tcW w:w="555" w:type="pct"/>
                  <w:tcBorders>
                    <w:top w:val="nil"/>
                    <w:left w:val="nil"/>
                    <w:bottom w:val="single" w:color="auto" w:sz="4" w:space="0"/>
                    <w:right w:val="single" w:color="auto" w:sz="4" w:space="0"/>
                  </w:tcBorders>
                  <w:shd w:val="clear" w:color="000000" w:fill="FFFFFF"/>
                  <w:noWrap/>
                  <w:vAlign w:val="center"/>
                </w:tcPr>
                <w:p w14:paraId="4805920D">
                  <w:pPr>
                    <w:widowControl/>
                    <w:jc w:val="center"/>
                    <w:rPr>
                      <w:color w:val="EE0000"/>
                      <w:spacing w:val="-10"/>
                      <w:kern w:val="0"/>
                      <w:sz w:val="18"/>
                      <w:szCs w:val="18"/>
                      <w:u w:val="single"/>
                    </w:rPr>
                  </w:pPr>
                  <w:r>
                    <w:rPr>
                      <w:color w:val="EE0000"/>
                      <w:spacing w:val="-10"/>
                      <w:kern w:val="0"/>
                      <w:sz w:val="18"/>
                      <w:szCs w:val="18"/>
                      <w:u w:val="single"/>
                    </w:rPr>
                    <w:t>折算浓度(mg/m</w:t>
                  </w:r>
                  <w:r>
                    <w:rPr>
                      <w:color w:val="EE0000"/>
                      <w:spacing w:val="-10"/>
                      <w:kern w:val="0"/>
                      <w:sz w:val="18"/>
                      <w:szCs w:val="18"/>
                      <w:u w:val="single"/>
                      <w:vertAlign w:val="superscript"/>
                    </w:rPr>
                    <w:t>3</w:t>
                  </w:r>
                  <w:r>
                    <w:rPr>
                      <w:color w:val="EE0000"/>
                      <w:spacing w:val="-10"/>
                      <w:kern w:val="0"/>
                      <w:sz w:val="18"/>
                      <w:szCs w:val="18"/>
                      <w:u w:val="single"/>
                    </w:rPr>
                    <w:t>)</w:t>
                  </w:r>
                </w:p>
              </w:tc>
              <w:tc>
                <w:tcPr>
                  <w:tcW w:w="399" w:type="pct"/>
                  <w:tcBorders>
                    <w:top w:val="nil"/>
                    <w:left w:val="nil"/>
                    <w:bottom w:val="single" w:color="auto" w:sz="4" w:space="0"/>
                    <w:right w:val="single" w:color="auto" w:sz="4" w:space="0"/>
                  </w:tcBorders>
                  <w:shd w:val="clear" w:color="000000" w:fill="FFFFFF"/>
                  <w:noWrap/>
                  <w:vAlign w:val="center"/>
                </w:tcPr>
                <w:p w14:paraId="18C0C901">
                  <w:pPr>
                    <w:widowControl/>
                    <w:jc w:val="center"/>
                    <w:rPr>
                      <w:color w:val="EE0000"/>
                      <w:spacing w:val="-10"/>
                      <w:kern w:val="0"/>
                      <w:sz w:val="18"/>
                      <w:szCs w:val="18"/>
                      <w:u w:val="single"/>
                    </w:rPr>
                  </w:pPr>
                  <w:r>
                    <w:rPr>
                      <w:color w:val="EE0000"/>
                      <w:spacing w:val="-10"/>
                      <w:kern w:val="0"/>
                      <w:sz w:val="18"/>
                      <w:szCs w:val="18"/>
                      <w:u w:val="single"/>
                    </w:rPr>
                    <w:t>排放量(kg)</w:t>
                  </w:r>
                </w:p>
              </w:tc>
              <w:tc>
                <w:tcPr>
                  <w:tcW w:w="462" w:type="pct"/>
                  <w:vMerge w:val="continue"/>
                  <w:tcBorders>
                    <w:top w:val="single" w:color="auto" w:sz="4" w:space="0"/>
                    <w:left w:val="single" w:color="auto" w:sz="4" w:space="0"/>
                    <w:bottom w:val="single" w:color="auto" w:sz="4" w:space="0"/>
                    <w:right w:val="single" w:color="auto" w:sz="4" w:space="0"/>
                  </w:tcBorders>
                  <w:vAlign w:val="center"/>
                </w:tcPr>
                <w:p w14:paraId="36EBDB65">
                  <w:pPr>
                    <w:widowControl/>
                    <w:jc w:val="left"/>
                    <w:rPr>
                      <w:color w:val="EE0000"/>
                      <w:spacing w:val="-10"/>
                      <w:kern w:val="0"/>
                      <w:sz w:val="18"/>
                      <w:szCs w:val="18"/>
                      <w:u w:val="single"/>
                    </w:rPr>
                  </w:pPr>
                </w:p>
              </w:tc>
            </w:tr>
            <w:tr w14:paraId="16C5FE83">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3D4D37B6">
                  <w:pPr>
                    <w:widowControl/>
                    <w:jc w:val="center"/>
                    <w:rPr>
                      <w:color w:val="EE0000"/>
                      <w:spacing w:val="-10"/>
                      <w:kern w:val="0"/>
                      <w:sz w:val="18"/>
                      <w:szCs w:val="18"/>
                      <w:u w:val="single"/>
                    </w:rPr>
                  </w:pPr>
                  <w:r>
                    <w:rPr>
                      <w:color w:val="EE0000"/>
                      <w:spacing w:val="-10"/>
                      <w:kern w:val="0"/>
                      <w:sz w:val="18"/>
                      <w:szCs w:val="18"/>
                      <w:u w:val="single"/>
                    </w:rPr>
                    <w:t>2021-01</w:t>
                  </w:r>
                </w:p>
              </w:tc>
              <w:tc>
                <w:tcPr>
                  <w:tcW w:w="438" w:type="pct"/>
                  <w:tcBorders>
                    <w:top w:val="nil"/>
                    <w:left w:val="nil"/>
                    <w:bottom w:val="single" w:color="auto" w:sz="4" w:space="0"/>
                    <w:right w:val="single" w:color="auto" w:sz="4" w:space="0"/>
                  </w:tcBorders>
                  <w:shd w:val="clear" w:color="000000" w:fill="FFFFFF"/>
                  <w:noWrap/>
                  <w:vAlign w:val="center"/>
                </w:tcPr>
                <w:p w14:paraId="565F2479">
                  <w:pPr>
                    <w:widowControl/>
                    <w:jc w:val="center"/>
                    <w:rPr>
                      <w:color w:val="EE0000"/>
                      <w:spacing w:val="-10"/>
                      <w:kern w:val="0"/>
                      <w:sz w:val="18"/>
                      <w:szCs w:val="18"/>
                      <w:u w:val="single"/>
                    </w:rPr>
                  </w:pPr>
                  <w:r>
                    <w:rPr>
                      <w:color w:val="EE0000"/>
                      <w:spacing w:val="-10"/>
                      <w:kern w:val="0"/>
                      <w:sz w:val="18"/>
                      <w:szCs w:val="18"/>
                      <w:u w:val="single"/>
                    </w:rPr>
                    <w:t>-</w:t>
                  </w:r>
                </w:p>
              </w:tc>
              <w:tc>
                <w:tcPr>
                  <w:tcW w:w="512" w:type="pct"/>
                  <w:tcBorders>
                    <w:top w:val="nil"/>
                    <w:left w:val="nil"/>
                    <w:bottom w:val="single" w:color="auto" w:sz="4" w:space="0"/>
                    <w:right w:val="single" w:color="auto" w:sz="4" w:space="0"/>
                  </w:tcBorders>
                  <w:shd w:val="clear" w:color="000000" w:fill="FFFFFF"/>
                  <w:noWrap/>
                  <w:vAlign w:val="center"/>
                </w:tcPr>
                <w:p w14:paraId="1B070A41">
                  <w:pPr>
                    <w:widowControl/>
                    <w:jc w:val="center"/>
                    <w:rPr>
                      <w:color w:val="EE0000"/>
                      <w:spacing w:val="-10"/>
                      <w:kern w:val="0"/>
                      <w:sz w:val="18"/>
                      <w:szCs w:val="18"/>
                      <w:u w:val="single"/>
                    </w:rPr>
                  </w:pPr>
                  <w:r>
                    <w:rPr>
                      <w:color w:val="EE0000"/>
                      <w:spacing w:val="-10"/>
                      <w:kern w:val="0"/>
                      <w:sz w:val="18"/>
                      <w:szCs w:val="18"/>
                      <w:u w:val="single"/>
                    </w:rPr>
                    <w:t>-</w:t>
                  </w:r>
                </w:p>
              </w:tc>
              <w:tc>
                <w:tcPr>
                  <w:tcW w:w="415" w:type="pct"/>
                  <w:tcBorders>
                    <w:top w:val="nil"/>
                    <w:left w:val="nil"/>
                    <w:bottom w:val="single" w:color="auto" w:sz="4" w:space="0"/>
                    <w:right w:val="single" w:color="auto" w:sz="4" w:space="0"/>
                  </w:tcBorders>
                  <w:shd w:val="clear" w:color="000000" w:fill="FFFFFF"/>
                  <w:noWrap/>
                  <w:vAlign w:val="center"/>
                </w:tcPr>
                <w:p w14:paraId="78212059">
                  <w:pPr>
                    <w:widowControl/>
                    <w:jc w:val="center"/>
                    <w:rPr>
                      <w:color w:val="EE0000"/>
                      <w:spacing w:val="-10"/>
                      <w:kern w:val="0"/>
                      <w:sz w:val="18"/>
                      <w:szCs w:val="18"/>
                      <w:u w:val="single"/>
                    </w:rPr>
                  </w:pPr>
                  <w:r>
                    <w:rPr>
                      <w:color w:val="EE0000"/>
                      <w:spacing w:val="-10"/>
                      <w:kern w:val="0"/>
                      <w:sz w:val="18"/>
                      <w:szCs w:val="18"/>
                      <w:u w:val="single"/>
                    </w:rPr>
                    <w:t>-</w:t>
                  </w:r>
                </w:p>
              </w:tc>
              <w:tc>
                <w:tcPr>
                  <w:tcW w:w="465" w:type="pct"/>
                  <w:tcBorders>
                    <w:top w:val="nil"/>
                    <w:left w:val="nil"/>
                    <w:bottom w:val="single" w:color="auto" w:sz="4" w:space="0"/>
                    <w:right w:val="single" w:color="auto" w:sz="4" w:space="0"/>
                  </w:tcBorders>
                  <w:shd w:val="clear" w:color="000000" w:fill="FFFFFF"/>
                  <w:noWrap/>
                  <w:vAlign w:val="center"/>
                </w:tcPr>
                <w:p w14:paraId="29E2F423">
                  <w:pPr>
                    <w:widowControl/>
                    <w:jc w:val="center"/>
                    <w:rPr>
                      <w:color w:val="EE0000"/>
                      <w:spacing w:val="-10"/>
                      <w:kern w:val="0"/>
                      <w:sz w:val="18"/>
                      <w:szCs w:val="18"/>
                      <w:u w:val="single"/>
                    </w:rPr>
                  </w:pPr>
                  <w:r>
                    <w:rPr>
                      <w:color w:val="EE0000"/>
                      <w:spacing w:val="-10"/>
                      <w:kern w:val="0"/>
                      <w:sz w:val="18"/>
                      <w:szCs w:val="18"/>
                      <w:u w:val="single"/>
                    </w:rPr>
                    <w:t>-</w:t>
                  </w:r>
                </w:p>
              </w:tc>
              <w:tc>
                <w:tcPr>
                  <w:tcW w:w="533" w:type="pct"/>
                  <w:tcBorders>
                    <w:top w:val="nil"/>
                    <w:left w:val="nil"/>
                    <w:bottom w:val="single" w:color="auto" w:sz="4" w:space="0"/>
                    <w:right w:val="single" w:color="auto" w:sz="4" w:space="0"/>
                  </w:tcBorders>
                  <w:shd w:val="clear" w:color="000000" w:fill="FFFFFF"/>
                  <w:noWrap/>
                  <w:vAlign w:val="center"/>
                </w:tcPr>
                <w:p w14:paraId="02BCBBA9">
                  <w:pPr>
                    <w:widowControl/>
                    <w:jc w:val="center"/>
                    <w:rPr>
                      <w:color w:val="EE0000"/>
                      <w:spacing w:val="-10"/>
                      <w:kern w:val="0"/>
                      <w:sz w:val="18"/>
                      <w:szCs w:val="18"/>
                      <w:u w:val="single"/>
                    </w:rPr>
                  </w:pPr>
                  <w:r>
                    <w:rPr>
                      <w:color w:val="EE0000"/>
                      <w:spacing w:val="-10"/>
                      <w:kern w:val="0"/>
                      <w:sz w:val="18"/>
                      <w:szCs w:val="18"/>
                      <w:u w:val="single"/>
                    </w:rPr>
                    <w:t>-</w:t>
                  </w:r>
                </w:p>
              </w:tc>
              <w:tc>
                <w:tcPr>
                  <w:tcW w:w="416" w:type="pct"/>
                  <w:tcBorders>
                    <w:top w:val="nil"/>
                    <w:left w:val="nil"/>
                    <w:bottom w:val="single" w:color="auto" w:sz="4" w:space="0"/>
                    <w:right w:val="single" w:color="auto" w:sz="4" w:space="0"/>
                  </w:tcBorders>
                  <w:shd w:val="clear" w:color="000000" w:fill="FFFFFF"/>
                  <w:noWrap/>
                  <w:vAlign w:val="center"/>
                </w:tcPr>
                <w:p w14:paraId="1D77E6D0">
                  <w:pPr>
                    <w:widowControl/>
                    <w:jc w:val="center"/>
                    <w:rPr>
                      <w:color w:val="EE0000"/>
                      <w:spacing w:val="-10"/>
                      <w:kern w:val="0"/>
                      <w:sz w:val="18"/>
                      <w:szCs w:val="18"/>
                      <w:u w:val="single"/>
                    </w:rPr>
                  </w:pPr>
                  <w:r>
                    <w:rPr>
                      <w:color w:val="EE0000"/>
                      <w:spacing w:val="-10"/>
                      <w:kern w:val="0"/>
                      <w:sz w:val="18"/>
                      <w:szCs w:val="18"/>
                      <w:u w:val="single"/>
                    </w:rPr>
                    <w:t>-</w:t>
                  </w:r>
                </w:p>
              </w:tc>
              <w:tc>
                <w:tcPr>
                  <w:tcW w:w="444" w:type="pct"/>
                  <w:tcBorders>
                    <w:top w:val="nil"/>
                    <w:left w:val="nil"/>
                    <w:bottom w:val="single" w:color="auto" w:sz="4" w:space="0"/>
                    <w:right w:val="single" w:color="auto" w:sz="4" w:space="0"/>
                  </w:tcBorders>
                  <w:shd w:val="clear" w:color="000000" w:fill="FFFFFF"/>
                  <w:noWrap/>
                  <w:vAlign w:val="center"/>
                </w:tcPr>
                <w:p w14:paraId="1BDE77AF">
                  <w:pPr>
                    <w:widowControl/>
                    <w:jc w:val="center"/>
                    <w:rPr>
                      <w:color w:val="EE0000"/>
                      <w:spacing w:val="-10"/>
                      <w:kern w:val="0"/>
                      <w:sz w:val="18"/>
                      <w:szCs w:val="18"/>
                      <w:u w:val="single"/>
                    </w:rPr>
                  </w:pPr>
                  <w:r>
                    <w:rPr>
                      <w:color w:val="EE0000"/>
                      <w:spacing w:val="-10"/>
                      <w:kern w:val="0"/>
                      <w:sz w:val="18"/>
                      <w:szCs w:val="18"/>
                      <w:u w:val="single"/>
                    </w:rPr>
                    <w:t>-</w:t>
                  </w:r>
                </w:p>
              </w:tc>
              <w:tc>
                <w:tcPr>
                  <w:tcW w:w="555" w:type="pct"/>
                  <w:tcBorders>
                    <w:top w:val="nil"/>
                    <w:left w:val="nil"/>
                    <w:bottom w:val="single" w:color="auto" w:sz="4" w:space="0"/>
                    <w:right w:val="single" w:color="auto" w:sz="4" w:space="0"/>
                  </w:tcBorders>
                  <w:shd w:val="clear" w:color="000000" w:fill="FFFFFF"/>
                  <w:noWrap/>
                  <w:vAlign w:val="center"/>
                </w:tcPr>
                <w:p w14:paraId="40A22EF2">
                  <w:pPr>
                    <w:widowControl/>
                    <w:jc w:val="center"/>
                    <w:rPr>
                      <w:color w:val="EE0000"/>
                      <w:spacing w:val="-10"/>
                      <w:kern w:val="0"/>
                      <w:sz w:val="18"/>
                      <w:szCs w:val="18"/>
                      <w:u w:val="single"/>
                    </w:rPr>
                  </w:pPr>
                  <w:r>
                    <w:rPr>
                      <w:color w:val="EE0000"/>
                      <w:spacing w:val="-10"/>
                      <w:kern w:val="0"/>
                      <w:sz w:val="18"/>
                      <w:szCs w:val="18"/>
                      <w:u w:val="single"/>
                    </w:rPr>
                    <w:t>-</w:t>
                  </w:r>
                </w:p>
              </w:tc>
              <w:tc>
                <w:tcPr>
                  <w:tcW w:w="399" w:type="pct"/>
                  <w:tcBorders>
                    <w:top w:val="nil"/>
                    <w:left w:val="nil"/>
                    <w:bottom w:val="single" w:color="auto" w:sz="4" w:space="0"/>
                    <w:right w:val="single" w:color="auto" w:sz="4" w:space="0"/>
                  </w:tcBorders>
                  <w:shd w:val="clear" w:color="000000" w:fill="FFFFFF"/>
                  <w:noWrap/>
                  <w:vAlign w:val="center"/>
                </w:tcPr>
                <w:p w14:paraId="28EFC080">
                  <w:pPr>
                    <w:widowControl/>
                    <w:jc w:val="center"/>
                    <w:rPr>
                      <w:color w:val="EE0000"/>
                      <w:spacing w:val="-10"/>
                      <w:kern w:val="0"/>
                      <w:sz w:val="18"/>
                      <w:szCs w:val="18"/>
                      <w:u w:val="single"/>
                    </w:rPr>
                  </w:pPr>
                  <w:r>
                    <w:rPr>
                      <w:color w:val="EE0000"/>
                      <w:spacing w:val="-10"/>
                      <w:kern w:val="0"/>
                      <w:sz w:val="18"/>
                      <w:szCs w:val="18"/>
                      <w:u w:val="single"/>
                    </w:rPr>
                    <w:t>-</w:t>
                  </w:r>
                </w:p>
              </w:tc>
              <w:tc>
                <w:tcPr>
                  <w:tcW w:w="462" w:type="pct"/>
                  <w:tcBorders>
                    <w:top w:val="nil"/>
                    <w:left w:val="nil"/>
                    <w:bottom w:val="single" w:color="auto" w:sz="4" w:space="0"/>
                    <w:right w:val="single" w:color="auto" w:sz="4" w:space="0"/>
                  </w:tcBorders>
                  <w:shd w:val="clear" w:color="000000" w:fill="FFFFFF"/>
                  <w:noWrap/>
                  <w:vAlign w:val="center"/>
                </w:tcPr>
                <w:p w14:paraId="10B8A606">
                  <w:pPr>
                    <w:widowControl/>
                    <w:jc w:val="center"/>
                    <w:rPr>
                      <w:color w:val="EE0000"/>
                      <w:spacing w:val="-10"/>
                      <w:kern w:val="0"/>
                      <w:sz w:val="18"/>
                      <w:szCs w:val="18"/>
                      <w:u w:val="single"/>
                    </w:rPr>
                  </w:pPr>
                  <w:r>
                    <w:rPr>
                      <w:color w:val="EE0000"/>
                      <w:spacing w:val="-10"/>
                      <w:kern w:val="0"/>
                      <w:sz w:val="18"/>
                      <w:szCs w:val="18"/>
                      <w:u w:val="single"/>
                    </w:rPr>
                    <w:t>-</w:t>
                  </w:r>
                </w:p>
              </w:tc>
            </w:tr>
            <w:tr w14:paraId="1F2FEE45">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44C1A242">
                  <w:pPr>
                    <w:widowControl/>
                    <w:jc w:val="center"/>
                    <w:rPr>
                      <w:color w:val="EE0000"/>
                      <w:spacing w:val="-10"/>
                      <w:kern w:val="0"/>
                      <w:sz w:val="18"/>
                      <w:szCs w:val="18"/>
                      <w:u w:val="single"/>
                    </w:rPr>
                  </w:pPr>
                  <w:r>
                    <w:rPr>
                      <w:color w:val="EE0000"/>
                      <w:spacing w:val="-10"/>
                      <w:kern w:val="0"/>
                      <w:sz w:val="18"/>
                      <w:szCs w:val="18"/>
                      <w:u w:val="single"/>
                    </w:rPr>
                    <w:t>2021-02</w:t>
                  </w:r>
                </w:p>
              </w:tc>
              <w:tc>
                <w:tcPr>
                  <w:tcW w:w="438" w:type="pct"/>
                  <w:tcBorders>
                    <w:top w:val="nil"/>
                    <w:left w:val="nil"/>
                    <w:bottom w:val="single" w:color="auto" w:sz="4" w:space="0"/>
                    <w:right w:val="single" w:color="auto" w:sz="4" w:space="0"/>
                  </w:tcBorders>
                  <w:shd w:val="clear" w:color="000000" w:fill="FFFFFF"/>
                  <w:noWrap/>
                  <w:vAlign w:val="center"/>
                </w:tcPr>
                <w:p w14:paraId="537AA06E">
                  <w:pPr>
                    <w:widowControl/>
                    <w:jc w:val="center"/>
                    <w:rPr>
                      <w:color w:val="EE0000"/>
                      <w:spacing w:val="-10"/>
                      <w:kern w:val="0"/>
                      <w:sz w:val="18"/>
                      <w:szCs w:val="18"/>
                      <w:u w:val="single"/>
                    </w:rPr>
                  </w:pPr>
                  <w:r>
                    <w:rPr>
                      <w:color w:val="EE0000"/>
                      <w:spacing w:val="-10"/>
                      <w:kern w:val="0"/>
                      <w:sz w:val="18"/>
                      <w:szCs w:val="18"/>
                      <w:u w:val="single"/>
                    </w:rPr>
                    <w:t>-</w:t>
                  </w:r>
                </w:p>
              </w:tc>
              <w:tc>
                <w:tcPr>
                  <w:tcW w:w="512" w:type="pct"/>
                  <w:tcBorders>
                    <w:top w:val="nil"/>
                    <w:left w:val="nil"/>
                    <w:bottom w:val="single" w:color="auto" w:sz="4" w:space="0"/>
                    <w:right w:val="single" w:color="auto" w:sz="4" w:space="0"/>
                  </w:tcBorders>
                  <w:shd w:val="clear" w:color="000000" w:fill="FFFFFF"/>
                  <w:noWrap/>
                  <w:vAlign w:val="center"/>
                </w:tcPr>
                <w:p w14:paraId="22698FBA">
                  <w:pPr>
                    <w:widowControl/>
                    <w:jc w:val="center"/>
                    <w:rPr>
                      <w:color w:val="EE0000"/>
                      <w:spacing w:val="-10"/>
                      <w:kern w:val="0"/>
                      <w:sz w:val="18"/>
                      <w:szCs w:val="18"/>
                      <w:u w:val="single"/>
                    </w:rPr>
                  </w:pPr>
                  <w:r>
                    <w:rPr>
                      <w:color w:val="EE0000"/>
                      <w:spacing w:val="-10"/>
                      <w:kern w:val="0"/>
                      <w:sz w:val="18"/>
                      <w:szCs w:val="18"/>
                      <w:u w:val="single"/>
                    </w:rPr>
                    <w:t>-</w:t>
                  </w:r>
                </w:p>
              </w:tc>
              <w:tc>
                <w:tcPr>
                  <w:tcW w:w="415" w:type="pct"/>
                  <w:tcBorders>
                    <w:top w:val="nil"/>
                    <w:left w:val="nil"/>
                    <w:bottom w:val="single" w:color="auto" w:sz="4" w:space="0"/>
                    <w:right w:val="single" w:color="auto" w:sz="4" w:space="0"/>
                  </w:tcBorders>
                  <w:shd w:val="clear" w:color="000000" w:fill="FFFFFF"/>
                  <w:noWrap/>
                  <w:vAlign w:val="center"/>
                </w:tcPr>
                <w:p w14:paraId="46BB9E66">
                  <w:pPr>
                    <w:widowControl/>
                    <w:jc w:val="center"/>
                    <w:rPr>
                      <w:color w:val="EE0000"/>
                      <w:spacing w:val="-10"/>
                      <w:kern w:val="0"/>
                      <w:sz w:val="18"/>
                      <w:szCs w:val="18"/>
                      <w:u w:val="single"/>
                    </w:rPr>
                  </w:pPr>
                  <w:r>
                    <w:rPr>
                      <w:color w:val="EE0000"/>
                      <w:spacing w:val="-10"/>
                      <w:kern w:val="0"/>
                      <w:sz w:val="18"/>
                      <w:szCs w:val="18"/>
                      <w:u w:val="single"/>
                    </w:rPr>
                    <w:t>-</w:t>
                  </w:r>
                </w:p>
              </w:tc>
              <w:tc>
                <w:tcPr>
                  <w:tcW w:w="465" w:type="pct"/>
                  <w:tcBorders>
                    <w:top w:val="nil"/>
                    <w:left w:val="nil"/>
                    <w:bottom w:val="single" w:color="auto" w:sz="4" w:space="0"/>
                    <w:right w:val="single" w:color="auto" w:sz="4" w:space="0"/>
                  </w:tcBorders>
                  <w:shd w:val="clear" w:color="000000" w:fill="FFFFFF"/>
                  <w:noWrap/>
                  <w:vAlign w:val="center"/>
                </w:tcPr>
                <w:p w14:paraId="26B88201">
                  <w:pPr>
                    <w:widowControl/>
                    <w:jc w:val="center"/>
                    <w:rPr>
                      <w:color w:val="EE0000"/>
                      <w:spacing w:val="-10"/>
                      <w:kern w:val="0"/>
                      <w:sz w:val="18"/>
                      <w:szCs w:val="18"/>
                      <w:u w:val="single"/>
                    </w:rPr>
                  </w:pPr>
                  <w:r>
                    <w:rPr>
                      <w:color w:val="EE0000"/>
                      <w:spacing w:val="-10"/>
                      <w:kern w:val="0"/>
                      <w:sz w:val="18"/>
                      <w:szCs w:val="18"/>
                      <w:u w:val="single"/>
                    </w:rPr>
                    <w:t>-</w:t>
                  </w:r>
                </w:p>
              </w:tc>
              <w:tc>
                <w:tcPr>
                  <w:tcW w:w="533" w:type="pct"/>
                  <w:tcBorders>
                    <w:top w:val="nil"/>
                    <w:left w:val="nil"/>
                    <w:bottom w:val="single" w:color="auto" w:sz="4" w:space="0"/>
                    <w:right w:val="single" w:color="auto" w:sz="4" w:space="0"/>
                  </w:tcBorders>
                  <w:shd w:val="clear" w:color="000000" w:fill="FFFFFF"/>
                  <w:noWrap/>
                  <w:vAlign w:val="center"/>
                </w:tcPr>
                <w:p w14:paraId="0F6016C4">
                  <w:pPr>
                    <w:widowControl/>
                    <w:jc w:val="center"/>
                    <w:rPr>
                      <w:color w:val="EE0000"/>
                      <w:spacing w:val="-10"/>
                      <w:kern w:val="0"/>
                      <w:sz w:val="18"/>
                      <w:szCs w:val="18"/>
                      <w:u w:val="single"/>
                    </w:rPr>
                  </w:pPr>
                  <w:r>
                    <w:rPr>
                      <w:color w:val="EE0000"/>
                      <w:spacing w:val="-10"/>
                      <w:kern w:val="0"/>
                      <w:sz w:val="18"/>
                      <w:szCs w:val="18"/>
                      <w:u w:val="single"/>
                    </w:rPr>
                    <w:t>-</w:t>
                  </w:r>
                </w:p>
              </w:tc>
              <w:tc>
                <w:tcPr>
                  <w:tcW w:w="416" w:type="pct"/>
                  <w:tcBorders>
                    <w:top w:val="nil"/>
                    <w:left w:val="nil"/>
                    <w:bottom w:val="single" w:color="auto" w:sz="4" w:space="0"/>
                    <w:right w:val="single" w:color="auto" w:sz="4" w:space="0"/>
                  </w:tcBorders>
                  <w:shd w:val="clear" w:color="000000" w:fill="FFFFFF"/>
                  <w:noWrap/>
                  <w:vAlign w:val="center"/>
                </w:tcPr>
                <w:p w14:paraId="74560BBB">
                  <w:pPr>
                    <w:widowControl/>
                    <w:jc w:val="center"/>
                    <w:rPr>
                      <w:color w:val="EE0000"/>
                      <w:spacing w:val="-10"/>
                      <w:kern w:val="0"/>
                      <w:sz w:val="18"/>
                      <w:szCs w:val="18"/>
                      <w:u w:val="single"/>
                    </w:rPr>
                  </w:pPr>
                  <w:r>
                    <w:rPr>
                      <w:color w:val="EE0000"/>
                      <w:spacing w:val="-10"/>
                      <w:kern w:val="0"/>
                      <w:sz w:val="18"/>
                      <w:szCs w:val="18"/>
                      <w:u w:val="single"/>
                    </w:rPr>
                    <w:t>-</w:t>
                  </w:r>
                </w:p>
              </w:tc>
              <w:tc>
                <w:tcPr>
                  <w:tcW w:w="444" w:type="pct"/>
                  <w:tcBorders>
                    <w:top w:val="nil"/>
                    <w:left w:val="nil"/>
                    <w:bottom w:val="single" w:color="auto" w:sz="4" w:space="0"/>
                    <w:right w:val="single" w:color="auto" w:sz="4" w:space="0"/>
                  </w:tcBorders>
                  <w:shd w:val="clear" w:color="000000" w:fill="FFFFFF"/>
                  <w:noWrap/>
                  <w:vAlign w:val="center"/>
                </w:tcPr>
                <w:p w14:paraId="240CFD6C">
                  <w:pPr>
                    <w:widowControl/>
                    <w:jc w:val="center"/>
                    <w:rPr>
                      <w:color w:val="EE0000"/>
                      <w:spacing w:val="-10"/>
                      <w:kern w:val="0"/>
                      <w:sz w:val="18"/>
                      <w:szCs w:val="18"/>
                      <w:u w:val="single"/>
                    </w:rPr>
                  </w:pPr>
                  <w:r>
                    <w:rPr>
                      <w:color w:val="EE0000"/>
                      <w:spacing w:val="-10"/>
                      <w:kern w:val="0"/>
                      <w:sz w:val="18"/>
                      <w:szCs w:val="18"/>
                      <w:u w:val="single"/>
                    </w:rPr>
                    <w:t>-</w:t>
                  </w:r>
                </w:p>
              </w:tc>
              <w:tc>
                <w:tcPr>
                  <w:tcW w:w="555" w:type="pct"/>
                  <w:tcBorders>
                    <w:top w:val="nil"/>
                    <w:left w:val="nil"/>
                    <w:bottom w:val="single" w:color="auto" w:sz="4" w:space="0"/>
                    <w:right w:val="single" w:color="auto" w:sz="4" w:space="0"/>
                  </w:tcBorders>
                  <w:shd w:val="clear" w:color="000000" w:fill="FFFFFF"/>
                  <w:noWrap/>
                  <w:vAlign w:val="center"/>
                </w:tcPr>
                <w:p w14:paraId="2162CEB6">
                  <w:pPr>
                    <w:widowControl/>
                    <w:jc w:val="center"/>
                    <w:rPr>
                      <w:color w:val="EE0000"/>
                      <w:spacing w:val="-10"/>
                      <w:kern w:val="0"/>
                      <w:sz w:val="18"/>
                      <w:szCs w:val="18"/>
                      <w:u w:val="single"/>
                    </w:rPr>
                  </w:pPr>
                  <w:r>
                    <w:rPr>
                      <w:color w:val="EE0000"/>
                      <w:spacing w:val="-10"/>
                      <w:kern w:val="0"/>
                      <w:sz w:val="18"/>
                      <w:szCs w:val="18"/>
                      <w:u w:val="single"/>
                    </w:rPr>
                    <w:t>-</w:t>
                  </w:r>
                </w:p>
              </w:tc>
              <w:tc>
                <w:tcPr>
                  <w:tcW w:w="399" w:type="pct"/>
                  <w:tcBorders>
                    <w:top w:val="nil"/>
                    <w:left w:val="nil"/>
                    <w:bottom w:val="single" w:color="auto" w:sz="4" w:space="0"/>
                    <w:right w:val="single" w:color="auto" w:sz="4" w:space="0"/>
                  </w:tcBorders>
                  <w:shd w:val="clear" w:color="000000" w:fill="FFFFFF"/>
                  <w:noWrap/>
                  <w:vAlign w:val="center"/>
                </w:tcPr>
                <w:p w14:paraId="66A0D19D">
                  <w:pPr>
                    <w:widowControl/>
                    <w:jc w:val="center"/>
                    <w:rPr>
                      <w:color w:val="EE0000"/>
                      <w:spacing w:val="-10"/>
                      <w:kern w:val="0"/>
                      <w:sz w:val="18"/>
                      <w:szCs w:val="18"/>
                      <w:u w:val="single"/>
                    </w:rPr>
                  </w:pPr>
                  <w:r>
                    <w:rPr>
                      <w:color w:val="EE0000"/>
                      <w:spacing w:val="-10"/>
                      <w:kern w:val="0"/>
                      <w:sz w:val="18"/>
                      <w:szCs w:val="18"/>
                      <w:u w:val="single"/>
                    </w:rPr>
                    <w:t>-</w:t>
                  </w:r>
                </w:p>
              </w:tc>
              <w:tc>
                <w:tcPr>
                  <w:tcW w:w="462" w:type="pct"/>
                  <w:tcBorders>
                    <w:top w:val="nil"/>
                    <w:left w:val="nil"/>
                    <w:bottom w:val="single" w:color="auto" w:sz="4" w:space="0"/>
                    <w:right w:val="single" w:color="auto" w:sz="4" w:space="0"/>
                  </w:tcBorders>
                  <w:shd w:val="clear" w:color="000000" w:fill="FFFFFF"/>
                  <w:noWrap/>
                  <w:vAlign w:val="center"/>
                </w:tcPr>
                <w:p w14:paraId="42966866">
                  <w:pPr>
                    <w:widowControl/>
                    <w:jc w:val="center"/>
                    <w:rPr>
                      <w:color w:val="EE0000"/>
                      <w:spacing w:val="-10"/>
                      <w:kern w:val="0"/>
                      <w:sz w:val="18"/>
                      <w:szCs w:val="18"/>
                      <w:u w:val="single"/>
                    </w:rPr>
                  </w:pPr>
                  <w:r>
                    <w:rPr>
                      <w:color w:val="EE0000"/>
                      <w:spacing w:val="-10"/>
                      <w:kern w:val="0"/>
                      <w:sz w:val="18"/>
                      <w:szCs w:val="18"/>
                      <w:u w:val="single"/>
                    </w:rPr>
                    <w:t>-</w:t>
                  </w:r>
                </w:p>
              </w:tc>
            </w:tr>
            <w:tr w14:paraId="69D633E8">
              <w:tblPrEx>
                <w:tblCellMar>
                  <w:top w:w="0" w:type="dxa"/>
                  <w:left w:w="108" w:type="dxa"/>
                  <w:bottom w:w="0" w:type="dxa"/>
                  <w:right w:w="108" w:type="dxa"/>
                </w:tblCellMar>
              </w:tblPrEx>
              <w:trPr>
                <w:trHeight w:val="563"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0CD47F0C">
                  <w:pPr>
                    <w:widowControl/>
                    <w:jc w:val="center"/>
                    <w:rPr>
                      <w:color w:val="EE0000"/>
                      <w:spacing w:val="-10"/>
                      <w:kern w:val="0"/>
                      <w:sz w:val="18"/>
                      <w:szCs w:val="18"/>
                      <w:u w:val="single"/>
                    </w:rPr>
                  </w:pPr>
                  <w:r>
                    <w:rPr>
                      <w:color w:val="EE0000"/>
                      <w:spacing w:val="-10"/>
                      <w:kern w:val="0"/>
                      <w:sz w:val="18"/>
                      <w:szCs w:val="18"/>
                      <w:u w:val="single"/>
                    </w:rPr>
                    <w:t>2021-03</w:t>
                  </w:r>
                </w:p>
              </w:tc>
              <w:tc>
                <w:tcPr>
                  <w:tcW w:w="438" w:type="pct"/>
                  <w:tcBorders>
                    <w:top w:val="nil"/>
                    <w:left w:val="nil"/>
                    <w:bottom w:val="single" w:color="auto" w:sz="4" w:space="0"/>
                    <w:right w:val="single" w:color="auto" w:sz="4" w:space="0"/>
                  </w:tcBorders>
                  <w:shd w:val="clear" w:color="000000" w:fill="FFFFFF"/>
                  <w:noWrap/>
                  <w:vAlign w:val="center"/>
                </w:tcPr>
                <w:p w14:paraId="4F1AA8C1">
                  <w:pPr>
                    <w:widowControl/>
                    <w:jc w:val="center"/>
                    <w:rPr>
                      <w:color w:val="EE0000"/>
                      <w:spacing w:val="-10"/>
                      <w:kern w:val="0"/>
                      <w:sz w:val="18"/>
                      <w:szCs w:val="18"/>
                      <w:u w:val="single"/>
                    </w:rPr>
                  </w:pPr>
                  <w:r>
                    <w:rPr>
                      <w:color w:val="EE0000"/>
                      <w:spacing w:val="-10"/>
                      <w:kern w:val="0"/>
                      <w:sz w:val="18"/>
                      <w:szCs w:val="18"/>
                      <w:u w:val="single"/>
                    </w:rPr>
                    <w:t>-</w:t>
                  </w:r>
                </w:p>
              </w:tc>
              <w:tc>
                <w:tcPr>
                  <w:tcW w:w="512" w:type="pct"/>
                  <w:tcBorders>
                    <w:top w:val="nil"/>
                    <w:left w:val="nil"/>
                    <w:bottom w:val="single" w:color="auto" w:sz="4" w:space="0"/>
                    <w:right w:val="single" w:color="auto" w:sz="4" w:space="0"/>
                  </w:tcBorders>
                  <w:shd w:val="clear" w:color="000000" w:fill="FFFFFF"/>
                  <w:noWrap/>
                  <w:vAlign w:val="center"/>
                </w:tcPr>
                <w:p w14:paraId="4CC8D332">
                  <w:pPr>
                    <w:widowControl/>
                    <w:jc w:val="center"/>
                    <w:rPr>
                      <w:color w:val="EE0000"/>
                      <w:spacing w:val="-10"/>
                      <w:kern w:val="0"/>
                      <w:sz w:val="18"/>
                      <w:szCs w:val="18"/>
                      <w:u w:val="single"/>
                    </w:rPr>
                  </w:pPr>
                  <w:r>
                    <w:rPr>
                      <w:color w:val="EE0000"/>
                      <w:spacing w:val="-10"/>
                      <w:kern w:val="0"/>
                      <w:sz w:val="18"/>
                      <w:szCs w:val="18"/>
                      <w:u w:val="single"/>
                    </w:rPr>
                    <w:t>-</w:t>
                  </w:r>
                </w:p>
              </w:tc>
              <w:tc>
                <w:tcPr>
                  <w:tcW w:w="415" w:type="pct"/>
                  <w:tcBorders>
                    <w:top w:val="nil"/>
                    <w:left w:val="nil"/>
                    <w:bottom w:val="single" w:color="auto" w:sz="4" w:space="0"/>
                    <w:right w:val="single" w:color="auto" w:sz="4" w:space="0"/>
                  </w:tcBorders>
                  <w:shd w:val="clear" w:color="000000" w:fill="FFFFFF"/>
                  <w:noWrap/>
                  <w:vAlign w:val="center"/>
                </w:tcPr>
                <w:p w14:paraId="4F5B1242">
                  <w:pPr>
                    <w:widowControl/>
                    <w:jc w:val="center"/>
                    <w:rPr>
                      <w:color w:val="EE0000"/>
                      <w:spacing w:val="-10"/>
                      <w:kern w:val="0"/>
                      <w:sz w:val="18"/>
                      <w:szCs w:val="18"/>
                      <w:u w:val="single"/>
                    </w:rPr>
                  </w:pPr>
                  <w:r>
                    <w:rPr>
                      <w:color w:val="EE0000"/>
                      <w:spacing w:val="-10"/>
                      <w:kern w:val="0"/>
                      <w:sz w:val="18"/>
                      <w:szCs w:val="18"/>
                      <w:u w:val="single"/>
                    </w:rPr>
                    <w:t>-</w:t>
                  </w:r>
                </w:p>
              </w:tc>
              <w:tc>
                <w:tcPr>
                  <w:tcW w:w="465" w:type="pct"/>
                  <w:tcBorders>
                    <w:top w:val="nil"/>
                    <w:left w:val="nil"/>
                    <w:bottom w:val="single" w:color="auto" w:sz="4" w:space="0"/>
                    <w:right w:val="single" w:color="auto" w:sz="4" w:space="0"/>
                  </w:tcBorders>
                  <w:shd w:val="clear" w:color="000000" w:fill="FFFFFF"/>
                  <w:noWrap/>
                  <w:vAlign w:val="center"/>
                </w:tcPr>
                <w:p w14:paraId="73D859CC">
                  <w:pPr>
                    <w:widowControl/>
                    <w:jc w:val="center"/>
                    <w:rPr>
                      <w:color w:val="EE0000"/>
                      <w:spacing w:val="-10"/>
                      <w:kern w:val="0"/>
                      <w:sz w:val="18"/>
                      <w:szCs w:val="18"/>
                      <w:u w:val="single"/>
                    </w:rPr>
                  </w:pPr>
                  <w:r>
                    <w:rPr>
                      <w:color w:val="EE0000"/>
                      <w:spacing w:val="-10"/>
                      <w:kern w:val="0"/>
                      <w:sz w:val="18"/>
                      <w:szCs w:val="18"/>
                      <w:u w:val="single"/>
                    </w:rPr>
                    <w:t>-</w:t>
                  </w:r>
                </w:p>
              </w:tc>
              <w:tc>
                <w:tcPr>
                  <w:tcW w:w="533" w:type="pct"/>
                  <w:tcBorders>
                    <w:top w:val="nil"/>
                    <w:left w:val="nil"/>
                    <w:bottom w:val="single" w:color="auto" w:sz="4" w:space="0"/>
                    <w:right w:val="single" w:color="auto" w:sz="4" w:space="0"/>
                  </w:tcBorders>
                  <w:shd w:val="clear" w:color="000000" w:fill="FFFFFF"/>
                  <w:noWrap/>
                  <w:vAlign w:val="center"/>
                </w:tcPr>
                <w:p w14:paraId="4DF9CF8F">
                  <w:pPr>
                    <w:widowControl/>
                    <w:jc w:val="center"/>
                    <w:rPr>
                      <w:color w:val="EE0000"/>
                      <w:spacing w:val="-10"/>
                      <w:kern w:val="0"/>
                      <w:sz w:val="18"/>
                      <w:szCs w:val="18"/>
                      <w:u w:val="single"/>
                    </w:rPr>
                  </w:pPr>
                  <w:r>
                    <w:rPr>
                      <w:color w:val="EE0000"/>
                      <w:spacing w:val="-10"/>
                      <w:kern w:val="0"/>
                      <w:sz w:val="18"/>
                      <w:szCs w:val="18"/>
                      <w:u w:val="single"/>
                    </w:rPr>
                    <w:t>-</w:t>
                  </w:r>
                </w:p>
              </w:tc>
              <w:tc>
                <w:tcPr>
                  <w:tcW w:w="416" w:type="pct"/>
                  <w:tcBorders>
                    <w:top w:val="nil"/>
                    <w:left w:val="nil"/>
                    <w:bottom w:val="single" w:color="auto" w:sz="4" w:space="0"/>
                    <w:right w:val="single" w:color="auto" w:sz="4" w:space="0"/>
                  </w:tcBorders>
                  <w:shd w:val="clear" w:color="000000" w:fill="FFFFFF"/>
                  <w:noWrap/>
                  <w:vAlign w:val="center"/>
                </w:tcPr>
                <w:p w14:paraId="039C82E2">
                  <w:pPr>
                    <w:widowControl/>
                    <w:jc w:val="center"/>
                    <w:rPr>
                      <w:color w:val="EE0000"/>
                      <w:spacing w:val="-10"/>
                      <w:kern w:val="0"/>
                      <w:sz w:val="18"/>
                      <w:szCs w:val="18"/>
                      <w:u w:val="single"/>
                    </w:rPr>
                  </w:pPr>
                  <w:r>
                    <w:rPr>
                      <w:color w:val="EE0000"/>
                      <w:spacing w:val="-10"/>
                      <w:kern w:val="0"/>
                      <w:sz w:val="18"/>
                      <w:szCs w:val="18"/>
                      <w:u w:val="single"/>
                    </w:rPr>
                    <w:t>-</w:t>
                  </w:r>
                </w:p>
              </w:tc>
              <w:tc>
                <w:tcPr>
                  <w:tcW w:w="444" w:type="pct"/>
                  <w:tcBorders>
                    <w:top w:val="nil"/>
                    <w:left w:val="nil"/>
                    <w:bottom w:val="single" w:color="auto" w:sz="4" w:space="0"/>
                    <w:right w:val="single" w:color="auto" w:sz="4" w:space="0"/>
                  </w:tcBorders>
                  <w:shd w:val="clear" w:color="000000" w:fill="FFFFFF"/>
                  <w:noWrap/>
                  <w:vAlign w:val="center"/>
                </w:tcPr>
                <w:p w14:paraId="2655DB17">
                  <w:pPr>
                    <w:widowControl/>
                    <w:jc w:val="center"/>
                    <w:rPr>
                      <w:color w:val="EE0000"/>
                      <w:spacing w:val="-10"/>
                      <w:kern w:val="0"/>
                      <w:sz w:val="18"/>
                      <w:szCs w:val="18"/>
                      <w:u w:val="single"/>
                    </w:rPr>
                  </w:pPr>
                  <w:r>
                    <w:rPr>
                      <w:color w:val="EE0000"/>
                      <w:spacing w:val="-10"/>
                      <w:kern w:val="0"/>
                      <w:sz w:val="18"/>
                      <w:szCs w:val="18"/>
                      <w:u w:val="single"/>
                    </w:rPr>
                    <w:t>-</w:t>
                  </w:r>
                </w:p>
              </w:tc>
              <w:tc>
                <w:tcPr>
                  <w:tcW w:w="555" w:type="pct"/>
                  <w:tcBorders>
                    <w:top w:val="nil"/>
                    <w:left w:val="nil"/>
                    <w:bottom w:val="single" w:color="auto" w:sz="4" w:space="0"/>
                    <w:right w:val="single" w:color="auto" w:sz="4" w:space="0"/>
                  </w:tcBorders>
                  <w:shd w:val="clear" w:color="000000" w:fill="FFFFFF"/>
                  <w:noWrap/>
                  <w:vAlign w:val="center"/>
                </w:tcPr>
                <w:p w14:paraId="46C2C3AB">
                  <w:pPr>
                    <w:widowControl/>
                    <w:jc w:val="center"/>
                    <w:rPr>
                      <w:color w:val="EE0000"/>
                      <w:spacing w:val="-10"/>
                      <w:kern w:val="0"/>
                      <w:sz w:val="18"/>
                      <w:szCs w:val="18"/>
                      <w:u w:val="single"/>
                    </w:rPr>
                  </w:pPr>
                  <w:r>
                    <w:rPr>
                      <w:color w:val="EE0000"/>
                      <w:spacing w:val="-10"/>
                      <w:kern w:val="0"/>
                      <w:sz w:val="18"/>
                      <w:szCs w:val="18"/>
                      <w:u w:val="single"/>
                    </w:rPr>
                    <w:t>-</w:t>
                  </w:r>
                </w:p>
              </w:tc>
              <w:tc>
                <w:tcPr>
                  <w:tcW w:w="399" w:type="pct"/>
                  <w:tcBorders>
                    <w:top w:val="nil"/>
                    <w:left w:val="nil"/>
                    <w:bottom w:val="single" w:color="auto" w:sz="4" w:space="0"/>
                    <w:right w:val="single" w:color="auto" w:sz="4" w:space="0"/>
                  </w:tcBorders>
                  <w:shd w:val="clear" w:color="000000" w:fill="FFFFFF"/>
                  <w:noWrap/>
                  <w:vAlign w:val="center"/>
                </w:tcPr>
                <w:p w14:paraId="38D94772">
                  <w:pPr>
                    <w:widowControl/>
                    <w:jc w:val="center"/>
                    <w:rPr>
                      <w:color w:val="EE0000"/>
                      <w:spacing w:val="-10"/>
                      <w:kern w:val="0"/>
                      <w:sz w:val="18"/>
                      <w:szCs w:val="18"/>
                      <w:u w:val="single"/>
                    </w:rPr>
                  </w:pPr>
                  <w:r>
                    <w:rPr>
                      <w:color w:val="EE0000"/>
                      <w:spacing w:val="-10"/>
                      <w:kern w:val="0"/>
                      <w:sz w:val="18"/>
                      <w:szCs w:val="18"/>
                      <w:u w:val="single"/>
                    </w:rPr>
                    <w:t>-</w:t>
                  </w:r>
                </w:p>
              </w:tc>
              <w:tc>
                <w:tcPr>
                  <w:tcW w:w="462" w:type="pct"/>
                  <w:tcBorders>
                    <w:top w:val="nil"/>
                    <w:left w:val="nil"/>
                    <w:bottom w:val="single" w:color="auto" w:sz="4" w:space="0"/>
                    <w:right w:val="single" w:color="auto" w:sz="4" w:space="0"/>
                  </w:tcBorders>
                  <w:shd w:val="clear" w:color="000000" w:fill="FFFFFF"/>
                  <w:noWrap/>
                  <w:vAlign w:val="center"/>
                </w:tcPr>
                <w:p w14:paraId="0296AF78">
                  <w:pPr>
                    <w:widowControl/>
                    <w:jc w:val="center"/>
                    <w:rPr>
                      <w:color w:val="EE0000"/>
                      <w:spacing w:val="-10"/>
                      <w:kern w:val="0"/>
                      <w:sz w:val="18"/>
                      <w:szCs w:val="18"/>
                      <w:u w:val="single"/>
                    </w:rPr>
                  </w:pPr>
                  <w:r>
                    <w:rPr>
                      <w:color w:val="EE0000"/>
                      <w:spacing w:val="-10"/>
                      <w:kern w:val="0"/>
                      <w:sz w:val="18"/>
                      <w:szCs w:val="18"/>
                      <w:u w:val="single"/>
                    </w:rPr>
                    <w:t>-</w:t>
                  </w:r>
                </w:p>
              </w:tc>
            </w:tr>
            <w:tr w14:paraId="39FE6F29">
              <w:tblPrEx>
                <w:tblCellMar>
                  <w:top w:w="0" w:type="dxa"/>
                  <w:left w:w="108" w:type="dxa"/>
                  <w:bottom w:w="0" w:type="dxa"/>
                  <w:right w:w="108" w:type="dxa"/>
                </w:tblCellMar>
              </w:tblPrEx>
              <w:trPr>
                <w:trHeight w:val="444"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599236A8">
                  <w:pPr>
                    <w:widowControl/>
                    <w:jc w:val="center"/>
                    <w:rPr>
                      <w:color w:val="EE0000"/>
                      <w:spacing w:val="-10"/>
                      <w:kern w:val="0"/>
                      <w:sz w:val="18"/>
                      <w:szCs w:val="18"/>
                      <w:u w:val="single"/>
                    </w:rPr>
                  </w:pPr>
                  <w:r>
                    <w:rPr>
                      <w:color w:val="EE0000"/>
                      <w:spacing w:val="-10"/>
                      <w:kern w:val="0"/>
                      <w:sz w:val="18"/>
                      <w:szCs w:val="18"/>
                      <w:u w:val="single"/>
                    </w:rPr>
                    <w:t>2021-04</w:t>
                  </w:r>
                </w:p>
              </w:tc>
              <w:tc>
                <w:tcPr>
                  <w:tcW w:w="438" w:type="pct"/>
                  <w:tcBorders>
                    <w:top w:val="nil"/>
                    <w:left w:val="nil"/>
                    <w:bottom w:val="single" w:color="auto" w:sz="4" w:space="0"/>
                    <w:right w:val="single" w:color="auto" w:sz="4" w:space="0"/>
                  </w:tcBorders>
                  <w:shd w:val="clear" w:color="000000" w:fill="FFFFFF"/>
                  <w:noWrap/>
                  <w:vAlign w:val="center"/>
                </w:tcPr>
                <w:p w14:paraId="5947A0AC">
                  <w:pPr>
                    <w:widowControl/>
                    <w:jc w:val="center"/>
                    <w:rPr>
                      <w:color w:val="EE0000"/>
                      <w:spacing w:val="-10"/>
                      <w:kern w:val="0"/>
                      <w:sz w:val="18"/>
                      <w:szCs w:val="18"/>
                      <w:u w:val="single"/>
                    </w:rPr>
                  </w:pPr>
                  <w:r>
                    <w:rPr>
                      <w:color w:val="EE0000"/>
                      <w:spacing w:val="-10"/>
                      <w:kern w:val="0"/>
                      <w:sz w:val="18"/>
                      <w:szCs w:val="18"/>
                      <w:u w:val="single"/>
                    </w:rPr>
                    <w:t>6.55</w:t>
                  </w:r>
                </w:p>
              </w:tc>
              <w:tc>
                <w:tcPr>
                  <w:tcW w:w="512" w:type="pct"/>
                  <w:tcBorders>
                    <w:top w:val="nil"/>
                    <w:left w:val="nil"/>
                    <w:bottom w:val="single" w:color="auto" w:sz="4" w:space="0"/>
                    <w:right w:val="single" w:color="auto" w:sz="4" w:space="0"/>
                  </w:tcBorders>
                  <w:shd w:val="clear" w:color="000000" w:fill="FFFFFF"/>
                  <w:noWrap/>
                  <w:vAlign w:val="center"/>
                </w:tcPr>
                <w:p w14:paraId="2BEBD7ED">
                  <w:pPr>
                    <w:widowControl/>
                    <w:jc w:val="center"/>
                    <w:rPr>
                      <w:color w:val="EE0000"/>
                      <w:spacing w:val="-10"/>
                      <w:kern w:val="0"/>
                      <w:sz w:val="18"/>
                      <w:szCs w:val="18"/>
                      <w:u w:val="single"/>
                    </w:rPr>
                  </w:pPr>
                  <w:r>
                    <w:rPr>
                      <w:color w:val="EE0000"/>
                      <w:spacing w:val="-10"/>
                      <w:kern w:val="0"/>
                      <w:sz w:val="18"/>
                      <w:szCs w:val="18"/>
                      <w:u w:val="single"/>
                    </w:rPr>
                    <w:t>24.61</w:t>
                  </w:r>
                </w:p>
              </w:tc>
              <w:tc>
                <w:tcPr>
                  <w:tcW w:w="415" w:type="pct"/>
                  <w:tcBorders>
                    <w:top w:val="nil"/>
                    <w:left w:val="nil"/>
                    <w:bottom w:val="single" w:color="auto" w:sz="4" w:space="0"/>
                    <w:right w:val="single" w:color="auto" w:sz="4" w:space="0"/>
                  </w:tcBorders>
                  <w:shd w:val="clear" w:color="000000" w:fill="FFFFFF"/>
                  <w:noWrap/>
                  <w:vAlign w:val="center"/>
                </w:tcPr>
                <w:p w14:paraId="11C77917">
                  <w:pPr>
                    <w:widowControl/>
                    <w:jc w:val="center"/>
                    <w:rPr>
                      <w:color w:val="EE0000"/>
                      <w:spacing w:val="-10"/>
                      <w:kern w:val="0"/>
                      <w:sz w:val="18"/>
                      <w:szCs w:val="18"/>
                      <w:u w:val="single"/>
                    </w:rPr>
                  </w:pPr>
                  <w:r>
                    <w:rPr>
                      <w:color w:val="EE0000"/>
                      <w:spacing w:val="-10"/>
                      <w:kern w:val="0"/>
                      <w:sz w:val="18"/>
                      <w:szCs w:val="18"/>
                      <w:u w:val="single"/>
                    </w:rPr>
                    <w:t>305.32</w:t>
                  </w:r>
                </w:p>
              </w:tc>
              <w:tc>
                <w:tcPr>
                  <w:tcW w:w="465" w:type="pct"/>
                  <w:tcBorders>
                    <w:top w:val="nil"/>
                    <w:left w:val="nil"/>
                    <w:bottom w:val="single" w:color="auto" w:sz="4" w:space="0"/>
                    <w:right w:val="single" w:color="auto" w:sz="4" w:space="0"/>
                  </w:tcBorders>
                  <w:shd w:val="clear" w:color="000000" w:fill="FFFFFF"/>
                  <w:noWrap/>
                  <w:vAlign w:val="center"/>
                </w:tcPr>
                <w:p w14:paraId="2C7D209A">
                  <w:pPr>
                    <w:widowControl/>
                    <w:jc w:val="center"/>
                    <w:rPr>
                      <w:color w:val="EE0000"/>
                      <w:spacing w:val="-10"/>
                      <w:kern w:val="0"/>
                      <w:sz w:val="18"/>
                      <w:szCs w:val="18"/>
                      <w:u w:val="single"/>
                    </w:rPr>
                  </w:pPr>
                  <w:r>
                    <w:rPr>
                      <w:color w:val="EE0000"/>
                      <w:spacing w:val="-10"/>
                      <w:kern w:val="0"/>
                      <w:sz w:val="18"/>
                      <w:szCs w:val="18"/>
                      <w:u w:val="single"/>
                    </w:rPr>
                    <w:t>40.89</w:t>
                  </w:r>
                </w:p>
              </w:tc>
              <w:tc>
                <w:tcPr>
                  <w:tcW w:w="533" w:type="pct"/>
                  <w:tcBorders>
                    <w:top w:val="nil"/>
                    <w:left w:val="nil"/>
                    <w:bottom w:val="single" w:color="auto" w:sz="4" w:space="0"/>
                    <w:right w:val="single" w:color="auto" w:sz="4" w:space="0"/>
                  </w:tcBorders>
                  <w:shd w:val="clear" w:color="000000" w:fill="FFFFFF"/>
                  <w:noWrap/>
                  <w:vAlign w:val="center"/>
                </w:tcPr>
                <w:p w14:paraId="57588517">
                  <w:pPr>
                    <w:widowControl/>
                    <w:jc w:val="center"/>
                    <w:rPr>
                      <w:color w:val="EE0000"/>
                      <w:spacing w:val="-10"/>
                      <w:kern w:val="0"/>
                      <w:sz w:val="18"/>
                      <w:szCs w:val="18"/>
                      <w:u w:val="single"/>
                    </w:rPr>
                  </w:pPr>
                  <w:r>
                    <w:rPr>
                      <w:color w:val="EE0000"/>
                      <w:spacing w:val="-10"/>
                      <w:kern w:val="0"/>
                      <w:sz w:val="18"/>
                      <w:szCs w:val="18"/>
                      <w:u w:val="single"/>
                    </w:rPr>
                    <w:t>89.31</w:t>
                  </w:r>
                </w:p>
              </w:tc>
              <w:tc>
                <w:tcPr>
                  <w:tcW w:w="416" w:type="pct"/>
                  <w:tcBorders>
                    <w:top w:val="nil"/>
                    <w:left w:val="nil"/>
                    <w:bottom w:val="single" w:color="auto" w:sz="4" w:space="0"/>
                    <w:right w:val="single" w:color="auto" w:sz="4" w:space="0"/>
                  </w:tcBorders>
                  <w:shd w:val="clear" w:color="000000" w:fill="FFFFFF"/>
                  <w:noWrap/>
                  <w:vAlign w:val="center"/>
                </w:tcPr>
                <w:p w14:paraId="79F6B8B1">
                  <w:pPr>
                    <w:widowControl/>
                    <w:jc w:val="center"/>
                    <w:rPr>
                      <w:color w:val="EE0000"/>
                      <w:spacing w:val="-10"/>
                      <w:kern w:val="0"/>
                      <w:sz w:val="18"/>
                      <w:szCs w:val="18"/>
                      <w:u w:val="single"/>
                    </w:rPr>
                  </w:pPr>
                  <w:r>
                    <w:rPr>
                      <w:color w:val="EE0000"/>
                      <w:spacing w:val="-10"/>
                      <w:kern w:val="0"/>
                      <w:sz w:val="18"/>
                      <w:szCs w:val="18"/>
                      <w:u w:val="single"/>
                    </w:rPr>
                    <w:t>2214.8</w:t>
                  </w:r>
                </w:p>
              </w:tc>
              <w:tc>
                <w:tcPr>
                  <w:tcW w:w="444" w:type="pct"/>
                  <w:tcBorders>
                    <w:top w:val="nil"/>
                    <w:left w:val="nil"/>
                    <w:bottom w:val="single" w:color="auto" w:sz="4" w:space="0"/>
                    <w:right w:val="single" w:color="auto" w:sz="4" w:space="0"/>
                  </w:tcBorders>
                  <w:shd w:val="clear" w:color="000000" w:fill="FFFFFF"/>
                  <w:noWrap/>
                  <w:vAlign w:val="center"/>
                </w:tcPr>
                <w:p w14:paraId="09184961">
                  <w:pPr>
                    <w:widowControl/>
                    <w:jc w:val="center"/>
                    <w:rPr>
                      <w:color w:val="EE0000"/>
                      <w:spacing w:val="-10"/>
                      <w:kern w:val="0"/>
                      <w:sz w:val="18"/>
                      <w:szCs w:val="18"/>
                      <w:u w:val="single"/>
                    </w:rPr>
                  </w:pPr>
                  <w:r>
                    <w:rPr>
                      <w:color w:val="EE0000"/>
                      <w:spacing w:val="-10"/>
                      <w:kern w:val="0"/>
                      <w:sz w:val="18"/>
                      <w:szCs w:val="18"/>
                      <w:u w:val="single"/>
                    </w:rPr>
                    <w:t>12.53</w:t>
                  </w:r>
                </w:p>
              </w:tc>
              <w:tc>
                <w:tcPr>
                  <w:tcW w:w="555" w:type="pct"/>
                  <w:tcBorders>
                    <w:top w:val="nil"/>
                    <w:left w:val="nil"/>
                    <w:bottom w:val="single" w:color="auto" w:sz="4" w:space="0"/>
                    <w:right w:val="single" w:color="auto" w:sz="4" w:space="0"/>
                  </w:tcBorders>
                  <w:shd w:val="clear" w:color="000000" w:fill="FFFFFF"/>
                  <w:noWrap/>
                  <w:vAlign w:val="center"/>
                </w:tcPr>
                <w:p w14:paraId="03C3B115">
                  <w:pPr>
                    <w:widowControl/>
                    <w:jc w:val="center"/>
                    <w:rPr>
                      <w:color w:val="EE0000"/>
                      <w:spacing w:val="-10"/>
                      <w:kern w:val="0"/>
                      <w:sz w:val="18"/>
                      <w:szCs w:val="18"/>
                      <w:u w:val="single"/>
                    </w:rPr>
                  </w:pPr>
                  <w:r>
                    <w:rPr>
                      <w:color w:val="EE0000"/>
                      <w:spacing w:val="-10"/>
                      <w:kern w:val="0"/>
                      <w:sz w:val="18"/>
                      <w:szCs w:val="18"/>
                      <w:u w:val="single"/>
                    </w:rPr>
                    <w:t>20.06</w:t>
                  </w:r>
                </w:p>
              </w:tc>
              <w:tc>
                <w:tcPr>
                  <w:tcW w:w="399" w:type="pct"/>
                  <w:tcBorders>
                    <w:top w:val="nil"/>
                    <w:left w:val="nil"/>
                    <w:bottom w:val="single" w:color="auto" w:sz="4" w:space="0"/>
                    <w:right w:val="single" w:color="auto" w:sz="4" w:space="0"/>
                  </w:tcBorders>
                  <w:shd w:val="clear" w:color="000000" w:fill="FFFFFF"/>
                  <w:noWrap/>
                  <w:vAlign w:val="center"/>
                </w:tcPr>
                <w:p w14:paraId="056D37DE">
                  <w:pPr>
                    <w:widowControl/>
                    <w:jc w:val="center"/>
                    <w:rPr>
                      <w:color w:val="EE0000"/>
                      <w:spacing w:val="-10"/>
                      <w:kern w:val="0"/>
                      <w:sz w:val="18"/>
                      <w:szCs w:val="18"/>
                      <w:u w:val="single"/>
                    </w:rPr>
                  </w:pPr>
                  <w:r>
                    <w:rPr>
                      <w:color w:val="EE0000"/>
                      <w:spacing w:val="-10"/>
                      <w:kern w:val="0"/>
                      <w:sz w:val="18"/>
                      <w:szCs w:val="18"/>
                      <w:u w:val="single"/>
                    </w:rPr>
                    <w:t>622.9</w:t>
                  </w:r>
                </w:p>
              </w:tc>
              <w:tc>
                <w:tcPr>
                  <w:tcW w:w="462" w:type="pct"/>
                  <w:tcBorders>
                    <w:top w:val="nil"/>
                    <w:left w:val="nil"/>
                    <w:bottom w:val="single" w:color="auto" w:sz="4" w:space="0"/>
                    <w:right w:val="single" w:color="auto" w:sz="4" w:space="0"/>
                  </w:tcBorders>
                  <w:shd w:val="clear" w:color="000000" w:fill="FFFFFF"/>
                  <w:noWrap/>
                  <w:vAlign w:val="center"/>
                </w:tcPr>
                <w:p w14:paraId="4A04ECD4">
                  <w:pPr>
                    <w:widowControl/>
                    <w:jc w:val="center"/>
                    <w:rPr>
                      <w:color w:val="EE0000"/>
                      <w:spacing w:val="-10"/>
                      <w:kern w:val="0"/>
                      <w:sz w:val="18"/>
                      <w:szCs w:val="18"/>
                      <w:u w:val="single"/>
                    </w:rPr>
                  </w:pPr>
                  <w:r>
                    <w:rPr>
                      <w:color w:val="EE0000"/>
                      <w:spacing w:val="-10"/>
                      <w:kern w:val="0"/>
                      <w:sz w:val="18"/>
                      <w:szCs w:val="18"/>
                      <w:u w:val="single"/>
                    </w:rPr>
                    <w:t>14336440.55</w:t>
                  </w:r>
                </w:p>
              </w:tc>
            </w:tr>
            <w:tr w14:paraId="2495F902">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70FB522E">
                  <w:pPr>
                    <w:widowControl/>
                    <w:jc w:val="center"/>
                    <w:rPr>
                      <w:color w:val="EE0000"/>
                      <w:spacing w:val="-10"/>
                      <w:kern w:val="0"/>
                      <w:sz w:val="18"/>
                      <w:szCs w:val="18"/>
                      <w:u w:val="single"/>
                    </w:rPr>
                  </w:pPr>
                  <w:r>
                    <w:rPr>
                      <w:color w:val="EE0000"/>
                      <w:spacing w:val="-10"/>
                      <w:kern w:val="0"/>
                      <w:sz w:val="18"/>
                      <w:szCs w:val="18"/>
                      <w:u w:val="single"/>
                    </w:rPr>
                    <w:t>2021-05</w:t>
                  </w:r>
                </w:p>
              </w:tc>
              <w:tc>
                <w:tcPr>
                  <w:tcW w:w="438" w:type="pct"/>
                  <w:tcBorders>
                    <w:top w:val="nil"/>
                    <w:left w:val="nil"/>
                    <w:bottom w:val="single" w:color="auto" w:sz="4" w:space="0"/>
                    <w:right w:val="single" w:color="auto" w:sz="4" w:space="0"/>
                  </w:tcBorders>
                  <w:shd w:val="clear" w:color="000000" w:fill="FFFFFF"/>
                  <w:noWrap/>
                  <w:vAlign w:val="center"/>
                </w:tcPr>
                <w:p w14:paraId="748CAA31">
                  <w:pPr>
                    <w:widowControl/>
                    <w:jc w:val="center"/>
                    <w:rPr>
                      <w:color w:val="EE0000"/>
                      <w:spacing w:val="-10"/>
                      <w:kern w:val="0"/>
                      <w:sz w:val="18"/>
                      <w:szCs w:val="18"/>
                      <w:u w:val="single"/>
                    </w:rPr>
                  </w:pPr>
                  <w:r>
                    <w:rPr>
                      <w:color w:val="EE0000"/>
                      <w:spacing w:val="-10"/>
                      <w:kern w:val="0"/>
                      <w:sz w:val="18"/>
                      <w:szCs w:val="18"/>
                      <w:u w:val="single"/>
                    </w:rPr>
                    <w:t>7.17</w:t>
                  </w:r>
                </w:p>
              </w:tc>
              <w:tc>
                <w:tcPr>
                  <w:tcW w:w="512" w:type="pct"/>
                  <w:tcBorders>
                    <w:top w:val="nil"/>
                    <w:left w:val="nil"/>
                    <w:bottom w:val="single" w:color="auto" w:sz="4" w:space="0"/>
                    <w:right w:val="single" w:color="auto" w:sz="4" w:space="0"/>
                  </w:tcBorders>
                  <w:shd w:val="clear" w:color="000000" w:fill="FFFFFF"/>
                  <w:noWrap/>
                  <w:vAlign w:val="center"/>
                </w:tcPr>
                <w:p w14:paraId="536A00D4">
                  <w:pPr>
                    <w:widowControl/>
                    <w:jc w:val="center"/>
                    <w:rPr>
                      <w:color w:val="EE0000"/>
                      <w:spacing w:val="-10"/>
                      <w:kern w:val="0"/>
                      <w:sz w:val="18"/>
                      <w:szCs w:val="18"/>
                      <w:u w:val="single"/>
                    </w:rPr>
                  </w:pPr>
                  <w:r>
                    <w:rPr>
                      <w:color w:val="EE0000"/>
                      <w:spacing w:val="-10"/>
                      <w:kern w:val="0"/>
                      <w:sz w:val="18"/>
                      <w:szCs w:val="18"/>
                      <w:u w:val="single"/>
                    </w:rPr>
                    <w:t>10.6</w:t>
                  </w:r>
                </w:p>
              </w:tc>
              <w:tc>
                <w:tcPr>
                  <w:tcW w:w="415" w:type="pct"/>
                  <w:tcBorders>
                    <w:top w:val="nil"/>
                    <w:left w:val="nil"/>
                    <w:bottom w:val="single" w:color="auto" w:sz="4" w:space="0"/>
                    <w:right w:val="single" w:color="auto" w:sz="4" w:space="0"/>
                  </w:tcBorders>
                  <w:shd w:val="clear" w:color="000000" w:fill="FFFFFF"/>
                  <w:noWrap/>
                  <w:vAlign w:val="center"/>
                </w:tcPr>
                <w:p w14:paraId="24AE9591">
                  <w:pPr>
                    <w:widowControl/>
                    <w:jc w:val="center"/>
                    <w:rPr>
                      <w:color w:val="EE0000"/>
                      <w:spacing w:val="-10"/>
                      <w:kern w:val="0"/>
                      <w:sz w:val="18"/>
                      <w:szCs w:val="18"/>
                      <w:u w:val="single"/>
                    </w:rPr>
                  </w:pPr>
                  <w:r>
                    <w:rPr>
                      <w:color w:val="EE0000"/>
                      <w:spacing w:val="-10"/>
                      <w:kern w:val="0"/>
                      <w:sz w:val="18"/>
                      <w:szCs w:val="18"/>
                      <w:u w:val="single"/>
                    </w:rPr>
                    <w:t>525.8</w:t>
                  </w:r>
                </w:p>
              </w:tc>
              <w:tc>
                <w:tcPr>
                  <w:tcW w:w="465" w:type="pct"/>
                  <w:tcBorders>
                    <w:top w:val="nil"/>
                    <w:left w:val="nil"/>
                    <w:bottom w:val="single" w:color="auto" w:sz="4" w:space="0"/>
                    <w:right w:val="single" w:color="auto" w:sz="4" w:space="0"/>
                  </w:tcBorders>
                  <w:shd w:val="clear" w:color="000000" w:fill="FFFFFF"/>
                  <w:noWrap/>
                  <w:vAlign w:val="center"/>
                </w:tcPr>
                <w:p w14:paraId="58AC9944">
                  <w:pPr>
                    <w:widowControl/>
                    <w:jc w:val="center"/>
                    <w:rPr>
                      <w:color w:val="EE0000"/>
                      <w:spacing w:val="-10"/>
                      <w:kern w:val="0"/>
                      <w:sz w:val="18"/>
                      <w:szCs w:val="18"/>
                      <w:u w:val="single"/>
                    </w:rPr>
                  </w:pPr>
                  <w:r>
                    <w:rPr>
                      <w:color w:val="EE0000"/>
                      <w:spacing w:val="-10"/>
                      <w:kern w:val="0"/>
                      <w:sz w:val="18"/>
                      <w:szCs w:val="18"/>
                      <w:u w:val="single"/>
                    </w:rPr>
                    <w:t>83.86</w:t>
                  </w:r>
                </w:p>
              </w:tc>
              <w:tc>
                <w:tcPr>
                  <w:tcW w:w="533" w:type="pct"/>
                  <w:tcBorders>
                    <w:top w:val="nil"/>
                    <w:left w:val="nil"/>
                    <w:bottom w:val="single" w:color="auto" w:sz="4" w:space="0"/>
                    <w:right w:val="single" w:color="auto" w:sz="4" w:space="0"/>
                  </w:tcBorders>
                  <w:shd w:val="clear" w:color="000000" w:fill="FFFFFF"/>
                  <w:noWrap/>
                  <w:vAlign w:val="center"/>
                </w:tcPr>
                <w:p w14:paraId="7080AB61">
                  <w:pPr>
                    <w:widowControl/>
                    <w:jc w:val="center"/>
                    <w:rPr>
                      <w:color w:val="EE0000"/>
                      <w:spacing w:val="-10"/>
                      <w:kern w:val="0"/>
                      <w:sz w:val="18"/>
                      <w:szCs w:val="18"/>
                      <w:u w:val="single"/>
                    </w:rPr>
                  </w:pPr>
                  <w:r>
                    <w:rPr>
                      <w:color w:val="EE0000"/>
                      <w:spacing w:val="-10"/>
                      <w:kern w:val="0"/>
                      <w:sz w:val="18"/>
                      <w:szCs w:val="18"/>
                      <w:u w:val="single"/>
                    </w:rPr>
                    <w:t>122.71</w:t>
                  </w:r>
                </w:p>
              </w:tc>
              <w:tc>
                <w:tcPr>
                  <w:tcW w:w="416" w:type="pct"/>
                  <w:tcBorders>
                    <w:top w:val="nil"/>
                    <w:left w:val="nil"/>
                    <w:bottom w:val="single" w:color="auto" w:sz="4" w:space="0"/>
                    <w:right w:val="single" w:color="auto" w:sz="4" w:space="0"/>
                  </w:tcBorders>
                  <w:shd w:val="clear" w:color="000000" w:fill="FFFFFF"/>
                  <w:noWrap/>
                  <w:vAlign w:val="center"/>
                </w:tcPr>
                <w:p w14:paraId="133B94BD">
                  <w:pPr>
                    <w:widowControl/>
                    <w:jc w:val="center"/>
                    <w:rPr>
                      <w:color w:val="EE0000"/>
                      <w:spacing w:val="-10"/>
                      <w:kern w:val="0"/>
                      <w:sz w:val="18"/>
                      <w:szCs w:val="18"/>
                      <w:u w:val="single"/>
                    </w:rPr>
                  </w:pPr>
                  <w:r>
                    <w:rPr>
                      <w:color w:val="EE0000"/>
                      <w:spacing w:val="-10"/>
                      <w:kern w:val="0"/>
                      <w:sz w:val="18"/>
                      <w:szCs w:val="18"/>
                      <w:u w:val="single"/>
                    </w:rPr>
                    <w:t>6097.35</w:t>
                  </w:r>
                </w:p>
              </w:tc>
              <w:tc>
                <w:tcPr>
                  <w:tcW w:w="444" w:type="pct"/>
                  <w:tcBorders>
                    <w:top w:val="nil"/>
                    <w:left w:val="nil"/>
                    <w:bottom w:val="single" w:color="auto" w:sz="4" w:space="0"/>
                    <w:right w:val="single" w:color="auto" w:sz="4" w:space="0"/>
                  </w:tcBorders>
                  <w:shd w:val="clear" w:color="000000" w:fill="FFFFFF"/>
                  <w:noWrap/>
                  <w:vAlign w:val="center"/>
                </w:tcPr>
                <w:p w14:paraId="6FC5CABC">
                  <w:pPr>
                    <w:widowControl/>
                    <w:jc w:val="center"/>
                    <w:rPr>
                      <w:color w:val="EE0000"/>
                      <w:spacing w:val="-10"/>
                      <w:kern w:val="0"/>
                      <w:sz w:val="18"/>
                      <w:szCs w:val="18"/>
                      <w:u w:val="single"/>
                    </w:rPr>
                  </w:pPr>
                  <w:r>
                    <w:rPr>
                      <w:color w:val="EE0000"/>
                      <w:spacing w:val="-10"/>
                      <w:kern w:val="0"/>
                      <w:sz w:val="18"/>
                      <w:szCs w:val="18"/>
                      <w:u w:val="single"/>
                    </w:rPr>
                    <w:t>20.28</w:t>
                  </w:r>
                </w:p>
              </w:tc>
              <w:tc>
                <w:tcPr>
                  <w:tcW w:w="555" w:type="pct"/>
                  <w:tcBorders>
                    <w:top w:val="nil"/>
                    <w:left w:val="nil"/>
                    <w:bottom w:val="single" w:color="auto" w:sz="4" w:space="0"/>
                    <w:right w:val="single" w:color="auto" w:sz="4" w:space="0"/>
                  </w:tcBorders>
                  <w:shd w:val="clear" w:color="000000" w:fill="FFFFFF"/>
                  <w:noWrap/>
                  <w:vAlign w:val="center"/>
                </w:tcPr>
                <w:p w14:paraId="11FF715B">
                  <w:pPr>
                    <w:widowControl/>
                    <w:jc w:val="center"/>
                    <w:rPr>
                      <w:color w:val="EE0000"/>
                      <w:spacing w:val="-10"/>
                      <w:kern w:val="0"/>
                      <w:sz w:val="18"/>
                      <w:szCs w:val="18"/>
                      <w:u w:val="single"/>
                    </w:rPr>
                  </w:pPr>
                  <w:r>
                    <w:rPr>
                      <w:color w:val="EE0000"/>
                      <w:spacing w:val="-10"/>
                      <w:kern w:val="0"/>
                      <w:sz w:val="18"/>
                      <w:szCs w:val="18"/>
                      <w:u w:val="single"/>
                    </w:rPr>
                    <w:t>29.17</w:t>
                  </w:r>
                </w:p>
              </w:tc>
              <w:tc>
                <w:tcPr>
                  <w:tcW w:w="399" w:type="pct"/>
                  <w:tcBorders>
                    <w:top w:val="nil"/>
                    <w:left w:val="nil"/>
                    <w:bottom w:val="single" w:color="auto" w:sz="4" w:space="0"/>
                    <w:right w:val="single" w:color="auto" w:sz="4" w:space="0"/>
                  </w:tcBorders>
                  <w:shd w:val="clear" w:color="000000" w:fill="FFFFFF"/>
                  <w:noWrap/>
                  <w:vAlign w:val="center"/>
                </w:tcPr>
                <w:p w14:paraId="0FAC68A2">
                  <w:pPr>
                    <w:widowControl/>
                    <w:jc w:val="center"/>
                    <w:rPr>
                      <w:color w:val="EE0000"/>
                      <w:spacing w:val="-10"/>
                      <w:kern w:val="0"/>
                      <w:sz w:val="18"/>
                      <w:szCs w:val="18"/>
                      <w:u w:val="single"/>
                    </w:rPr>
                  </w:pPr>
                  <w:r>
                    <w:rPr>
                      <w:color w:val="EE0000"/>
                      <w:spacing w:val="-10"/>
                      <w:kern w:val="0"/>
                      <w:sz w:val="18"/>
                      <w:szCs w:val="18"/>
                      <w:u w:val="single"/>
                    </w:rPr>
                    <w:t>1482.94</w:t>
                  </w:r>
                </w:p>
              </w:tc>
              <w:tc>
                <w:tcPr>
                  <w:tcW w:w="462" w:type="pct"/>
                  <w:tcBorders>
                    <w:top w:val="nil"/>
                    <w:left w:val="nil"/>
                    <w:bottom w:val="single" w:color="auto" w:sz="4" w:space="0"/>
                    <w:right w:val="single" w:color="auto" w:sz="4" w:space="0"/>
                  </w:tcBorders>
                  <w:shd w:val="clear" w:color="000000" w:fill="FFFFFF"/>
                  <w:noWrap/>
                  <w:vAlign w:val="center"/>
                </w:tcPr>
                <w:p w14:paraId="6436C7A5">
                  <w:pPr>
                    <w:widowControl/>
                    <w:jc w:val="center"/>
                    <w:rPr>
                      <w:color w:val="EE0000"/>
                      <w:spacing w:val="-10"/>
                      <w:kern w:val="0"/>
                      <w:sz w:val="18"/>
                      <w:szCs w:val="18"/>
                      <w:u w:val="single"/>
                    </w:rPr>
                  </w:pPr>
                  <w:r>
                    <w:rPr>
                      <w:color w:val="EE0000"/>
                      <w:spacing w:val="-10"/>
                      <w:kern w:val="0"/>
                      <w:sz w:val="18"/>
                      <w:szCs w:val="18"/>
                      <w:u w:val="single"/>
                    </w:rPr>
                    <w:t>73932545.63</w:t>
                  </w:r>
                </w:p>
              </w:tc>
            </w:tr>
            <w:tr w14:paraId="6FCDA68A">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287E8311">
                  <w:pPr>
                    <w:widowControl/>
                    <w:jc w:val="center"/>
                    <w:rPr>
                      <w:color w:val="EE0000"/>
                      <w:spacing w:val="-10"/>
                      <w:kern w:val="0"/>
                      <w:sz w:val="18"/>
                      <w:szCs w:val="18"/>
                      <w:u w:val="single"/>
                    </w:rPr>
                  </w:pPr>
                  <w:r>
                    <w:rPr>
                      <w:color w:val="EE0000"/>
                      <w:spacing w:val="-10"/>
                      <w:kern w:val="0"/>
                      <w:sz w:val="18"/>
                      <w:szCs w:val="18"/>
                      <w:u w:val="single"/>
                    </w:rPr>
                    <w:t>2021-06</w:t>
                  </w:r>
                </w:p>
              </w:tc>
              <w:tc>
                <w:tcPr>
                  <w:tcW w:w="438" w:type="pct"/>
                  <w:tcBorders>
                    <w:top w:val="nil"/>
                    <w:left w:val="nil"/>
                    <w:bottom w:val="single" w:color="auto" w:sz="4" w:space="0"/>
                    <w:right w:val="single" w:color="auto" w:sz="4" w:space="0"/>
                  </w:tcBorders>
                  <w:shd w:val="clear" w:color="000000" w:fill="FFFFFF"/>
                  <w:noWrap/>
                  <w:vAlign w:val="center"/>
                </w:tcPr>
                <w:p w14:paraId="1876E5A4">
                  <w:pPr>
                    <w:widowControl/>
                    <w:jc w:val="center"/>
                    <w:rPr>
                      <w:color w:val="EE0000"/>
                      <w:spacing w:val="-10"/>
                      <w:kern w:val="0"/>
                      <w:sz w:val="18"/>
                      <w:szCs w:val="18"/>
                      <w:u w:val="single"/>
                    </w:rPr>
                  </w:pPr>
                  <w:r>
                    <w:rPr>
                      <w:color w:val="EE0000"/>
                      <w:spacing w:val="-10"/>
                      <w:kern w:val="0"/>
                      <w:sz w:val="18"/>
                      <w:szCs w:val="18"/>
                      <w:u w:val="single"/>
                    </w:rPr>
                    <w:t>6.27</w:t>
                  </w:r>
                </w:p>
              </w:tc>
              <w:tc>
                <w:tcPr>
                  <w:tcW w:w="512" w:type="pct"/>
                  <w:tcBorders>
                    <w:top w:val="nil"/>
                    <w:left w:val="nil"/>
                    <w:bottom w:val="single" w:color="auto" w:sz="4" w:space="0"/>
                    <w:right w:val="single" w:color="auto" w:sz="4" w:space="0"/>
                  </w:tcBorders>
                  <w:shd w:val="clear" w:color="000000" w:fill="FFFFFF"/>
                  <w:noWrap/>
                  <w:vAlign w:val="center"/>
                </w:tcPr>
                <w:p w14:paraId="24547C7A">
                  <w:pPr>
                    <w:widowControl/>
                    <w:jc w:val="center"/>
                    <w:rPr>
                      <w:color w:val="EE0000"/>
                      <w:spacing w:val="-10"/>
                      <w:kern w:val="0"/>
                      <w:sz w:val="18"/>
                      <w:szCs w:val="18"/>
                      <w:u w:val="single"/>
                    </w:rPr>
                  </w:pPr>
                  <w:r>
                    <w:rPr>
                      <w:color w:val="EE0000"/>
                      <w:spacing w:val="-10"/>
                      <w:kern w:val="0"/>
                      <w:sz w:val="18"/>
                      <w:szCs w:val="18"/>
                      <w:u w:val="single"/>
                    </w:rPr>
                    <w:t>15.34</w:t>
                  </w:r>
                </w:p>
              </w:tc>
              <w:tc>
                <w:tcPr>
                  <w:tcW w:w="415" w:type="pct"/>
                  <w:tcBorders>
                    <w:top w:val="nil"/>
                    <w:left w:val="nil"/>
                    <w:bottom w:val="single" w:color="auto" w:sz="4" w:space="0"/>
                    <w:right w:val="single" w:color="auto" w:sz="4" w:space="0"/>
                  </w:tcBorders>
                  <w:shd w:val="clear" w:color="000000" w:fill="FFFFFF"/>
                  <w:noWrap/>
                  <w:vAlign w:val="center"/>
                </w:tcPr>
                <w:p w14:paraId="58381B20">
                  <w:pPr>
                    <w:widowControl/>
                    <w:jc w:val="center"/>
                    <w:rPr>
                      <w:color w:val="EE0000"/>
                      <w:spacing w:val="-10"/>
                      <w:kern w:val="0"/>
                      <w:sz w:val="18"/>
                      <w:szCs w:val="18"/>
                      <w:u w:val="single"/>
                    </w:rPr>
                  </w:pPr>
                  <w:r>
                    <w:rPr>
                      <w:color w:val="EE0000"/>
                      <w:spacing w:val="-10"/>
                      <w:kern w:val="0"/>
                      <w:sz w:val="18"/>
                      <w:szCs w:val="18"/>
                      <w:u w:val="single"/>
                    </w:rPr>
                    <w:t>239.98</w:t>
                  </w:r>
                </w:p>
              </w:tc>
              <w:tc>
                <w:tcPr>
                  <w:tcW w:w="465" w:type="pct"/>
                  <w:tcBorders>
                    <w:top w:val="nil"/>
                    <w:left w:val="nil"/>
                    <w:bottom w:val="single" w:color="auto" w:sz="4" w:space="0"/>
                    <w:right w:val="single" w:color="auto" w:sz="4" w:space="0"/>
                  </w:tcBorders>
                  <w:shd w:val="clear" w:color="000000" w:fill="FFFFFF"/>
                  <w:noWrap/>
                  <w:vAlign w:val="center"/>
                </w:tcPr>
                <w:p w14:paraId="7B758D69">
                  <w:pPr>
                    <w:widowControl/>
                    <w:jc w:val="center"/>
                    <w:rPr>
                      <w:color w:val="EE0000"/>
                      <w:spacing w:val="-10"/>
                      <w:kern w:val="0"/>
                      <w:sz w:val="18"/>
                      <w:szCs w:val="18"/>
                      <w:u w:val="single"/>
                    </w:rPr>
                  </w:pPr>
                  <w:r>
                    <w:rPr>
                      <w:color w:val="EE0000"/>
                      <w:spacing w:val="-10"/>
                      <w:kern w:val="0"/>
                      <w:sz w:val="18"/>
                      <w:szCs w:val="18"/>
                      <w:u w:val="single"/>
                    </w:rPr>
                    <w:t>76.74</w:t>
                  </w:r>
                </w:p>
              </w:tc>
              <w:tc>
                <w:tcPr>
                  <w:tcW w:w="533" w:type="pct"/>
                  <w:tcBorders>
                    <w:top w:val="nil"/>
                    <w:left w:val="nil"/>
                    <w:bottom w:val="single" w:color="auto" w:sz="4" w:space="0"/>
                    <w:right w:val="single" w:color="auto" w:sz="4" w:space="0"/>
                  </w:tcBorders>
                  <w:shd w:val="clear" w:color="000000" w:fill="FFFFFF"/>
                  <w:noWrap/>
                  <w:vAlign w:val="center"/>
                </w:tcPr>
                <w:p w14:paraId="67BEFFD6">
                  <w:pPr>
                    <w:widowControl/>
                    <w:jc w:val="center"/>
                    <w:rPr>
                      <w:color w:val="EE0000"/>
                      <w:spacing w:val="-10"/>
                      <w:kern w:val="0"/>
                      <w:sz w:val="18"/>
                      <w:szCs w:val="18"/>
                      <w:u w:val="single"/>
                    </w:rPr>
                  </w:pPr>
                  <w:r>
                    <w:rPr>
                      <w:color w:val="EE0000"/>
                      <w:spacing w:val="-10"/>
                      <w:kern w:val="0"/>
                      <w:sz w:val="18"/>
                      <w:szCs w:val="18"/>
                      <w:u w:val="single"/>
                    </w:rPr>
                    <w:t>123.8</w:t>
                  </w:r>
                </w:p>
              </w:tc>
              <w:tc>
                <w:tcPr>
                  <w:tcW w:w="416" w:type="pct"/>
                  <w:tcBorders>
                    <w:top w:val="nil"/>
                    <w:left w:val="nil"/>
                    <w:bottom w:val="single" w:color="auto" w:sz="4" w:space="0"/>
                    <w:right w:val="single" w:color="auto" w:sz="4" w:space="0"/>
                  </w:tcBorders>
                  <w:shd w:val="clear" w:color="000000" w:fill="FFFFFF"/>
                  <w:noWrap/>
                  <w:vAlign w:val="center"/>
                </w:tcPr>
                <w:p w14:paraId="256996FA">
                  <w:pPr>
                    <w:widowControl/>
                    <w:jc w:val="center"/>
                    <w:rPr>
                      <w:color w:val="EE0000"/>
                      <w:spacing w:val="-10"/>
                      <w:kern w:val="0"/>
                      <w:sz w:val="18"/>
                      <w:szCs w:val="18"/>
                      <w:u w:val="single"/>
                    </w:rPr>
                  </w:pPr>
                  <w:r>
                    <w:rPr>
                      <w:color w:val="EE0000"/>
                      <w:spacing w:val="-10"/>
                      <w:kern w:val="0"/>
                      <w:sz w:val="18"/>
                      <w:szCs w:val="18"/>
                      <w:u w:val="single"/>
                    </w:rPr>
                    <w:t>2858.53</w:t>
                  </w:r>
                </w:p>
              </w:tc>
              <w:tc>
                <w:tcPr>
                  <w:tcW w:w="444" w:type="pct"/>
                  <w:tcBorders>
                    <w:top w:val="nil"/>
                    <w:left w:val="nil"/>
                    <w:bottom w:val="single" w:color="auto" w:sz="4" w:space="0"/>
                    <w:right w:val="single" w:color="auto" w:sz="4" w:space="0"/>
                  </w:tcBorders>
                  <w:shd w:val="clear" w:color="000000" w:fill="FFFFFF"/>
                  <w:noWrap/>
                  <w:vAlign w:val="center"/>
                </w:tcPr>
                <w:p w14:paraId="5ED1AD51">
                  <w:pPr>
                    <w:widowControl/>
                    <w:jc w:val="center"/>
                    <w:rPr>
                      <w:color w:val="EE0000"/>
                      <w:spacing w:val="-10"/>
                      <w:kern w:val="0"/>
                      <w:sz w:val="18"/>
                      <w:szCs w:val="18"/>
                      <w:u w:val="single"/>
                    </w:rPr>
                  </w:pPr>
                  <w:r>
                    <w:rPr>
                      <w:color w:val="EE0000"/>
                      <w:spacing w:val="-10"/>
                      <w:kern w:val="0"/>
                      <w:sz w:val="18"/>
                      <w:szCs w:val="18"/>
                      <w:u w:val="single"/>
                    </w:rPr>
                    <w:t>21.08</w:t>
                  </w:r>
                </w:p>
              </w:tc>
              <w:tc>
                <w:tcPr>
                  <w:tcW w:w="555" w:type="pct"/>
                  <w:tcBorders>
                    <w:top w:val="nil"/>
                    <w:left w:val="nil"/>
                    <w:bottom w:val="single" w:color="auto" w:sz="4" w:space="0"/>
                    <w:right w:val="single" w:color="auto" w:sz="4" w:space="0"/>
                  </w:tcBorders>
                  <w:shd w:val="clear" w:color="000000" w:fill="FFFFFF"/>
                  <w:noWrap/>
                  <w:vAlign w:val="center"/>
                </w:tcPr>
                <w:p w14:paraId="2CF2D49E">
                  <w:pPr>
                    <w:widowControl/>
                    <w:jc w:val="center"/>
                    <w:rPr>
                      <w:color w:val="EE0000"/>
                      <w:spacing w:val="-10"/>
                      <w:kern w:val="0"/>
                      <w:sz w:val="18"/>
                      <w:szCs w:val="18"/>
                      <w:u w:val="single"/>
                    </w:rPr>
                  </w:pPr>
                  <w:r>
                    <w:rPr>
                      <w:color w:val="EE0000"/>
                      <w:spacing w:val="-10"/>
                      <w:kern w:val="0"/>
                      <w:sz w:val="18"/>
                      <w:szCs w:val="18"/>
                      <w:u w:val="single"/>
                    </w:rPr>
                    <w:t>29.14</w:t>
                  </w:r>
                </w:p>
              </w:tc>
              <w:tc>
                <w:tcPr>
                  <w:tcW w:w="399" w:type="pct"/>
                  <w:tcBorders>
                    <w:top w:val="nil"/>
                    <w:left w:val="nil"/>
                    <w:bottom w:val="single" w:color="auto" w:sz="4" w:space="0"/>
                    <w:right w:val="single" w:color="auto" w:sz="4" w:space="0"/>
                  </w:tcBorders>
                  <w:shd w:val="clear" w:color="000000" w:fill="FFFFFF"/>
                  <w:noWrap/>
                  <w:vAlign w:val="center"/>
                </w:tcPr>
                <w:p w14:paraId="7AD38338">
                  <w:pPr>
                    <w:widowControl/>
                    <w:jc w:val="center"/>
                    <w:rPr>
                      <w:color w:val="EE0000"/>
                      <w:spacing w:val="-10"/>
                      <w:kern w:val="0"/>
                      <w:sz w:val="18"/>
                      <w:szCs w:val="18"/>
                      <w:u w:val="single"/>
                    </w:rPr>
                  </w:pPr>
                  <w:r>
                    <w:rPr>
                      <w:color w:val="EE0000"/>
                      <w:spacing w:val="-10"/>
                      <w:kern w:val="0"/>
                      <w:sz w:val="18"/>
                      <w:szCs w:val="18"/>
                      <w:u w:val="single"/>
                    </w:rPr>
                    <w:t>740.56</w:t>
                  </w:r>
                </w:p>
              </w:tc>
              <w:tc>
                <w:tcPr>
                  <w:tcW w:w="462" w:type="pct"/>
                  <w:tcBorders>
                    <w:top w:val="nil"/>
                    <w:left w:val="nil"/>
                    <w:bottom w:val="single" w:color="auto" w:sz="4" w:space="0"/>
                    <w:right w:val="single" w:color="auto" w:sz="4" w:space="0"/>
                  </w:tcBorders>
                  <w:shd w:val="clear" w:color="000000" w:fill="FFFFFF"/>
                  <w:noWrap/>
                  <w:vAlign w:val="center"/>
                </w:tcPr>
                <w:p w14:paraId="1F5DE2AC">
                  <w:pPr>
                    <w:widowControl/>
                    <w:jc w:val="center"/>
                    <w:rPr>
                      <w:color w:val="EE0000"/>
                      <w:spacing w:val="-10"/>
                      <w:kern w:val="0"/>
                      <w:sz w:val="18"/>
                      <w:szCs w:val="18"/>
                      <w:u w:val="single"/>
                    </w:rPr>
                  </w:pPr>
                  <w:r>
                    <w:rPr>
                      <w:color w:val="EE0000"/>
                      <w:spacing w:val="-10"/>
                      <w:kern w:val="0"/>
                      <w:sz w:val="18"/>
                      <w:szCs w:val="18"/>
                      <w:u w:val="single"/>
                    </w:rPr>
                    <w:t>36022017.79</w:t>
                  </w:r>
                </w:p>
              </w:tc>
            </w:tr>
            <w:tr w14:paraId="74BB0BBA">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3F7AF5F7">
                  <w:pPr>
                    <w:widowControl/>
                    <w:jc w:val="center"/>
                    <w:rPr>
                      <w:color w:val="EE0000"/>
                      <w:spacing w:val="-10"/>
                      <w:kern w:val="0"/>
                      <w:sz w:val="18"/>
                      <w:szCs w:val="18"/>
                      <w:u w:val="single"/>
                    </w:rPr>
                  </w:pPr>
                  <w:r>
                    <w:rPr>
                      <w:color w:val="EE0000"/>
                      <w:spacing w:val="-10"/>
                      <w:kern w:val="0"/>
                      <w:sz w:val="18"/>
                      <w:szCs w:val="18"/>
                      <w:u w:val="single"/>
                    </w:rPr>
                    <w:t>2021-07</w:t>
                  </w:r>
                </w:p>
              </w:tc>
              <w:tc>
                <w:tcPr>
                  <w:tcW w:w="438" w:type="pct"/>
                  <w:tcBorders>
                    <w:top w:val="nil"/>
                    <w:left w:val="nil"/>
                    <w:bottom w:val="single" w:color="auto" w:sz="4" w:space="0"/>
                    <w:right w:val="single" w:color="auto" w:sz="4" w:space="0"/>
                  </w:tcBorders>
                  <w:shd w:val="clear" w:color="000000" w:fill="FFFFFF"/>
                  <w:noWrap/>
                  <w:vAlign w:val="center"/>
                </w:tcPr>
                <w:p w14:paraId="6B3AEC0E">
                  <w:pPr>
                    <w:widowControl/>
                    <w:jc w:val="center"/>
                    <w:rPr>
                      <w:color w:val="EE0000"/>
                      <w:spacing w:val="-10"/>
                      <w:kern w:val="0"/>
                      <w:sz w:val="18"/>
                      <w:szCs w:val="18"/>
                      <w:u w:val="single"/>
                    </w:rPr>
                  </w:pPr>
                  <w:r>
                    <w:rPr>
                      <w:color w:val="EE0000"/>
                      <w:spacing w:val="-10"/>
                      <w:kern w:val="0"/>
                      <w:sz w:val="18"/>
                      <w:szCs w:val="18"/>
                      <w:u w:val="single"/>
                    </w:rPr>
                    <w:t>7.92</w:t>
                  </w:r>
                </w:p>
              </w:tc>
              <w:tc>
                <w:tcPr>
                  <w:tcW w:w="512" w:type="pct"/>
                  <w:tcBorders>
                    <w:top w:val="nil"/>
                    <w:left w:val="nil"/>
                    <w:bottom w:val="single" w:color="auto" w:sz="4" w:space="0"/>
                    <w:right w:val="single" w:color="auto" w:sz="4" w:space="0"/>
                  </w:tcBorders>
                  <w:shd w:val="clear" w:color="000000" w:fill="FFFFFF"/>
                  <w:noWrap/>
                  <w:vAlign w:val="center"/>
                </w:tcPr>
                <w:p w14:paraId="4E7EC16F">
                  <w:pPr>
                    <w:widowControl/>
                    <w:jc w:val="center"/>
                    <w:rPr>
                      <w:color w:val="EE0000"/>
                      <w:spacing w:val="-10"/>
                      <w:kern w:val="0"/>
                      <w:sz w:val="18"/>
                      <w:szCs w:val="18"/>
                      <w:u w:val="single"/>
                    </w:rPr>
                  </w:pPr>
                  <w:r>
                    <w:rPr>
                      <w:color w:val="EE0000"/>
                      <w:spacing w:val="-10"/>
                      <w:kern w:val="0"/>
                      <w:sz w:val="18"/>
                      <w:szCs w:val="18"/>
                      <w:u w:val="single"/>
                    </w:rPr>
                    <w:t>20.74</w:t>
                  </w:r>
                </w:p>
              </w:tc>
              <w:tc>
                <w:tcPr>
                  <w:tcW w:w="415" w:type="pct"/>
                  <w:tcBorders>
                    <w:top w:val="nil"/>
                    <w:left w:val="nil"/>
                    <w:bottom w:val="single" w:color="auto" w:sz="4" w:space="0"/>
                    <w:right w:val="single" w:color="auto" w:sz="4" w:space="0"/>
                  </w:tcBorders>
                  <w:shd w:val="clear" w:color="000000" w:fill="FFFFFF"/>
                  <w:noWrap/>
                  <w:vAlign w:val="center"/>
                </w:tcPr>
                <w:p w14:paraId="6FCF8BF9">
                  <w:pPr>
                    <w:widowControl/>
                    <w:jc w:val="center"/>
                    <w:rPr>
                      <w:color w:val="EE0000"/>
                      <w:spacing w:val="-10"/>
                      <w:kern w:val="0"/>
                      <w:sz w:val="18"/>
                      <w:szCs w:val="18"/>
                      <w:u w:val="single"/>
                    </w:rPr>
                  </w:pPr>
                  <w:r>
                    <w:rPr>
                      <w:color w:val="EE0000"/>
                      <w:spacing w:val="-10"/>
                      <w:kern w:val="0"/>
                      <w:sz w:val="18"/>
                      <w:szCs w:val="18"/>
                      <w:u w:val="single"/>
                    </w:rPr>
                    <w:t>349.11</w:t>
                  </w:r>
                </w:p>
              </w:tc>
              <w:tc>
                <w:tcPr>
                  <w:tcW w:w="465" w:type="pct"/>
                  <w:tcBorders>
                    <w:top w:val="nil"/>
                    <w:left w:val="nil"/>
                    <w:bottom w:val="single" w:color="auto" w:sz="4" w:space="0"/>
                    <w:right w:val="single" w:color="auto" w:sz="4" w:space="0"/>
                  </w:tcBorders>
                  <w:shd w:val="clear" w:color="000000" w:fill="FFFFFF"/>
                  <w:noWrap/>
                  <w:vAlign w:val="center"/>
                </w:tcPr>
                <w:p w14:paraId="0839C8B2">
                  <w:pPr>
                    <w:widowControl/>
                    <w:jc w:val="center"/>
                    <w:rPr>
                      <w:color w:val="EE0000"/>
                      <w:spacing w:val="-10"/>
                      <w:kern w:val="0"/>
                      <w:sz w:val="18"/>
                      <w:szCs w:val="18"/>
                      <w:u w:val="single"/>
                    </w:rPr>
                  </w:pPr>
                  <w:r>
                    <w:rPr>
                      <w:color w:val="EE0000"/>
                      <w:spacing w:val="-10"/>
                      <w:kern w:val="0"/>
                      <w:sz w:val="18"/>
                      <w:szCs w:val="18"/>
                      <w:u w:val="single"/>
                    </w:rPr>
                    <w:t>60.25</w:t>
                  </w:r>
                </w:p>
              </w:tc>
              <w:tc>
                <w:tcPr>
                  <w:tcW w:w="533" w:type="pct"/>
                  <w:tcBorders>
                    <w:top w:val="nil"/>
                    <w:left w:val="nil"/>
                    <w:bottom w:val="single" w:color="auto" w:sz="4" w:space="0"/>
                    <w:right w:val="single" w:color="auto" w:sz="4" w:space="0"/>
                  </w:tcBorders>
                  <w:shd w:val="clear" w:color="000000" w:fill="FFFFFF"/>
                  <w:noWrap/>
                  <w:vAlign w:val="center"/>
                </w:tcPr>
                <w:p w14:paraId="2BD5043F">
                  <w:pPr>
                    <w:widowControl/>
                    <w:jc w:val="center"/>
                    <w:rPr>
                      <w:color w:val="EE0000"/>
                      <w:spacing w:val="-10"/>
                      <w:kern w:val="0"/>
                      <w:sz w:val="18"/>
                      <w:szCs w:val="18"/>
                      <w:u w:val="single"/>
                    </w:rPr>
                  </w:pPr>
                  <w:r>
                    <w:rPr>
                      <w:color w:val="EE0000"/>
                      <w:spacing w:val="-10"/>
                      <w:kern w:val="0"/>
                      <w:sz w:val="18"/>
                      <w:szCs w:val="18"/>
                      <w:u w:val="single"/>
                    </w:rPr>
                    <w:t>90.61</w:t>
                  </w:r>
                </w:p>
              </w:tc>
              <w:tc>
                <w:tcPr>
                  <w:tcW w:w="416" w:type="pct"/>
                  <w:tcBorders>
                    <w:top w:val="nil"/>
                    <w:left w:val="nil"/>
                    <w:bottom w:val="single" w:color="auto" w:sz="4" w:space="0"/>
                    <w:right w:val="single" w:color="auto" w:sz="4" w:space="0"/>
                  </w:tcBorders>
                  <w:shd w:val="clear" w:color="000000" w:fill="FFFFFF"/>
                  <w:noWrap/>
                  <w:vAlign w:val="center"/>
                </w:tcPr>
                <w:p w14:paraId="2610A57A">
                  <w:pPr>
                    <w:widowControl/>
                    <w:jc w:val="center"/>
                    <w:rPr>
                      <w:color w:val="EE0000"/>
                      <w:spacing w:val="-10"/>
                      <w:kern w:val="0"/>
                      <w:sz w:val="18"/>
                      <w:szCs w:val="18"/>
                      <w:u w:val="single"/>
                    </w:rPr>
                  </w:pPr>
                  <w:r>
                    <w:rPr>
                      <w:color w:val="EE0000"/>
                      <w:spacing w:val="-10"/>
                      <w:kern w:val="0"/>
                      <w:sz w:val="18"/>
                      <w:szCs w:val="18"/>
                      <w:u w:val="single"/>
                    </w:rPr>
                    <w:t>2633.92</w:t>
                  </w:r>
                </w:p>
              </w:tc>
              <w:tc>
                <w:tcPr>
                  <w:tcW w:w="444" w:type="pct"/>
                  <w:tcBorders>
                    <w:top w:val="nil"/>
                    <w:left w:val="nil"/>
                    <w:bottom w:val="single" w:color="auto" w:sz="4" w:space="0"/>
                    <w:right w:val="single" w:color="auto" w:sz="4" w:space="0"/>
                  </w:tcBorders>
                  <w:shd w:val="clear" w:color="000000" w:fill="FFFFFF"/>
                  <w:noWrap/>
                  <w:vAlign w:val="center"/>
                </w:tcPr>
                <w:p w14:paraId="67A902D3">
                  <w:pPr>
                    <w:widowControl/>
                    <w:jc w:val="center"/>
                    <w:rPr>
                      <w:color w:val="EE0000"/>
                      <w:spacing w:val="-10"/>
                      <w:kern w:val="0"/>
                      <w:sz w:val="18"/>
                      <w:szCs w:val="18"/>
                      <w:u w:val="single"/>
                    </w:rPr>
                  </w:pPr>
                  <w:r>
                    <w:rPr>
                      <w:color w:val="EE0000"/>
                      <w:spacing w:val="-10"/>
                      <w:kern w:val="0"/>
                      <w:sz w:val="18"/>
                      <w:szCs w:val="18"/>
                      <w:u w:val="single"/>
                    </w:rPr>
                    <w:t>17.68</w:t>
                  </w:r>
                </w:p>
              </w:tc>
              <w:tc>
                <w:tcPr>
                  <w:tcW w:w="555" w:type="pct"/>
                  <w:tcBorders>
                    <w:top w:val="nil"/>
                    <w:left w:val="nil"/>
                    <w:bottom w:val="single" w:color="auto" w:sz="4" w:space="0"/>
                    <w:right w:val="single" w:color="auto" w:sz="4" w:space="0"/>
                  </w:tcBorders>
                  <w:shd w:val="clear" w:color="000000" w:fill="FFFFFF"/>
                  <w:noWrap/>
                  <w:vAlign w:val="center"/>
                </w:tcPr>
                <w:p w14:paraId="59DE39C2">
                  <w:pPr>
                    <w:widowControl/>
                    <w:jc w:val="center"/>
                    <w:rPr>
                      <w:color w:val="EE0000"/>
                      <w:spacing w:val="-10"/>
                      <w:kern w:val="0"/>
                      <w:sz w:val="18"/>
                      <w:szCs w:val="18"/>
                      <w:u w:val="single"/>
                    </w:rPr>
                  </w:pPr>
                  <w:r>
                    <w:rPr>
                      <w:color w:val="EE0000"/>
                      <w:spacing w:val="-10"/>
                      <w:kern w:val="0"/>
                      <w:sz w:val="18"/>
                      <w:szCs w:val="18"/>
                      <w:u w:val="single"/>
                    </w:rPr>
                    <w:t>25.85</w:t>
                  </w:r>
                </w:p>
              </w:tc>
              <w:tc>
                <w:tcPr>
                  <w:tcW w:w="399" w:type="pct"/>
                  <w:tcBorders>
                    <w:top w:val="nil"/>
                    <w:left w:val="nil"/>
                    <w:bottom w:val="single" w:color="auto" w:sz="4" w:space="0"/>
                    <w:right w:val="single" w:color="auto" w:sz="4" w:space="0"/>
                  </w:tcBorders>
                  <w:shd w:val="clear" w:color="000000" w:fill="FFFFFF"/>
                  <w:noWrap/>
                  <w:vAlign w:val="center"/>
                </w:tcPr>
                <w:p w14:paraId="3D5AB0E7">
                  <w:pPr>
                    <w:widowControl/>
                    <w:jc w:val="center"/>
                    <w:rPr>
                      <w:color w:val="EE0000"/>
                      <w:spacing w:val="-10"/>
                      <w:kern w:val="0"/>
                      <w:sz w:val="18"/>
                      <w:szCs w:val="18"/>
                      <w:u w:val="single"/>
                    </w:rPr>
                  </w:pPr>
                  <w:r>
                    <w:rPr>
                      <w:color w:val="EE0000"/>
                      <w:spacing w:val="-10"/>
                      <w:kern w:val="0"/>
                      <w:sz w:val="18"/>
                      <w:szCs w:val="18"/>
                      <w:u w:val="single"/>
                    </w:rPr>
                    <w:t>792.48</w:t>
                  </w:r>
                </w:p>
              </w:tc>
              <w:tc>
                <w:tcPr>
                  <w:tcW w:w="462" w:type="pct"/>
                  <w:tcBorders>
                    <w:top w:val="nil"/>
                    <w:left w:val="nil"/>
                    <w:bottom w:val="single" w:color="auto" w:sz="4" w:space="0"/>
                    <w:right w:val="single" w:color="auto" w:sz="4" w:space="0"/>
                  </w:tcBorders>
                  <w:shd w:val="clear" w:color="000000" w:fill="FFFFFF"/>
                  <w:noWrap/>
                  <w:vAlign w:val="center"/>
                </w:tcPr>
                <w:p w14:paraId="5B415732">
                  <w:pPr>
                    <w:widowControl/>
                    <w:jc w:val="center"/>
                    <w:rPr>
                      <w:color w:val="EE0000"/>
                      <w:spacing w:val="-10"/>
                      <w:kern w:val="0"/>
                      <w:sz w:val="18"/>
                      <w:szCs w:val="18"/>
                      <w:u w:val="single"/>
                    </w:rPr>
                  </w:pPr>
                  <w:r>
                    <w:rPr>
                      <w:color w:val="EE0000"/>
                      <w:spacing w:val="-10"/>
                      <w:kern w:val="0"/>
                      <w:sz w:val="18"/>
                      <w:szCs w:val="18"/>
                      <w:u w:val="single"/>
                    </w:rPr>
                    <w:t>37563904.43</w:t>
                  </w:r>
                </w:p>
              </w:tc>
            </w:tr>
            <w:tr w14:paraId="49067F5F">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46BDD45C">
                  <w:pPr>
                    <w:widowControl/>
                    <w:jc w:val="center"/>
                    <w:rPr>
                      <w:color w:val="EE0000"/>
                      <w:spacing w:val="-10"/>
                      <w:kern w:val="0"/>
                      <w:sz w:val="18"/>
                      <w:szCs w:val="18"/>
                      <w:u w:val="single"/>
                    </w:rPr>
                  </w:pPr>
                  <w:r>
                    <w:rPr>
                      <w:color w:val="EE0000"/>
                      <w:spacing w:val="-10"/>
                      <w:kern w:val="0"/>
                      <w:sz w:val="18"/>
                      <w:szCs w:val="18"/>
                      <w:u w:val="single"/>
                    </w:rPr>
                    <w:t>2021-08</w:t>
                  </w:r>
                </w:p>
              </w:tc>
              <w:tc>
                <w:tcPr>
                  <w:tcW w:w="438" w:type="pct"/>
                  <w:tcBorders>
                    <w:top w:val="nil"/>
                    <w:left w:val="nil"/>
                    <w:bottom w:val="single" w:color="auto" w:sz="4" w:space="0"/>
                    <w:right w:val="single" w:color="auto" w:sz="4" w:space="0"/>
                  </w:tcBorders>
                  <w:shd w:val="clear" w:color="000000" w:fill="FFFFFF"/>
                  <w:noWrap/>
                  <w:vAlign w:val="center"/>
                </w:tcPr>
                <w:p w14:paraId="7B889593">
                  <w:pPr>
                    <w:widowControl/>
                    <w:jc w:val="center"/>
                    <w:rPr>
                      <w:color w:val="EE0000"/>
                      <w:spacing w:val="-10"/>
                      <w:kern w:val="0"/>
                      <w:sz w:val="18"/>
                      <w:szCs w:val="18"/>
                      <w:u w:val="single"/>
                    </w:rPr>
                  </w:pPr>
                  <w:r>
                    <w:rPr>
                      <w:color w:val="EE0000"/>
                      <w:spacing w:val="-10"/>
                      <w:kern w:val="0"/>
                      <w:sz w:val="18"/>
                      <w:szCs w:val="18"/>
                      <w:u w:val="single"/>
                    </w:rPr>
                    <w:t>9.04</w:t>
                  </w:r>
                </w:p>
              </w:tc>
              <w:tc>
                <w:tcPr>
                  <w:tcW w:w="512" w:type="pct"/>
                  <w:tcBorders>
                    <w:top w:val="nil"/>
                    <w:left w:val="nil"/>
                    <w:bottom w:val="single" w:color="auto" w:sz="4" w:space="0"/>
                    <w:right w:val="single" w:color="auto" w:sz="4" w:space="0"/>
                  </w:tcBorders>
                  <w:shd w:val="clear" w:color="000000" w:fill="FFFFFF"/>
                  <w:noWrap/>
                  <w:vAlign w:val="center"/>
                </w:tcPr>
                <w:p w14:paraId="41DF2588">
                  <w:pPr>
                    <w:widowControl/>
                    <w:jc w:val="center"/>
                    <w:rPr>
                      <w:color w:val="EE0000"/>
                      <w:spacing w:val="-10"/>
                      <w:kern w:val="0"/>
                      <w:sz w:val="18"/>
                      <w:szCs w:val="18"/>
                      <w:u w:val="single"/>
                    </w:rPr>
                  </w:pPr>
                  <w:r>
                    <w:rPr>
                      <w:color w:val="EE0000"/>
                      <w:spacing w:val="-10"/>
                      <w:kern w:val="0"/>
                      <w:sz w:val="18"/>
                      <w:szCs w:val="18"/>
                      <w:u w:val="single"/>
                    </w:rPr>
                    <w:t>13.14</w:t>
                  </w:r>
                </w:p>
              </w:tc>
              <w:tc>
                <w:tcPr>
                  <w:tcW w:w="415" w:type="pct"/>
                  <w:tcBorders>
                    <w:top w:val="nil"/>
                    <w:left w:val="nil"/>
                    <w:bottom w:val="single" w:color="auto" w:sz="4" w:space="0"/>
                    <w:right w:val="single" w:color="auto" w:sz="4" w:space="0"/>
                  </w:tcBorders>
                  <w:shd w:val="clear" w:color="000000" w:fill="FFFFFF"/>
                  <w:noWrap/>
                  <w:vAlign w:val="center"/>
                </w:tcPr>
                <w:p w14:paraId="28AFB96F">
                  <w:pPr>
                    <w:widowControl/>
                    <w:jc w:val="center"/>
                    <w:rPr>
                      <w:color w:val="EE0000"/>
                      <w:spacing w:val="-10"/>
                      <w:kern w:val="0"/>
                      <w:sz w:val="18"/>
                      <w:szCs w:val="18"/>
                      <w:u w:val="single"/>
                    </w:rPr>
                  </w:pPr>
                  <w:r>
                    <w:rPr>
                      <w:color w:val="EE0000"/>
                      <w:spacing w:val="-10"/>
                      <w:kern w:val="0"/>
                      <w:sz w:val="18"/>
                      <w:szCs w:val="18"/>
                      <w:u w:val="single"/>
                    </w:rPr>
                    <w:t>452.74</w:t>
                  </w:r>
                </w:p>
              </w:tc>
              <w:tc>
                <w:tcPr>
                  <w:tcW w:w="465" w:type="pct"/>
                  <w:tcBorders>
                    <w:top w:val="nil"/>
                    <w:left w:val="nil"/>
                    <w:bottom w:val="single" w:color="auto" w:sz="4" w:space="0"/>
                    <w:right w:val="single" w:color="auto" w:sz="4" w:space="0"/>
                  </w:tcBorders>
                  <w:shd w:val="clear" w:color="000000" w:fill="FFFFFF"/>
                  <w:noWrap/>
                  <w:vAlign w:val="center"/>
                </w:tcPr>
                <w:p w14:paraId="7869A7CB">
                  <w:pPr>
                    <w:widowControl/>
                    <w:jc w:val="center"/>
                    <w:rPr>
                      <w:color w:val="EE0000"/>
                      <w:spacing w:val="-10"/>
                      <w:kern w:val="0"/>
                      <w:sz w:val="18"/>
                      <w:szCs w:val="18"/>
                      <w:u w:val="single"/>
                    </w:rPr>
                  </w:pPr>
                  <w:r>
                    <w:rPr>
                      <w:color w:val="EE0000"/>
                      <w:spacing w:val="-10"/>
                      <w:kern w:val="0"/>
                      <w:sz w:val="18"/>
                      <w:szCs w:val="18"/>
                      <w:u w:val="single"/>
                    </w:rPr>
                    <w:t>69.54</w:t>
                  </w:r>
                </w:p>
              </w:tc>
              <w:tc>
                <w:tcPr>
                  <w:tcW w:w="533" w:type="pct"/>
                  <w:tcBorders>
                    <w:top w:val="nil"/>
                    <w:left w:val="nil"/>
                    <w:bottom w:val="single" w:color="auto" w:sz="4" w:space="0"/>
                    <w:right w:val="single" w:color="auto" w:sz="4" w:space="0"/>
                  </w:tcBorders>
                  <w:shd w:val="clear" w:color="000000" w:fill="FFFFFF"/>
                  <w:noWrap/>
                  <w:vAlign w:val="center"/>
                </w:tcPr>
                <w:p w14:paraId="08571A19">
                  <w:pPr>
                    <w:widowControl/>
                    <w:jc w:val="center"/>
                    <w:rPr>
                      <w:color w:val="EE0000"/>
                      <w:spacing w:val="-10"/>
                      <w:kern w:val="0"/>
                      <w:sz w:val="18"/>
                      <w:szCs w:val="18"/>
                      <w:u w:val="single"/>
                    </w:rPr>
                  </w:pPr>
                  <w:r>
                    <w:rPr>
                      <w:color w:val="EE0000"/>
                      <w:spacing w:val="-10"/>
                      <w:kern w:val="0"/>
                      <w:sz w:val="18"/>
                      <w:szCs w:val="18"/>
                      <w:u w:val="single"/>
                    </w:rPr>
                    <w:t>99.93</w:t>
                  </w:r>
                </w:p>
              </w:tc>
              <w:tc>
                <w:tcPr>
                  <w:tcW w:w="416" w:type="pct"/>
                  <w:tcBorders>
                    <w:top w:val="nil"/>
                    <w:left w:val="nil"/>
                    <w:bottom w:val="single" w:color="auto" w:sz="4" w:space="0"/>
                    <w:right w:val="single" w:color="auto" w:sz="4" w:space="0"/>
                  </w:tcBorders>
                  <w:shd w:val="clear" w:color="000000" w:fill="FFFFFF"/>
                  <w:noWrap/>
                  <w:vAlign w:val="center"/>
                </w:tcPr>
                <w:p w14:paraId="1090F498">
                  <w:pPr>
                    <w:widowControl/>
                    <w:jc w:val="center"/>
                    <w:rPr>
                      <w:color w:val="EE0000"/>
                      <w:spacing w:val="-10"/>
                      <w:kern w:val="0"/>
                      <w:sz w:val="18"/>
                      <w:szCs w:val="18"/>
                      <w:u w:val="single"/>
                    </w:rPr>
                  </w:pPr>
                  <w:r>
                    <w:rPr>
                      <w:color w:val="EE0000"/>
                      <w:spacing w:val="-10"/>
                      <w:kern w:val="0"/>
                      <w:sz w:val="18"/>
                      <w:szCs w:val="18"/>
                      <w:u w:val="single"/>
                    </w:rPr>
                    <w:t>3584.43</w:t>
                  </w:r>
                </w:p>
              </w:tc>
              <w:tc>
                <w:tcPr>
                  <w:tcW w:w="444" w:type="pct"/>
                  <w:tcBorders>
                    <w:top w:val="nil"/>
                    <w:left w:val="nil"/>
                    <w:bottom w:val="single" w:color="auto" w:sz="4" w:space="0"/>
                    <w:right w:val="single" w:color="auto" w:sz="4" w:space="0"/>
                  </w:tcBorders>
                  <w:shd w:val="clear" w:color="000000" w:fill="FFFFFF"/>
                  <w:noWrap/>
                  <w:vAlign w:val="center"/>
                </w:tcPr>
                <w:p w14:paraId="240437F3">
                  <w:pPr>
                    <w:widowControl/>
                    <w:jc w:val="center"/>
                    <w:rPr>
                      <w:color w:val="EE0000"/>
                      <w:spacing w:val="-10"/>
                      <w:kern w:val="0"/>
                      <w:sz w:val="18"/>
                      <w:szCs w:val="18"/>
                      <w:u w:val="single"/>
                    </w:rPr>
                  </w:pPr>
                  <w:r>
                    <w:rPr>
                      <w:color w:val="EE0000"/>
                      <w:spacing w:val="-10"/>
                      <w:kern w:val="0"/>
                      <w:sz w:val="18"/>
                      <w:szCs w:val="18"/>
                      <w:u w:val="single"/>
                    </w:rPr>
                    <w:t>20.81</w:t>
                  </w:r>
                </w:p>
              </w:tc>
              <w:tc>
                <w:tcPr>
                  <w:tcW w:w="555" w:type="pct"/>
                  <w:tcBorders>
                    <w:top w:val="nil"/>
                    <w:left w:val="nil"/>
                    <w:bottom w:val="single" w:color="auto" w:sz="4" w:space="0"/>
                    <w:right w:val="single" w:color="auto" w:sz="4" w:space="0"/>
                  </w:tcBorders>
                  <w:shd w:val="clear" w:color="000000" w:fill="FFFFFF"/>
                  <w:noWrap/>
                  <w:vAlign w:val="center"/>
                </w:tcPr>
                <w:p w14:paraId="50E318C1">
                  <w:pPr>
                    <w:widowControl/>
                    <w:jc w:val="center"/>
                    <w:rPr>
                      <w:color w:val="EE0000"/>
                      <w:spacing w:val="-10"/>
                      <w:kern w:val="0"/>
                      <w:sz w:val="18"/>
                      <w:szCs w:val="18"/>
                      <w:u w:val="single"/>
                    </w:rPr>
                  </w:pPr>
                  <w:r>
                    <w:rPr>
                      <w:color w:val="EE0000"/>
                      <w:spacing w:val="-10"/>
                      <w:kern w:val="0"/>
                      <w:sz w:val="18"/>
                      <w:szCs w:val="18"/>
                      <w:u w:val="single"/>
                    </w:rPr>
                    <w:t>29.32</w:t>
                  </w:r>
                </w:p>
              </w:tc>
              <w:tc>
                <w:tcPr>
                  <w:tcW w:w="399" w:type="pct"/>
                  <w:tcBorders>
                    <w:top w:val="nil"/>
                    <w:left w:val="nil"/>
                    <w:bottom w:val="single" w:color="auto" w:sz="4" w:space="0"/>
                    <w:right w:val="single" w:color="auto" w:sz="4" w:space="0"/>
                  </w:tcBorders>
                  <w:shd w:val="clear" w:color="000000" w:fill="FFFFFF"/>
                  <w:noWrap/>
                  <w:vAlign w:val="center"/>
                </w:tcPr>
                <w:p w14:paraId="333975C9">
                  <w:pPr>
                    <w:widowControl/>
                    <w:jc w:val="center"/>
                    <w:rPr>
                      <w:color w:val="EE0000"/>
                      <w:spacing w:val="-10"/>
                      <w:kern w:val="0"/>
                      <w:sz w:val="18"/>
                      <w:szCs w:val="18"/>
                      <w:u w:val="single"/>
                    </w:rPr>
                  </w:pPr>
                  <w:r>
                    <w:rPr>
                      <w:color w:val="EE0000"/>
                      <w:spacing w:val="-10"/>
                      <w:kern w:val="0"/>
                      <w:sz w:val="18"/>
                      <w:szCs w:val="18"/>
                      <w:u w:val="single"/>
                    </w:rPr>
                    <w:t>1063.69</w:t>
                  </w:r>
                </w:p>
              </w:tc>
              <w:tc>
                <w:tcPr>
                  <w:tcW w:w="462" w:type="pct"/>
                  <w:tcBorders>
                    <w:top w:val="nil"/>
                    <w:left w:val="nil"/>
                    <w:bottom w:val="single" w:color="auto" w:sz="4" w:space="0"/>
                    <w:right w:val="single" w:color="auto" w:sz="4" w:space="0"/>
                  </w:tcBorders>
                  <w:shd w:val="clear" w:color="000000" w:fill="FFFFFF"/>
                  <w:noWrap/>
                  <w:vAlign w:val="center"/>
                </w:tcPr>
                <w:p w14:paraId="3E687969">
                  <w:pPr>
                    <w:widowControl/>
                    <w:jc w:val="center"/>
                    <w:rPr>
                      <w:color w:val="EE0000"/>
                      <w:spacing w:val="-10"/>
                      <w:kern w:val="0"/>
                      <w:sz w:val="18"/>
                      <w:szCs w:val="18"/>
                      <w:u w:val="single"/>
                    </w:rPr>
                  </w:pPr>
                  <w:r>
                    <w:rPr>
                      <w:color w:val="EE0000"/>
                      <w:spacing w:val="-10"/>
                      <w:kern w:val="0"/>
                      <w:sz w:val="18"/>
                      <w:szCs w:val="18"/>
                      <w:u w:val="single"/>
                    </w:rPr>
                    <w:t>50125221.29</w:t>
                  </w:r>
                </w:p>
              </w:tc>
            </w:tr>
            <w:tr w14:paraId="1407DDC1">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19512B44">
                  <w:pPr>
                    <w:widowControl/>
                    <w:jc w:val="center"/>
                    <w:rPr>
                      <w:color w:val="EE0000"/>
                      <w:spacing w:val="-10"/>
                      <w:kern w:val="0"/>
                      <w:sz w:val="18"/>
                      <w:szCs w:val="18"/>
                      <w:u w:val="single"/>
                    </w:rPr>
                  </w:pPr>
                  <w:r>
                    <w:rPr>
                      <w:color w:val="EE0000"/>
                      <w:spacing w:val="-10"/>
                      <w:kern w:val="0"/>
                      <w:sz w:val="18"/>
                      <w:szCs w:val="18"/>
                      <w:u w:val="single"/>
                    </w:rPr>
                    <w:t>2021-09</w:t>
                  </w:r>
                </w:p>
              </w:tc>
              <w:tc>
                <w:tcPr>
                  <w:tcW w:w="438" w:type="pct"/>
                  <w:tcBorders>
                    <w:top w:val="nil"/>
                    <w:left w:val="nil"/>
                    <w:bottom w:val="single" w:color="auto" w:sz="4" w:space="0"/>
                    <w:right w:val="single" w:color="auto" w:sz="4" w:space="0"/>
                  </w:tcBorders>
                  <w:shd w:val="clear" w:color="000000" w:fill="FFFFFF"/>
                  <w:noWrap/>
                  <w:vAlign w:val="center"/>
                </w:tcPr>
                <w:p w14:paraId="59F59BAE">
                  <w:pPr>
                    <w:widowControl/>
                    <w:jc w:val="center"/>
                    <w:rPr>
                      <w:color w:val="EE0000"/>
                      <w:spacing w:val="-10"/>
                      <w:kern w:val="0"/>
                      <w:sz w:val="18"/>
                      <w:szCs w:val="18"/>
                      <w:u w:val="single"/>
                    </w:rPr>
                  </w:pPr>
                  <w:r>
                    <w:rPr>
                      <w:color w:val="EE0000"/>
                      <w:spacing w:val="-10"/>
                      <w:kern w:val="0"/>
                      <w:sz w:val="18"/>
                      <w:szCs w:val="18"/>
                      <w:u w:val="single"/>
                    </w:rPr>
                    <w:t>4.87</w:t>
                  </w:r>
                </w:p>
              </w:tc>
              <w:tc>
                <w:tcPr>
                  <w:tcW w:w="512" w:type="pct"/>
                  <w:tcBorders>
                    <w:top w:val="nil"/>
                    <w:left w:val="nil"/>
                    <w:bottom w:val="single" w:color="auto" w:sz="4" w:space="0"/>
                    <w:right w:val="single" w:color="auto" w:sz="4" w:space="0"/>
                  </w:tcBorders>
                  <w:shd w:val="clear" w:color="000000" w:fill="FFFFFF"/>
                  <w:noWrap/>
                  <w:vAlign w:val="center"/>
                </w:tcPr>
                <w:p w14:paraId="3E624318">
                  <w:pPr>
                    <w:widowControl/>
                    <w:jc w:val="center"/>
                    <w:rPr>
                      <w:color w:val="EE0000"/>
                      <w:spacing w:val="-10"/>
                      <w:kern w:val="0"/>
                      <w:sz w:val="18"/>
                      <w:szCs w:val="18"/>
                      <w:u w:val="single"/>
                    </w:rPr>
                  </w:pPr>
                  <w:r>
                    <w:rPr>
                      <w:color w:val="EE0000"/>
                      <w:spacing w:val="-10"/>
                      <w:kern w:val="0"/>
                      <w:sz w:val="18"/>
                      <w:szCs w:val="18"/>
                      <w:u w:val="single"/>
                    </w:rPr>
                    <w:t>9.43</w:t>
                  </w:r>
                </w:p>
              </w:tc>
              <w:tc>
                <w:tcPr>
                  <w:tcW w:w="415" w:type="pct"/>
                  <w:tcBorders>
                    <w:top w:val="nil"/>
                    <w:left w:val="nil"/>
                    <w:bottom w:val="single" w:color="auto" w:sz="4" w:space="0"/>
                    <w:right w:val="single" w:color="auto" w:sz="4" w:space="0"/>
                  </w:tcBorders>
                  <w:shd w:val="clear" w:color="000000" w:fill="FFFFFF"/>
                  <w:noWrap/>
                  <w:vAlign w:val="center"/>
                </w:tcPr>
                <w:p w14:paraId="5AB4C43D">
                  <w:pPr>
                    <w:widowControl/>
                    <w:jc w:val="center"/>
                    <w:rPr>
                      <w:color w:val="EE0000"/>
                      <w:spacing w:val="-10"/>
                      <w:kern w:val="0"/>
                      <w:sz w:val="18"/>
                      <w:szCs w:val="18"/>
                      <w:u w:val="single"/>
                    </w:rPr>
                  </w:pPr>
                  <w:r>
                    <w:rPr>
                      <w:color w:val="EE0000"/>
                      <w:spacing w:val="-10"/>
                      <w:kern w:val="0"/>
                      <w:sz w:val="18"/>
                      <w:szCs w:val="18"/>
                      <w:u w:val="single"/>
                    </w:rPr>
                    <w:t>171.19</w:t>
                  </w:r>
                </w:p>
              </w:tc>
              <w:tc>
                <w:tcPr>
                  <w:tcW w:w="465" w:type="pct"/>
                  <w:tcBorders>
                    <w:top w:val="nil"/>
                    <w:left w:val="nil"/>
                    <w:bottom w:val="single" w:color="auto" w:sz="4" w:space="0"/>
                    <w:right w:val="single" w:color="auto" w:sz="4" w:space="0"/>
                  </w:tcBorders>
                  <w:shd w:val="clear" w:color="000000" w:fill="FFFFFF"/>
                  <w:noWrap/>
                  <w:vAlign w:val="center"/>
                </w:tcPr>
                <w:p w14:paraId="63D92DCD">
                  <w:pPr>
                    <w:widowControl/>
                    <w:jc w:val="center"/>
                    <w:rPr>
                      <w:color w:val="EE0000"/>
                      <w:spacing w:val="-10"/>
                      <w:kern w:val="0"/>
                      <w:sz w:val="18"/>
                      <w:szCs w:val="18"/>
                      <w:u w:val="single"/>
                    </w:rPr>
                  </w:pPr>
                  <w:r>
                    <w:rPr>
                      <w:color w:val="EE0000"/>
                      <w:spacing w:val="-10"/>
                      <w:kern w:val="0"/>
                      <w:sz w:val="18"/>
                      <w:szCs w:val="18"/>
                      <w:u w:val="single"/>
                    </w:rPr>
                    <w:t>55.56</w:t>
                  </w:r>
                </w:p>
              </w:tc>
              <w:tc>
                <w:tcPr>
                  <w:tcW w:w="533" w:type="pct"/>
                  <w:tcBorders>
                    <w:top w:val="nil"/>
                    <w:left w:val="nil"/>
                    <w:bottom w:val="single" w:color="auto" w:sz="4" w:space="0"/>
                    <w:right w:val="single" w:color="auto" w:sz="4" w:space="0"/>
                  </w:tcBorders>
                  <w:shd w:val="clear" w:color="000000" w:fill="FFFFFF"/>
                  <w:noWrap/>
                  <w:vAlign w:val="center"/>
                </w:tcPr>
                <w:p w14:paraId="1DBF02EB">
                  <w:pPr>
                    <w:widowControl/>
                    <w:jc w:val="center"/>
                    <w:rPr>
                      <w:color w:val="EE0000"/>
                      <w:spacing w:val="-10"/>
                      <w:kern w:val="0"/>
                      <w:sz w:val="18"/>
                      <w:szCs w:val="18"/>
                      <w:u w:val="single"/>
                    </w:rPr>
                  </w:pPr>
                  <w:r>
                    <w:rPr>
                      <w:color w:val="EE0000"/>
                      <w:spacing w:val="-10"/>
                      <w:kern w:val="0"/>
                      <w:sz w:val="18"/>
                      <w:szCs w:val="18"/>
                      <w:u w:val="single"/>
                    </w:rPr>
                    <w:t>90.41</w:t>
                  </w:r>
                </w:p>
              </w:tc>
              <w:tc>
                <w:tcPr>
                  <w:tcW w:w="416" w:type="pct"/>
                  <w:tcBorders>
                    <w:top w:val="nil"/>
                    <w:left w:val="nil"/>
                    <w:bottom w:val="single" w:color="auto" w:sz="4" w:space="0"/>
                    <w:right w:val="single" w:color="auto" w:sz="4" w:space="0"/>
                  </w:tcBorders>
                  <w:shd w:val="clear" w:color="000000" w:fill="FFFFFF"/>
                  <w:noWrap/>
                  <w:vAlign w:val="center"/>
                </w:tcPr>
                <w:p w14:paraId="43DFA4FF">
                  <w:pPr>
                    <w:widowControl/>
                    <w:jc w:val="center"/>
                    <w:rPr>
                      <w:color w:val="EE0000"/>
                      <w:spacing w:val="-10"/>
                      <w:kern w:val="0"/>
                      <w:sz w:val="18"/>
                      <w:szCs w:val="18"/>
                      <w:u w:val="single"/>
                    </w:rPr>
                  </w:pPr>
                  <w:r>
                    <w:rPr>
                      <w:color w:val="EE0000"/>
                      <w:spacing w:val="-10"/>
                      <w:kern w:val="0"/>
                      <w:sz w:val="18"/>
                      <w:szCs w:val="18"/>
                      <w:u w:val="single"/>
                    </w:rPr>
                    <w:t>2161.99</w:t>
                  </w:r>
                </w:p>
              </w:tc>
              <w:tc>
                <w:tcPr>
                  <w:tcW w:w="444" w:type="pct"/>
                  <w:tcBorders>
                    <w:top w:val="nil"/>
                    <w:left w:val="nil"/>
                    <w:bottom w:val="single" w:color="auto" w:sz="4" w:space="0"/>
                    <w:right w:val="single" w:color="auto" w:sz="4" w:space="0"/>
                  </w:tcBorders>
                  <w:shd w:val="clear" w:color="000000" w:fill="FFFFFF"/>
                  <w:noWrap/>
                  <w:vAlign w:val="center"/>
                </w:tcPr>
                <w:p w14:paraId="75C9AA3E">
                  <w:pPr>
                    <w:widowControl/>
                    <w:jc w:val="center"/>
                    <w:rPr>
                      <w:color w:val="EE0000"/>
                      <w:spacing w:val="-10"/>
                      <w:kern w:val="0"/>
                      <w:sz w:val="18"/>
                      <w:szCs w:val="18"/>
                      <w:u w:val="single"/>
                    </w:rPr>
                  </w:pPr>
                  <w:r>
                    <w:rPr>
                      <w:color w:val="EE0000"/>
                      <w:spacing w:val="-10"/>
                      <w:kern w:val="0"/>
                      <w:sz w:val="18"/>
                      <w:szCs w:val="18"/>
                      <w:u w:val="single"/>
                    </w:rPr>
                    <w:t>14.7</w:t>
                  </w:r>
                </w:p>
              </w:tc>
              <w:tc>
                <w:tcPr>
                  <w:tcW w:w="555" w:type="pct"/>
                  <w:tcBorders>
                    <w:top w:val="nil"/>
                    <w:left w:val="nil"/>
                    <w:bottom w:val="single" w:color="auto" w:sz="4" w:space="0"/>
                    <w:right w:val="single" w:color="auto" w:sz="4" w:space="0"/>
                  </w:tcBorders>
                  <w:shd w:val="clear" w:color="000000" w:fill="FFFFFF"/>
                  <w:noWrap/>
                  <w:vAlign w:val="center"/>
                </w:tcPr>
                <w:p w14:paraId="54950408">
                  <w:pPr>
                    <w:widowControl/>
                    <w:jc w:val="center"/>
                    <w:rPr>
                      <w:color w:val="EE0000"/>
                      <w:spacing w:val="-10"/>
                      <w:kern w:val="0"/>
                      <w:sz w:val="18"/>
                      <w:szCs w:val="18"/>
                      <w:u w:val="single"/>
                    </w:rPr>
                  </w:pPr>
                  <w:r>
                    <w:rPr>
                      <w:color w:val="EE0000"/>
                      <w:spacing w:val="-10"/>
                      <w:kern w:val="0"/>
                      <w:sz w:val="18"/>
                      <w:szCs w:val="18"/>
                      <w:u w:val="single"/>
                    </w:rPr>
                    <w:t>23.5</w:t>
                  </w:r>
                </w:p>
              </w:tc>
              <w:tc>
                <w:tcPr>
                  <w:tcW w:w="399" w:type="pct"/>
                  <w:tcBorders>
                    <w:top w:val="nil"/>
                    <w:left w:val="nil"/>
                    <w:bottom w:val="single" w:color="auto" w:sz="4" w:space="0"/>
                    <w:right w:val="single" w:color="auto" w:sz="4" w:space="0"/>
                  </w:tcBorders>
                  <w:shd w:val="clear" w:color="000000" w:fill="FFFFFF"/>
                  <w:noWrap/>
                  <w:vAlign w:val="center"/>
                </w:tcPr>
                <w:p w14:paraId="73C89C51">
                  <w:pPr>
                    <w:widowControl/>
                    <w:jc w:val="center"/>
                    <w:rPr>
                      <w:color w:val="EE0000"/>
                      <w:spacing w:val="-10"/>
                      <w:kern w:val="0"/>
                      <w:sz w:val="18"/>
                      <w:szCs w:val="18"/>
                      <w:u w:val="single"/>
                    </w:rPr>
                  </w:pPr>
                  <w:r>
                    <w:rPr>
                      <w:color w:val="EE0000"/>
                      <w:spacing w:val="-10"/>
                      <w:kern w:val="0"/>
                      <w:sz w:val="18"/>
                      <w:szCs w:val="18"/>
                      <w:u w:val="single"/>
                    </w:rPr>
                    <w:t>576.57</w:t>
                  </w:r>
                </w:p>
              </w:tc>
              <w:tc>
                <w:tcPr>
                  <w:tcW w:w="462" w:type="pct"/>
                  <w:tcBorders>
                    <w:top w:val="nil"/>
                    <w:left w:val="nil"/>
                    <w:bottom w:val="single" w:color="auto" w:sz="4" w:space="0"/>
                    <w:right w:val="single" w:color="auto" w:sz="4" w:space="0"/>
                  </w:tcBorders>
                  <w:shd w:val="clear" w:color="000000" w:fill="FFFFFF"/>
                  <w:noWrap/>
                  <w:vAlign w:val="center"/>
                </w:tcPr>
                <w:p w14:paraId="7221C177">
                  <w:pPr>
                    <w:widowControl/>
                    <w:jc w:val="center"/>
                    <w:rPr>
                      <w:color w:val="EE0000"/>
                      <w:spacing w:val="-10"/>
                      <w:kern w:val="0"/>
                      <w:sz w:val="18"/>
                      <w:szCs w:val="18"/>
                      <w:u w:val="single"/>
                    </w:rPr>
                  </w:pPr>
                  <w:r>
                    <w:rPr>
                      <w:color w:val="EE0000"/>
                      <w:spacing w:val="-10"/>
                      <w:kern w:val="0"/>
                      <w:sz w:val="18"/>
                      <w:szCs w:val="18"/>
                      <w:u w:val="single"/>
                    </w:rPr>
                    <w:t>35904538.15</w:t>
                  </w:r>
                </w:p>
              </w:tc>
            </w:tr>
            <w:tr w14:paraId="16DE0123">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0CD301C5">
                  <w:pPr>
                    <w:widowControl/>
                    <w:jc w:val="center"/>
                    <w:rPr>
                      <w:color w:val="EE0000"/>
                      <w:spacing w:val="-10"/>
                      <w:kern w:val="0"/>
                      <w:sz w:val="18"/>
                      <w:szCs w:val="18"/>
                      <w:u w:val="single"/>
                    </w:rPr>
                  </w:pPr>
                  <w:r>
                    <w:rPr>
                      <w:color w:val="EE0000"/>
                      <w:spacing w:val="-10"/>
                      <w:kern w:val="0"/>
                      <w:sz w:val="18"/>
                      <w:szCs w:val="18"/>
                      <w:u w:val="single"/>
                    </w:rPr>
                    <w:t>2021-10</w:t>
                  </w:r>
                </w:p>
              </w:tc>
              <w:tc>
                <w:tcPr>
                  <w:tcW w:w="438" w:type="pct"/>
                  <w:tcBorders>
                    <w:top w:val="nil"/>
                    <w:left w:val="nil"/>
                    <w:bottom w:val="single" w:color="auto" w:sz="4" w:space="0"/>
                    <w:right w:val="single" w:color="auto" w:sz="4" w:space="0"/>
                  </w:tcBorders>
                  <w:shd w:val="clear" w:color="000000" w:fill="FFFFFF"/>
                  <w:noWrap/>
                  <w:vAlign w:val="center"/>
                </w:tcPr>
                <w:p w14:paraId="15F78F14">
                  <w:pPr>
                    <w:widowControl/>
                    <w:jc w:val="center"/>
                    <w:rPr>
                      <w:color w:val="EE0000"/>
                      <w:spacing w:val="-10"/>
                      <w:kern w:val="0"/>
                      <w:sz w:val="18"/>
                      <w:szCs w:val="18"/>
                      <w:u w:val="single"/>
                    </w:rPr>
                  </w:pPr>
                  <w:r>
                    <w:rPr>
                      <w:color w:val="EE0000"/>
                      <w:spacing w:val="-10"/>
                      <w:kern w:val="0"/>
                      <w:sz w:val="18"/>
                      <w:szCs w:val="18"/>
                      <w:u w:val="single"/>
                    </w:rPr>
                    <w:t>7.01</w:t>
                  </w:r>
                </w:p>
              </w:tc>
              <w:tc>
                <w:tcPr>
                  <w:tcW w:w="512" w:type="pct"/>
                  <w:tcBorders>
                    <w:top w:val="nil"/>
                    <w:left w:val="nil"/>
                    <w:bottom w:val="single" w:color="auto" w:sz="4" w:space="0"/>
                    <w:right w:val="single" w:color="auto" w:sz="4" w:space="0"/>
                  </w:tcBorders>
                  <w:shd w:val="clear" w:color="000000" w:fill="FFFFFF"/>
                  <w:noWrap/>
                  <w:vAlign w:val="center"/>
                </w:tcPr>
                <w:p w14:paraId="5538A1B2">
                  <w:pPr>
                    <w:widowControl/>
                    <w:jc w:val="center"/>
                    <w:rPr>
                      <w:color w:val="EE0000"/>
                      <w:spacing w:val="-10"/>
                      <w:kern w:val="0"/>
                      <w:sz w:val="18"/>
                      <w:szCs w:val="18"/>
                      <w:u w:val="single"/>
                    </w:rPr>
                  </w:pPr>
                  <w:r>
                    <w:rPr>
                      <w:color w:val="EE0000"/>
                      <w:spacing w:val="-10"/>
                      <w:kern w:val="0"/>
                      <w:sz w:val="18"/>
                      <w:szCs w:val="18"/>
                      <w:u w:val="single"/>
                    </w:rPr>
                    <w:t>13.69</w:t>
                  </w:r>
                </w:p>
              </w:tc>
              <w:tc>
                <w:tcPr>
                  <w:tcW w:w="415" w:type="pct"/>
                  <w:tcBorders>
                    <w:top w:val="nil"/>
                    <w:left w:val="nil"/>
                    <w:bottom w:val="single" w:color="auto" w:sz="4" w:space="0"/>
                    <w:right w:val="single" w:color="auto" w:sz="4" w:space="0"/>
                  </w:tcBorders>
                  <w:shd w:val="clear" w:color="000000" w:fill="FFFFFF"/>
                  <w:noWrap/>
                  <w:vAlign w:val="center"/>
                </w:tcPr>
                <w:p w14:paraId="78A002AD">
                  <w:pPr>
                    <w:widowControl/>
                    <w:jc w:val="center"/>
                    <w:rPr>
                      <w:color w:val="EE0000"/>
                      <w:spacing w:val="-10"/>
                      <w:kern w:val="0"/>
                      <w:sz w:val="18"/>
                      <w:szCs w:val="18"/>
                      <w:u w:val="single"/>
                    </w:rPr>
                  </w:pPr>
                  <w:r>
                    <w:rPr>
                      <w:color w:val="EE0000"/>
                      <w:spacing w:val="-10"/>
                      <w:kern w:val="0"/>
                      <w:sz w:val="18"/>
                      <w:szCs w:val="18"/>
                      <w:u w:val="single"/>
                    </w:rPr>
                    <w:t>208.54</w:t>
                  </w:r>
                </w:p>
              </w:tc>
              <w:tc>
                <w:tcPr>
                  <w:tcW w:w="465" w:type="pct"/>
                  <w:tcBorders>
                    <w:top w:val="nil"/>
                    <w:left w:val="nil"/>
                    <w:bottom w:val="single" w:color="auto" w:sz="4" w:space="0"/>
                    <w:right w:val="single" w:color="auto" w:sz="4" w:space="0"/>
                  </w:tcBorders>
                  <w:shd w:val="clear" w:color="000000" w:fill="FFFFFF"/>
                  <w:noWrap/>
                  <w:vAlign w:val="center"/>
                </w:tcPr>
                <w:p w14:paraId="2D939EF6">
                  <w:pPr>
                    <w:widowControl/>
                    <w:jc w:val="center"/>
                    <w:rPr>
                      <w:color w:val="EE0000"/>
                      <w:spacing w:val="-10"/>
                      <w:kern w:val="0"/>
                      <w:sz w:val="18"/>
                      <w:szCs w:val="18"/>
                      <w:u w:val="single"/>
                    </w:rPr>
                  </w:pPr>
                  <w:r>
                    <w:rPr>
                      <w:color w:val="EE0000"/>
                      <w:spacing w:val="-10"/>
                      <w:kern w:val="0"/>
                      <w:sz w:val="18"/>
                      <w:szCs w:val="18"/>
                      <w:u w:val="single"/>
                    </w:rPr>
                    <w:t>55.18</w:t>
                  </w:r>
                </w:p>
              </w:tc>
              <w:tc>
                <w:tcPr>
                  <w:tcW w:w="533" w:type="pct"/>
                  <w:tcBorders>
                    <w:top w:val="nil"/>
                    <w:left w:val="nil"/>
                    <w:bottom w:val="single" w:color="auto" w:sz="4" w:space="0"/>
                    <w:right w:val="single" w:color="auto" w:sz="4" w:space="0"/>
                  </w:tcBorders>
                  <w:shd w:val="clear" w:color="000000" w:fill="FFFFFF"/>
                  <w:noWrap/>
                  <w:vAlign w:val="center"/>
                </w:tcPr>
                <w:p w14:paraId="1345FD71">
                  <w:pPr>
                    <w:widowControl/>
                    <w:jc w:val="center"/>
                    <w:rPr>
                      <w:color w:val="EE0000"/>
                      <w:spacing w:val="-10"/>
                      <w:kern w:val="0"/>
                      <w:sz w:val="18"/>
                      <w:szCs w:val="18"/>
                      <w:u w:val="single"/>
                    </w:rPr>
                  </w:pPr>
                  <w:r>
                    <w:rPr>
                      <w:color w:val="EE0000"/>
                      <w:spacing w:val="-10"/>
                      <w:kern w:val="0"/>
                      <w:sz w:val="18"/>
                      <w:szCs w:val="18"/>
                      <w:u w:val="single"/>
                    </w:rPr>
                    <w:t>95.49</w:t>
                  </w:r>
                </w:p>
              </w:tc>
              <w:tc>
                <w:tcPr>
                  <w:tcW w:w="416" w:type="pct"/>
                  <w:tcBorders>
                    <w:top w:val="nil"/>
                    <w:left w:val="nil"/>
                    <w:bottom w:val="single" w:color="auto" w:sz="4" w:space="0"/>
                    <w:right w:val="single" w:color="auto" w:sz="4" w:space="0"/>
                  </w:tcBorders>
                  <w:shd w:val="clear" w:color="000000" w:fill="FFFFFF"/>
                  <w:noWrap/>
                  <w:vAlign w:val="center"/>
                </w:tcPr>
                <w:p w14:paraId="7F1882C2">
                  <w:pPr>
                    <w:widowControl/>
                    <w:jc w:val="center"/>
                    <w:rPr>
                      <w:color w:val="EE0000"/>
                      <w:spacing w:val="-10"/>
                      <w:kern w:val="0"/>
                      <w:sz w:val="18"/>
                      <w:szCs w:val="18"/>
                      <w:u w:val="single"/>
                    </w:rPr>
                  </w:pPr>
                  <w:r>
                    <w:rPr>
                      <w:color w:val="EE0000"/>
                      <w:spacing w:val="-10"/>
                      <w:kern w:val="0"/>
                      <w:sz w:val="18"/>
                      <w:szCs w:val="18"/>
                      <w:u w:val="single"/>
                    </w:rPr>
                    <w:t>1854.81</w:t>
                  </w:r>
                </w:p>
              </w:tc>
              <w:tc>
                <w:tcPr>
                  <w:tcW w:w="444" w:type="pct"/>
                  <w:tcBorders>
                    <w:top w:val="nil"/>
                    <w:left w:val="nil"/>
                    <w:bottom w:val="single" w:color="auto" w:sz="4" w:space="0"/>
                    <w:right w:val="single" w:color="auto" w:sz="4" w:space="0"/>
                  </w:tcBorders>
                  <w:shd w:val="clear" w:color="000000" w:fill="FFFFFF"/>
                  <w:noWrap/>
                  <w:vAlign w:val="center"/>
                </w:tcPr>
                <w:p w14:paraId="6A5D3AD8">
                  <w:pPr>
                    <w:widowControl/>
                    <w:jc w:val="center"/>
                    <w:rPr>
                      <w:color w:val="EE0000"/>
                      <w:spacing w:val="-10"/>
                      <w:kern w:val="0"/>
                      <w:sz w:val="18"/>
                      <w:szCs w:val="18"/>
                      <w:u w:val="single"/>
                    </w:rPr>
                  </w:pPr>
                  <w:r>
                    <w:rPr>
                      <w:color w:val="EE0000"/>
                      <w:spacing w:val="-10"/>
                      <w:kern w:val="0"/>
                      <w:sz w:val="18"/>
                      <w:szCs w:val="18"/>
                      <w:u w:val="single"/>
                    </w:rPr>
                    <w:t>13.01</w:t>
                  </w:r>
                </w:p>
              </w:tc>
              <w:tc>
                <w:tcPr>
                  <w:tcW w:w="555" w:type="pct"/>
                  <w:tcBorders>
                    <w:top w:val="nil"/>
                    <w:left w:val="nil"/>
                    <w:bottom w:val="single" w:color="auto" w:sz="4" w:space="0"/>
                    <w:right w:val="single" w:color="auto" w:sz="4" w:space="0"/>
                  </w:tcBorders>
                  <w:shd w:val="clear" w:color="000000" w:fill="FFFFFF"/>
                  <w:noWrap/>
                  <w:vAlign w:val="center"/>
                </w:tcPr>
                <w:p w14:paraId="15A75FBD">
                  <w:pPr>
                    <w:widowControl/>
                    <w:jc w:val="center"/>
                    <w:rPr>
                      <w:color w:val="EE0000"/>
                      <w:spacing w:val="-10"/>
                      <w:kern w:val="0"/>
                      <w:sz w:val="18"/>
                      <w:szCs w:val="18"/>
                      <w:u w:val="single"/>
                    </w:rPr>
                  </w:pPr>
                  <w:r>
                    <w:rPr>
                      <w:color w:val="EE0000"/>
                      <w:spacing w:val="-10"/>
                      <w:kern w:val="0"/>
                      <w:sz w:val="18"/>
                      <w:szCs w:val="18"/>
                      <w:u w:val="single"/>
                    </w:rPr>
                    <w:t>22.99</w:t>
                  </w:r>
                </w:p>
              </w:tc>
              <w:tc>
                <w:tcPr>
                  <w:tcW w:w="399" w:type="pct"/>
                  <w:tcBorders>
                    <w:top w:val="nil"/>
                    <w:left w:val="nil"/>
                    <w:bottom w:val="single" w:color="auto" w:sz="4" w:space="0"/>
                    <w:right w:val="single" w:color="auto" w:sz="4" w:space="0"/>
                  </w:tcBorders>
                  <w:shd w:val="clear" w:color="000000" w:fill="FFFFFF"/>
                  <w:noWrap/>
                  <w:vAlign w:val="center"/>
                </w:tcPr>
                <w:p w14:paraId="5110A562">
                  <w:pPr>
                    <w:widowControl/>
                    <w:jc w:val="center"/>
                    <w:rPr>
                      <w:color w:val="EE0000"/>
                      <w:spacing w:val="-10"/>
                      <w:kern w:val="0"/>
                      <w:sz w:val="18"/>
                      <w:szCs w:val="18"/>
                      <w:u w:val="single"/>
                    </w:rPr>
                  </w:pPr>
                  <w:r>
                    <w:rPr>
                      <w:color w:val="EE0000"/>
                      <w:spacing w:val="-10"/>
                      <w:kern w:val="0"/>
                      <w:sz w:val="18"/>
                      <w:szCs w:val="18"/>
                      <w:u w:val="single"/>
                    </w:rPr>
                    <w:t>408.28</w:t>
                  </w:r>
                </w:p>
              </w:tc>
              <w:tc>
                <w:tcPr>
                  <w:tcW w:w="462" w:type="pct"/>
                  <w:tcBorders>
                    <w:top w:val="nil"/>
                    <w:left w:val="nil"/>
                    <w:bottom w:val="single" w:color="auto" w:sz="4" w:space="0"/>
                    <w:right w:val="single" w:color="auto" w:sz="4" w:space="0"/>
                  </w:tcBorders>
                  <w:shd w:val="clear" w:color="000000" w:fill="FFFFFF"/>
                  <w:noWrap/>
                  <w:vAlign w:val="center"/>
                </w:tcPr>
                <w:p w14:paraId="06A584A2">
                  <w:pPr>
                    <w:widowControl/>
                    <w:jc w:val="center"/>
                    <w:rPr>
                      <w:color w:val="EE0000"/>
                      <w:spacing w:val="-10"/>
                      <w:kern w:val="0"/>
                      <w:sz w:val="18"/>
                      <w:szCs w:val="18"/>
                      <w:u w:val="single"/>
                    </w:rPr>
                  </w:pPr>
                  <w:r>
                    <w:rPr>
                      <w:color w:val="EE0000"/>
                      <w:spacing w:val="-10"/>
                      <w:kern w:val="0"/>
                      <w:sz w:val="18"/>
                      <w:szCs w:val="18"/>
                      <w:u w:val="single"/>
                    </w:rPr>
                    <w:t>34028960.35</w:t>
                  </w:r>
                </w:p>
              </w:tc>
            </w:tr>
            <w:tr w14:paraId="1665E227">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5DDE5DBA">
                  <w:pPr>
                    <w:widowControl/>
                    <w:jc w:val="center"/>
                    <w:rPr>
                      <w:color w:val="EE0000"/>
                      <w:spacing w:val="-10"/>
                      <w:kern w:val="0"/>
                      <w:sz w:val="18"/>
                      <w:szCs w:val="18"/>
                      <w:u w:val="single"/>
                    </w:rPr>
                  </w:pPr>
                  <w:r>
                    <w:rPr>
                      <w:color w:val="EE0000"/>
                      <w:spacing w:val="-10"/>
                      <w:kern w:val="0"/>
                      <w:sz w:val="18"/>
                      <w:szCs w:val="18"/>
                      <w:u w:val="single"/>
                    </w:rPr>
                    <w:t>2021-11</w:t>
                  </w:r>
                </w:p>
              </w:tc>
              <w:tc>
                <w:tcPr>
                  <w:tcW w:w="438" w:type="pct"/>
                  <w:tcBorders>
                    <w:top w:val="nil"/>
                    <w:left w:val="nil"/>
                    <w:bottom w:val="single" w:color="auto" w:sz="4" w:space="0"/>
                    <w:right w:val="single" w:color="auto" w:sz="4" w:space="0"/>
                  </w:tcBorders>
                  <w:shd w:val="clear" w:color="000000" w:fill="FFFFFF"/>
                  <w:noWrap/>
                  <w:vAlign w:val="center"/>
                </w:tcPr>
                <w:p w14:paraId="36BE8362">
                  <w:pPr>
                    <w:widowControl/>
                    <w:jc w:val="center"/>
                    <w:rPr>
                      <w:color w:val="EE0000"/>
                      <w:spacing w:val="-10"/>
                      <w:kern w:val="0"/>
                      <w:sz w:val="18"/>
                      <w:szCs w:val="18"/>
                      <w:u w:val="single"/>
                    </w:rPr>
                  </w:pPr>
                  <w:r>
                    <w:rPr>
                      <w:color w:val="EE0000"/>
                      <w:spacing w:val="-10"/>
                      <w:kern w:val="0"/>
                      <w:sz w:val="18"/>
                      <w:szCs w:val="18"/>
                      <w:u w:val="single"/>
                    </w:rPr>
                    <w:t>4.19</w:t>
                  </w:r>
                </w:p>
              </w:tc>
              <w:tc>
                <w:tcPr>
                  <w:tcW w:w="512" w:type="pct"/>
                  <w:tcBorders>
                    <w:top w:val="nil"/>
                    <w:left w:val="nil"/>
                    <w:bottom w:val="single" w:color="auto" w:sz="4" w:space="0"/>
                    <w:right w:val="single" w:color="auto" w:sz="4" w:space="0"/>
                  </w:tcBorders>
                  <w:shd w:val="clear" w:color="000000" w:fill="FFFFFF"/>
                  <w:noWrap/>
                  <w:vAlign w:val="center"/>
                </w:tcPr>
                <w:p w14:paraId="45C32623">
                  <w:pPr>
                    <w:widowControl/>
                    <w:jc w:val="center"/>
                    <w:rPr>
                      <w:color w:val="EE0000"/>
                      <w:spacing w:val="-10"/>
                      <w:kern w:val="0"/>
                      <w:sz w:val="18"/>
                      <w:szCs w:val="18"/>
                      <w:u w:val="single"/>
                    </w:rPr>
                  </w:pPr>
                  <w:r>
                    <w:rPr>
                      <w:color w:val="EE0000"/>
                      <w:spacing w:val="-10"/>
                      <w:kern w:val="0"/>
                      <w:sz w:val="18"/>
                      <w:szCs w:val="18"/>
                      <w:u w:val="single"/>
                    </w:rPr>
                    <w:t>6.45</w:t>
                  </w:r>
                </w:p>
              </w:tc>
              <w:tc>
                <w:tcPr>
                  <w:tcW w:w="415" w:type="pct"/>
                  <w:tcBorders>
                    <w:top w:val="nil"/>
                    <w:left w:val="nil"/>
                    <w:bottom w:val="single" w:color="auto" w:sz="4" w:space="0"/>
                    <w:right w:val="single" w:color="auto" w:sz="4" w:space="0"/>
                  </w:tcBorders>
                  <w:shd w:val="clear" w:color="000000" w:fill="FFFFFF"/>
                  <w:noWrap/>
                  <w:vAlign w:val="center"/>
                </w:tcPr>
                <w:p w14:paraId="6A9AD6E4">
                  <w:pPr>
                    <w:widowControl/>
                    <w:jc w:val="center"/>
                    <w:rPr>
                      <w:color w:val="EE0000"/>
                      <w:spacing w:val="-10"/>
                      <w:kern w:val="0"/>
                      <w:sz w:val="18"/>
                      <w:szCs w:val="18"/>
                      <w:u w:val="single"/>
                    </w:rPr>
                  </w:pPr>
                  <w:r>
                    <w:rPr>
                      <w:color w:val="EE0000"/>
                      <w:spacing w:val="-10"/>
                      <w:kern w:val="0"/>
                      <w:sz w:val="18"/>
                      <w:szCs w:val="18"/>
                      <w:u w:val="single"/>
                    </w:rPr>
                    <w:t>16.77</w:t>
                  </w:r>
                </w:p>
              </w:tc>
              <w:tc>
                <w:tcPr>
                  <w:tcW w:w="465" w:type="pct"/>
                  <w:tcBorders>
                    <w:top w:val="nil"/>
                    <w:left w:val="nil"/>
                    <w:bottom w:val="single" w:color="auto" w:sz="4" w:space="0"/>
                    <w:right w:val="single" w:color="auto" w:sz="4" w:space="0"/>
                  </w:tcBorders>
                  <w:shd w:val="clear" w:color="000000" w:fill="FFFFFF"/>
                  <w:noWrap/>
                  <w:vAlign w:val="center"/>
                </w:tcPr>
                <w:p w14:paraId="5132E249">
                  <w:pPr>
                    <w:widowControl/>
                    <w:jc w:val="center"/>
                    <w:rPr>
                      <w:color w:val="EE0000"/>
                      <w:spacing w:val="-10"/>
                      <w:kern w:val="0"/>
                      <w:sz w:val="18"/>
                      <w:szCs w:val="18"/>
                      <w:u w:val="single"/>
                    </w:rPr>
                  </w:pPr>
                  <w:r>
                    <w:rPr>
                      <w:color w:val="EE0000"/>
                      <w:spacing w:val="-10"/>
                      <w:kern w:val="0"/>
                      <w:sz w:val="18"/>
                      <w:szCs w:val="18"/>
                      <w:u w:val="single"/>
                    </w:rPr>
                    <w:t>60.79</w:t>
                  </w:r>
                </w:p>
              </w:tc>
              <w:tc>
                <w:tcPr>
                  <w:tcW w:w="533" w:type="pct"/>
                  <w:tcBorders>
                    <w:top w:val="nil"/>
                    <w:left w:val="nil"/>
                    <w:bottom w:val="single" w:color="auto" w:sz="4" w:space="0"/>
                    <w:right w:val="single" w:color="auto" w:sz="4" w:space="0"/>
                  </w:tcBorders>
                  <w:shd w:val="clear" w:color="000000" w:fill="FFFFFF"/>
                  <w:noWrap/>
                  <w:vAlign w:val="center"/>
                </w:tcPr>
                <w:p w14:paraId="281FF538">
                  <w:pPr>
                    <w:widowControl/>
                    <w:jc w:val="center"/>
                    <w:rPr>
                      <w:color w:val="EE0000"/>
                      <w:spacing w:val="-10"/>
                      <w:kern w:val="0"/>
                      <w:sz w:val="18"/>
                      <w:szCs w:val="18"/>
                      <w:u w:val="single"/>
                    </w:rPr>
                  </w:pPr>
                  <w:r>
                    <w:rPr>
                      <w:color w:val="EE0000"/>
                      <w:spacing w:val="-10"/>
                      <w:kern w:val="0"/>
                      <w:sz w:val="18"/>
                      <w:szCs w:val="18"/>
                      <w:u w:val="single"/>
                    </w:rPr>
                    <w:t>81.61</w:t>
                  </w:r>
                </w:p>
              </w:tc>
              <w:tc>
                <w:tcPr>
                  <w:tcW w:w="416" w:type="pct"/>
                  <w:tcBorders>
                    <w:top w:val="nil"/>
                    <w:left w:val="nil"/>
                    <w:bottom w:val="single" w:color="auto" w:sz="4" w:space="0"/>
                    <w:right w:val="single" w:color="auto" w:sz="4" w:space="0"/>
                  </w:tcBorders>
                  <w:shd w:val="clear" w:color="000000" w:fill="FFFFFF"/>
                  <w:noWrap/>
                  <w:vAlign w:val="center"/>
                </w:tcPr>
                <w:p w14:paraId="6D0F31FE">
                  <w:pPr>
                    <w:widowControl/>
                    <w:jc w:val="center"/>
                    <w:rPr>
                      <w:color w:val="EE0000"/>
                      <w:spacing w:val="-10"/>
                      <w:kern w:val="0"/>
                      <w:sz w:val="18"/>
                      <w:szCs w:val="18"/>
                      <w:u w:val="single"/>
                    </w:rPr>
                  </w:pPr>
                  <w:r>
                    <w:rPr>
                      <w:color w:val="EE0000"/>
                      <w:spacing w:val="-10"/>
                      <w:kern w:val="0"/>
                      <w:sz w:val="18"/>
                      <w:szCs w:val="18"/>
                      <w:u w:val="single"/>
                    </w:rPr>
                    <w:t>280.09</w:t>
                  </w:r>
                </w:p>
              </w:tc>
              <w:tc>
                <w:tcPr>
                  <w:tcW w:w="444" w:type="pct"/>
                  <w:tcBorders>
                    <w:top w:val="nil"/>
                    <w:left w:val="nil"/>
                    <w:bottom w:val="single" w:color="auto" w:sz="4" w:space="0"/>
                    <w:right w:val="single" w:color="auto" w:sz="4" w:space="0"/>
                  </w:tcBorders>
                  <w:shd w:val="clear" w:color="000000" w:fill="FFFFFF"/>
                  <w:noWrap/>
                  <w:vAlign w:val="center"/>
                </w:tcPr>
                <w:p w14:paraId="7AFDD681">
                  <w:pPr>
                    <w:widowControl/>
                    <w:jc w:val="center"/>
                    <w:rPr>
                      <w:color w:val="EE0000"/>
                      <w:spacing w:val="-10"/>
                      <w:kern w:val="0"/>
                      <w:sz w:val="18"/>
                      <w:szCs w:val="18"/>
                      <w:u w:val="single"/>
                    </w:rPr>
                  </w:pPr>
                  <w:r>
                    <w:rPr>
                      <w:color w:val="EE0000"/>
                      <w:spacing w:val="-10"/>
                      <w:kern w:val="0"/>
                      <w:sz w:val="18"/>
                      <w:szCs w:val="18"/>
                      <w:u w:val="single"/>
                    </w:rPr>
                    <w:t>12.57</w:t>
                  </w:r>
                </w:p>
              </w:tc>
              <w:tc>
                <w:tcPr>
                  <w:tcW w:w="555" w:type="pct"/>
                  <w:tcBorders>
                    <w:top w:val="nil"/>
                    <w:left w:val="nil"/>
                    <w:bottom w:val="single" w:color="auto" w:sz="4" w:space="0"/>
                    <w:right w:val="single" w:color="auto" w:sz="4" w:space="0"/>
                  </w:tcBorders>
                  <w:shd w:val="clear" w:color="000000" w:fill="FFFFFF"/>
                  <w:noWrap/>
                  <w:vAlign w:val="center"/>
                </w:tcPr>
                <w:p w14:paraId="771B0F2B">
                  <w:pPr>
                    <w:widowControl/>
                    <w:jc w:val="center"/>
                    <w:rPr>
                      <w:color w:val="EE0000"/>
                      <w:spacing w:val="-10"/>
                      <w:kern w:val="0"/>
                      <w:sz w:val="18"/>
                      <w:szCs w:val="18"/>
                      <w:u w:val="single"/>
                    </w:rPr>
                  </w:pPr>
                  <w:r>
                    <w:rPr>
                      <w:color w:val="EE0000"/>
                      <w:spacing w:val="-10"/>
                      <w:kern w:val="0"/>
                      <w:sz w:val="18"/>
                      <w:szCs w:val="18"/>
                      <w:u w:val="single"/>
                    </w:rPr>
                    <w:t>15.62</w:t>
                  </w:r>
                </w:p>
              </w:tc>
              <w:tc>
                <w:tcPr>
                  <w:tcW w:w="399" w:type="pct"/>
                  <w:tcBorders>
                    <w:top w:val="nil"/>
                    <w:left w:val="nil"/>
                    <w:bottom w:val="single" w:color="auto" w:sz="4" w:space="0"/>
                    <w:right w:val="single" w:color="auto" w:sz="4" w:space="0"/>
                  </w:tcBorders>
                  <w:shd w:val="clear" w:color="000000" w:fill="FFFFFF"/>
                  <w:noWrap/>
                  <w:vAlign w:val="center"/>
                </w:tcPr>
                <w:p w14:paraId="6421CBA5">
                  <w:pPr>
                    <w:widowControl/>
                    <w:jc w:val="center"/>
                    <w:rPr>
                      <w:color w:val="EE0000"/>
                      <w:spacing w:val="-10"/>
                      <w:kern w:val="0"/>
                      <w:sz w:val="18"/>
                      <w:szCs w:val="18"/>
                      <w:u w:val="single"/>
                    </w:rPr>
                  </w:pPr>
                  <w:r>
                    <w:rPr>
                      <w:color w:val="EE0000"/>
                      <w:spacing w:val="-10"/>
                      <w:kern w:val="0"/>
                      <w:sz w:val="18"/>
                      <w:szCs w:val="18"/>
                      <w:u w:val="single"/>
                    </w:rPr>
                    <w:t>59.63</w:t>
                  </w:r>
                </w:p>
              </w:tc>
              <w:tc>
                <w:tcPr>
                  <w:tcW w:w="462" w:type="pct"/>
                  <w:tcBorders>
                    <w:top w:val="nil"/>
                    <w:left w:val="nil"/>
                    <w:bottom w:val="single" w:color="auto" w:sz="4" w:space="0"/>
                    <w:right w:val="single" w:color="auto" w:sz="4" w:space="0"/>
                  </w:tcBorders>
                  <w:shd w:val="clear" w:color="000000" w:fill="FFFFFF"/>
                  <w:noWrap/>
                  <w:vAlign w:val="center"/>
                </w:tcPr>
                <w:p w14:paraId="7F8E6FD9">
                  <w:pPr>
                    <w:widowControl/>
                    <w:jc w:val="center"/>
                    <w:rPr>
                      <w:color w:val="EE0000"/>
                      <w:spacing w:val="-10"/>
                      <w:kern w:val="0"/>
                      <w:sz w:val="18"/>
                      <w:szCs w:val="18"/>
                      <w:u w:val="single"/>
                    </w:rPr>
                  </w:pPr>
                  <w:r>
                    <w:rPr>
                      <w:color w:val="EE0000"/>
                      <w:spacing w:val="-10"/>
                      <w:kern w:val="0"/>
                      <w:sz w:val="18"/>
                      <w:szCs w:val="18"/>
                      <w:u w:val="single"/>
                    </w:rPr>
                    <w:t>4225585.97</w:t>
                  </w:r>
                </w:p>
              </w:tc>
            </w:tr>
            <w:tr w14:paraId="68A13D33">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5DA1B1A1">
                  <w:pPr>
                    <w:widowControl/>
                    <w:jc w:val="center"/>
                    <w:rPr>
                      <w:color w:val="EE0000"/>
                      <w:spacing w:val="-10"/>
                      <w:kern w:val="0"/>
                      <w:sz w:val="18"/>
                      <w:szCs w:val="18"/>
                      <w:u w:val="single"/>
                    </w:rPr>
                  </w:pPr>
                  <w:r>
                    <w:rPr>
                      <w:color w:val="EE0000"/>
                      <w:spacing w:val="-10"/>
                      <w:kern w:val="0"/>
                      <w:sz w:val="18"/>
                      <w:szCs w:val="18"/>
                      <w:u w:val="single"/>
                    </w:rPr>
                    <w:t>2021-12</w:t>
                  </w:r>
                </w:p>
              </w:tc>
              <w:tc>
                <w:tcPr>
                  <w:tcW w:w="438" w:type="pct"/>
                  <w:tcBorders>
                    <w:top w:val="nil"/>
                    <w:left w:val="nil"/>
                    <w:bottom w:val="single" w:color="auto" w:sz="4" w:space="0"/>
                    <w:right w:val="single" w:color="auto" w:sz="4" w:space="0"/>
                  </w:tcBorders>
                  <w:shd w:val="clear" w:color="000000" w:fill="FFFFFF"/>
                  <w:noWrap/>
                  <w:vAlign w:val="center"/>
                </w:tcPr>
                <w:p w14:paraId="1F2867EC">
                  <w:pPr>
                    <w:widowControl/>
                    <w:jc w:val="center"/>
                    <w:rPr>
                      <w:color w:val="EE0000"/>
                      <w:spacing w:val="-10"/>
                      <w:kern w:val="0"/>
                      <w:sz w:val="18"/>
                      <w:szCs w:val="18"/>
                      <w:u w:val="single"/>
                    </w:rPr>
                  </w:pPr>
                  <w:r>
                    <w:rPr>
                      <w:color w:val="EE0000"/>
                      <w:spacing w:val="-10"/>
                      <w:kern w:val="0"/>
                      <w:sz w:val="18"/>
                      <w:szCs w:val="18"/>
                      <w:u w:val="single"/>
                    </w:rPr>
                    <w:t>-</w:t>
                  </w:r>
                </w:p>
              </w:tc>
              <w:tc>
                <w:tcPr>
                  <w:tcW w:w="512" w:type="pct"/>
                  <w:tcBorders>
                    <w:top w:val="nil"/>
                    <w:left w:val="nil"/>
                    <w:bottom w:val="single" w:color="auto" w:sz="4" w:space="0"/>
                    <w:right w:val="single" w:color="auto" w:sz="4" w:space="0"/>
                  </w:tcBorders>
                  <w:shd w:val="clear" w:color="000000" w:fill="FFFFFF"/>
                  <w:noWrap/>
                  <w:vAlign w:val="center"/>
                </w:tcPr>
                <w:p w14:paraId="6C279AEE">
                  <w:pPr>
                    <w:widowControl/>
                    <w:jc w:val="center"/>
                    <w:rPr>
                      <w:color w:val="EE0000"/>
                      <w:spacing w:val="-10"/>
                      <w:kern w:val="0"/>
                      <w:sz w:val="18"/>
                      <w:szCs w:val="18"/>
                      <w:u w:val="single"/>
                    </w:rPr>
                  </w:pPr>
                  <w:r>
                    <w:rPr>
                      <w:color w:val="EE0000"/>
                      <w:spacing w:val="-10"/>
                      <w:kern w:val="0"/>
                      <w:sz w:val="18"/>
                      <w:szCs w:val="18"/>
                      <w:u w:val="single"/>
                    </w:rPr>
                    <w:t>-</w:t>
                  </w:r>
                </w:p>
              </w:tc>
              <w:tc>
                <w:tcPr>
                  <w:tcW w:w="415" w:type="pct"/>
                  <w:tcBorders>
                    <w:top w:val="nil"/>
                    <w:left w:val="nil"/>
                    <w:bottom w:val="single" w:color="auto" w:sz="4" w:space="0"/>
                    <w:right w:val="single" w:color="auto" w:sz="4" w:space="0"/>
                  </w:tcBorders>
                  <w:shd w:val="clear" w:color="000000" w:fill="FFFFFF"/>
                  <w:noWrap/>
                  <w:vAlign w:val="center"/>
                </w:tcPr>
                <w:p w14:paraId="466F8044">
                  <w:pPr>
                    <w:widowControl/>
                    <w:jc w:val="center"/>
                    <w:rPr>
                      <w:color w:val="EE0000"/>
                      <w:spacing w:val="-10"/>
                      <w:kern w:val="0"/>
                      <w:sz w:val="18"/>
                      <w:szCs w:val="18"/>
                      <w:u w:val="single"/>
                    </w:rPr>
                  </w:pPr>
                  <w:r>
                    <w:rPr>
                      <w:color w:val="EE0000"/>
                      <w:spacing w:val="-10"/>
                      <w:kern w:val="0"/>
                      <w:sz w:val="18"/>
                      <w:szCs w:val="18"/>
                      <w:u w:val="single"/>
                    </w:rPr>
                    <w:t>-</w:t>
                  </w:r>
                </w:p>
              </w:tc>
              <w:tc>
                <w:tcPr>
                  <w:tcW w:w="465" w:type="pct"/>
                  <w:tcBorders>
                    <w:top w:val="nil"/>
                    <w:left w:val="nil"/>
                    <w:bottom w:val="single" w:color="auto" w:sz="4" w:space="0"/>
                    <w:right w:val="single" w:color="auto" w:sz="4" w:space="0"/>
                  </w:tcBorders>
                  <w:shd w:val="clear" w:color="000000" w:fill="FFFFFF"/>
                  <w:noWrap/>
                  <w:vAlign w:val="center"/>
                </w:tcPr>
                <w:p w14:paraId="3E988872">
                  <w:pPr>
                    <w:widowControl/>
                    <w:jc w:val="center"/>
                    <w:rPr>
                      <w:color w:val="EE0000"/>
                      <w:spacing w:val="-10"/>
                      <w:kern w:val="0"/>
                      <w:sz w:val="18"/>
                      <w:szCs w:val="18"/>
                      <w:u w:val="single"/>
                    </w:rPr>
                  </w:pPr>
                  <w:r>
                    <w:rPr>
                      <w:color w:val="EE0000"/>
                      <w:spacing w:val="-10"/>
                      <w:kern w:val="0"/>
                      <w:sz w:val="18"/>
                      <w:szCs w:val="18"/>
                      <w:u w:val="single"/>
                    </w:rPr>
                    <w:t>-</w:t>
                  </w:r>
                </w:p>
              </w:tc>
              <w:tc>
                <w:tcPr>
                  <w:tcW w:w="533" w:type="pct"/>
                  <w:tcBorders>
                    <w:top w:val="nil"/>
                    <w:left w:val="nil"/>
                    <w:bottom w:val="single" w:color="auto" w:sz="4" w:space="0"/>
                    <w:right w:val="single" w:color="auto" w:sz="4" w:space="0"/>
                  </w:tcBorders>
                  <w:shd w:val="clear" w:color="000000" w:fill="FFFFFF"/>
                  <w:noWrap/>
                  <w:vAlign w:val="center"/>
                </w:tcPr>
                <w:p w14:paraId="7CB74BC9">
                  <w:pPr>
                    <w:widowControl/>
                    <w:jc w:val="center"/>
                    <w:rPr>
                      <w:color w:val="EE0000"/>
                      <w:spacing w:val="-10"/>
                      <w:kern w:val="0"/>
                      <w:sz w:val="18"/>
                      <w:szCs w:val="18"/>
                      <w:u w:val="single"/>
                    </w:rPr>
                  </w:pPr>
                  <w:r>
                    <w:rPr>
                      <w:color w:val="EE0000"/>
                      <w:spacing w:val="-10"/>
                      <w:kern w:val="0"/>
                      <w:sz w:val="18"/>
                      <w:szCs w:val="18"/>
                      <w:u w:val="single"/>
                    </w:rPr>
                    <w:t>-</w:t>
                  </w:r>
                </w:p>
              </w:tc>
              <w:tc>
                <w:tcPr>
                  <w:tcW w:w="416" w:type="pct"/>
                  <w:tcBorders>
                    <w:top w:val="nil"/>
                    <w:left w:val="nil"/>
                    <w:bottom w:val="single" w:color="auto" w:sz="4" w:space="0"/>
                    <w:right w:val="single" w:color="auto" w:sz="4" w:space="0"/>
                  </w:tcBorders>
                  <w:shd w:val="clear" w:color="000000" w:fill="FFFFFF"/>
                  <w:noWrap/>
                  <w:vAlign w:val="center"/>
                </w:tcPr>
                <w:p w14:paraId="1EE35E13">
                  <w:pPr>
                    <w:widowControl/>
                    <w:jc w:val="center"/>
                    <w:rPr>
                      <w:color w:val="EE0000"/>
                      <w:spacing w:val="-10"/>
                      <w:kern w:val="0"/>
                      <w:sz w:val="18"/>
                      <w:szCs w:val="18"/>
                      <w:u w:val="single"/>
                    </w:rPr>
                  </w:pPr>
                  <w:r>
                    <w:rPr>
                      <w:color w:val="EE0000"/>
                      <w:spacing w:val="-10"/>
                      <w:kern w:val="0"/>
                      <w:sz w:val="18"/>
                      <w:szCs w:val="18"/>
                      <w:u w:val="single"/>
                    </w:rPr>
                    <w:t>-</w:t>
                  </w:r>
                </w:p>
              </w:tc>
              <w:tc>
                <w:tcPr>
                  <w:tcW w:w="444" w:type="pct"/>
                  <w:tcBorders>
                    <w:top w:val="nil"/>
                    <w:left w:val="nil"/>
                    <w:bottom w:val="single" w:color="auto" w:sz="4" w:space="0"/>
                    <w:right w:val="single" w:color="auto" w:sz="4" w:space="0"/>
                  </w:tcBorders>
                  <w:shd w:val="clear" w:color="000000" w:fill="FFFFFF"/>
                  <w:noWrap/>
                  <w:vAlign w:val="center"/>
                </w:tcPr>
                <w:p w14:paraId="139CC2B7">
                  <w:pPr>
                    <w:widowControl/>
                    <w:jc w:val="center"/>
                    <w:rPr>
                      <w:color w:val="EE0000"/>
                      <w:spacing w:val="-10"/>
                      <w:kern w:val="0"/>
                      <w:sz w:val="18"/>
                      <w:szCs w:val="18"/>
                      <w:u w:val="single"/>
                    </w:rPr>
                  </w:pPr>
                  <w:r>
                    <w:rPr>
                      <w:color w:val="EE0000"/>
                      <w:spacing w:val="-10"/>
                      <w:kern w:val="0"/>
                      <w:sz w:val="18"/>
                      <w:szCs w:val="18"/>
                      <w:u w:val="single"/>
                    </w:rPr>
                    <w:t>-</w:t>
                  </w:r>
                </w:p>
              </w:tc>
              <w:tc>
                <w:tcPr>
                  <w:tcW w:w="555" w:type="pct"/>
                  <w:tcBorders>
                    <w:top w:val="nil"/>
                    <w:left w:val="nil"/>
                    <w:bottom w:val="single" w:color="auto" w:sz="4" w:space="0"/>
                    <w:right w:val="single" w:color="auto" w:sz="4" w:space="0"/>
                  </w:tcBorders>
                  <w:shd w:val="clear" w:color="000000" w:fill="FFFFFF"/>
                  <w:noWrap/>
                  <w:vAlign w:val="center"/>
                </w:tcPr>
                <w:p w14:paraId="7FE6A8B7">
                  <w:pPr>
                    <w:widowControl/>
                    <w:jc w:val="center"/>
                    <w:rPr>
                      <w:color w:val="EE0000"/>
                      <w:spacing w:val="-10"/>
                      <w:kern w:val="0"/>
                      <w:sz w:val="18"/>
                      <w:szCs w:val="18"/>
                      <w:u w:val="single"/>
                    </w:rPr>
                  </w:pPr>
                  <w:r>
                    <w:rPr>
                      <w:color w:val="EE0000"/>
                      <w:spacing w:val="-10"/>
                      <w:kern w:val="0"/>
                      <w:sz w:val="18"/>
                      <w:szCs w:val="18"/>
                      <w:u w:val="single"/>
                    </w:rPr>
                    <w:t>-</w:t>
                  </w:r>
                </w:p>
              </w:tc>
              <w:tc>
                <w:tcPr>
                  <w:tcW w:w="399" w:type="pct"/>
                  <w:tcBorders>
                    <w:top w:val="nil"/>
                    <w:left w:val="nil"/>
                    <w:bottom w:val="single" w:color="auto" w:sz="4" w:space="0"/>
                    <w:right w:val="single" w:color="auto" w:sz="4" w:space="0"/>
                  </w:tcBorders>
                  <w:shd w:val="clear" w:color="000000" w:fill="FFFFFF"/>
                  <w:noWrap/>
                  <w:vAlign w:val="center"/>
                </w:tcPr>
                <w:p w14:paraId="4EE36433">
                  <w:pPr>
                    <w:widowControl/>
                    <w:jc w:val="center"/>
                    <w:rPr>
                      <w:color w:val="EE0000"/>
                      <w:spacing w:val="-10"/>
                      <w:kern w:val="0"/>
                      <w:sz w:val="18"/>
                      <w:szCs w:val="18"/>
                      <w:u w:val="single"/>
                    </w:rPr>
                  </w:pPr>
                  <w:r>
                    <w:rPr>
                      <w:color w:val="EE0000"/>
                      <w:spacing w:val="-10"/>
                      <w:kern w:val="0"/>
                      <w:sz w:val="18"/>
                      <w:szCs w:val="18"/>
                      <w:u w:val="single"/>
                    </w:rPr>
                    <w:t>-</w:t>
                  </w:r>
                </w:p>
              </w:tc>
              <w:tc>
                <w:tcPr>
                  <w:tcW w:w="462" w:type="pct"/>
                  <w:tcBorders>
                    <w:top w:val="nil"/>
                    <w:left w:val="nil"/>
                    <w:bottom w:val="single" w:color="auto" w:sz="4" w:space="0"/>
                    <w:right w:val="single" w:color="auto" w:sz="4" w:space="0"/>
                  </w:tcBorders>
                  <w:shd w:val="clear" w:color="000000" w:fill="FFFFFF"/>
                  <w:noWrap/>
                  <w:vAlign w:val="center"/>
                </w:tcPr>
                <w:p w14:paraId="0487CBC7">
                  <w:pPr>
                    <w:widowControl/>
                    <w:jc w:val="center"/>
                    <w:rPr>
                      <w:color w:val="EE0000"/>
                      <w:spacing w:val="-10"/>
                      <w:kern w:val="0"/>
                      <w:sz w:val="18"/>
                      <w:szCs w:val="18"/>
                      <w:u w:val="single"/>
                    </w:rPr>
                  </w:pPr>
                  <w:r>
                    <w:rPr>
                      <w:color w:val="EE0000"/>
                      <w:spacing w:val="-10"/>
                      <w:kern w:val="0"/>
                      <w:sz w:val="18"/>
                      <w:szCs w:val="18"/>
                      <w:u w:val="single"/>
                    </w:rPr>
                    <w:t>-</w:t>
                  </w:r>
                </w:p>
              </w:tc>
            </w:tr>
            <w:tr w14:paraId="4A0E2B60">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0CB5B84E">
                  <w:pPr>
                    <w:widowControl/>
                    <w:jc w:val="center"/>
                    <w:rPr>
                      <w:color w:val="EE0000"/>
                      <w:spacing w:val="-10"/>
                      <w:kern w:val="0"/>
                      <w:sz w:val="18"/>
                      <w:szCs w:val="18"/>
                      <w:u w:val="single"/>
                    </w:rPr>
                  </w:pPr>
                  <w:r>
                    <w:rPr>
                      <w:color w:val="EE0000"/>
                      <w:spacing w:val="-10"/>
                      <w:kern w:val="0"/>
                      <w:sz w:val="18"/>
                      <w:szCs w:val="18"/>
                      <w:u w:val="single"/>
                    </w:rPr>
                    <w:t>最大值</w:t>
                  </w:r>
                </w:p>
              </w:tc>
              <w:tc>
                <w:tcPr>
                  <w:tcW w:w="438" w:type="pct"/>
                  <w:tcBorders>
                    <w:top w:val="nil"/>
                    <w:left w:val="nil"/>
                    <w:bottom w:val="single" w:color="auto" w:sz="4" w:space="0"/>
                    <w:right w:val="single" w:color="auto" w:sz="4" w:space="0"/>
                  </w:tcBorders>
                  <w:shd w:val="clear" w:color="000000" w:fill="FFFFFF"/>
                  <w:noWrap/>
                  <w:vAlign w:val="center"/>
                </w:tcPr>
                <w:p w14:paraId="326C3598">
                  <w:pPr>
                    <w:widowControl/>
                    <w:jc w:val="center"/>
                    <w:rPr>
                      <w:color w:val="EE0000"/>
                      <w:spacing w:val="-10"/>
                      <w:kern w:val="0"/>
                      <w:sz w:val="18"/>
                      <w:szCs w:val="18"/>
                      <w:u w:val="single"/>
                    </w:rPr>
                  </w:pPr>
                  <w:r>
                    <w:rPr>
                      <w:color w:val="EE0000"/>
                      <w:spacing w:val="-10"/>
                      <w:kern w:val="0"/>
                      <w:sz w:val="18"/>
                      <w:szCs w:val="18"/>
                      <w:u w:val="single"/>
                    </w:rPr>
                    <w:t>9.04</w:t>
                  </w:r>
                </w:p>
              </w:tc>
              <w:tc>
                <w:tcPr>
                  <w:tcW w:w="512" w:type="pct"/>
                  <w:tcBorders>
                    <w:top w:val="nil"/>
                    <w:left w:val="nil"/>
                    <w:bottom w:val="single" w:color="auto" w:sz="4" w:space="0"/>
                    <w:right w:val="single" w:color="auto" w:sz="4" w:space="0"/>
                  </w:tcBorders>
                  <w:shd w:val="clear" w:color="000000" w:fill="FFFFFF"/>
                  <w:noWrap/>
                  <w:vAlign w:val="center"/>
                </w:tcPr>
                <w:p w14:paraId="7C50D6F7">
                  <w:pPr>
                    <w:widowControl/>
                    <w:jc w:val="center"/>
                    <w:rPr>
                      <w:color w:val="EE0000"/>
                      <w:spacing w:val="-10"/>
                      <w:kern w:val="0"/>
                      <w:sz w:val="18"/>
                      <w:szCs w:val="18"/>
                      <w:u w:val="single"/>
                    </w:rPr>
                  </w:pPr>
                  <w:r>
                    <w:rPr>
                      <w:color w:val="EE0000"/>
                      <w:spacing w:val="-10"/>
                      <w:kern w:val="0"/>
                      <w:sz w:val="18"/>
                      <w:szCs w:val="18"/>
                      <w:u w:val="single"/>
                    </w:rPr>
                    <w:t>24.61</w:t>
                  </w:r>
                </w:p>
              </w:tc>
              <w:tc>
                <w:tcPr>
                  <w:tcW w:w="415" w:type="pct"/>
                  <w:tcBorders>
                    <w:top w:val="nil"/>
                    <w:left w:val="nil"/>
                    <w:bottom w:val="single" w:color="auto" w:sz="4" w:space="0"/>
                    <w:right w:val="single" w:color="auto" w:sz="4" w:space="0"/>
                  </w:tcBorders>
                  <w:shd w:val="clear" w:color="000000" w:fill="FFFFFF"/>
                  <w:noWrap/>
                  <w:vAlign w:val="center"/>
                </w:tcPr>
                <w:p w14:paraId="4453BE43">
                  <w:pPr>
                    <w:widowControl/>
                    <w:jc w:val="center"/>
                    <w:rPr>
                      <w:color w:val="EE0000"/>
                      <w:spacing w:val="-10"/>
                      <w:kern w:val="0"/>
                      <w:sz w:val="18"/>
                      <w:szCs w:val="18"/>
                      <w:u w:val="single"/>
                    </w:rPr>
                  </w:pPr>
                  <w:r>
                    <w:rPr>
                      <w:color w:val="EE0000"/>
                      <w:spacing w:val="-10"/>
                      <w:kern w:val="0"/>
                      <w:sz w:val="18"/>
                      <w:szCs w:val="18"/>
                      <w:u w:val="single"/>
                    </w:rPr>
                    <w:t>525.8</w:t>
                  </w:r>
                </w:p>
              </w:tc>
              <w:tc>
                <w:tcPr>
                  <w:tcW w:w="465" w:type="pct"/>
                  <w:tcBorders>
                    <w:top w:val="nil"/>
                    <w:left w:val="nil"/>
                    <w:bottom w:val="single" w:color="auto" w:sz="4" w:space="0"/>
                    <w:right w:val="single" w:color="auto" w:sz="4" w:space="0"/>
                  </w:tcBorders>
                  <w:shd w:val="clear" w:color="000000" w:fill="FFFFFF"/>
                  <w:noWrap/>
                  <w:vAlign w:val="center"/>
                </w:tcPr>
                <w:p w14:paraId="5BB6E5FB">
                  <w:pPr>
                    <w:widowControl/>
                    <w:jc w:val="center"/>
                    <w:rPr>
                      <w:color w:val="EE0000"/>
                      <w:spacing w:val="-10"/>
                      <w:kern w:val="0"/>
                      <w:sz w:val="18"/>
                      <w:szCs w:val="18"/>
                      <w:u w:val="single"/>
                    </w:rPr>
                  </w:pPr>
                  <w:r>
                    <w:rPr>
                      <w:color w:val="EE0000"/>
                      <w:spacing w:val="-10"/>
                      <w:kern w:val="0"/>
                      <w:sz w:val="18"/>
                      <w:szCs w:val="18"/>
                      <w:u w:val="single"/>
                    </w:rPr>
                    <w:t>83.86</w:t>
                  </w:r>
                </w:p>
              </w:tc>
              <w:tc>
                <w:tcPr>
                  <w:tcW w:w="533" w:type="pct"/>
                  <w:tcBorders>
                    <w:top w:val="nil"/>
                    <w:left w:val="nil"/>
                    <w:bottom w:val="single" w:color="auto" w:sz="4" w:space="0"/>
                    <w:right w:val="single" w:color="auto" w:sz="4" w:space="0"/>
                  </w:tcBorders>
                  <w:shd w:val="clear" w:color="000000" w:fill="FFFFFF"/>
                  <w:noWrap/>
                  <w:vAlign w:val="center"/>
                </w:tcPr>
                <w:p w14:paraId="12A1BFA1">
                  <w:pPr>
                    <w:widowControl/>
                    <w:jc w:val="center"/>
                    <w:rPr>
                      <w:color w:val="EE0000"/>
                      <w:spacing w:val="-10"/>
                      <w:kern w:val="0"/>
                      <w:sz w:val="18"/>
                      <w:szCs w:val="18"/>
                      <w:u w:val="single"/>
                    </w:rPr>
                  </w:pPr>
                  <w:r>
                    <w:rPr>
                      <w:color w:val="EE0000"/>
                      <w:spacing w:val="-10"/>
                      <w:kern w:val="0"/>
                      <w:sz w:val="18"/>
                      <w:szCs w:val="18"/>
                      <w:u w:val="single"/>
                    </w:rPr>
                    <w:t>123.8</w:t>
                  </w:r>
                </w:p>
              </w:tc>
              <w:tc>
                <w:tcPr>
                  <w:tcW w:w="416" w:type="pct"/>
                  <w:tcBorders>
                    <w:top w:val="nil"/>
                    <w:left w:val="nil"/>
                    <w:bottom w:val="single" w:color="auto" w:sz="4" w:space="0"/>
                    <w:right w:val="single" w:color="auto" w:sz="4" w:space="0"/>
                  </w:tcBorders>
                  <w:shd w:val="clear" w:color="000000" w:fill="FFFFFF"/>
                  <w:noWrap/>
                  <w:vAlign w:val="center"/>
                </w:tcPr>
                <w:p w14:paraId="6241371D">
                  <w:pPr>
                    <w:widowControl/>
                    <w:jc w:val="center"/>
                    <w:rPr>
                      <w:color w:val="EE0000"/>
                      <w:spacing w:val="-10"/>
                      <w:kern w:val="0"/>
                      <w:sz w:val="18"/>
                      <w:szCs w:val="18"/>
                      <w:u w:val="single"/>
                    </w:rPr>
                  </w:pPr>
                  <w:r>
                    <w:rPr>
                      <w:color w:val="EE0000"/>
                      <w:spacing w:val="-10"/>
                      <w:kern w:val="0"/>
                      <w:sz w:val="18"/>
                      <w:szCs w:val="18"/>
                      <w:u w:val="single"/>
                    </w:rPr>
                    <w:t>6097.35</w:t>
                  </w:r>
                </w:p>
              </w:tc>
              <w:tc>
                <w:tcPr>
                  <w:tcW w:w="444" w:type="pct"/>
                  <w:tcBorders>
                    <w:top w:val="nil"/>
                    <w:left w:val="nil"/>
                    <w:bottom w:val="single" w:color="auto" w:sz="4" w:space="0"/>
                    <w:right w:val="single" w:color="auto" w:sz="4" w:space="0"/>
                  </w:tcBorders>
                  <w:shd w:val="clear" w:color="000000" w:fill="FFFFFF"/>
                  <w:noWrap/>
                  <w:vAlign w:val="center"/>
                </w:tcPr>
                <w:p w14:paraId="7AEC3324">
                  <w:pPr>
                    <w:widowControl/>
                    <w:jc w:val="center"/>
                    <w:rPr>
                      <w:color w:val="EE0000"/>
                      <w:spacing w:val="-10"/>
                      <w:kern w:val="0"/>
                      <w:sz w:val="18"/>
                      <w:szCs w:val="18"/>
                      <w:u w:val="single"/>
                    </w:rPr>
                  </w:pPr>
                  <w:r>
                    <w:rPr>
                      <w:color w:val="EE0000"/>
                      <w:spacing w:val="-10"/>
                      <w:kern w:val="0"/>
                      <w:sz w:val="18"/>
                      <w:szCs w:val="18"/>
                      <w:u w:val="single"/>
                    </w:rPr>
                    <w:t>21.08</w:t>
                  </w:r>
                </w:p>
              </w:tc>
              <w:tc>
                <w:tcPr>
                  <w:tcW w:w="555" w:type="pct"/>
                  <w:tcBorders>
                    <w:top w:val="nil"/>
                    <w:left w:val="nil"/>
                    <w:bottom w:val="single" w:color="auto" w:sz="4" w:space="0"/>
                    <w:right w:val="single" w:color="auto" w:sz="4" w:space="0"/>
                  </w:tcBorders>
                  <w:shd w:val="clear" w:color="000000" w:fill="FFFFFF"/>
                  <w:noWrap/>
                  <w:vAlign w:val="center"/>
                </w:tcPr>
                <w:p w14:paraId="5272E397">
                  <w:pPr>
                    <w:widowControl/>
                    <w:jc w:val="center"/>
                    <w:rPr>
                      <w:color w:val="EE0000"/>
                      <w:spacing w:val="-10"/>
                      <w:kern w:val="0"/>
                      <w:sz w:val="18"/>
                      <w:szCs w:val="18"/>
                      <w:u w:val="single"/>
                    </w:rPr>
                  </w:pPr>
                  <w:r>
                    <w:rPr>
                      <w:color w:val="EE0000"/>
                      <w:spacing w:val="-10"/>
                      <w:kern w:val="0"/>
                      <w:sz w:val="18"/>
                      <w:szCs w:val="18"/>
                      <w:u w:val="single"/>
                    </w:rPr>
                    <w:t>29.32</w:t>
                  </w:r>
                </w:p>
              </w:tc>
              <w:tc>
                <w:tcPr>
                  <w:tcW w:w="399" w:type="pct"/>
                  <w:tcBorders>
                    <w:top w:val="nil"/>
                    <w:left w:val="nil"/>
                    <w:bottom w:val="single" w:color="auto" w:sz="4" w:space="0"/>
                    <w:right w:val="single" w:color="auto" w:sz="4" w:space="0"/>
                  </w:tcBorders>
                  <w:shd w:val="clear" w:color="000000" w:fill="FFFFFF"/>
                  <w:noWrap/>
                  <w:vAlign w:val="center"/>
                </w:tcPr>
                <w:p w14:paraId="1C91E6E8">
                  <w:pPr>
                    <w:widowControl/>
                    <w:jc w:val="center"/>
                    <w:rPr>
                      <w:color w:val="EE0000"/>
                      <w:spacing w:val="-10"/>
                      <w:kern w:val="0"/>
                      <w:sz w:val="18"/>
                      <w:szCs w:val="18"/>
                      <w:u w:val="single"/>
                    </w:rPr>
                  </w:pPr>
                  <w:r>
                    <w:rPr>
                      <w:color w:val="EE0000"/>
                      <w:spacing w:val="-10"/>
                      <w:kern w:val="0"/>
                      <w:sz w:val="18"/>
                      <w:szCs w:val="18"/>
                      <w:u w:val="single"/>
                    </w:rPr>
                    <w:t>1482.94</w:t>
                  </w:r>
                </w:p>
              </w:tc>
              <w:tc>
                <w:tcPr>
                  <w:tcW w:w="462" w:type="pct"/>
                  <w:tcBorders>
                    <w:top w:val="nil"/>
                    <w:left w:val="nil"/>
                    <w:bottom w:val="single" w:color="auto" w:sz="4" w:space="0"/>
                    <w:right w:val="single" w:color="auto" w:sz="4" w:space="0"/>
                  </w:tcBorders>
                  <w:shd w:val="clear" w:color="000000" w:fill="FFFFFF"/>
                  <w:noWrap/>
                  <w:vAlign w:val="center"/>
                </w:tcPr>
                <w:p w14:paraId="24541DF6">
                  <w:pPr>
                    <w:widowControl/>
                    <w:jc w:val="center"/>
                    <w:rPr>
                      <w:color w:val="EE0000"/>
                      <w:spacing w:val="-10"/>
                      <w:kern w:val="0"/>
                      <w:sz w:val="18"/>
                      <w:szCs w:val="18"/>
                      <w:u w:val="single"/>
                    </w:rPr>
                  </w:pPr>
                  <w:r>
                    <w:rPr>
                      <w:color w:val="EE0000"/>
                      <w:spacing w:val="-10"/>
                      <w:kern w:val="0"/>
                      <w:sz w:val="18"/>
                      <w:szCs w:val="18"/>
                      <w:u w:val="single"/>
                    </w:rPr>
                    <w:t>73932545.63</w:t>
                  </w:r>
                </w:p>
              </w:tc>
            </w:tr>
            <w:tr w14:paraId="47CB4E13">
              <w:tblPrEx>
                <w:tblCellMar>
                  <w:top w:w="0" w:type="dxa"/>
                  <w:left w:w="108" w:type="dxa"/>
                  <w:bottom w:w="0" w:type="dxa"/>
                  <w:right w:w="108" w:type="dxa"/>
                </w:tblCellMar>
              </w:tblPrEx>
              <w:trPr>
                <w:trHeight w:val="404"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1CA2E6E1">
                  <w:pPr>
                    <w:widowControl/>
                    <w:jc w:val="center"/>
                    <w:rPr>
                      <w:color w:val="EE0000"/>
                      <w:spacing w:val="-10"/>
                      <w:kern w:val="0"/>
                      <w:sz w:val="18"/>
                      <w:szCs w:val="18"/>
                      <w:u w:val="single"/>
                    </w:rPr>
                  </w:pPr>
                  <w:r>
                    <w:rPr>
                      <w:color w:val="EE0000"/>
                      <w:spacing w:val="-10"/>
                      <w:kern w:val="0"/>
                      <w:sz w:val="18"/>
                      <w:szCs w:val="18"/>
                      <w:u w:val="single"/>
                    </w:rPr>
                    <w:t>最小值</w:t>
                  </w:r>
                </w:p>
              </w:tc>
              <w:tc>
                <w:tcPr>
                  <w:tcW w:w="438" w:type="pct"/>
                  <w:tcBorders>
                    <w:top w:val="nil"/>
                    <w:left w:val="nil"/>
                    <w:bottom w:val="single" w:color="auto" w:sz="4" w:space="0"/>
                    <w:right w:val="single" w:color="auto" w:sz="4" w:space="0"/>
                  </w:tcBorders>
                  <w:shd w:val="clear" w:color="000000" w:fill="FFFFFF"/>
                  <w:noWrap/>
                  <w:vAlign w:val="center"/>
                </w:tcPr>
                <w:p w14:paraId="308019E2">
                  <w:pPr>
                    <w:widowControl/>
                    <w:jc w:val="center"/>
                    <w:rPr>
                      <w:color w:val="EE0000"/>
                      <w:spacing w:val="-10"/>
                      <w:kern w:val="0"/>
                      <w:sz w:val="18"/>
                      <w:szCs w:val="18"/>
                      <w:u w:val="single"/>
                    </w:rPr>
                  </w:pPr>
                  <w:r>
                    <w:rPr>
                      <w:color w:val="EE0000"/>
                      <w:spacing w:val="-10"/>
                      <w:kern w:val="0"/>
                      <w:sz w:val="18"/>
                      <w:szCs w:val="18"/>
                      <w:u w:val="single"/>
                    </w:rPr>
                    <w:t>4.19</w:t>
                  </w:r>
                </w:p>
              </w:tc>
              <w:tc>
                <w:tcPr>
                  <w:tcW w:w="512" w:type="pct"/>
                  <w:tcBorders>
                    <w:top w:val="nil"/>
                    <w:left w:val="nil"/>
                    <w:bottom w:val="single" w:color="auto" w:sz="4" w:space="0"/>
                    <w:right w:val="single" w:color="auto" w:sz="4" w:space="0"/>
                  </w:tcBorders>
                  <w:shd w:val="clear" w:color="000000" w:fill="FFFFFF"/>
                  <w:noWrap/>
                  <w:vAlign w:val="center"/>
                </w:tcPr>
                <w:p w14:paraId="3D6DCC44">
                  <w:pPr>
                    <w:widowControl/>
                    <w:jc w:val="center"/>
                    <w:rPr>
                      <w:color w:val="EE0000"/>
                      <w:spacing w:val="-10"/>
                      <w:kern w:val="0"/>
                      <w:sz w:val="18"/>
                      <w:szCs w:val="18"/>
                      <w:u w:val="single"/>
                    </w:rPr>
                  </w:pPr>
                  <w:r>
                    <w:rPr>
                      <w:color w:val="EE0000"/>
                      <w:spacing w:val="-10"/>
                      <w:kern w:val="0"/>
                      <w:sz w:val="18"/>
                      <w:szCs w:val="18"/>
                      <w:u w:val="single"/>
                    </w:rPr>
                    <w:t>6.45</w:t>
                  </w:r>
                </w:p>
              </w:tc>
              <w:tc>
                <w:tcPr>
                  <w:tcW w:w="415" w:type="pct"/>
                  <w:tcBorders>
                    <w:top w:val="nil"/>
                    <w:left w:val="nil"/>
                    <w:bottom w:val="single" w:color="auto" w:sz="4" w:space="0"/>
                    <w:right w:val="single" w:color="auto" w:sz="4" w:space="0"/>
                  </w:tcBorders>
                  <w:shd w:val="clear" w:color="000000" w:fill="FFFFFF"/>
                  <w:noWrap/>
                  <w:vAlign w:val="center"/>
                </w:tcPr>
                <w:p w14:paraId="38422C63">
                  <w:pPr>
                    <w:widowControl/>
                    <w:jc w:val="center"/>
                    <w:rPr>
                      <w:color w:val="EE0000"/>
                      <w:spacing w:val="-10"/>
                      <w:kern w:val="0"/>
                      <w:sz w:val="18"/>
                      <w:szCs w:val="18"/>
                      <w:u w:val="single"/>
                    </w:rPr>
                  </w:pPr>
                  <w:r>
                    <w:rPr>
                      <w:color w:val="EE0000"/>
                      <w:spacing w:val="-10"/>
                      <w:kern w:val="0"/>
                      <w:sz w:val="18"/>
                      <w:szCs w:val="18"/>
                      <w:u w:val="single"/>
                    </w:rPr>
                    <w:t>16.77</w:t>
                  </w:r>
                </w:p>
              </w:tc>
              <w:tc>
                <w:tcPr>
                  <w:tcW w:w="465" w:type="pct"/>
                  <w:tcBorders>
                    <w:top w:val="nil"/>
                    <w:left w:val="nil"/>
                    <w:bottom w:val="single" w:color="auto" w:sz="4" w:space="0"/>
                    <w:right w:val="single" w:color="auto" w:sz="4" w:space="0"/>
                  </w:tcBorders>
                  <w:shd w:val="clear" w:color="000000" w:fill="FFFFFF"/>
                  <w:noWrap/>
                  <w:vAlign w:val="center"/>
                </w:tcPr>
                <w:p w14:paraId="5DADAA14">
                  <w:pPr>
                    <w:widowControl/>
                    <w:jc w:val="center"/>
                    <w:rPr>
                      <w:color w:val="EE0000"/>
                      <w:spacing w:val="-10"/>
                      <w:kern w:val="0"/>
                      <w:sz w:val="18"/>
                      <w:szCs w:val="18"/>
                      <w:u w:val="single"/>
                    </w:rPr>
                  </w:pPr>
                  <w:r>
                    <w:rPr>
                      <w:color w:val="EE0000"/>
                      <w:spacing w:val="-10"/>
                      <w:kern w:val="0"/>
                      <w:sz w:val="18"/>
                      <w:szCs w:val="18"/>
                      <w:u w:val="single"/>
                    </w:rPr>
                    <w:t>40.89</w:t>
                  </w:r>
                </w:p>
              </w:tc>
              <w:tc>
                <w:tcPr>
                  <w:tcW w:w="533" w:type="pct"/>
                  <w:tcBorders>
                    <w:top w:val="nil"/>
                    <w:left w:val="nil"/>
                    <w:bottom w:val="single" w:color="auto" w:sz="4" w:space="0"/>
                    <w:right w:val="single" w:color="auto" w:sz="4" w:space="0"/>
                  </w:tcBorders>
                  <w:shd w:val="clear" w:color="000000" w:fill="FFFFFF"/>
                  <w:noWrap/>
                  <w:vAlign w:val="center"/>
                </w:tcPr>
                <w:p w14:paraId="6A62B27B">
                  <w:pPr>
                    <w:widowControl/>
                    <w:jc w:val="center"/>
                    <w:rPr>
                      <w:color w:val="EE0000"/>
                      <w:spacing w:val="-10"/>
                      <w:kern w:val="0"/>
                      <w:sz w:val="18"/>
                      <w:szCs w:val="18"/>
                      <w:u w:val="single"/>
                    </w:rPr>
                  </w:pPr>
                  <w:r>
                    <w:rPr>
                      <w:color w:val="EE0000"/>
                      <w:spacing w:val="-10"/>
                      <w:kern w:val="0"/>
                      <w:sz w:val="18"/>
                      <w:szCs w:val="18"/>
                      <w:u w:val="single"/>
                    </w:rPr>
                    <w:t>81.61</w:t>
                  </w:r>
                </w:p>
              </w:tc>
              <w:tc>
                <w:tcPr>
                  <w:tcW w:w="416" w:type="pct"/>
                  <w:tcBorders>
                    <w:top w:val="nil"/>
                    <w:left w:val="nil"/>
                    <w:bottom w:val="single" w:color="auto" w:sz="4" w:space="0"/>
                    <w:right w:val="single" w:color="auto" w:sz="4" w:space="0"/>
                  </w:tcBorders>
                  <w:shd w:val="clear" w:color="000000" w:fill="FFFFFF"/>
                  <w:noWrap/>
                  <w:vAlign w:val="center"/>
                </w:tcPr>
                <w:p w14:paraId="67660421">
                  <w:pPr>
                    <w:widowControl/>
                    <w:jc w:val="center"/>
                    <w:rPr>
                      <w:color w:val="EE0000"/>
                      <w:spacing w:val="-10"/>
                      <w:kern w:val="0"/>
                      <w:sz w:val="18"/>
                      <w:szCs w:val="18"/>
                      <w:u w:val="single"/>
                    </w:rPr>
                  </w:pPr>
                  <w:r>
                    <w:rPr>
                      <w:color w:val="EE0000"/>
                      <w:spacing w:val="-10"/>
                      <w:kern w:val="0"/>
                      <w:sz w:val="18"/>
                      <w:szCs w:val="18"/>
                      <w:u w:val="single"/>
                    </w:rPr>
                    <w:t>280.09</w:t>
                  </w:r>
                </w:p>
              </w:tc>
              <w:tc>
                <w:tcPr>
                  <w:tcW w:w="444" w:type="pct"/>
                  <w:tcBorders>
                    <w:top w:val="nil"/>
                    <w:left w:val="nil"/>
                    <w:bottom w:val="single" w:color="auto" w:sz="4" w:space="0"/>
                    <w:right w:val="single" w:color="auto" w:sz="4" w:space="0"/>
                  </w:tcBorders>
                  <w:shd w:val="clear" w:color="000000" w:fill="FFFFFF"/>
                  <w:noWrap/>
                  <w:vAlign w:val="center"/>
                </w:tcPr>
                <w:p w14:paraId="4FB951F6">
                  <w:pPr>
                    <w:widowControl/>
                    <w:jc w:val="center"/>
                    <w:rPr>
                      <w:color w:val="EE0000"/>
                      <w:spacing w:val="-10"/>
                      <w:kern w:val="0"/>
                      <w:sz w:val="18"/>
                      <w:szCs w:val="18"/>
                      <w:u w:val="single"/>
                    </w:rPr>
                  </w:pPr>
                  <w:r>
                    <w:rPr>
                      <w:color w:val="EE0000"/>
                      <w:spacing w:val="-10"/>
                      <w:kern w:val="0"/>
                      <w:sz w:val="18"/>
                      <w:szCs w:val="18"/>
                      <w:u w:val="single"/>
                    </w:rPr>
                    <w:t>12.53</w:t>
                  </w:r>
                </w:p>
              </w:tc>
              <w:tc>
                <w:tcPr>
                  <w:tcW w:w="555" w:type="pct"/>
                  <w:tcBorders>
                    <w:top w:val="nil"/>
                    <w:left w:val="nil"/>
                    <w:bottom w:val="single" w:color="auto" w:sz="4" w:space="0"/>
                    <w:right w:val="single" w:color="auto" w:sz="4" w:space="0"/>
                  </w:tcBorders>
                  <w:shd w:val="clear" w:color="000000" w:fill="FFFFFF"/>
                  <w:noWrap/>
                  <w:vAlign w:val="center"/>
                </w:tcPr>
                <w:p w14:paraId="138A1A65">
                  <w:pPr>
                    <w:widowControl/>
                    <w:jc w:val="center"/>
                    <w:rPr>
                      <w:color w:val="EE0000"/>
                      <w:spacing w:val="-10"/>
                      <w:kern w:val="0"/>
                      <w:sz w:val="18"/>
                      <w:szCs w:val="18"/>
                      <w:u w:val="single"/>
                    </w:rPr>
                  </w:pPr>
                  <w:r>
                    <w:rPr>
                      <w:color w:val="EE0000"/>
                      <w:spacing w:val="-10"/>
                      <w:kern w:val="0"/>
                      <w:sz w:val="18"/>
                      <w:szCs w:val="18"/>
                      <w:u w:val="single"/>
                    </w:rPr>
                    <w:t>15.62</w:t>
                  </w:r>
                </w:p>
              </w:tc>
              <w:tc>
                <w:tcPr>
                  <w:tcW w:w="399" w:type="pct"/>
                  <w:tcBorders>
                    <w:top w:val="nil"/>
                    <w:left w:val="nil"/>
                    <w:bottom w:val="single" w:color="auto" w:sz="4" w:space="0"/>
                    <w:right w:val="single" w:color="auto" w:sz="4" w:space="0"/>
                  </w:tcBorders>
                  <w:shd w:val="clear" w:color="000000" w:fill="FFFFFF"/>
                  <w:noWrap/>
                  <w:vAlign w:val="center"/>
                </w:tcPr>
                <w:p w14:paraId="342347DE">
                  <w:pPr>
                    <w:widowControl/>
                    <w:jc w:val="center"/>
                    <w:rPr>
                      <w:color w:val="EE0000"/>
                      <w:spacing w:val="-10"/>
                      <w:kern w:val="0"/>
                      <w:sz w:val="18"/>
                      <w:szCs w:val="18"/>
                      <w:u w:val="single"/>
                    </w:rPr>
                  </w:pPr>
                  <w:r>
                    <w:rPr>
                      <w:color w:val="EE0000"/>
                      <w:spacing w:val="-10"/>
                      <w:kern w:val="0"/>
                      <w:sz w:val="18"/>
                      <w:szCs w:val="18"/>
                      <w:u w:val="single"/>
                    </w:rPr>
                    <w:t>59.63</w:t>
                  </w:r>
                </w:p>
              </w:tc>
              <w:tc>
                <w:tcPr>
                  <w:tcW w:w="462" w:type="pct"/>
                  <w:tcBorders>
                    <w:top w:val="nil"/>
                    <w:left w:val="nil"/>
                    <w:bottom w:val="single" w:color="auto" w:sz="4" w:space="0"/>
                    <w:right w:val="single" w:color="auto" w:sz="4" w:space="0"/>
                  </w:tcBorders>
                  <w:shd w:val="clear" w:color="000000" w:fill="FFFFFF"/>
                  <w:noWrap/>
                  <w:vAlign w:val="center"/>
                </w:tcPr>
                <w:p w14:paraId="4888EBCF">
                  <w:pPr>
                    <w:widowControl/>
                    <w:jc w:val="center"/>
                    <w:rPr>
                      <w:color w:val="EE0000"/>
                      <w:spacing w:val="-10"/>
                      <w:kern w:val="0"/>
                      <w:sz w:val="18"/>
                      <w:szCs w:val="18"/>
                      <w:u w:val="single"/>
                    </w:rPr>
                  </w:pPr>
                  <w:r>
                    <w:rPr>
                      <w:color w:val="EE0000"/>
                      <w:spacing w:val="-10"/>
                      <w:kern w:val="0"/>
                      <w:sz w:val="18"/>
                      <w:szCs w:val="18"/>
                      <w:u w:val="single"/>
                    </w:rPr>
                    <w:t>4225585.97</w:t>
                  </w:r>
                </w:p>
              </w:tc>
            </w:tr>
            <w:tr w14:paraId="7D50C5E2">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5D7EFBA1">
                  <w:pPr>
                    <w:widowControl/>
                    <w:jc w:val="center"/>
                    <w:rPr>
                      <w:color w:val="EE0000"/>
                      <w:spacing w:val="-10"/>
                      <w:kern w:val="0"/>
                      <w:sz w:val="18"/>
                      <w:szCs w:val="18"/>
                      <w:u w:val="single"/>
                    </w:rPr>
                  </w:pPr>
                  <w:r>
                    <w:rPr>
                      <w:color w:val="EE0000"/>
                      <w:spacing w:val="-10"/>
                      <w:kern w:val="0"/>
                      <w:sz w:val="18"/>
                      <w:szCs w:val="18"/>
                      <w:u w:val="single"/>
                    </w:rPr>
                    <w:t>平均值</w:t>
                  </w:r>
                </w:p>
              </w:tc>
              <w:tc>
                <w:tcPr>
                  <w:tcW w:w="438" w:type="pct"/>
                  <w:tcBorders>
                    <w:top w:val="nil"/>
                    <w:left w:val="nil"/>
                    <w:bottom w:val="single" w:color="auto" w:sz="4" w:space="0"/>
                    <w:right w:val="single" w:color="auto" w:sz="4" w:space="0"/>
                  </w:tcBorders>
                  <w:shd w:val="clear" w:color="000000" w:fill="FFFFFF"/>
                  <w:noWrap/>
                  <w:vAlign w:val="center"/>
                </w:tcPr>
                <w:p w14:paraId="6B882953">
                  <w:pPr>
                    <w:widowControl/>
                    <w:jc w:val="center"/>
                    <w:rPr>
                      <w:color w:val="EE0000"/>
                      <w:spacing w:val="-10"/>
                      <w:kern w:val="0"/>
                      <w:sz w:val="18"/>
                      <w:szCs w:val="18"/>
                      <w:u w:val="single"/>
                    </w:rPr>
                  </w:pPr>
                  <w:r>
                    <w:rPr>
                      <w:color w:val="EE0000"/>
                      <w:spacing w:val="-10"/>
                      <w:kern w:val="0"/>
                      <w:sz w:val="18"/>
                      <w:szCs w:val="18"/>
                      <w:u w:val="single"/>
                    </w:rPr>
                    <w:t>6.63</w:t>
                  </w:r>
                </w:p>
              </w:tc>
              <w:tc>
                <w:tcPr>
                  <w:tcW w:w="512" w:type="pct"/>
                  <w:tcBorders>
                    <w:top w:val="nil"/>
                    <w:left w:val="nil"/>
                    <w:bottom w:val="single" w:color="auto" w:sz="4" w:space="0"/>
                    <w:right w:val="single" w:color="auto" w:sz="4" w:space="0"/>
                  </w:tcBorders>
                  <w:shd w:val="clear" w:color="000000" w:fill="FFFFFF"/>
                  <w:noWrap/>
                  <w:vAlign w:val="center"/>
                </w:tcPr>
                <w:p w14:paraId="61A64D30">
                  <w:pPr>
                    <w:widowControl/>
                    <w:jc w:val="center"/>
                    <w:rPr>
                      <w:color w:val="EE0000"/>
                      <w:spacing w:val="-10"/>
                      <w:kern w:val="0"/>
                      <w:sz w:val="18"/>
                      <w:szCs w:val="18"/>
                      <w:u w:val="single"/>
                    </w:rPr>
                  </w:pPr>
                  <w:r>
                    <w:rPr>
                      <w:color w:val="EE0000"/>
                      <w:spacing w:val="-10"/>
                      <w:kern w:val="0"/>
                      <w:sz w:val="18"/>
                      <w:szCs w:val="18"/>
                      <w:u w:val="single"/>
                    </w:rPr>
                    <w:t>14.25</w:t>
                  </w:r>
                </w:p>
              </w:tc>
              <w:tc>
                <w:tcPr>
                  <w:tcW w:w="415" w:type="pct"/>
                  <w:tcBorders>
                    <w:top w:val="nil"/>
                    <w:left w:val="nil"/>
                    <w:bottom w:val="single" w:color="auto" w:sz="4" w:space="0"/>
                    <w:right w:val="single" w:color="auto" w:sz="4" w:space="0"/>
                  </w:tcBorders>
                  <w:shd w:val="clear" w:color="000000" w:fill="FFFFFF"/>
                  <w:noWrap/>
                  <w:vAlign w:val="center"/>
                </w:tcPr>
                <w:p w14:paraId="43EC03FA">
                  <w:pPr>
                    <w:widowControl/>
                    <w:jc w:val="center"/>
                    <w:rPr>
                      <w:color w:val="EE0000"/>
                      <w:spacing w:val="-10"/>
                      <w:kern w:val="0"/>
                      <w:sz w:val="18"/>
                      <w:szCs w:val="18"/>
                      <w:u w:val="single"/>
                    </w:rPr>
                  </w:pPr>
                  <w:r>
                    <w:rPr>
                      <w:color w:val="EE0000"/>
                      <w:spacing w:val="-10"/>
                      <w:kern w:val="0"/>
                      <w:sz w:val="18"/>
                      <w:szCs w:val="18"/>
                      <w:u w:val="single"/>
                    </w:rPr>
                    <w:t>-</w:t>
                  </w:r>
                </w:p>
              </w:tc>
              <w:tc>
                <w:tcPr>
                  <w:tcW w:w="465" w:type="pct"/>
                  <w:tcBorders>
                    <w:top w:val="nil"/>
                    <w:left w:val="nil"/>
                    <w:bottom w:val="single" w:color="auto" w:sz="4" w:space="0"/>
                    <w:right w:val="single" w:color="auto" w:sz="4" w:space="0"/>
                  </w:tcBorders>
                  <w:shd w:val="clear" w:color="000000" w:fill="FFFFFF"/>
                  <w:noWrap/>
                  <w:vAlign w:val="center"/>
                </w:tcPr>
                <w:p w14:paraId="506169FB">
                  <w:pPr>
                    <w:widowControl/>
                    <w:jc w:val="center"/>
                    <w:rPr>
                      <w:color w:val="EE0000"/>
                      <w:spacing w:val="-10"/>
                      <w:kern w:val="0"/>
                      <w:sz w:val="18"/>
                      <w:szCs w:val="18"/>
                      <w:u w:val="single"/>
                    </w:rPr>
                  </w:pPr>
                  <w:r>
                    <w:rPr>
                      <w:color w:val="EE0000"/>
                      <w:spacing w:val="-10"/>
                      <w:kern w:val="0"/>
                      <w:sz w:val="18"/>
                      <w:szCs w:val="18"/>
                      <w:u w:val="single"/>
                    </w:rPr>
                    <w:t>62.85</w:t>
                  </w:r>
                </w:p>
              </w:tc>
              <w:tc>
                <w:tcPr>
                  <w:tcW w:w="533" w:type="pct"/>
                  <w:tcBorders>
                    <w:top w:val="nil"/>
                    <w:left w:val="nil"/>
                    <w:bottom w:val="single" w:color="auto" w:sz="4" w:space="0"/>
                    <w:right w:val="single" w:color="auto" w:sz="4" w:space="0"/>
                  </w:tcBorders>
                  <w:shd w:val="clear" w:color="000000" w:fill="FFFFFF"/>
                  <w:noWrap/>
                  <w:vAlign w:val="center"/>
                </w:tcPr>
                <w:p w14:paraId="442BAC0F">
                  <w:pPr>
                    <w:widowControl/>
                    <w:jc w:val="center"/>
                    <w:rPr>
                      <w:color w:val="EE0000"/>
                      <w:spacing w:val="-10"/>
                      <w:kern w:val="0"/>
                      <w:sz w:val="18"/>
                      <w:szCs w:val="18"/>
                      <w:u w:val="single"/>
                    </w:rPr>
                  </w:pPr>
                  <w:r>
                    <w:rPr>
                      <w:color w:val="EE0000"/>
                      <w:spacing w:val="-10"/>
                      <w:kern w:val="0"/>
                      <w:sz w:val="18"/>
                      <w:szCs w:val="18"/>
                      <w:u w:val="single"/>
                    </w:rPr>
                    <w:t>99.23</w:t>
                  </w:r>
                </w:p>
              </w:tc>
              <w:tc>
                <w:tcPr>
                  <w:tcW w:w="416" w:type="pct"/>
                  <w:tcBorders>
                    <w:top w:val="nil"/>
                    <w:left w:val="nil"/>
                    <w:bottom w:val="single" w:color="auto" w:sz="4" w:space="0"/>
                    <w:right w:val="single" w:color="auto" w:sz="4" w:space="0"/>
                  </w:tcBorders>
                  <w:shd w:val="clear" w:color="000000" w:fill="FFFFFF"/>
                  <w:noWrap/>
                  <w:vAlign w:val="center"/>
                </w:tcPr>
                <w:p w14:paraId="5A74882D">
                  <w:pPr>
                    <w:widowControl/>
                    <w:jc w:val="center"/>
                    <w:rPr>
                      <w:color w:val="EE0000"/>
                      <w:spacing w:val="-10"/>
                      <w:kern w:val="0"/>
                      <w:sz w:val="18"/>
                      <w:szCs w:val="18"/>
                      <w:u w:val="single"/>
                    </w:rPr>
                  </w:pPr>
                  <w:r>
                    <w:rPr>
                      <w:color w:val="EE0000"/>
                      <w:spacing w:val="-10"/>
                      <w:kern w:val="0"/>
                      <w:sz w:val="18"/>
                      <w:szCs w:val="18"/>
                      <w:u w:val="single"/>
                    </w:rPr>
                    <w:t>-</w:t>
                  </w:r>
                </w:p>
              </w:tc>
              <w:tc>
                <w:tcPr>
                  <w:tcW w:w="444" w:type="pct"/>
                  <w:tcBorders>
                    <w:top w:val="nil"/>
                    <w:left w:val="nil"/>
                    <w:bottom w:val="single" w:color="auto" w:sz="4" w:space="0"/>
                    <w:right w:val="single" w:color="auto" w:sz="4" w:space="0"/>
                  </w:tcBorders>
                  <w:shd w:val="clear" w:color="000000" w:fill="FFFFFF"/>
                  <w:noWrap/>
                  <w:vAlign w:val="center"/>
                </w:tcPr>
                <w:p w14:paraId="43990030">
                  <w:pPr>
                    <w:widowControl/>
                    <w:jc w:val="center"/>
                    <w:rPr>
                      <w:color w:val="EE0000"/>
                      <w:spacing w:val="-10"/>
                      <w:kern w:val="0"/>
                      <w:sz w:val="18"/>
                      <w:szCs w:val="18"/>
                      <w:u w:val="single"/>
                    </w:rPr>
                  </w:pPr>
                  <w:r>
                    <w:rPr>
                      <w:color w:val="EE0000"/>
                      <w:spacing w:val="-10"/>
                      <w:kern w:val="0"/>
                      <w:sz w:val="18"/>
                      <w:szCs w:val="18"/>
                      <w:u w:val="single"/>
                    </w:rPr>
                    <w:t>16.58</w:t>
                  </w:r>
                </w:p>
              </w:tc>
              <w:tc>
                <w:tcPr>
                  <w:tcW w:w="555" w:type="pct"/>
                  <w:tcBorders>
                    <w:top w:val="nil"/>
                    <w:left w:val="nil"/>
                    <w:bottom w:val="single" w:color="auto" w:sz="4" w:space="0"/>
                    <w:right w:val="single" w:color="auto" w:sz="4" w:space="0"/>
                  </w:tcBorders>
                  <w:shd w:val="clear" w:color="000000" w:fill="FFFFFF"/>
                  <w:noWrap/>
                  <w:vAlign w:val="center"/>
                </w:tcPr>
                <w:p w14:paraId="5FA9031C">
                  <w:pPr>
                    <w:widowControl/>
                    <w:jc w:val="center"/>
                    <w:rPr>
                      <w:color w:val="EE0000"/>
                      <w:spacing w:val="-10"/>
                      <w:kern w:val="0"/>
                      <w:sz w:val="18"/>
                      <w:szCs w:val="18"/>
                      <w:u w:val="single"/>
                    </w:rPr>
                  </w:pPr>
                  <w:r>
                    <w:rPr>
                      <w:color w:val="EE0000"/>
                      <w:spacing w:val="-10"/>
                      <w:kern w:val="0"/>
                      <w:sz w:val="18"/>
                      <w:szCs w:val="18"/>
                      <w:u w:val="single"/>
                    </w:rPr>
                    <w:t>24.46</w:t>
                  </w:r>
                </w:p>
              </w:tc>
              <w:tc>
                <w:tcPr>
                  <w:tcW w:w="399" w:type="pct"/>
                  <w:tcBorders>
                    <w:top w:val="nil"/>
                    <w:left w:val="nil"/>
                    <w:bottom w:val="single" w:color="auto" w:sz="4" w:space="0"/>
                    <w:right w:val="single" w:color="auto" w:sz="4" w:space="0"/>
                  </w:tcBorders>
                  <w:shd w:val="clear" w:color="000000" w:fill="FFFFFF"/>
                  <w:noWrap/>
                  <w:vAlign w:val="center"/>
                </w:tcPr>
                <w:p w14:paraId="71E9228F">
                  <w:pPr>
                    <w:widowControl/>
                    <w:jc w:val="center"/>
                    <w:rPr>
                      <w:color w:val="EE0000"/>
                      <w:spacing w:val="-10"/>
                      <w:kern w:val="0"/>
                      <w:sz w:val="18"/>
                      <w:szCs w:val="18"/>
                      <w:u w:val="single"/>
                    </w:rPr>
                  </w:pPr>
                  <w:r>
                    <w:rPr>
                      <w:color w:val="EE0000"/>
                      <w:spacing w:val="-10"/>
                      <w:kern w:val="0"/>
                      <w:sz w:val="18"/>
                      <w:szCs w:val="18"/>
                      <w:u w:val="single"/>
                    </w:rPr>
                    <w:t>-</w:t>
                  </w:r>
                </w:p>
              </w:tc>
              <w:tc>
                <w:tcPr>
                  <w:tcW w:w="462" w:type="pct"/>
                  <w:tcBorders>
                    <w:top w:val="nil"/>
                    <w:left w:val="nil"/>
                    <w:bottom w:val="single" w:color="auto" w:sz="4" w:space="0"/>
                    <w:right w:val="single" w:color="auto" w:sz="4" w:space="0"/>
                  </w:tcBorders>
                  <w:shd w:val="clear" w:color="000000" w:fill="FFFFFF"/>
                  <w:noWrap/>
                  <w:vAlign w:val="center"/>
                </w:tcPr>
                <w:p w14:paraId="17DFBC8A">
                  <w:pPr>
                    <w:widowControl/>
                    <w:jc w:val="center"/>
                    <w:rPr>
                      <w:color w:val="EE0000"/>
                      <w:spacing w:val="-10"/>
                      <w:kern w:val="0"/>
                      <w:sz w:val="18"/>
                      <w:szCs w:val="18"/>
                      <w:u w:val="single"/>
                    </w:rPr>
                  </w:pPr>
                  <w:r>
                    <w:rPr>
                      <w:color w:val="EE0000"/>
                      <w:spacing w:val="-10"/>
                      <w:kern w:val="0"/>
                      <w:sz w:val="18"/>
                      <w:szCs w:val="18"/>
                      <w:u w:val="single"/>
                    </w:rPr>
                    <w:t>-</w:t>
                  </w:r>
                </w:p>
              </w:tc>
            </w:tr>
            <w:tr w14:paraId="1A6B4D8A">
              <w:tblPrEx>
                <w:tblCellMar>
                  <w:top w:w="0" w:type="dxa"/>
                  <w:left w:w="108" w:type="dxa"/>
                  <w:bottom w:w="0" w:type="dxa"/>
                  <w:right w:w="108" w:type="dxa"/>
                </w:tblCellMar>
              </w:tblPrEx>
              <w:trPr>
                <w:trHeight w:val="285" w:hRule="atLeast"/>
              </w:trPr>
              <w:tc>
                <w:tcPr>
                  <w:tcW w:w="361" w:type="pct"/>
                  <w:tcBorders>
                    <w:top w:val="nil"/>
                    <w:left w:val="single" w:color="auto" w:sz="4" w:space="0"/>
                    <w:bottom w:val="single" w:color="auto" w:sz="4" w:space="0"/>
                    <w:right w:val="single" w:color="auto" w:sz="4" w:space="0"/>
                  </w:tcBorders>
                  <w:shd w:val="clear" w:color="000000" w:fill="FFFFFF"/>
                  <w:noWrap/>
                  <w:vAlign w:val="center"/>
                </w:tcPr>
                <w:p w14:paraId="1EC46172">
                  <w:pPr>
                    <w:widowControl/>
                    <w:jc w:val="center"/>
                    <w:rPr>
                      <w:color w:val="EE0000"/>
                      <w:spacing w:val="-10"/>
                      <w:kern w:val="0"/>
                      <w:sz w:val="18"/>
                      <w:szCs w:val="18"/>
                      <w:u w:val="single"/>
                    </w:rPr>
                  </w:pPr>
                  <w:r>
                    <w:rPr>
                      <w:color w:val="EE0000"/>
                      <w:spacing w:val="-10"/>
                      <w:kern w:val="0"/>
                      <w:sz w:val="18"/>
                      <w:szCs w:val="18"/>
                      <w:u w:val="single"/>
                    </w:rPr>
                    <w:t>总计</w:t>
                  </w:r>
                </w:p>
              </w:tc>
              <w:tc>
                <w:tcPr>
                  <w:tcW w:w="438" w:type="pct"/>
                  <w:tcBorders>
                    <w:top w:val="nil"/>
                    <w:left w:val="nil"/>
                    <w:bottom w:val="single" w:color="auto" w:sz="4" w:space="0"/>
                    <w:right w:val="single" w:color="auto" w:sz="4" w:space="0"/>
                  </w:tcBorders>
                  <w:shd w:val="clear" w:color="000000" w:fill="FFFFFF"/>
                  <w:noWrap/>
                  <w:vAlign w:val="center"/>
                </w:tcPr>
                <w:p w14:paraId="6EDB0D15">
                  <w:pPr>
                    <w:widowControl/>
                    <w:jc w:val="center"/>
                    <w:rPr>
                      <w:color w:val="EE0000"/>
                      <w:spacing w:val="-10"/>
                      <w:kern w:val="0"/>
                      <w:sz w:val="18"/>
                      <w:szCs w:val="18"/>
                      <w:u w:val="single"/>
                    </w:rPr>
                  </w:pPr>
                  <w:r>
                    <w:rPr>
                      <w:color w:val="EE0000"/>
                      <w:spacing w:val="-10"/>
                      <w:kern w:val="0"/>
                      <w:sz w:val="18"/>
                      <w:szCs w:val="18"/>
                      <w:u w:val="single"/>
                    </w:rPr>
                    <w:t>-</w:t>
                  </w:r>
                </w:p>
              </w:tc>
              <w:tc>
                <w:tcPr>
                  <w:tcW w:w="512" w:type="pct"/>
                  <w:tcBorders>
                    <w:top w:val="nil"/>
                    <w:left w:val="nil"/>
                    <w:bottom w:val="single" w:color="auto" w:sz="4" w:space="0"/>
                    <w:right w:val="single" w:color="auto" w:sz="4" w:space="0"/>
                  </w:tcBorders>
                  <w:shd w:val="clear" w:color="000000" w:fill="FFFFFF"/>
                  <w:noWrap/>
                  <w:vAlign w:val="center"/>
                </w:tcPr>
                <w:p w14:paraId="6491C115">
                  <w:pPr>
                    <w:widowControl/>
                    <w:jc w:val="center"/>
                    <w:rPr>
                      <w:color w:val="EE0000"/>
                      <w:spacing w:val="-10"/>
                      <w:kern w:val="0"/>
                      <w:sz w:val="18"/>
                      <w:szCs w:val="18"/>
                      <w:u w:val="single"/>
                    </w:rPr>
                  </w:pPr>
                  <w:r>
                    <w:rPr>
                      <w:color w:val="EE0000"/>
                      <w:spacing w:val="-10"/>
                      <w:kern w:val="0"/>
                      <w:sz w:val="18"/>
                      <w:szCs w:val="18"/>
                      <w:u w:val="single"/>
                    </w:rPr>
                    <w:t>-</w:t>
                  </w:r>
                </w:p>
              </w:tc>
              <w:tc>
                <w:tcPr>
                  <w:tcW w:w="415" w:type="pct"/>
                  <w:tcBorders>
                    <w:top w:val="nil"/>
                    <w:left w:val="nil"/>
                    <w:bottom w:val="single" w:color="auto" w:sz="4" w:space="0"/>
                    <w:right w:val="single" w:color="auto" w:sz="4" w:space="0"/>
                  </w:tcBorders>
                  <w:shd w:val="clear" w:color="000000" w:fill="FFFFFF"/>
                  <w:noWrap/>
                  <w:vAlign w:val="center"/>
                </w:tcPr>
                <w:p w14:paraId="46A9368B">
                  <w:pPr>
                    <w:widowControl/>
                    <w:jc w:val="center"/>
                    <w:rPr>
                      <w:color w:val="EE0000"/>
                      <w:spacing w:val="-10"/>
                      <w:kern w:val="0"/>
                      <w:sz w:val="18"/>
                      <w:szCs w:val="18"/>
                      <w:u w:val="single"/>
                    </w:rPr>
                  </w:pPr>
                  <w:r>
                    <w:rPr>
                      <w:color w:val="EE0000"/>
                      <w:spacing w:val="-10"/>
                      <w:kern w:val="0"/>
                      <w:sz w:val="18"/>
                      <w:szCs w:val="18"/>
                      <w:u w:val="single"/>
                    </w:rPr>
                    <w:t>2269.45</w:t>
                  </w:r>
                </w:p>
              </w:tc>
              <w:tc>
                <w:tcPr>
                  <w:tcW w:w="465" w:type="pct"/>
                  <w:tcBorders>
                    <w:top w:val="nil"/>
                    <w:left w:val="nil"/>
                    <w:bottom w:val="single" w:color="auto" w:sz="4" w:space="0"/>
                    <w:right w:val="single" w:color="auto" w:sz="4" w:space="0"/>
                  </w:tcBorders>
                  <w:shd w:val="clear" w:color="000000" w:fill="FFFFFF"/>
                  <w:noWrap/>
                  <w:vAlign w:val="center"/>
                </w:tcPr>
                <w:p w14:paraId="649E4C42">
                  <w:pPr>
                    <w:widowControl/>
                    <w:jc w:val="center"/>
                    <w:rPr>
                      <w:color w:val="EE0000"/>
                      <w:spacing w:val="-10"/>
                      <w:kern w:val="0"/>
                      <w:sz w:val="18"/>
                      <w:szCs w:val="18"/>
                      <w:u w:val="single"/>
                    </w:rPr>
                  </w:pPr>
                  <w:r>
                    <w:rPr>
                      <w:color w:val="EE0000"/>
                      <w:spacing w:val="-10"/>
                      <w:kern w:val="0"/>
                      <w:sz w:val="18"/>
                      <w:szCs w:val="18"/>
                      <w:u w:val="single"/>
                    </w:rPr>
                    <w:t>-</w:t>
                  </w:r>
                </w:p>
              </w:tc>
              <w:tc>
                <w:tcPr>
                  <w:tcW w:w="533" w:type="pct"/>
                  <w:tcBorders>
                    <w:top w:val="nil"/>
                    <w:left w:val="nil"/>
                    <w:bottom w:val="single" w:color="auto" w:sz="4" w:space="0"/>
                    <w:right w:val="single" w:color="auto" w:sz="4" w:space="0"/>
                  </w:tcBorders>
                  <w:shd w:val="clear" w:color="000000" w:fill="FFFFFF"/>
                  <w:noWrap/>
                  <w:vAlign w:val="center"/>
                </w:tcPr>
                <w:p w14:paraId="27E0710C">
                  <w:pPr>
                    <w:widowControl/>
                    <w:jc w:val="center"/>
                    <w:rPr>
                      <w:color w:val="EE0000"/>
                      <w:spacing w:val="-10"/>
                      <w:kern w:val="0"/>
                      <w:sz w:val="18"/>
                      <w:szCs w:val="18"/>
                      <w:u w:val="single"/>
                    </w:rPr>
                  </w:pPr>
                  <w:r>
                    <w:rPr>
                      <w:color w:val="EE0000"/>
                      <w:spacing w:val="-10"/>
                      <w:kern w:val="0"/>
                      <w:sz w:val="18"/>
                      <w:szCs w:val="18"/>
                      <w:u w:val="single"/>
                    </w:rPr>
                    <w:t>-</w:t>
                  </w:r>
                </w:p>
              </w:tc>
              <w:tc>
                <w:tcPr>
                  <w:tcW w:w="416" w:type="pct"/>
                  <w:tcBorders>
                    <w:top w:val="nil"/>
                    <w:left w:val="nil"/>
                    <w:bottom w:val="single" w:color="auto" w:sz="4" w:space="0"/>
                    <w:right w:val="single" w:color="auto" w:sz="4" w:space="0"/>
                  </w:tcBorders>
                  <w:shd w:val="clear" w:color="000000" w:fill="FFFFFF"/>
                  <w:noWrap/>
                  <w:vAlign w:val="center"/>
                </w:tcPr>
                <w:p w14:paraId="685D9081">
                  <w:pPr>
                    <w:widowControl/>
                    <w:jc w:val="center"/>
                    <w:rPr>
                      <w:color w:val="EE0000"/>
                      <w:spacing w:val="-10"/>
                      <w:kern w:val="0"/>
                      <w:sz w:val="18"/>
                      <w:szCs w:val="18"/>
                      <w:u w:val="single"/>
                    </w:rPr>
                  </w:pPr>
                  <w:r>
                    <w:rPr>
                      <w:color w:val="EE0000"/>
                      <w:spacing w:val="-10"/>
                      <w:kern w:val="0"/>
                      <w:sz w:val="18"/>
                      <w:szCs w:val="18"/>
                      <w:u w:val="single"/>
                    </w:rPr>
                    <w:t>21685.92</w:t>
                  </w:r>
                </w:p>
              </w:tc>
              <w:tc>
                <w:tcPr>
                  <w:tcW w:w="444" w:type="pct"/>
                  <w:tcBorders>
                    <w:top w:val="nil"/>
                    <w:left w:val="nil"/>
                    <w:bottom w:val="single" w:color="auto" w:sz="4" w:space="0"/>
                    <w:right w:val="single" w:color="auto" w:sz="4" w:space="0"/>
                  </w:tcBorders>
                  <w:shd w:val="clear" w:color="000000" w:fill="FFFFFF"/>
                  <w:noWrap/>
                  <w:vAlign w:val="center"/>
                </w:tcPr>
                <w:p w14:paraId="687D9913">
                  <w:pPr>
                    <w:widowControl/>
                    <w:jc w:val="center"/>
                    <w:rPr>
                      <w:color w:val="EE0000"/>
                      <w:spacing w:val="-10"/>
                      <w:kern w:val="0"/>
                      <w:sz w:val="18"/>
                      <w:szCs w:val="18"/>
                      <w:u w:val="single"/>
                    </w:rPr>
                  </w:pPr>
                  <w:r>
                    <w:rPr>
                      <w:color w:val="EE0000"/>
                      <w:spacing w:val="-10"/>
                      <w:kern w:val="0"/>
                      <w:sz w:val="18"/>
                      <w:szCs w:val="18"/>
                      <w:u w:val="single"/>
                    </w:rPr>
                    <w:t>-</w:t>
                  </w:r>
                </w:p>
              </w:tc>
              <w:tc>
                <w:tcPr>
                  <w:tcW w:w="555" w:type="pct"/>
                  <w:tcBorders>
                    <w:top w:val="nil"/>
                    <w:left w:val="nil"/>
                    <w:bottom w:val="single" w:color="auto" w:sz="4" w:space="0"/>
                    <w:right w:val="single" w:color="auto" w:sz="4" w:space="0"/>
                  </w:tcBorders>
                  <w:shd w:val="clear" w:color="000000" w:fill="FFFFFF"/>
                  <w:noWrap/>
                  <w:vAlign w:val="center"/>
                </w:tcPr>
                <w:p w14:paraId="3566638A">
                  <w:pPr>
                    <w:widowControl/>
                    <w:jc w:val="center"/>
                    <w:rPr>
                      <w:color w:val="EE0000"/>
                      <w:spacing w:val="-10"/>
                      <w:kern w:val="0"/>
                      <w:sz w:val="18"/>
                      <w:szCs w:val="18"/>
                      <w:u w:val="single"/>
                    </w:rPr>
                  </w:pPr>
                  <w:r>
                    <w:rPr>
                      <w:color w:val="EE0000"/>
                      <w:spacing w:val="-10"/>
                      <w:kern w:val="0"/>
                      <w:sz w:val="18"/>
                      <w:szCs w:val="18"/>
                      <w:u w:val="single"/>
                    </w:rPr>
                    <w:t>-</w:t>
                  </w:r>
                </w:p>
              </w:tc>
              <w:tc>
                <w:tcPr>
                  <w:tcW w:w="399" w:type="pct"/>
                  <w:tcBorders>
                    <w:top w:val="nil"/>
                    <w:left w:val="nil"/>
                    <w:bottom w:val="single" w:color="auto" w:sz="4" w:space="0"/>
                    <w:right w:val="single" w:color="auto" w:sz="4" w:space="0"/>
                  </w:tcBorders>
                  <w:shd w:val="clear" w:color="000000" w:fill="FFFFFF"/>
                  <w:noWrap/>
                  <w:vAlign w:val="center"/>
                </w:tcPr>
                <w:p w14:paraId="340585B7">
                  <w:pPr>
                    <w:widowControl/>
                    <w:jc w:val="center"/>
                    <w:rPr>
                      <w:color w:val="EE0000"/>
                      <w:spacing w:val="-10"/>
                      <w:kern w:val="0"/>
                      <w:sz w:val="18"/>
                      <w:szCs w:val="18"/>
                      <w:u w:val="single"/>
                    </w:rPr>
                  </w:pPr>
                  <w:r>
                    <w:rPr>
                      <w:color w:val="EE0000"/>
                      <w:spacing w:val="-10"/>
                      <w:kern w:val="0"/>
                      <w:sz w:val="18"/>
                      <w:szCs w:val="18"/>
                      <w:u w:val="single"/>
                    </w:rPr>
                    <w:t>5747.05</w:t>
                  </w:r>
                </w:p>
              </w:tc>
              <w:tc>
                <w:tcPr>
                  <w:tcW w:w="462" w:type="pct"/>
                  <w:tcBorders>
                    <w:top w:val="nil"/>
                    <w:left w:val="nil"/>
                    <w:bottom w:val="single" w:color="auto" w:sz="4" w:space="0"/>
                    <w:right w:val="single" w:color="auto" w:sz="4" w:space="0"/>
                  </w:tcBorders>
                  <w:shd w:val="clear" w:color="000000" w:fill="FFFFFF"/>
                  <w:noWrap/>
                  <w:vAlign w:val="center"/>
                </w:tcPr>
                <w:p w14:paraId="52E79C7D">
                  <w:pPr>
                    <w:widowControl/>
                    <w:jc w:val="center"/>
                    <w:rPr>
                      <w:color w:val="EE0000"/>
                      <w:spacing w:val="-10"/>
                      <w:kern w:val="0"/>
                      <w:sz w:val="18"/>
                      <w:szCs w:val="18"/>
                      <w:u w:val="single"/>
                    </w:rPr>
                  </w:pPr>
                  <w:r>
                    <w:rPr>
                      <w:color w:val="EE0000"/>
                      <w:spacing w:val="-10"/>
                      <w:kern w:val="0"/>
                      <w:sz w:val="18"/>
                      <w:szCs w:val="18"/>
                      <w:u w:val="single"/>
                    </w:rPr>
                    <w:t>286139214.16</w:t>
                  </w:r>
                </w:p>
              </w:tc>
            </w:tr>
          </w:tbl>
          <w:p w14:paraId="04CCC554">
            <w:pPr>
              <w:jc w:val="left"/>
              <w:rPr>
                <w:rFonts w:eastAsia="黑体"/>
                <w:color w:val="EE0000"/>
                <w:szCs w:val="21"/>
                <w:u w:val="single"/>
              </w:rPr>
            </w:pPr>
            <w:r>
              <w:rPr>
                <w:rFonts w:eastAsia="黑体"/>
                <w:color w:val="EE0000"/>
                <w:szCs w:val="21"/>
                <w:u w:val="single"/>
              </w:rPr>
              <w:t>备注：2021年1月~3月份、12月份均为停产状态。</w:t>
            </w:r>
          </w:p>
          <w:p w14:paraId="006BEC81">
            <w:pPr>
              <w:adjustRightInd w:val="0"/>
              <w:snapToGrid w:val="0"/>
              <w:spacing w:line="520" w:lineRule="exact"/>
              <w:ind w:firstLine="480" w:firstLineChars="200"/>
              <w:rPr>
                <w:bCs/>
                <w:color w:val="EE0000"/>
                <w:sz w:val="24"/>
                <w:szCs w:val="21"/>
                <w:u w:val="single"/>
              </w:rPr>
            </w:pPr>
            <w:r>
              <w:rPr>
                <w:bCs/>
                <w:color w:val="EE0000"/>
                <w:sz w:val="24"/>
                <w:szCs w:val="21"/>
                <w:u w:val="single"/>
              </w:rPr>
              <w:t>河南昆翔检测技术服务有限公司于2021年7月23日对六和建材窑炉烟气中氟化物检测结果统计见表2-21。</w:t>
            </w:r>
          </w:p>
          <w:p w14:paraId="5A7065CA">
            <w:pPr>
              <w:spacing w:line="520" w:lineRule="exact"/>
              <w:jc w:val="center"/>
              <w:rPr>
                <w:rFonts w:eastAsia="黑体"/>
                <w:color w:val="EE0000"/>
                <w:sz w:val="24"/>
                <w:szCs w:val="32"/>
                <w:u w:val="single"/>
              </w:rPr>
            </w:pPr>
            <w:r>
              <w:rPr>
                <w:rFonts w:eastAsia="黑体"/>
                <w:color w:val="EE0000"/>
                <w:sz w:val="24"/>
                <w:szCs w:val="32"/>
                <w:u w:val="single"/>
              </w:rPr>
              <w:t>表2-21      六和建材窑炉烟气排放口DA002氟化物排放情况</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79"/>
              <w:gridCol w:w="1219"/>
              <w:gridCol w:w="1627"/>
              <w:gridCol w:w="1581"/>
              <w:gridCol w:w="1131"/>
              <w:gridCol w:w="963"/>
            </w:tblGrid>
            <w:tr w14:paraId="20F2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24" w:type="pct"/>
                  <w:vMerge w:val="restart"/>
                  <w:vAlign w:val="center"/>
                </w:tcPr>
                <w:p w14:paraId="24FDD638">
                  <w:pPr>
                    <w:spacing w:line="320" w:lineRule="exact"/>
                    <w:jc w:val="center"/>
                    <w:rPr>
                      <w:color w:val="EE0000"/>
                      <w:u w:val="single"/>
                    </w:rPr>
                  </w:pPr>
                  <w:r>
                    <w:rPr>
                      <w:color w:val="EE0000"/>
                      <w:u w:val="single"/>
                    </w:rPr>
                    <w:t>采样</w:t>
                  </w:r>
                </w:p>
                <w:p w14:paraId="390FE209">
                  <w:pPr>
                    <w:spacing w:line="320" w:lineRule="exact"/>
                    <w:jc w:val="center"/>
                    <w:rPr>
                      <w:color w:val="EE0000"/>
                      <w:u w:val="single"/>
                    </w:rPr>
                  </w:pPr>
                  <w:r>
                    <w:rPr>
                      <w:color w:val="EE0000"/>
                      <w:u w:val="single"/>
                    </w:rPr>
                    <w:t>日期</w:t>
                  </w:r>
                </w:p>
              </w:tc>
              <w:tc>
                <w:tcPr>
                  <w:tcW w:w="520" w:type="pct"/>
                  <w:vMerge w:val="restart"/>
                  <w:vAlign w:val="center"/>
                </w:tcPr>
                <w:p w14:paraId="315F35E2">
                  <w:pPr>
                    <w:spacing w:line="320" w:lineRule="exact"/>
                    <w:jc w:val="center"/>
                    <w:rPr>
                      <w:color w:val="EE0000"/>
                      <w:u w:val="single"/>
                    </w:rPr>
                  </w:pPr>
                  <w:r>
                    <w:rPr>
                      <w:color w:val="EE0000"/>
                      <w:u w:val="single"/>
                    </w:rPr>
                    <w:t>检测点位</w:t>
                  </w:r>
                </w:p>
              </w:tc>
              <w:tc>
                <w:tcPr>
                  <w:tcW w:w="721" w:type="pct"/>
                  <w:vMerge w:val="restart"/>
                  <w:vAlign w:val="center"/>
                </w:tcPr>
                <w:p w14:paraId="2CA2E4F0">
                  <w:pPr>
                    <w:spacing w:line="320" w:lineRule="exact"/>
                    <w:jc w:val="center"/>
                    <w:rPr>
                      <w:color w:val="EE0000"/>
                      <w:u w:val="single"/>
                    </w:rPr>
                  </w:pPr>
                  <w:r>
                    <w:rPr>
                      <w:color w:val="EE0000"/>
                      <w:u w:val="single"/>
                    </w:rPr>
                    <w:t>废气流量（Nm</w:t>
                  </w:r>
                  <w:r>
                    <w:rPr>
                      <w:color w:val="EE0000"/>
                      <w:u w:val="single"/>
                      <w:vertAlign w:val="superscript"/>
                    </w:rPr>
                    <w:t>3</w:t>
                  </w:r>
                  <w:r>
                    <w:rPr>
                      <w:color w:val="EE0000"/>
                      <w:u w:val="single"/>
                    </w:rPr>
                    <w:t>/h）</w:t>
                  </w:r>
                </w:p>
              </w:tc>
              <w:tc>
                <w:tcPr>
                  <w:tcW w:w="2566" w:type="pct"/>
                  <w:gridSpan w:val="3"/>
                  <w:vAlign w:val="center"/>
                </w:tcPr>
                <w:p w14:paraId="003589C2">
                  <w:pPr>
                    <w:spacing w:line="320" w:lineRule="exact"/>
                    <w:jc w:val="center"/>
                    <w:rPr>
                      <w:color w:val="EE0000"/>
                      <w:u w:val="single"/>
                    </w:rPr>
                  </w:pPr>
                  <w:r>
                    <w:rPr>
                      <w:color w:val="EE0000"/>
                      <w:u w:val="single"/>
                    </w:rPr>
                    <w:t>氟化物</w:t>
                  </w:r>
                </w:p>
              </w:tc>
              <w:tc>
                <w:tcPr>
                  <w:tcW w:w="569" w:type="pct"/>
                  <w:vMerge w:val="restart"/>
                  <w:vAlign w:val="center"/>
                </w:tcPr>
                <w:p w14:paraId="6D240B9D">
                  <w:pPr>
                    <w:spacing w:line="320" w:lineRule="exact"/>
                    <w:jc w:val="center"/>
                    <w:rPr>
                      <w:color w:val="EE0000"/>
                      <w:u w:val="single"/>
                    </w:rPr>
                  </w:pPr>
                  <w:r>
                    <w:rPr>
                      <w:color w:val="EE0000"/>
                      <w:u w:val="single"/>
                    </w:rPr>
                    <w:t>氧含量（%）</w:t>
                  </w:r>
                </w:p>
              </w:tc>
            </w:tr>
            <w:tr w14:paraId="4D1B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continue"/>
                  <w:vAlign w:val="center"/>
                </w:tcPr>
                <w:p w14:paraId="11E3BA2C">
                  <w:pPr>
                    <w:spacing w:line="320" w:lineRule="exact"/>
                    <w:jc w:val="center"/>
                    <w:rPr>
                      <w:color w:val="EE0000"/>
                      <w:u w:val="single"/>
                    </w:rPr>
                  </w:pPr>
                </w:p>
              </w:tc>
              <w:tc>
                <w:tcPr>
                  <w:tcW w:w="520" w:type="pct"/>
                  <w:vMerge w:val="continue"/>
                  <w:vAlign w:val="center"/>
                </w:tcPr>
                <w:p w14:paraId="6869F150">
                  <w:pPr>
                    <w:spacing w:line="320" w:lineRule="exact"/>
                    <w:jc w:val="center"/>
                    <w:rPr>
                      <w:color w:val="EE0000"/>
                      <w:u w:val="single"/>
                    </w:rPr>
                  </w:pPr>
                </w:p>
              </w:tc>
              <w:tc>
                <w:tcPr>
                  <w:tcW w:w="721" w:type="pct"/>
                  <w:vMerge w:val="continue"/>
                  <w:vAlign w:val="center"/>
                </w:tcPr>
                <w:p w14:paraId="435B8745">
                  <w:pPr>
                    <w:spacing w:line="320" w:lineRule="exact"/>
                    <w:jc w:val="center"/>
                    <w:rPr>
                      <w:color w:val="EE0000"/>
                      <w:u w:val="single"/>
                    </w:rPr>
                  </w:pPr>
                </w:p>
              </w:tc>
              <w:tc>
                <w:tcPr>
                  <w:tcW w:w="962" w:type="pct"/>
                  <w:tcBorders>
                    <w:right w:val="single" w:color="000000" w:sz="4" w:space="0"/>
                  </w:tcBorders>
                  <w:vAlign w:val="center"/>
                </w:tcPr>
                <w:p w14:paraId="2961298D">
                  <w:pPr>
                    <w:spacing w:line="320" w:lineRule="exact"/>
                    <w:jc w:val="center"/>
                    <w:rPr>
                      <w:color w:val="EE0000"/>
                      <w:u w:val="single"/>
                    </w:rPr>
                  </w:pPr>
                  <w:r>
                    <w:rPr>
                      <w:color w:val="EE0000"/>
                      <w:u w:val="single"/>
                    </w:rPr>
                    <w:t>排放浓度实测值（mg/m</w:t>
                  </w:r>
                  <w:r>
                    <w:rPr>
                      <w:color w:val="EE0000"/>
                      <w:u w:val="single"/>
                      <w:vertAlign w:val="superscript"/>
                    </w:rPr>
                    <w:t>3</w:t>
                  </w:r>
                  <w:r>
                    <w:rPr>
                      <w:color w:val="EE0000"/>
                      <w:u w:val="single"/>
                    </w:rPr>
                    <w:t>）</w:t>
                  </w:r>
                </w:p>
              </w:tc>
              <w:tc>
                <w:tcPr>
                  <w:tcW w:w="935" w:type="pct"/>
                  <w:tcBorders>
                    <w:left w:val="single" w:color="000000" w:sz="4" w:space="0"/>
                  </w:tcBorders>
                  <w:vAlign w:val="center"/>
                </w:tcPr>
                <w:p w14:paraId="3B2BF64B">
                  <w:pPr>
                    <w:spacing w:line="320" w:lineRule="exact"/>
                    <w:jc w:val="center"/>
                    <w:rPr>
                      <w:color w:val="EE0000"/>
                      <w:u w:val="single"/>
                    </w:rPr>
                  </w:pPr>
                  <w:r>
                    <w:rPr>
                      <w:color w:val="EE0000"/>
                      <w:u w:val="single"/>
                    </w:rPr>
                    <w:t>排放浓度折算值（mg/m</w:t>
                  </w:r>
                  <w:r>
                    <w:rPr>
                      <w:color w:val="EE0000"/>
                      <w:u w:val="single"/>
                      <w:vertAlign w:val="superscript"/>
                    </w:rPr>
                    <w:t>3</w:t>
                  </w:r>
                  <w:r>
                    <w:rPr>
                      <w:color w:val="EE0000"/>
                      <w:u w:val="single"/>
                    </w:rPr>
                    <w:t>）</w:t>
                  </w:r>
                </w:p>
              </w:tc>
              <w:tc>
                <w:tcPr>
                  <w:tcW w:w="669" w:type="pct"/>
                  <w:vAlign w:val="center"/>
                </w:tcPr>
                <w:p w14:paraId="0F83C4A4">
                  <w:pPr>
                    <w:spacing w:line="320" w:lineRule="exact"/>
                    <w:jc w:val="center"/>
                    <w:rPr>
                      <w:color w:val="EE0000"/>
                      <w:u w:val="single"/>
                    </w:rPr>
                  </w:pPr>
                  <w:r>
                    <w:rPr>
                      <w:color w:val="EE0000"/>
                      <w:u w:val="single"/>
                    </w:rPr>
                    <w:t>排放速率（kg/h）</w:t>
                  </w:r>
                </w:p>
              </w:tc>
              <w:tc>
                <w:tcPr>
                  <w:tcW w:w="569" w:type="pct"/>
                  <w:vMerge w:val="continue"/>
                  <w:vAlign w:val="center"/>
                </w:tcPr>
                <w:p w14:paraId="664F1E37">
                  <w:pPr>
                    <w:spacing w:line="320" w:lineRule="exact"/>
                    <w:jc w:val="center"/>
                    <w:rPr>
                      <w:color w:val="EE0000"/>
                      <w:u w:val="single"/>
                    </w:rPr>
                  </w:pPr>
                </w:p>
              </w:tc>
            </w:tr>
            <w:tr w14:paraId="197D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restart"/>
                  <w:vAlign w:val="center"/>
                </w:tcPr>
                <w:p w14:paraId="340FE574">
                  <w:pPr>
                    <w:spacing w:line="320" w:lineRule="exact"/>
                    <w:jc w:val="center"/>
                    <w:rPr>
                      <w:color w:val="EE0000"/>
                      <w:u w:val="single"/>
                    </w:rPr>
                  </w:pPr>
                  <w:r>
                    <w:rPr>
                      <w:color w:val="EE0000"/>
                      <w:u w:val="single"/>
                    </w:rPr>
                    <w:t>2021.7.23</w:t>
                  </w:r>
                </w:p>
              </w:tc>
              <w:tc>
                <w:tcPr>
                  <w:tcW w:w="520" w:type="pct"/>
                  <w:vMerge w:val="restart"/>
                  <w:vAlign w:val="center"/>
                </w:tcPr>
                <w:p w14:paraId="60E271B3">
                  <w:pPr>
                    <w:spacing w:line="320" w:lineRule="exact"/>
                    <w:jc w:val="center"/>
                    <w:rPr>
                      <w:color w:val="EE0000"/>
                      <w:u w:val="single"/>
                    </w:rPr>
                  </w:pPr>
                  <w:r>
                    <w:rPr>
                      <w:color w:val="EE0000"/>
                      <w:u w:val="single"/>
                    </w:rPr>
                    <w:t>脱硫塔出口DA002</w:t>
                  </w:r>
                </w:p>
              </w:tc>
              <w:tc>
                <w:tcPr>
                  <w:tcW w:w="721" w:type="pct"/>
                  <w:vAlign w:val="center"/>
                </w:tcPr>
                <w:p w14:paraId="6A30C2B5">
                  <w:pPr>
                    <w:spacing w:line="320" w:lineRule="exact"/>
                    <w:jc w:val="center"/>
                    <w:rPr>
                      <w:color w:val="EE0000"/>
                      <w:u w:val="single"/>
                    </w:rPr>
                  </w:pPr>
                  <w:r>
                    <w:rPr>
                      <w:color w:val="EE0000"/>
                      <w:u w:val="single"/>
                    </w:rPr>
                    <w:t>1.06×10</w:t>
                  </w:r>
                  <w:r>
                    <w:rPr>
                      <w:color w:val="EE0000"/>
                      <w:u w:val="single"/>
                      <w:vertAlign w:val="superscript"/>
                    </w:rPr>
                    <w:t>5</w:t>
                  </w:r>
                </w:p>
              </w:tc>
              <w:tc>
                <w:tcPr>
                  <w:tcW w:w="962" w:type="pct"/>
                  <w:tcBorders>
                    <w:right w:val="single" w:color="000000" w:sz="4" w:space="0"/>
                  </w:tcBorders>
                  <w:vAlign w:val="center"/>
                </w:tcPr>
                <w:p w14:paraId="6BAA7C0F">
                  <w:pPr>
                    <w:spacing w:line="320" w:lineRule="exact"/>
                    <w:jc w:val="center"/>
                    <w:rPr>
                      <w:color w:val="EE0000"/>
                      <w:u w:val="single"/>
                    </w:rPr>
                  </w:pPr>
                  <w:r>
                    <w:rPr>
                      <w:color w:val="EE0000"/>
                      <w:u w:val="single"/>
                    </w:rPr>
                    <w:t>0.8</w:t>
                  </w:r>
                </w:p>
              </w:tc>
              <w:tc>
                <w:tcPr>
                  <w:tcW w:w="935" w:type="pct"/>
                  <w:tcBorders>
                    <w:left w:val="single" w:color="000000" w:sz="4" w:space="0"/>
                  </w:tcBorders>
                  <w:vAlign w:val="center"/>
                </w:tcPr>
                <w:p w14:paraId="50EDC2B1">
                  <w:pPr>
                    <w:spacing w:line="320" w:lineRule="exact"/>
                    <w:jc w:val="center"/>
                    <w:rPr>
                      <w:color w:val="EE0000"/>
                      <w:u w:val="single"/>
                    </w:rPr>
                  </w:pPr>
                  <w:r>
                    <w:rPr>
                      <w:color w:val="EE0000"/>
                      <w:u w:val="single"/>
                    </w:rPr>
                    <w:t>1.1</w:t>
                  </w:r>
                </w:p>
              </w:tc>
              <w:tc>
                <w:tcPr>
                  <w:tcW w:w="669" w:type="pct"/>
                  <w:vAlign w:val="center"/>
                </w:tcPr>
                <w:p w14:paraId="06663148">
                  <w:pPr>
                    <w:spacing w:line="320" w:lineRule="exact"/>
                    <w:jc w:val="center"/>
                    <w:rPr>
                      <w:color w:val="EE0000"/>
                      <w:u w:val="single"/>
                    </w:rPr>
                  </w:pPr>
                  <w:r>
                    <w:rPr>
                      <w:color w:val="EE0000"/>
                      <w:u w:val="single"/>
                    </w:rPr>
                    <w:t>0.08</w:t>
                  </w:r>
                </w:p>
              </w:tc>
              <w:tc>
                <w:tcPr>
                  <w:tcW w:w="569" w:type="pct"/>
                  <w:vAlign w:val="center"/>
                </w:tcPr>
                <w:p w14:paraId="3510B59B">
                  <w:pPr>
                    <w:spacing w:line="320" w:lineRule="exact"/>
                    <w:jc w:val="center"/>
                    <w:rPr>
                      <w:color w:val="EE0000"/>
                      <w:u w:val="single"/>
                    </w:rPr>
                  </w:pPr>
                  <w:r>
                    <w:rPr>
                      <w:color w:val="EE0000"/>
                      <w:u w:val="single"/>
                    </w:rPr>
                    <w:t>18.9</w:t>
                  </w:r>
                </w:p>
              </w:tc>
            </w:tr>
            <w:tr w14:paraId="3B46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continue"/>
                  <w:vAlign w:val="center"/>
                </w:tcPr>
                <w:p w14:paraId="75CA8459">
                  <w:pPr>
                    <w:spacing w:line="320" w:lineRule="exact"/>
                    <w:jc w:val="center"/>
                    <w:rPr>
                      <w:color w:val="EE0000"/>
                      <w:u w:val="single"/>
                    </w:rPr>
                  </w:pPr>
                </w:p>
              </w:tc>
              <w:tc>
                <w:tcPr>
                  <w:tcW w:w="520" w:type="pct"/>
                  <w:vMerge w:val="continue"/>
                  <w:vAlign w:val="center"/>
                </w:tcPr>
                <w:p w14:paraId="75445060">
                  <w:pPr>
                    <w:spacing w:line="320" w:lineRule="exact"/>
                    <w:jc w:val="center"/>
                    <w:rPr>
                      <w:color w:val="EE0000"/>
                      <w:u w:val="single"/>
                    </w:rPr>
                  </w:pPr>
                </w:p>
              </w:tc>
              <w:tc>
                <w:tcPr>
                  <w:tcW w:w="721" w:type="pct"/>
                  <w:vAlign w:val="center"/>
                </w:tcPr>
                <w:p w14:paraId="58CC716D">
                  <w:pPr>
                    <w:spacing w:line="320" w:lineRule="exact"/>
                    <w:jc w:val="center"/>
                    <w:rPr>
                      <w:color w:val="EE0000"/>
                      <w:u w:val="single"/>
                    </w:rPr>
                  </w:pPr>
                  <w:r>
                    <w:rPr>
                      <w:color w:val="EE0000"/>
                      <w:u w:val="single"/>
                    </w:rPr>
                    <w:t>1.04×10</w:t>
                  </w:r>
                  <w:r>
                    <w:rPr>
                      <w:color w:val="EE0000"/>
                      <w:u w:val="single"/>
                      <w:vertAlign w:val="superscript"/>
                    </w:rPr>
                    <w:t>5</w:t>
                  </w:r>
                </w:p>
              </w:tc>
              <w:tc>
                <w:tcPr>
                  <w:tcW w:w="962" w:type="pct"/>
                  <w:tcBorders>
                    <w:right w:val="single" w:color="000000" w:sz="4" w:space="0"/>
                  </w:tcBorders>
                  <w:vAlign w:val="center"/>
                </w:tcPr>
                <w:p w14:paraId="36285ADC">
                  <w:pPr>
                    <w:spacing w:line="320" w:lineRule="exact"/>
                    <w:jc w:val="center"/>
                    <w:rPr>
                      <w:color w:val="EE0000"/>
                      <w:u w:val="single"/>
                    </w:rPr>
                  </w:pPr>
                  <w:r>
                    <w:rPr>
                      <w:color w:val="EE0000"/>
                      <w:u w:val="single"/>
                    </w:rPr>
                    <w:t>0.7</w:t>
                  </w:r>
                </w:p>
              </w:tc>
              <w:tc>
                <w:tcPr>
                  <w:tcW w:w="935" w:type="pct"/>
                  <w:tcBorders>
                    <w:left w:val="single" w:color="000000" w:sz="4" w:space="0"/>
                  </w:tcBorders>
                  <w:vAlign w:val="center"/>
                </w:tcPr>
                <w:p w14:paraId="31EDA220">
                  <w:pPr>
                    <w:spacing w:line="320" w:lineRule="exact"/>
                    <w:jc w:val="center"/>
                    <w:rPr>
                      <w:color w:val="EE0000"/>
                      <w:u w:val="single"/>
                    </w:rPr>
                  </w:pPr>
                  <w:r>
                    <w:rPr>
                      <w:color w:val="EE0000"/>
                      <w:u w:val="single"/>
                    </w:rPr>
                    <w:t>0.9</w:t>
                  </w:r>
                </w:p>
              </w:tc>
              <w:tc>
                <w:tcPr>
                  <w:tcW w:w="669" w:type="pct"/>
                  <w:vAlign w:val="center"/>
                </w:tcPr>
                <w:p w14:paraId="453271DA">
                  <w:pPr>
                    <w:spacing w:line="320" w:lineRule="exact"/>
                    <w:jc w:val="center"/>
                    <w:rPr>
                      <w:color w:val="EE0000"/>
                      <w:u w:val="single"/>
                    </w:rPr>
                  </w:pPr>
                  <w:r>
                    <w:rPr>
                      <w:color w:val="EE0000"/>
                      <w:u w:val="single"/>
                    </w:rPr>
                    <w:t>0.07</w:t>
                  </w:r>
                </w:p>
              </w:tc>
              <w:tc>
                <w:tcPr>
                  <w:tcW w:w="569" w:type="pct"/>
                  <w:vAlign w:val="center"/>
                </w:tcPr>
                <w:p w14:paraId="5A9D5EBA">
                  <w:pPr>
                    <w:spacing w:line="320" w:lineRule="exact"/>
                    <w:jc w:val="center"/>
                    <w:rPr>
                      <w:color w:val="EE0000"/>
                      <w:u w:val="single"/>
                    </w:rPr>
                  </w:pPr>
                  <w:r>
                    <w:rPr>
                      <w:color w:val="EE0000"/>
                      <w:u w:val="single"/>
                    </w:rPr>
                    <w:t>18.6</w:t>
                  </w:r>
                </w:p>
              </w:tc>
            </w:tr>
            <w:tr w14:paraId="269B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continue"/>
                  <w:vAlign w:val="center"/>
                </w:tcPr>
                <w:p w14:paraId="1F851C1D">
                  <w:pPr>
                    <w:spacing w:line="320" w:lineRule="exact"/>
                    <w:jc w:val="center"/>
                    <w:rPr>
                      <w:color w:val="EE0000"/>
                      <w:u w:val="single"/>
                    </w:rPr>
                  </w:pPr>
                </w:p>
              </w:tc>
              <w:tc>
                <w:tcPr>
                  <w:tcW w:w="520" w:type="pct"/>
                  <w:vMerge w:val="continue"/>
                  <w:vAlign w:val="center"/>
                </w:tcPr>
                <w:p w14:paraId="509445F2">
                  <w:pPr>
                    <w:spacing w:line="320" w:lineRule="exact"/>
                    <w:jc w:val="center"/>
                    <w:rPr>
                      <w:color w:val="EE0000"/>
                      <w:u w:val="single"/>
                    </w:rPr>
                  </w:pPr>
                </w:p>
              </w:tc>
              <w:tc>
                <w:tcPr>
                  <w:tcW w:w="721" w:type="pct"/>
                  <w:vAlign w:val="center"/>
                </w:tcPr>
                <w:p w14:paraId="634C44B5">
                  <w:pPr>
                    <w:spacing w:line="320" w:lineRule="exact"/>
                    <w:jc w:val="center"/>
                    <w:rPr>
                      <w:color w:val="EE0000"/>
                      <w:u w:val="single"/>
                    </w:rPr>
                  </w:pPr>
                  <w:r>
                    <w:rPr>
                      <w:color w:val="EE0000"/>
                      <w:u w:val="single"/>
                    </w:rPr>
                    <w:t>1.05×10</w:t>
                  </w:r>
                  <w:r>
                    <w:rPr>
                      <w:color w:val="EE0000"/>
                      <w:u w:val="single"/>
                      <w:vertAlign w:val="superscript"/>
                    </w:rPr>
                    <w:t>5</w:t>
                  </w:r>
                </w:p>
              </w:tc>
              <w:tc>
                <w:tcPr>
                  <w:tcW w:w="962" w:type="pct"/>
                  <w:tcBorders>
                    <w:right w:val="single" w:color="000000" w:sz="4" w:space="0"/>
                  </w:tcBorders>
                  <w:vAlign w:val="center"/>
                </w:tcPr>
                <w:p w14:paraId="7FF4ADE4">
                  <w:pPr>
                    <w:spacing w:line="320" w:lineRule="exact"/>
                    <w:jc w:val="center"/>
                    <w:rPr>
                      <w:color w:val="EE0000"/>
                      <w:u w:val="single"/>
                    </w:rPr>
                  </w:pPr>
                  <w:r>
                    <w:rPr>
                      <w:color w:val="EE0000"/>
                      <w:u w:val="single"/>
                    </w:rPr>
                    <w:t>0.6</w:t>
                  </w:r>
                </w:p>
              </w:tc>
              <w:tc>
                <w:tcPr>
                  <w:tcW w:w="935" w:type="pct"/>
                  <w:tcBorders>
                    <w:left w:val="single" w:color="000000" w:sz="4" w:space="0"/>
                  </w:tcBorders>
                  <w:vAlign w:val="center"/>
                </w:tcPr>
                <w:p w14:paraId="076356DC">
                  <w:pPr>
                    <w:spacing w:line="320" w:lineRule="exact"/>
                    <w:jc w:val="center"/>
                    <w:rPr>
                      <w:color w:val="EE0000"/>
                      <w:u w:val="single"/>
                    </w:rPr>
                  </w:pPr>
                  <w:r>
                    <w:rPr>
                      <w:color w:val="EE0000"/>
                      <w:u w:val="single"/>
                    </w:rPr>
                    <w:t>1.2</w:t>
                  </w:r>
                </w:p>
              </w:tc>
              <w:tc>
                <w:tcPr>
                  <w:tcW w:w="669" w:type="pct"/>
                  <w:vAlign w:val="center"/>
                </w:tcPr>
                <w:p w14:paraId="68BFF15F">
                  <w:pPr>
                    <w:spacing w:line="320" w:lineRule="exact"/>
                    <w:jc w:val="center"/>
                    <w:rPr>
                      <w:color w:val="EE0000"/>
                      <w:u w:val="single"/>
                    </w:rPr>
                  </w:pPr>
                  <w:r>
                    <w:rPr>
                      <w:color w:val="EE0000"/>
                      <w:u w:val="single"/>
                    </w:rPr>
                    <w:t>0.06</w:t>
                  </w:r>
                </w:p>
              </w:tc>
              <w:tc>
                <w:tcPr>
                  <w:tcW w:w="569" w:type="pct"/>
                  <w:vAlign w:val="center"/>
                </w:tcPr>
                <w:p w14:paraId="7EE47C2D">
                  <w:pPr>
                    <w:spacing w:line="320" w:lineRule="exact"/>
                    <w:jc w:val="center"/>
                    <w:rPr>
                      <w:color w:val="EE0000"/>
                      <w:u w:val="single"/>
                    </w:rPr>
                  </w:pPr>
                  <w:r>
                    <w:rPr>
                      <w:color w:val="EE0000"/>
                      <w:u w:val="single"/>
                    </w:rPr>
                    <w:t>19.5</w:t>
                  </w:r>
                </w:p>
              </w:tc>
            </w:tr>
            <w:tr w14:paraId="72D9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Merge w:val="continue"/>
                  <w:vAlign w:val="center"/>
                </w:tcPr>
                <w:p w14:paraId="3F12601F">
                  <w:pPr>
                    <w:spacing w:line="320" w:lineRule="exact"/>
                    <w:jc w:val="center"/>
                    <w:rPr>
                      <w:color w:val="EE0000"/>
                      <w:u w:val="single"/>
                    </w:rPr>
                  </w:pPr>
                </w:p>
              </w:tc>
              <w:tc>
                <w:tcPr>
                  <w:tcW w:w="520" w:type="pct"/>
                  <w:vAlign w:val="center"/>
                </w:tcPr>
                <w:p w14:paraId="3EFE610D">
                  <w:pPr>
                    <w:spacing w:line="320" w:lineRule="exact"/>
                    <w:jc w:val="center"/>
                    <w:rPr>
                      <w:color w:val="EE0000"/>
                      <w:u w:val="single"/>
                    </w:rPr>
                  </w:pPr>
                  <w:r>
                    <w:rPr>
                      <w:color w:val="EE0000"/>
                      <w:u w:val="single"/>
                    </w:rPr>
                    <w:t>均值</w:t>
                  </w:r>
                </w:p>
              </w:tc>
              <w:tc>
                <w:tcPr>
                  <w:tcW w:w="721" w:type="pct"/>
                  <w:vAlign w:val="center"/>
                </w:tcPr>
                <w:p w14:paraId="3FDDF6C1">
                  <w:pPr>
                    <w:spacing w:line="320" w:lineRule="exact"/>
                    <w:jc w:val="center"/>
                    <w:rPr>
                      <w:color w:val="EE0000"/>
                      <w:u w:val="single"/>
                    </w:rPr>
                  </w:pPr>
                  <w:r>
                    <w:rPr>
                      <w:color w:val="EE0000"/>
                      <w:u w:val="single"/>
                    </w:rPr>
                    <w:t>1.05×10</w:t>
                  </w:r>
                  <w:r>
                    <w:rPr>
                      <w:color w:val="EE0000"/>
                      <w:u w:val="single"/>
                      <w:vertAlign w:val="superscript"/>
                    </w:rPr>
                    <w:t>5</w:t>
                  </w:r>
                </w:p>
              </w:tc>
              <w:tc>
                <w:tcPr>
                  <w:tcW w:w="962" w:type="pct"/>
                  <w:tcBorders>
                    <w:right w:val="single" w:color="000000" w:sz="4" w:space="0"/>
                  </w:tcBorders>
                  <w:vAlign w:val="center"/>
                </w:tcPr>
                <w:p w14:paraId="41502B72">
                  <w:pPr>
                    <w:spacing w:line="320" w:lineRule="exact"/>
                    <w:jc w:val="center"/>
                    <w:rPr>
                      <w:color w:val="EE0000"/>
                      <w:u w:val="single"/>
                    </w:rPr>
                  </w:pPr>
                  <w:r>
                    <w:rPr>
                      <w:color w:val="EE0000"/>
                      <w:u w:val="single"/>
                    </w:rPr>
                    <w:t>0.7</w:t>
                  </w:r>
                </w:p>
              </w:tc>
              <w:tc>
                <w:tcPr>
                  <w:tcW w:w="935" w:type="pct"/>
                  <w:tcBorders>
                    <w:left w:val="single" w:color="000000" w:sz="4" w:space="0"/>
                  </w:tcBorders>
                  <w:vAlign w:val="center"/>
                </w:tcPr>
                <w:p w14:paraId="129558BE">
                  <w:pPr>
                    <w:spacing w:line="320" w:lineRule="exact"/>
                    <w:jc w:val="center"/>
                    <w:rPr>
                      <w:color w:val="EE0000"/>
                      <w:u w:val="single"/>
                    </w:rPr>
                  </w:pPr>
                  <w:r>
                    <w:rPr>
                      <w:color w:val="EE0000"/>
                      <w:u w:val="single"/>
                    </w:rPr>
                    <w:t>1.0</w:t>
                  </w:r>
                </w:p>
              </w:tc>
              <w:tc>
                <w:tcPr>
                  <w:tcW w:w="669" w:type="pct"/>
                  <w:vAlign w:val="center"/>
                </w:tcPr>
                <w:p w14:paraId="3B9F8C61">
                  <w:pPr>
                    <w:spacing w:line="320" w:lineRule="exact"/>
                    <w:jc w:val="center"/>
                    <w:rPr>
                      <w:color w:val="EE0000"/>
                      <w:u w:val="single"/>
                    </w:rPr>
                  </w:pPr>
                  <w:r>
                    <w:rPr>
                      <w:color w:val="EE0000"/>
                      <w:u w:val="single"/>
                    </w:rPr>
                    <w:t>0.07</w:t>
                  </w:r>
                </w:p>
              </w:tc>
              <w:tc>
                <w:tcPr>
                  <w:tcW w:w="569" w:type="pct"/>
                  <w:vAlign w:val="center"/>
                </w:tcPr>
                <w:p w14:paraId="35FD232E">
                  <w:pPr>
                    <w:spacing w:line="320" w:lineRule="exact"/>
                    <w:jc w:val="center"/>
                    <w:rPr>
                      <w:color w:val="EE0000"/>
                      <w:u w:val="single"/>
                    </w:rPr>
                  </w:pPr>
                  <w:r>
                    <w:rPr>
                      <w:color w:val="EE0000"/>
                      <w:u w:val="single"/>
                    </w:rPr>
                    <w:t>19.0</w:t>
                  </w:r>
                </w:p>
              </w:tc>
            </w:tr>
          </w:tbl>
          <w:p w14:paraId="5E3B092D">
            <w:pPr>
              <w:adjustRightInd w:val="0"/>
              <w:snapToGrid w:val="0"/>
              <w:spacing w:line="520" w:lineRule="exact"/>
              <w:ind w:firstLine="480" w:firstLineChars="200"/>
              <w:rPr>
                <w:snapToGrid w:val="0"/>
                <w:color w:val="EE0000"/>
                <w:kern w:val="0"/>
                <w:sz w:val="24"/>
                <w:u w:val="single"/>
              </w:rPr>
            </w:pPr>
            <w:r>
              <w:rPr>
                <w:bCs/>
                <w:color w:val="EE0000"/>
                <w:sz w:val="24"/>
                <w:u w:val="single"/>
              </w:rPr>
              <w:t>由表2-20~2-21检测结果可知，六和建材窑炉烟气中</w:t>
            </w:r>
            <w:r>
              <w:rPr>
                <w:bCs/>
                <w:color w:val="EE0000"/>
                <w:sz w:val="24"/>
                <w:szCs w:val="21"/>
                <w:u w:val="single"/>
              </w:rPr>
              <w:t>颗粒物排放浓度范围为6.47~24.61mg/m</w:t>
            </w:r>
            <w:r>
              <w:rPr>
                <w:bCs/>
                <w:color w:val="EE0000"/>
                <w:sz w:val="24"/>
                <w:szCs w:val="21"/>
                <w:u w:val="single"/>
                <w:vertAlign w:val="superscript"/>
              </w:rPr>
              <w:t>3</w:t>
            </w:r>
            <w:r>
              <w:rPr>
                <w:bCs/>
                <w:color w:val="EE0000"/>
                <w:sz w:val="24"/>
                <w:szCs w:val="21"/>
                <w:u w:val="single"/>
              </w:rPr>
              <w:t>、二氧化硫排放浓度范围为81.61~123.8mg/m</w:t>
            </w:r>
            <w:r>
              <w:rPr>
                <w:bCs/>
                <w:color w:val="EE0000"/>
                <w:sz w:val="24"/>
                <w:szCs w:val="21"/>
                <w:u w:val="single"/>
                <w:vertAlign w:val="superscript"/>
              </w:rPr>
              <w:t>3</w:t>
            </w:r>
            <w:r>
              <w:rPr>
                <w:bCs/>
                <w:color w:val="EE0000"/>
                <w:sz w:val="24"/>
                <w:szCs w:val="21"/>
                <w:u w:val="single"/>
              </w:rPr>
              <w:t>、氮氧化物排放浓度范围为15.62~29.32mg/m</w:t>
            </w:r>
            <w:r>
              <w:rPr>
                <w:bCs/>
                <w:color w:val="EE0000"/>
                <w:sz w:val="24"/>
                <w:szCs w:val="21"/>
                <w:u w:val="single"/>
                <w:vertAlign w:val="superscript"/>
              </w:rPr>
              <w:t>3</w:t>
            </w:r>
            <w:r>
              <w:rPr>
                <w:bCs/>
                <w:color w:val="EE0000"/>
                <w:sz w:val="24"/>
                <w:szCs w:val="21"/>
                <w:u w:val="single"/>
              </w:rPr>
              <w:t>、氟化物排放浓度0.9~1.2mg/m</w:t>
            </w:r>
            <w:r>
              <w:rPr>
                <w:bCs/>
                <w:color w:val="EE0000"/>
                <w:sz w:val="24"/>
                <w:szCs w:val="21"/>
                <w:u w:val="single"/>
                <w:vertAlign w:val="superscript"/>
              </w:rPr>
              <w:t>3</w:t>
            </w:r>
            <w:r>
              <w:rPr>
                <w:bCs/>
                <w:color w:val="EE0000"/>
                <w:sz w:val="24"/>
                <w:szCs w:val="21"/>
                <w:u w:val="single"/>
              </w:rPr>
              <w:t>。</w:t>
            </w:r>
            <w:r>
              <w:rPr>
                <w:bCs/>
                <w:color w:val="EE0000"/>
                <w:sz w:val="24"/>
                <w:u w:val="single"/>
              </w:rPr>
              <w:t>颗粒物、二氧化硫排放浓度不满足《砖瓦工业大气污染物排放标准》（DB41/2234-2022）</w:t>
            </w:r>
            <w:r>
              <w:rPr>
                <w:snapToGrid w:val="0"/>
                <w:color w:val="EE0000"/>
                <w:kern w:val="0"/>
                <w:sz w:val="24"/>
                <w:u w:val="single"/>
              </w:rPr>
              <w:t>干燥、焙烧工序颗粒物排放浓度限值10mg/m</w:t>
            </w:r>
            <w:r>
              <w:rPr>
                <w:snapToGrid w:val="0"/>
                <w:color w:val="EE0000"/>
                <w:kern w:val="0"/>
                <w:sz w:val="24"/>
                <w:u w:val="single"/>
                <w:vertAlign w:val="superscript"/>
              </w:rPr>
              <w:t>3</w:t>
            </w:r>
            <w:r>
              <w:rPr>
                <w:snapToGrid w:val="0"/>
                <w:color w:val="EE0000"/>
                <w:kern w:val="0"/>
                <w:sz w:val="24"/>
                <w:u w:val="single"/>
              </w:rPr>
              <w:t>、二氧化硫排放浓度限值50mg/m</w:t>
            </w:r>
            <w:r>
              <w:rPr>
                <w:snapToGrid w:val="0"/>
                <w:color w:val="EE0000"/>
                <w:kern w:val="0"/>
                <w:sz w:val="24"/>
                <w:u w:val="single"/>
                <w:vertAlign w:val="superscript"/>
              </w:rPr>
              <w:t>3</w:t>
            </w:r>
            <w:r>
              <w:rPr>
                <w:snapToGrid w:val="0"/>
                <w:color w:val="EE0000"/>
                <w:kern w:val="0"/>
                <w:sz w:val="24"/>
                <w:u w:val="single"/>
              </w:rPr>
              <w:t>，氮氧化物、氟化物排放浓度满足</w:t>
            </w:r>
            <w:r>
              <w:rPr>
                <w:bCs/>
                <w:color w:val="EE0000"/>
                <w:sz w:val="24"/>
                <w:u w:val="single"/>
              </w:rPr>
              <w:t>《砖瓦工业大气污染物排放标准》（DB41/2234-2022）</w:t>
            </w:r>
            <w:r>
              <w:rPr>
                <w:snapToGrid w:val="0"/>
                <w:color w:val="EE0000"/>
                <w:kern w:val="0"/>
                <w:sz w:val="24"/>
                <w:u w:val="single"/>
              </w:rPr>
              <w:t>干燥、焙烧工序氮氧化物排放浓度限值100mg/m</w:t>
            </w:r>
            <w:r>
              <w:rPr>
                <w:snapToGrid w:val="0"/>
                <w:color w:val="EE0000"/>
                <w:kern w:val="0"/>
                <w:sz w:val="24"/>
                <w:u w:val="single"/>
                <w:vertAlign w:val="superscript"/>
              </w:rPr>
              <w:t>3</w:t>
            </w:r>
            <w:r>
              <w:rPr>
                <w:snapToGrid w:val="0"/>
                <w:color w:val="EE0000"/>
                <w:kern w:val="0"/>
                <w:sz w:val="24"/>
                <w:u w:val="single"/>
              </w:rPr>
              <w:t>、氟化物排放浓度限值3mg/m</w:t>
            </w:r>
            <w:r>
              <w:rPr>
                <w:snapToGrid w:val="0"/>
                <w:color w:val="EE0000"/>
                <w:kern w:val="0"/>
                <w:sz w:val="24"/>
                <w:u w:val="single"/>
                <w:vertAlign w:val="superscript"/>
              </w:rPr>
              <w:t>3</w:t>
            </w:r>
            <w:r>
              <w:rPr>
                <w:snapToGrid w:val="0"/>
                <w:color w:val="EE0000"/>
                <w:kern w:val="0"/>
                <w:sz w:val="24"/>
                <w:u w:val="single"/>
              </w:rPr>
              <w:t>的要求；</w:t>
            </w:r>
          </w:p>
          <w:p w14:paraId="4F8071DE">
            <w:pPr>
              <w:adjustRightInd w:val="0"/>
              <w:snapToGrid w:val="0"/>
              <w:spacing w:line="520" w:lineRule="exact"/>
              <w:ind w:firstLine="480" w:firstLineChars="200"/>
              <w:rPr>
                <w:bCs/>
                <w:color w:val="EE0000"/>
                <w:sz w:val="24"/>
                <w:szCs w:val="21"/>
                <w:u w:val="single"/>
              </w:rPr>
            </w:pPr>
            <w:r>
              <w:rPr>
                <w:bCs/>
                <w:color w:val="EE0000"/>
                <w:sz w:val="24"/>
                <w:szCs w:val="21"/>
                <w:u w:val="single"/>
              </w:rPr>
              <w:fldChar w:fldCharType="begin"/>
            </w:r>
            <w:r>
              <w:rPr>
                <w:bCs/>
                <w:color w:val="EE0000"/>
                <w:sz w:val="24"/>
                <w:szCs w:val="21"/>
                <w:u w:val="single"/>
              </w:rPr>
              <w:instrText xml:space="preserve"> = 3 \* GB3 </w:instrText>
            </w:r>
            <w:r>
              <w:rPr>
                <w:bCs/>
                <w:color w:val="EE0000"/>
                <w:sz w:val="24"/>
                <w:szCs w:val="21"/>
                <w:u w:val="single"/>
              </w:rPr>
              <w:fldChar w:fldCharType="separate"/>
            </w:r>
            <w:r>
              <w:rPr>
                <w:rFonts w:ascii="Cambria Math" w:hAnsi="Cambria Math" w:cs="Cambria Math"/>
                <w:bCs/>
                <w:color w:val="EE0000"/>
                <w:sz w:val="24"/>
                <w:szCs w:val="21"/>
                <w:u w:val="single"/>
              </w:rPr>
              <w:t>③</w:t>
            </w:r>
            <w:r>
              <w:rPr>
                <w:bCs/>
                <w:color w:val="EE0000"/>
                <w:sz w:val="24"/>
                <w:szCs w:val="21"/>
                <w:u w:val="single"/>
              </w:rPr>
              <w:fldChar w:fldCharType="end"/>
            </w:r>
            <w:r>
              <w:rPr>
                <w:bCs/>
                <w:color w:val="EE0000"/>
                <w:sz w:val="24"/>
                <w:szCs w:val="21"/>
                <w:u w:val="single"/>
              </w:rPr>
              <w:t>全厂无组织废气排放情况</w:t>
            </w:r>
          </w:p>
          <w:p w14:paraId="0D9D3801">
            <w:pPr>
              <w:adjustRightInd w:val="0"/>
              <w:snapToGrid w:val="0"/>
              <w:spacing w:line="520" w:lineRule="exact"/>
              <w:ind w:firstLine="480" w:firstLineChars="200"/>
              <w:rPr>
                <w:snapToGrid w:val="0"/>
                <w:color w:val="EE0000"/>
                <w:kern w:val="0"/>
                <w:sz w:val="24"/>
                <w:u w:val="single"/>
              </w:rPr>
            </w:pPr>
            <w:r>
              <w:rPr>
                <w:bCs/>
                <w:color w:val="EE0000"/>
                <w:sz w:val="24"/>
                <w:szCs w:val="21"/>
                <w:u w:val="single"/>
              </w:rPr>
              <w:t>河南昆翔检测技术服务有限公司于2021年7月23日对六和建材厂界无组织颗粒物、二氧化硫、氟化物进行检测，检测结果见下表：</w:t>
            </w:r>
          </w:p>
          <w:p w14:paraId="637A367C">
            <w:pPr>
              <w:spacing w:line="520" w:lineRule="exact"/>
              <w:jc w:val="center"/>
              <w:rPr>
                <w:rFonts w:eastAsia="黑体"/>
                <w:color w:val="EE0000"/>
                <w:sz w:val="24"/>
                <w:szCs w:val="32"/>
                <w:u w:val="single"/>
              </w:rPr>
            </w:pPr>
            <w:r>
              <w:rPr>
                <w:rFonts w:eastAsia="黑体"/>
                <w:color w:val="EE0000"/>
                <w:sz w:val="24"/>
                <w:szCs w:val="32"/>
                <w:u w:val="single"/>
              </w:rPr>
              <w:t>表2-22      六和建材厂界无组织废气排放情况</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560"/>
              <w:gridCol w:w="696"/>
              <w:gridCol w:w="1129"/>
              <w:gridCol w:w="1129"/>
              <w:gridCol w:w="1130"/>
              <w:gridCol w:w="841"/>
              <w:gridCol w:w="1072"/>
            </w:tblGrid>
            <w:tr w14:paraId="40A3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0" w:type="pct"/>
                  <w:vMerge w:val="restart"/>
                  <w:vAlign w:val="center"/>
                </w:tcPr>
                <w:p w14:paraId="62890EC2">
                  <w:pPr>
                    <w:spacing w:line="320" w:lineRule="exact"/>
                    <w:jc w:val="center"/>
                    <w:rPr>
                      <w:color w:val="EE0000"/>
                      <w:u w:val="single"/>
                    </w:rPr>
                  </w:pPr>
                  <w:r>
                    <w:rPr>
                      <w:color w:val="EE0000"/>
                      <w:u w:val="single"/>
                    </w:rPr>
                    <w:t>采样</w:t>
                  </w:r>
                </w:p>
                <w:p w14:paraId="3F080EE7">
                  <w:pPr>
                    <w:spacing w:line="320" w:lineRule="exact"/>
                    <w:jc w:val="center"/>
                    <w:rPr>
                      <w:color w:val="EE0000"/>
                      <w:u w:val="single"/>
                    </w:rPr>
                  </w:pPr>
                  <w:r>
                    <w:rPr>
                      <w:color w:val="EE0000"/>
                      <w:u w:val="single"/>
                    </w:rPr>
                    <w:t>日期</w:t>
                  </w:r>
                </w:p>
              </w:tc>
              <w:tc>
                <w:tcPr>
                  <w:tcW w:w="923" w:type="pct"/>
                  <w:vMerge w:val="restart"/>
                  <w:vAlign w:val="center"/>
                </w:tcPr>
                <w:p w14:paraId="3330995F">
                  <w:pPr>
                    <w:spacing w:line="320" w:lineRule="exact"/>
                    <w:jc w:val="center"/>
                    <w:rPr>
                      <w:color w:val="EE0000"/>
                      <w:u w:val="single"/>
                    </w:rPr>
                  </w:pPr>
                  <w:r>
                    <w:rPr>
                      <w:color w:val="EE0000"/>
                      <w:u w:val="single"/>
                    </w:rPr>
                    <w:t>检测点位</w:t>
                  </w:r>
                </w:p>
              </w:tc>
              <w:tc>
                <w:tcPr>
                  <w:tcW w:w="1080" w:type="pct"/>
                  <w:gridSpan w:val="2"/>
                  <w:vAlign w:val="center"/>
                </w:tcPr>
                <w:p w14:paraId="6A78A91A">
                  <w:pPr>
                    <w:spacing w:line="320" w:lineRule="exact"/>
                    <w:jc w:val="center"/>
                    <w:rPr>
                      <w:color w:val="EE0000"/>
                      <w:u w:val="single"/>
                    </w:rPr>
                  </w:pPr>
                  <w:r>
                    <w:rPr>
                      <w:color w:val="EE0000"/>
                      <w:u w:val="single"/>
                    </w:rPr>
                    <w:t>二氧化硫（mg/m</w:t>
                  </w:r>
                  <w:r>
                    <w:rPr>
                      <w:color w:val="EE0000"/>
                      <w:u w:val="single"/>
                      <w:vertAlign w:val="superscript"/>
                    </w:rPr>
                    <w:t>3</w:t>
                  </w:r>
                  <w:r>
                    <w:rPr>
                      <w:color w:val="EE0000"/>
                      <w:u w:val="single"/>
                    </w:rPr>
                    <w:t>）</w:t>
                  </w:r>
                </w:p>
              </w:tc>
              <w:tc>
                <w:tcPr>
                  <w:tcW w:w="1336" w:type="pct"/>
                  <w:gridSpan w:val="2"/>
                  <w:vAlign w:val="center"/>
                </w:tcPr>
                <w:p w14:paraId="31FC3140">
                  <w:pPr>
                    <w:spacing w:line="320" w:lineRule="exact"/>
                    <w:jc w:val="center"/>
                    <w:rPr>
                      <w:color w:val="EE0000"/>
                      <w:u w:val="single"/>
                    </w:rPr>
                  </w:pPr>
                  <w:r>
                    <w:rPr>
                      <w:color w:val="EE0000"/>
                      <w:u w:val="single"/>
                    </w:rPr>
                    <w:t>氟化物（mg/m</w:t>
                  </w:r>
                  <w:r>
                    <w:rPr>
                      <w:color w:val="EE0000"/>
                      <w:u w:val="single"/>
                      <w:vertAlign w:val="superscript"/>
                    </w:rPr>
                    <w:t>3</w:t>
                  </w:r>
                  <w:r>
                    <w:rPr>
                      <w:color w:val="EE0000"/>
                      <w:u w:val="single"/>
                    </w:rPr>
                    <w:t>）</w:t>
                  </w:r>
                </w:p>
              </w:tc>
              <w:tc>
                <w:tcPr>
                  <w:tcW w:w="1131" w:type="pct"/>
                  <w:gridSpan w:val="2"/>
                  <w:vAlign w:val="center"/>
                </w:tcPr>
                <w:p w14:paraId="32FA1FD2">
                  <w:pPr>
                    <w:spacing w:line="320" w:lineRule="exact"/>
                    <w:jc w:val="center"/>
                    <w:rPr>
                      <w:color w:val="EE0000"/>
                      <w:u w:val="single"/>
                    </w:rPr>
                  </w:pPr>
                  <w:r>
                    <w:rPr>
                      <w:color w:val="EE0000"/>
                      <w:u w:val="single"/>
                    </w:rPr>
                    <w:t>颗粒物（mg/m</w:t>
                  </w:r>
                  <w:r>
                    <w:rPr>
                      <w:color w:val="EE0000"/>
                      <w:u w:val="single"/>
                      <w:vertAlign w:val="superscript"/>
                    </w:rPr>
                    <w:t>3</w:t>
                  </w:r>
                  <w:r>
                    <w:rPr>
                      <w:color w:val="EE0000"/>
                      <w:u w:val="single"/>
                    </w:rPr>
                    <w:t>）</w:t>
                  </w:r>
                </w:p>
              </w:tc>
            </w:tr>
            <w:tr w14:paraId="4D17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30" w:type="pct"/>
                  <w:vMerge w:val="continue"/>
                  <w:vAlign w:val="center"/>
                </w:tcPr>
                <w:p w14:paraId="5B302C1A">
                  <w:pPr>
                    <w:spacing w:line="320" w:lineRule="exact"/>
                    <w:jc w:val="center"/>
                    <w:rPr>
                      <w:color w:val="EE0000"/>
                      <w:u w:val="single"/>
                    </w:rPr>
                  </w:pPr>
                </w:p>
              </w:tc>
              <w:tc>
                <w:tcPr>
                  <w:tcW w:w="923" w:type="pct"/>
                  <w:vMerge w:val="continue"/>
                  <w:vAlign w:val="center"/>
                </w:tcPr>
                <w:p w14:paraId="6218D821">
                  <w:pPr>
                    <w:spacing w:line="320" w:lineRule="exact"/>
                    <w:jc w:val="center"/>
                    <w:rPr>
                      <w:color w:val="EE0000"/>
                      <w:u w:val="single"/>
                    </w:rPr>
                  </w:pPr>
                </w:p>
              </w:tc>
              <w:tc>
                <w:tcPr>
                  <w:tcW w:w="412" w:type="pct"/>
                  <w:vAlign w:val="center"/>
                </w:tcPr>
                <w:p w14:paraId="6E285F66">
                  <w:pPr>
                    <w:spacing w:line="320" w:lineRule="exact"/>
                    <w:jc w:val="center"/>
                    <w:rPr>
                      <w:color w:val="EE0000"/>
                      <w:u w:val="single"/>
                    </w:rPr>
                  </w:pPr>
                  <w:r>
                    <w:rPr>
                      <w:color w:val="EE0000"/>
                      <w:u w:val="single"/>
                    </w:rPr>
                    <w:t>检测浓度</w:t>
                  </w:r>
                </w:p>
              </w:tc>
              <w:tc>
                <w:tcPr>
                  <w:tcW w:w="668" w:type="pct"/>
                  <w:vAlign w:val="center"/>
                </w:tcPr>
                <w:p w14:paraId="1DE0BE19">
                  <w:pPr>
                    <w:spacing w:line="320" w:lineRule="exact"/>
                    <w:jc w:val="center"/>
                    <w:rPr>
                      <w:color w:val="EE0000"/>
                      <w:u w:val="single"/>
                    </w:rPr>
                  </w:pPr>
                  <w:r>
                    <w:rPr>
                      <w:color w:val="EE0000"/>
                      <w:u w:val="single"/>
                    </w:rPr>
                    <w:t>周界外浓度最高点</w:t>
                  </w:r>
                </w:p>
              </w:tc>
              <w:tc>
                <w:tcPr>
                  <w:tcW w:w="668" w:type="pct"/>
                  <w:vAlign w:val="center"/>
                </w:tcPr>
                <w:p w14:paraId="51E98A3D">
                  <w:pPr>
                    <w:spacing w:line="320" w:lineRule="exact"/>
                    <w:jc w:val="center"/>
                    <w:rPr>
                      <w:color w:val="EE0000"/>
                      <w:u w:val="single"/>
                    </w:rPr>
                  </w:pPr>
                  <w:r>
                    <w:rPr>
                      <w:color w:val="EE0000"/>
                      <w:u w:val="single"/>
                    </w:rPr>
                    <w:t>检测浓度</w:t>
                  </w:r>
                </w:p>
              </w:tc>
              <w:tc>
                <w:tcPr>
                  <w:tcW w:w="668" w:type="pct"/>
                  <w:vAlign w:val="center"/>
                </w:tcPr>
                <w:p w14:paraId="0769391B">
                  <w:pPr>
                    <w:spacing w:line="320" w:lineRule="exact"/>
                    <w:jc w:val="center"/>
                    <w:rPr>
                      <w:color w:val="EE0000"/>
                      <w:spacing w:val="-16"/>
                      <w:u w:val="single"/>
                    </w:rPr>
                  </w:pPr>
                  <w:r>
                    <w:rPr>
                      <w:color w:val="EE0000"/>
                      <w:u w:val="single"/>
                    </w:rPr>
                    <w:t>周界外浓度最高点</w:t>
                  </w:r>
                </w:p>
              </w:tc>
              <w:tc>
                <w:tcPr>
                  <w:tcW w:w="497" w:type="pct"/>
                  <w:vAlign w:val="center"/>
                </w:tcPr>
                <w:p w14:paraId="6AC06658">
                  <w:pPr>
                    <w:spacing w:line="320" w:lineRule="exact"/>
                    <w:jc w:val="center"/>
                    <w:rPr>
                      <w:color w:val="EE0000"/>
                      <w:u w:val="single"/>
                    </w:rPr>
                  </w:pPr>
                  <w:r>
                    <w:rPr>
                      <w:color w:val="EE0000"/>
                      <w:u w:val="single"/>
                    </w:rPr>
                    <w:t>检测浓度</w:t>
                  </w:r>
                </w:p>
              </w:tc>
              <w:tc>
                <w:tcPr>
                  <w:tcW w:w="634" w:type="pct"/>
                  <w:vAlign w:val="center"/>
                </w:tcPr>
                <w:p w14:paraId="72233E3E">
                  <w:pPr>
                    <w:spacing w:line="320" w:lineRule="exact"/>
                    <w:jc w:val="center"/>
                    <w:rPr>
                      <w:color w:val="EE0000"/>
                      <w:u w:val="single"/>
                    </w:rPr>
                  </w:pPr>
                  <w:r>
                    <w:rPr>
                      <w:color w:val="EE0000"/>
                      <w:u w:val="single"/>
                    </w:rPr>
                    <w:t>周界外浓度最高点</w:t>
                  </w:r>
                </w:p>
              </w:tc>
            </w:tr>
            <w:tr w14:paraId="0DD2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14:paraId="6B4876C7">
                  <w:pPr>
                    <w:spacing w:line="320" w:lineRule="exact"/>
                    <w:jc w:val="center"/>
                    <w:rPr>
                      <w:color w:val="EE0000"/>
                      <w:u w:val="single"/>
                    </w:rPr>
                  </w:pPr>
                  <w:r>
                    <w:rPr>
                      <w:color w:val="EE0000"/>
                      <w:u w:val="single"/>
                    </w:rPr>
                    <w:t>2021.07</w:t>
                  </w:r>
                </w:p>
                <w:p w14:paraId="25814363">
                  <w:pPr>
                    <w:spacing w:line="320" w:lineRule="exact"/>
                    <w:jc w:val="center"/>
                    <w:rPr>
                      <w:color w:val="EE0000"/>
                      <w:u w:val="single"/>
                    </w:rPr>
                  </w:pPr>
                  <w:r>
                    <w:rPr>
                      <w:color w:val="EE0000"/>
                      <w:u w:val="single"/>
                    </w:rPr>
                    <w:t>.23</w:t>
                  </w:r>
                </w:p>
              </w:tc>
              <w:tc>
                <w:tcPr>
                  <w:tcW w:w="923" w:type="pct"/>
                  <w:vAlign w:val="center"/>
                </w:tcPr>
                <w:p w14:paraId="6B030288">
                  <w:pPr>
                    <w:spacing w:line="320" w:lineRule="exact"/>
                    <w:jc w:val="center"/>
                    <w:rPr>
                      <w:color w:val="EE0000"/>
                      <w:u w:val="single"/>
                    </w:rPr>
                  </w:pPr>
                  <w:r>
                    <w:rPr>
                      <w:color w:val="EE0000"/>
                      <w:u w:val="single"/>
                    </w:rPr>
                    <w:t>厂界上风向</w:t>
                  </w:r>
                </w:p>
              </w:tc>
              <w:tc>
                <w:tcPr>
                  <w:tcW w:w="412" w:type="pct"/>
                  <w:vAlign w:val="center"/>
                </w:tcPr>
                <w:p w14:paraId="6D8505E0">
                  <w:pPr>
                    <w:spacing w:line="320" w:lineRule="exact"/>
                    <w:jc w:val="center"/>
                    <w:rPr>
                      <w:color w:val="EE0000"/>
                      <w:u w:val="single"/>
                    </w:rPr>
                  </w:pPr>
                  <w:r>
                    <w:rPr>
                      <w:color w:val="EE0000"/>
                      <w:u w:val="single"/>
                    </w:rPr>
                    <w:t>0.103</w:t>
                  </w:r>
                </w:p>
              </w:tc>
              <w:tc>
                <w:tcPr>
                  <w:tcW w:w="668" w:type="pct"/>
                  <w:vMerge w:val="restart"/>
                  <w:vAlign w:val="center"/>
                </w:tcPr>
                <w:p w14:paraId="233F66ED">
                  <w:pPr>
                    <w:spacing w:line="320" w:lineRule="exact"/>
                    <w:jc w:val="center"/>
                    <w:rPr>
                      <w:color w:val="EE0000"/>
                      <w:u w:val="single"/>
                    </w:rPr>
                  </w:pPr>
                  <w:r>
                    <w:rPr>
                      <w:color w:val="EE0000"/>
                      <w:u w:val="single"/>
                    </w:rPr>
                    <w:t>0.148</w:t>
                  </w:r>
                </w:p>
              </w:tc>
              <w:tc>
                <w:tcPr>
                  <w:tcW w:w="668" w:type="pct"/>
                  <w:vAlign w:val="center"/>
                </w:tcPr>
                <w:p w14:paraId="525C5203">
                  <w:pPr>
                    <w:spacing w:line="320" w:lineRule="exact"/>
                    <w:jc w:val="center"/>
                    <w:rPr>
                      <w:color w:val="EE0000"/>
                      <w:u w:val="single"/>
                    </w:rPr>
                  </w:pPr>
                  <w:r>
                    <w:rPr>
                      <w:color w:val="EE0000"/>
                      <w:u w:val="single"/>
                    </w:rPr>
                    <w:t>0.0006</w:t>
                  </w:r>
                </w:p>
              </w:tc>
              <w:tc>
                <w:tcPr>
                  <w:tcW w:w="668" w:type="pct"/>
                  <w:vMerge w:val="restart"/>
                  <w:vAlign w:val="center"/>
                </w:tcPr>
                <w:p w14:paraId="3AC3149B">
                  <w:pPr>
                    <w:spacing w:line="320" w:lineRule="exact"/>
                    <w:jc w:val="center"/>
                    <w:rPr>
                      <w:color w:val="EE0000"/>
                      <w:u w:val="single"/>
                    </w:rPr>
                  </w:pPr>
                  <w:r>
                    <w:rPr>
                      <w:color w:val="EE0000"/>
                      <w:u w:val="single"/>
                    </w:rPr>
                    <w:t>0.0019</w:t>
                  </w:r>
                </w:p>
              </w:tc>
              <w:tc>
                <w:tcPr>
                  <w:tcW w:w="497" w:type="pct"/>
                  <w:vAlign w:val="center"/>
                </w:tcPr>
                <w:p w14:paraId="68FA5E24">
                  <w:pPr>
                    <w:spacing w:line="320" w:lineRule="exact"/>
                    <w:jc w:val="center"/>
                    <w:rPr>
                      <w:color w:val="EE0000"/>
                      <w:u w:val="single"/>
                    </w:rPr>
                  </w:pPr>
                  <w:r>
                    <w:rPr>
                      <w:color w:val="EE0000"/>
                      <w:u w:val="single"/>
                    </w:rPr>
                    <w:t>0.184</w:t>
                  </w:r>
                </w:p>
              </w:tc>
              <w:tc>
                <w:tcPr>
                  <w:tcW w:w="634" w:type="pct"/>
                  <w:vMerge w:val="restart"/>
                  <w:vAlign w:val="center"/>
                </w:tcPr>
                <w:p w14:paraId="67FA7121">
                  <w:pPr>
                    <w:spacing w:line="320" w:lineRule="exact"/>
                    <w:jc w:val="center"/>
                    <w:rPr>
                      <w:color w:val="EE0000"/>
                      <w:u w:val="single"/>
                    </w:rPr>
                  </w:pPr>
                  <w:r>
                    <w:rPr>
                      <w:color w:val="EE0000"/>
                      <w:u w:val="single"/>
                    </w:rPr>
                    <w:t>0.436</w:t>
                  </w:r>
                </w:p>
              </w:tc>
            </w:tr>
            <w:tr w14:paraId="0970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6F19B490">
                  <w:pPr>
                    <w:spacing w:line="320" w:lineRule="exact"/>
                    <w:jc w:val="center"/>
                    <w:rPr>
                      <w:color w:val="EE0000"/>
                      <w:u w:val="single"/>
                    </w:rPr>
                  </w:pPr>
                </w:p>
              </w:tc>
              <w:tc>
                <w:tcPr>
                  <w:tcW w:w="923" w:type="pct"/>
                  <w:vAlign w:val="center"/>
                </w:tcPr>
                <w:p w14:paraId="4830DD3E">
                  <w:pPr>
                    <w:spacing w:line="320" w:lineRule="exact"/>
                    <w:jc w:val="center"/>
                    <w:rPr>
                      <w:color w:val="EE0000"/>
                      <w:u w:val="single"/>
                    </w:rPr>
                  </w:pPr>
                  <w:r>
                    <w:rPr>
                      <w:color w:val="EE0000"/>
                      <w:u w:val="single"/>
                    </w:rPr>
                    <w:t>厂界下风向1#</w:t>
                  </w:r>
                </w:p>
              </w:tc>
              <w:tc>
                <w:tcPr>
                  <w:tcW w:w="412" w:type="pct"/>
                  <w:vAlign w:val="center"/>
                </w:tcPr>
                <w:p w14:paraId="15A460C7">
                  <w:pPr>
                    <w:spacing w:line="320" w:lineRule="exact"/>
                    <w:jc w:val="center"/>
                    <w:rPr>
                      <w:color w:val="EE0000"/>
                      <w:u w:val="single"/>
                    </w:rPr>
                  </w:pPr>
                  <w:r>
                    <w:rPr>
                      <w:color w:val="EE0000"/>
                      <w:u w:val="single"/>
                    </w:rPr>
                    <w:t>0.148</w:t>
                  </w:r>
                </w:p>
              </w:tc>
              <w:tc>
                <w:tcPr>
                  <w:tcW w:w="668" w:type="pct"/>
                  <w:vMerge w:val="continue"/>
                  <w:vAlign w:val="center"/>
                </w:tcPr>
                <w:p w14:paraId="5E21702F">
                  <w:pPr>
                    <w:spacing w:line="320" w:lineRule="exact"/>
                    <w:jc w:val="center"/>
                    <w:rPr>
                      <w:color w:val="EE0000"/>
                      <w:u w:val="single"/>
                    </w:rPr>
                  </w:pPr>
                </w:p>
              </w:tc>
              <w:tc>
                <w:tcPr>
                  <w:tcW w:w="668" w:type="pct"/>
                </w:tcPr>
                <w:p w14:paraId="43D99643">
                  <w:pPr>
                    <w:spacing w:line="320" w:lineRule="exact"/>
                    <w:jc w:val="center"/>
                    <w:rPr>
                      <w:color w:val="EE0000"/>
                      <w:u w:val="single"/>
                    </w:rPr>
                  </w:pPr>
                  <w:r>
                    <w:rPr>
                      <w:color w:val="EE0000"/>
                      <w:u w:val="single"/>
                    </w:rPr>
                    <w:t>0.0014</w:t>
                  </w:r>
                </w:p>
              </w:tc>
              <w:tc>
                <w:tcPr>
                  <w:tcW w:w="668" w:type="pct"/>
                  <w:vMerge w:val="continue"/>
                  <w:vAlign w:val="center"/>
                </w:tcPr>
                <w:p w14:paraId="0D66645B">
                  <w:pPr>
                    <w:spacing w:line="320" w:lineRule="exact"/>
                    <w:jc w:val="center"/>
                    <w:rPr>
                      <w:color w:val="EE0000"/>
                      <w:u w:val="single"/>
                    </w:rPr>
                  </w:pPr>
                </w:p>
              </w:tc>
              <w:tc>
                <w:tcPr>
                  <w:tcW w:w="497" w:type="pct"/>
                  <w:vAlign w:val="center"/>
                </w:tcPr>
                <w:p w14:paraId="2C24ACA2">
                  <w:pPr>
                    <w:spacing w:line="320" w:lineRule="exact"/>
                    <w:jc w:val="center"/>
                    <w:rPr>
                      <w:color w:val="EE0000"/>
                      <w:u w:val="single"/>
                    </w:rPr>
                  </w:pPr>
                  <w:r>
                    <w:rPr>
                      <w:color w:val="EE0000"/>
                      <w:u w:val="single"/>
                    </w:rPr>
                    <w:t>0.359</w:t>
                  </w:r>
                </w:p>
              </w:tc>
              <w:tc>
                <w:tcPr>
                  <w:tcW w:w="634" w:type="pct"/>
                  <w:vMerge w:val="continue"/>
                  <w:vAlign w:val="center"/>
                </w:tcPr>
                <w:p w14:paraId="15FF97D3">
                  <w:pPr>
                    <w:spacing w:line="320" w:lineRule="exact"/>
                    <w:jc w:val="center"/>
                    <w:rPr>
                      <w:color w:val="EE0000"/>
                      <w:u w:val="single"/>
                    </w:rPr>
                  </w:pPr>
                </w:p>
              </w:tc>
            </w:tr>
            <w:tr w14:paraId="3F7D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2F635DF4">
                  <w:pPr>
                    <w:spacing w:line="320" w:lineRule="exact"/>
                    <w:jc w:val="center"/>
                    <w:rPr>
                      <w:color w:val="EE0000"/>
                      <w:u w:val="single"/>
                    </w:rPr>
                  </w:pPr>
                </w:p>
              </w:tc>
              <w:tc>
                <w:tcPr>
                  <w:tcW w:w="923" w:type="pct"/>
                  <w:vAlign w:val="center"/>
                </w:tcPr>
                <w:p w14:paraId="121835E1">
                  <w:pPr>
                    <w:spacing w:line="320" w:lineRule="exact"/>
                    <w:jc w:val="center"/>
                    <w:rPr>
                      <w:color w:val="EE0000"/>
                      <w:u w:val="single"/>
                    </w:rPr>
                  </w:pPr>
                  <w:r>
                    <w:rPr>
                      <w:color w:val="EE0000"/>
                      <w:u w:val="single"/>
                    </w:rPr>
                    <w:t>厂界下风向2#</w:t>
                  </w:r>
                </w:p>
              </w:tc>
              <w:tc>
                <w:tcPr>
                  <w:tcW w:w="412" w:type="pct"/>
                  <w:vAlign w:val="center"/>
                </w:tcPr>
                <w:p w14:paraId="45D7C338">
                  <w:pPr>
                    <w:spacing w:line="320" w:lineRule="exact"/>
                    <w:jc w:val="center"/>
                    <w:rPr>
                      <w:color w:val="EE0000"/>
                      <w:u w:val="single"/>
                    </w:rPr>
                  </w:pPr>
                  <w:r>
                    <w:rPr>
                      <w:color w:val="EE0000"/>
                      <w:u w:val="single"/>
                    </w:rPr>
                    <w:t>0.131</w:t>
                  </w:r>
                </w:p>
              </w:tc>
              <w:tc>
                <w:tcPr>
                  <w:tcW w:w="668" w:type="pct"/>
                  <w:vMerge w:val="continue"/>
                  <w:vAlign w:val="center"/>
                </w:tcPr>
                <w:p w14:paraId="016903F4">
                  <w:pPr>
                    <w:spacing w:line="320" w:lineRule="exact"/>
                    <w:jc w:val="center"/>
                    <w:rPr>
                      <w:color w:val="EE0000"/>
                      <w:u w:val="single"/>
                    </w:rPr>
                  </w:pPr>
                </w:p>
              </w:tc>
              <w:tc>
                <w:tcPr>
                  <w:tcW w:w="668" w:type="pct"/>
                </w:tcPr>
                <w:p w14:paraId="34C95B7E">
                  <w:pPr>
                    <w:spacing w:line="320" w:lineRule="exact"/>
                    <w:jc w:val="center"/>
                    <w:rPr>
                      <w:color w:val="EE0000"/>
                      <w:u w:val="single"/>
                    </w:rPr>
                  </w:pPr>
                  <w:r>
                    <w:rPr>
                      <w:color w:val="EE0000"/>
                      <w:u w:val="single"/>
                    </w:rPr>
                    <w:t>0.0016</w:t>
                  </w:r>
                </w:p>
              </w:tc>
              <w:tc>
                <w:tcPr>
                  <w:tcW w:w="668" w:type="pct"/>
                  <w:vMerge w:val="continue"/>
                  <w:vAlign w:val="center"/>
                </w:tcPr>
                <w:p w14:paraId="2BC7BEED">
                  <w:pPr>
                    <w:spacing w:line="320" w:lineRule="exact"/>
                    <w:jc w:val="center"/>
                    <w:rPr>
                      <w:color w:val="EE0000"/>
                      <w:u w:val="single"/>
                    </w:rPr>
                  </w:pPr>
                </w:p>
              </w:tc>
              <w:tc>
                <w:tcPr>
                  <w:tcW w:w="497" w:type="pct"/>
                  <w:vAlign w:val="center"/>
                </w:tcPr>
                <w:p w14:paraId="28F45A63">
                  <w:pPr>
                    <w:spacing w:line="320" w:lineRule="exact"/>
                    <w:jc w:val="center"/>
                    <w:rPr>
                      <w:color w:val="EE0000"/>
                      <w:u w:val="single"/>
                    </w:rPr>
                  </w:pPr>
                  <w:r>
                    <w:rPr>
                      <w:color w:val="EE0000"/>
                      <w:u w:val="single"/>
                    </w:rPr>
                    <w:t>0.436</w:t>
                  </w:r>
                </w:p>
              </w:tc>
              <w:tc>
                <w:tcPr>
                  <w:tcW w:w="634" w:type="pct"/>
                  <w:vMerge w:val="continue"/>
                  <w:vAlign w:val="center"/>
                </w:tcPr>
                <w:p w14:paraId="413C4059">
                  <w:pPr>
                    <w:spacing w:line="320" w:lineRule="exact"/>
                    <w:jc w:val="center"/>
                    <w:rPr>
                      <w:color w:val="EE0000"/>
                      <w:u w:val="single"/>
                    </w:rPr>
                  </w:pPr>
                </w:p>
              </w:tc>
            </w:tr>
            <w:tr w14:paraId="5850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4B54BD66">
                  <w:pPr>
                    <w:spacing w:line="320" w:lineRule="exact"/>
                    <w:jc w:val="center"/>
                    <w:rPr>
                      <w:color w:val="EE0000"/>
                      <w:u w:val="single"/>
                    </w:rPr>
                  </w:pPr>
                </w:p>
              </w:tc>
              <w:tc>
                <w:tcPr>
                  <w:tcW w:w="923" w:type="pct"/>
                  <w:vAlign w:val="center"/>
                </w:tcPr>
                <w:p w14:paraId="0CF2C228">
                  <w:pPr>
                    <w:spacing w:line="320" w:lineRule="exact"/>
                    <w:jc w:val="center"/>
                    <w:rPr>
                      <w:color w:val="EE0000"/>
                      <w:u w:val="single"/>
                    </w:rPr>
                  </w:pPr>
                  <w:r>
                    <w:rPr>
                      <w:color w:val="EE0000"/>
                      <w:u w:val="single"/>
                    </w:rPr>
                    <w:t>厂界下风向3#</w:t>
                  </w:r>
                </w:p>
              </w:tc>
              <w:tc>
                <w:tcPr>
                  <w:tcW w:w="412" w:type="pct"/>
                  <w:vAlign w:val="center"/>
                </w:tcPr>
                <w:p w14:paraId="580F32AD">
                  <w:pPr>
                    <w:spacing w:line="320" w:lineRule="exact"/>
                    <w:jc w:val="center"/>
                    <w:rPr>
                      <w:color w:val="EE0000"/>
                      <w:u w:val="single"/>
                    </w:rPr>
                  </w:pPr>
                  <w:r>
                    <w:rPr>
                      <w:color w:val="EE0000"/>
                      <w:u w:val="single"/>
                    </w:rPr>
                    <w:t>0.139</w:t>
                  </w:r>
                </w:p>
              </w:tc>
              <w:tc>
                <w:tcPr>
                  <w:tcW w:w="668" w:type="pct"/>
                  <w:vMerge w:val="continue"/>
                  <w:vAlign w:val="center"/>
                </w:tcPr>
                <w:p w14:paraId="5A17EEE3">
                  <w:pPr>
                    <w:spacing w:line="320" w:lineRule="exact"/>
                    <w:jc w:val="center"/>
                    <w:rPr>
                      <w:color w:val="EE0000"/>
                      <w:u w:val="single"/>
                    </w:rPr>
                  </w:pPr>
                </w:p>
              </w:tc>
              <w:tc>
                <w:tcPr>
                  <w:tcW w:w="668" w:type="pct"/>
                </w:tcPr>
                <w:p w14:paraId="633464B6">
                  <w:pPr>
                    <w:spacing w:line="320" w:lineRule="exact"/>
                    <w:jc w:val="center"/>
                    <w:rPr>
                      <w:color w:val="EE0000"/>
                      <w:u w:val="single"/>
                    </w:rPr>
                  </w:pPr>
                  <w:r>
                    <w:rPr>
                      <w:color w:val="EE0000"/>
                      <w:u w:val="single"/>
                    </w:rPr>
                    <w:t>0.0019</w:t>
                  </w:r>
                </w:p>
              </w:tc>
              <w:tc>
                <w:tcPr>
                  <w:tcW w:w="668" w:type="pct"/>
                  <w:vMerge w:val="continue"/>
                  <w:vAlign w:val="center"/>
                </w:tcPr>
                <w:p w14:paraId="6C0889AF">
                  <w:pPr>
                    <w:spacing w:line="320" w:lineRule="exact"/>
                    <w:jc w:val="center"/>
                    <w:rPr>
                      <w:color w:val="EE0000"/>
                      <w:u w:val="single"/>
                    </w:rPr>
                  </w:pPr>
                </w:p>
              </w:tc>
              <w:tc>
                <w:tcPr>
                  <w:tcW w:w="497" w:type="pct"/>
                  <w:vAlign w:val="center"/>
                </w:tcPr>
                <w:p w14:paraId="1E96EA2C">
                  <w:pPr>
                    <w:spacing w:line="320" w:lineRule="exact"/>
                    <w:jc w:val="center"/>
                    <w:rPr>
                      <w:color w:val="EE0000"/>
                      <w:u w:val="single"/>
                    </w:rPr>
                  </w:pPr>
                  <w:r>
                    <w:rPr>
                      <w:color w:val="EE0000"/>
                      <w:u w:val="single"/>
                    </w:rPr>
                    <w:t>0.370</w:t>
                  </w:r>
                </w:p>
              </w:tc>
              <w:tc>
                <w:tcPr>
                  <w:tcW w:w="634" w:type="pct"/>
                  <w:vMerge w:val="continue"/>
                  <w:vAlign w:val="center"/>
                </w:tcPr>
                <w:p w14:paraId="1EA26D88">
                  <w:pPr>
                    <w:spacing w:line="320" w:lineRule="exact"/>
                    <w:jc w:val="center"/>
                    <w:rPr>
                      <w:color w:val="EE0000"/>
                      <w:u w:val="single"/>
                    </w:rPr>
                  </w:pPr>
                </w:p>
              </w:tc>
            </w:tr>
            <w:tr w14:paraId="6BE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14:paraId="2E924D78">
                  <w:pPr>
                    <w:spacing w:line="320" w:lineRule="exact"/>
                    <w:jc w:val="center"/>
                    <w:rPr>
                      <w:color w:val="EE0000"/>
                      <w:u w:val="single"/>
                    </w:rPr>
                  </w:pPr>
                  <w:r>
                    <w:rPr>
                      <w:color w:val="EE0000"/>
                      <w:u w:val="single"/>
                    </w:rPr>
                    <w:t>2021.07</w:t>
                  </w:r>
                </w:p>
                <w:p w14:paraId="2D3685BA">
                  <w:pPr>
                    <w:spacing w:line="320" w:lineRule="exact"/>
                    <w:jc w:val="center"/>
                    <w:rPr>
                      <w:color w:val="EE0000"/>
                      <w:u w:val="single"/>
                    </w:rPr>
                  </w:pPr>
                  <w:r>
                    <w:rPr>
                      <w:color w:val="EE0000"/>
                      <w:u w:val="single"/>
                    </w:rPr>
                    <w:t>.23</w:t>
                  </w:r>
                </w:p>
              </w:tc>
              <w:tc>
                <w:tcPr>
                  <w:tcW w:w="923" w:type="pct"/>
                  <w:vAlign w:val="center"/>
                </w:tcPr>
                <w:p w14:paraId="1FB505B1">
                  <w:pPr>
                    <w:spacing w:line="320" w:lineRule="exact"/>
                    <w:jc w:val="center"/>
                    <w:rPr>
                      <w:color w:val="EE0000"/>
                      <w:u w:val="single"/>
                    </w:rPr>
                  </w:pPr>
                  <w:r>
                    <w:rPr>
                      <w:color w:val="EE0000"/>
                      <w:u w:val="single"/>
                    </w:rPr>
                    <w:t>厂界上风向</w:t>
                  </w:r>
                </w:p>
              </w:tc>
              <w:tc>
                <w:tcPr>
                  <w:tcW w:w="412" w:type="pct"/>
                  <w:vAlign w:val="center"/>
                </w:tcPr>
                <w:p w14:paraId="7EA817F6">
                  <w:pPr>
                    <w:spacing w:line="320" w:lineRule="exact"/>
                    <w:jc w:val="center"/>
                    <w:rPr>
                      <w:color w:val="EE0000"/>
                      <w:u w:val="single"/>
                    </w:rPr>
                  </w:pPr>
                  <w:r>
                    <w:rPr>
                      <w:color w:val="EE0000"/>
                      <w:u w:val="single"/>
                    </w:rPr>
                    <w:t>0.113</w:t>
                  </w:r>
                </w:p>
              </w:tc>
              <w:tc>
                <w:tcPr>
                  <w:tcW w:w="668" w:type="pct"/>
                  <w:vMerge w:val="restart"/>
                  <w:vAlign w:val="center"/>
                </w:tcPr>
                <w:p w14:paraId="11AC2F35">
                  <w:pPr>
                    <w:spacing w:line="320" w:lineRule="exact"/>
                    <w:jc w:val="center"/>
                    <w:rPr>
                      <w:color w:val="EE0000"/>
                      <w:u w:val="single"/>
                    </w:rPr>
                  </w:pPr>
                  <w:r>
                    <w:rPr>
                      <w:color w:val="EE0000"/>
                      <w:u w:val="single"/>
                    </w:rPr>
                    <w:t>0.157</w:t>
                  </w:r>
                </w:p>
              </w:tc>
              <w:tc>
                <w:tcPr>
                  <w:tcW w:w="668" w:type="pct"/>
                </w:tcPr>
                <w:p w14:paraId="159BBB08">
                  <w:pPr>
                    <w:spacing w:line="320" w:lineRule="exact"/>
                    <w:jc w:val="center"/>
                    <w:rPr>
                      <w:color w:val="EE0000"/>
                      <w:u w:val="single"/>
                    </w:rPr>
                  </w:pPr>
                  <w:r>
                    <w:rPr>
                      <w:color w:val="EE0000"/>
                      <w:u w:val="single"/>
                    </w:rPr>
                    <w:t>0.0007</w:t>
                  </w:r>
                </w:p>
              </w:tc>
              <w:tc>
                <w:tcPr>
                  <w:tcW w:w="668" w:type="pct"/>
                  <w:vMerge w:val="restart"/>
                  <w:vAlign w:val="center"/>
                </w:tcPr>
                <w:p w14:paraId="1262CCEB">
                  <w:pPr>
                    <w:spacing w:line="320" w:lineRule="exact"/>
                    <w:jc w:val="center"/>
                    <w:rPr>
                      <w:color w:val="EE0000"/>
                      <w:u w:val="single"/>
                    </w:rPr>
                  </w:pPr>
                  <w:r>
                    <w:rPr>
                      <w:color w:val="EE0000"/>
                      <w:u w:val="single"/>
                    </w:rPr>
                    <w:t>0.0018</w:t>
                  </w:r>
                </w:p>
              </w:tc>
              <w:tc>
                <w:tcPr>
                  <w:tcW w:w="497" w:type="pct"/>
                  <w:vAlign w:val="center"/>
                </w:tcPr>
                <w:p w14:paraId="735C10E2">
                  <w:pPr>
                    <w:spacing w:line="320" w:lineRule="exact"/>
                    <w:jc w:val="center"/>
                    <w:rPr>
                      <w:color w:val="EE0000"/>
                      <w:u w:val="single"/>
                    </w:rPr>
                  </w:pPr>
                  <w:r>
                    <w:rPr>
                      <w:color w:val="EE0000"/>
                      <w:u w:val="single"/>
                    </w:rPr>
                    <w:t>0.175</w:t>
                  </w:r>
                </w:p>
              </w:tc>
              <w:tc>
                <w:tcPr>
                  <w:tcW w:w="634" w:type="pct"/>
                  <w:vMerge w:val="restart"/>
                  <w:vAlign w:val="center"/>
                </w:tcPr>
                <w:p w14:paraId="2E00B32D">
                  <w:pPr>
                    <w:spacing w:line="320" w:lineRule="exact"/>
                    <w:jc w:val="center"/>
                    <w:rPr>
                      <w:color w:val="EE0000"/>
                      <w:u w:val="single"/>
                    </w:rPr>
                  </w:pPr>
                  <w:r>
                    <w:rPr>
                      <w:color w:val="EE0000"/>
                      <w:u w:val="single"/>
                    </w:rPr>
                    <w:t>0.408</w:t>
                  </w:r>
                </w:p>
              </w:tc>
            </w:tr>
            <w:tr w14:paraId="4242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071FE103">
                  <w:pPr>
                    <w:spacing w:line="320" w:lineRule="exact"/>
                    <w:jc w:val="center"/>
                    <w:rPr>
                      <w:color w:val="EE0000"/>
                      <w:u w:val="single"/>
                    </w:rPr>
                  </w:pPr>
                </w:p>
              </w:tc>
              <w:tc>
                <w:tcPr>
                  <w:tcW w:w="923" w:type="pct"/>
                  <w:vAlign w:val="center"/>
                </w:tcPr>
                <w:p w14:paraId="6D07F073">
                  <w:pPr>
                    <w:spacing w:line="320" w:lineRule="exact"/>
                    <w:jc w:val="center"/>
                    <w:rPr>
                      <w:color w:val="EE0000"/>
                      <w:u w:val="single"/>
                    </w:rPr>
                  </w:pPr>
                  <w:r>
                    <w:rPr>
                      <w:color w:val="EE0000"/>
                      <w:u w:val="single"/>
                    </w:rPr>
                    <w:t>厂界下风向1#</w:t>
                  </w:r>
                </w:p>
              </w:tc>
              <w:tc>
                <w:tcPr>
                  <w:tcW w:w="412" w:type="pct"/>
                  <w:vAlign w:val="center"/>
                </w:tcPr>
                <w:p w14:paraId="64A06D1A">
                  <w:pPr>
                    <w:spacing w:line="320" w:lineRule="exact"/>
                    <w:jc w:val="center"/>
                    <w:rPr>
                      <w:color w:val="EE0000"/>
                      <w:u w:val="single"/>
                    </w:rPr>
                  </w:pPr>
                  <w:r>
                    <w:rPr>
                      <w:color w:val="EE0000"/>
                      <w:u w:val="single"/>
                    </w:rPr>
                    <w:t>0.157</w:t>
                  </w:r>
                </w:p>
              </w:tc>
              <w:tc>
                <w:tcPr>
                  <w:tcW w:w="668" w:type="pct"/>
                  <w:vMerge w:val="continue"/>
                  <w:vAlign w:val="center"/>
                </w:tcPr>
                <w:p w14:paraId="79866C10">
                  <w:pPr>
                    <w:spacing w:line="320" w:lineRule="exact"/>
                    <w:jc w:val="center"/>
                    <w:rPr>
                      <w:color w:val="EE0000"/>
                      <w:u w:val="single"/>
                    </w:rPr>
                  </w:pPr>
                </w:p>
              </w:tc>
              <w:tc>
                <w:tcPr>
                  <w:tcW w:w="668" w:type="pct"/>
                </w:tcPr>
                <w:p w14:paraId="34EC980D">
                  <w:pPr>
                    <w:spacing w:line="320" w:lineRule="exact"/>
                    <w:jc w:val="center"/>
                    <w:rPr>
                      <w:color w:val="EE0000"/>
                      <w:u w:val="single"/>
                    </w:rPr>
                  </w:pPr>
                  <w:r>
                    <w:rPr>
                      <w:color w:val="EE0000"/>
                      <w:u w:val="single"/>
                    </w:rPr>
                    <w:t>0.0015</w:t>
                  </w:r>
                </w:p>
              </w:tc>
              <w:tc>
                <w:tcPr>
                  <w:tcW w:w="668" w:type="pct"/>
                  <w:vMerge w:val="continue"/>
                  <w:vAlign w:val="center"/>
                </w:tcPr>
                <w:p w14:paraId="7391F679">
                  <w:pPr>
                    <w:spacing w:line="320" w:lineRule="exact"/>
                    <w:jc w:val="center"/>
                    <w:rPr>
                      <w:color w:val="EE0000"/>
                      <w:u w:val="single"/>
                    </w:rPr>
                  </w:pPr>
                </w:p>
              </w:tc>
              <w:tc>
                <w:tcPr>
                  <w:tcW w:w="497" w:type="pct"/>
                  <w:vAlign w:val="center"/>
                </w:tcPr>
                <w:p w14:paraId="41A9724C">
                  <w:pPr>
                    <w:spacing w:line="320" w:lineRule="exact"/>
                    <w:jc w:val="center"/>
                    <w:rPr>
                      <w:color w:val="EE0000"/>
                      <w:u w:val="single"/>
                    </w:rPr>
                  </w:pPr>
                  <w:r>
                    <w:rPr>
                      <w:color w:val="EE0000"/>
                      <w:u w:val="single"/>
                    </w:rPr>
                    <w:t>0.390</w:t>
                  </w:r>
                </w:p>
              </w:tc>
              <w:tc>
                <w:tcPr>
                  <w:tcW w:w="634" w:type="pct"/>
                  <w:vMerge w:val="continue"/>
                  <w:vAlign w:val="center"/>
                </w:tcPr>
                <w:p w14:paraId="1C92AEA5">
                  <w:pPr>
                    <w:spacing w:line="320" w:lineRule="exact"/>
                    <w:jc w:val="center"/>
                    <w:rPr>
                      <w:color w:val="EE0000"/>
                      <w:u w:val="single"/>
                    </w:rPr>
                  </w:pPr>
                </w:p>
              </w:tc>
            </w:tr>
            <w:tr w14:paraId="1E45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12CEA2AC">
                  <w:pPr>
                    <w:spacing w:line="320" w:lineRule="exact"/>
                    <w:jc w:val="center"/>
                    <w:rPr>
                      <w:color w:val="EE0000"/>
                      <w:u w:val="single"/>
                    </w:rPr>
                  </w:pPr>
                </w:p>
              </w:tc>
              <w:tc>
                <w:tcPr>
                  <w:tcW w:w="923" w:type="pct"/>
                  <w:vAlign w:val="center"/>
                </w:tcPr>
                <w:p w14:paraId="1C436C50">
                  <w:pPr>
                    <w:spacing w:line="320" w:lineRule="exact"/>
                    <w:jc w:val="center"/>
                    <w:rPr>
                      <w:color w:val="EE0000"/>
                      <w:u w:val="single"/>
                    </w:rPr>
                  </w:pPr>
                  <w:r>
                    <w:rPr>
                      <w:color w:val="EE0000"/>
                      <w:u w:val="single"/>
                    </w:rPr>
                    <w:t>厂界下风向2#</w:t>
                  </w:r>
                </w:p>
              </w:tc>
              <w:tc>
                <w:tcPr>
                  <w:tcW w:w="412" w:type="pct"/>
                  <w:vAlign w:val="center"/>
                </w:tcPr>
                <w:p w14:paraId="619F0C02">
                  <w:pPr>
                    <w:spacing w:line="320" w:lineRule="exact"/>
                    <w:jc w:val="center"/>
                    <w:rPr>
                      <w:color w:val="EE0000"/>
                      <w:u w:val="single"/>
                    </w:rPr>
                  </w:pPr>
                  <w:r>
                    <w:rPr>
                      <w:color w:val="EE0000"/>
                      <w:u w:val="single"/>
                    </w:rPr>
                    <w:t>0.146</w:t>
                  </w:r>
                </w:p>
              </w:tc>
              <w:tc>
                <w:tcPr>
                  <w:tcW w:w="668" w:type="pct"/>
                  <w:vMerge w:val="continue"/>
                  <w:vAlign w:val="center"/>
                </w:tcPr>
                <w:p w14:paraId="2D9C857D">
                  <w:pPr>
                    <w:spacing w:line="320" w:lineRule="exact"/>
                    <w:jc w:val="center"/>
                    <w:rPr>
                      <w:color w:val="EE0000"/>
                      <w:u w:val="single"/>
                    </w:rPr>
                  </w:pPr>
                </w:p>
              </w:tc>
              <w:tc>
                <w:tcPr>
                  <w:tcW w:w="668" w:type="pct"/>
                </w:tcPr>
                <w:p w14:paraId="68B9E14D">
                  <w:pPr>
                    <w:spacing w:line="320" w:lineRule="exact"/>
                    <w:jc w:val="center"/>
                    <w:rPr>
                      <w:color w:val="EE0000"/>
                      <w:u w:val="single"/>
                    </w:rPr>
                  </w:pPr>
                  <w:r>
                    <w:rPr>
                      <w:color w:val="EE0000"/>
                      <w:u w:val="single"/>
                    </w:rPr>
                    <w:t>0.0018</w:t>
                  </w:r>
                </w:p>
              </w:tc>
              <w:tc>
                <w:tcPr>
                  <w:tcW w:w="668" w:type="pct"/>
                  <w:vMerge w:val="continue"/>
                  <w:vAlign w:val="center"/>
                </w:tcPr>
                <w:p w14:paraId="3E053F75">
                  <w:pPr>
                    <w:spacing w:line="320" w:lineRule="exact"/>
                    <w:jc w:val="center"/>
                    <w:rPr>
                      <w:color w:val="EE0000"/>
                      <w:u w:val="single"/>
                    </w:rPr>
                  </w:pPr>
                </w:p>
              </w:tc>
              <w:tc>
                <w:tcPr>
                  <w:tcW w:w="497" w:type="pct"/>
                  <w:vAlign w:val="center"/>
                </w:tcPr>
                <w:p w14:paraId="6A604856">
                  <w:pPr>
                    <w:spacing w:line="320" w:lineRule="exact"/>
                    <w:jc w:val="center"/>
                    <w:rPr>
                      <w:color w:val="EE0000"/>
                      <w:u w:val="single"/>
                    </w:rPr>
                  </w:pPr>
                  <w:r>
                    <w:rPr>
                      <w:color w:val="EE0000"/>
                      <w:u w:val="single"/>
                    </w:rPr>
                    <w:t>0.364</w:t>
                  </w:r>
                </w:p>
              </w:tc>
              <w:tc>
                <w:tcPr>
                  <w:tcW w:w="634" w:type="pct"/>
                  <w:vMerge w:val="continue"/>
                  <w:vAlign w:val="center"/>
                </w:tcPr>
                <w:p w14:paraId="0AC40D79">
                  <w:pPr>
                    <w:spacing w:line="320" w:lineRule="exact"/>
                    <w:jc w:val="center"/>
                    <w:rPr>
                      <w:color w:val="EE0000"/>
                      <w:u w:val="single"/>
                    </w:rPr>
                  </w:pPr>
                </w:p>
              </w:tc>
            </w:tr>
            <w:tr w14:paraId="4518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6BAFDE6D">
                  <w:pPr>
                    <w:spacing w:line="320" w:lineRule="exact"/>
                    <w:jc w:val="center"/>
                    <w:rPr>
                      <w:color w:val="EE0000"/>
                      <w:u w:val="single"/>
                    </w:rPr>
                  </w:pPr>
                </w:p>
              </w:tc>
              <w:tc>
                <w:tcPr>
                  <w:tcW w:w="923" w:type="pct"/>
                  <w:vAlign w:val="center"/>
                </w:tcPr>
                <w:p w14:paraId="54F4FA4D">
                  <w:pPr>
                    <w:spacing w:line="320" w:lineRule="exact"/>
                    <w:jc w:val="center"/>
                    <w:rPr>
                      <w:color w:val="EE0000"/>
                      <w:u w:val="single"/>
                    </w:rPr>
                  </w:pPr>
                  <w:r>
                    <w:rPr>
                      <w:color w:val="EE0000"/>
                      <w:u w:val="single"/>
                    </w:rPr>
                    <w:t>厂界下风向3#</w:t>
                  </w:r>
                </w:p>
              </w:tc>
              <w:tc>
                <w:tcPr>
                  <w:tcW w:w="412" w:type="pct"/>
                  <w:vAlign w:val="center"/>
                </w:tcPr>
                <w:p w14:paraId="55333BCE">
                  <w:pPr>
                    <w:spacing w:line="320" w:lineRule="exact"/>
                    <w:jc w:val="center"/>
                    <w:rPr>
                      <w:color w:val="EE0000"/>
                      <w:u w:val="single"/>
                    </w:rPr>
                  </w:pPr>
                  <w:r>
                    <w:rPr>
                      <w:color w:val="EE0000"/>
                      <w:u w:val="single"/>
                    </w:rPr>
                    <w:t>0.138</w:t>
                  </w:r>
                </w:p>
              </w:tc>
              <w:tc>
                <w:tcPr>
                  <w:tcW w:w="668" w:type="pct"/>
                  <w:vMerge w:val="continue"/>
                  <w:vAlign w:val="center"/>
                </w:tcPr>
                <w:p w14:paraId="298A33E4">
                  <w:pPr>
                    <w:spacing w:line="320" w:lineRule="exact"/>
                    <w:jc w:val="center"/>
                    <w:rPr>
                      <w:color w:val="EE0000"/>
                      <w:u w:val="single"/>
                    </w:rPr>
                  </w:pPr>
                </w:p>
              </w:tc>
              <w:tc>
                <w:tcPr>
                  <w:tcW w:w="668" w:type="pct"/>
                </w:tcPr>
                <w:p w14:paraId="35F57471">
                  <w:pPr>
                    <w:spacing w:line="320" w:lineRule="exact"/>
                    <w:jc w:val="center"/>
                    <w:rPr>
                      <w:color w:val="EE0000"/>
                      <w:u w:val="single"/>
                    </w:rPr>
                  </w:pPr>
                  <w:r>
                    <w:rPr>
                      <w:color w:val="EE0000"/>
                      <w:u w:val="single"/>
                    </w:rPr>
                    <w:t>0.0013</w:t>
                  </w:r>
                </w:p>
              </w:tc>
              <w:tc>
                <w:tcPr>
                  <w:tcW w:w="668" w:type="pct"/>
                  <w:vMerge w:val="continue"/>
                  <w:vAlign w:val="center"/>
                </w:tcPr>
                <w:p w14:paraId="2480D8E3">
                  <w:pPr>
                    <w:spacing w:line="320" w:lineRule="exact"/>
                    <w:jc w:val="center"/>
                    <w:rPr>
                      <w:color w:val="EE0000"/>
                      <w:u w:val="single"/>
                    </w:rPr>
                  </w:pPr>
                </w:p>
              </w:tc>
              <w:tc>
                <w:tcPr>
                  <w:tcW w:w="497" w:type="pct"/>
                  <w:vAlign w:val="center"/>
                </w:tcPr>
                <w:p w14:paraId="7E0D3B07">
                  <w:pPr>
                    <w:spacing w:line="320" w:lineRule="exact"/>
                    <w:jc w:val="center"/>
                    <w:rPr>
                      <w:color w:val="EE0000"/>
                      <w:u w:val="single"/>
                    </w:rPr>
                  </w:pPr>
                  <w:r>
                    <w:rPr>
                      <w:color w:val="EE0000"/>
                      <w:u w:val="single"/>
                    </w:rPr>
                    <w:t>0.408</w:t>
                  </w:r>
                </w:p>
              </w:tc>
              <w:tc>
                <w:tcPr>
                  <w:tcW w:w="634" w:type="pct"/>
                  <w:vMerge w:val="continue"/>
                  <w:vAlign w:val="center"/>
                </w:tcPr>
                <w:p w14:paraId="5C9E6F15">
                  <w:pPr>
                    <w:spacing w:line="320" w:lineRule="exact"/>
                    <w:jc w:val="center"/>
                    <w:rPr>
                      <w:color w:val="EE0000"/>
                      <w:u w:val="single"/>
                    </w:rPr>
                  </w:pPr>
                </w:p>
              </w:tc>
            </w:tr>
            <w:tr w14:paraId="3254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14:paraId="0BC6BCAC">
                  <w:pPr>
                    <w:spacing w:line="320" w:lineRule="exact"/>
                    <w:jc w:val="center"/>
                    <w:rPr>
                      <w:color w:val="EE0000"/>
                      <w:u w:val="single"/>
                    </w:rPr>
                  </w:pPr>
                  <w:r>
                    <w:rPr>
                      <w:color w:val="EE0000"/>
                      <w:u w:val="single"/>
                    </w:rPr>
                    <w:t>2021.07</w:t>
                  </w:r>
                </w:p>
                <w:p w14:paraId="51AA910F">
                  <w:pPr>
                    <w:spacing w:line="320" w:lineRule="exact"/>
                    <w:jc w:val="center"/>
                    <w:rPr>
                      <w:color w:val="EE0000"/>
                      <w:u w:val="single"/>
                    </w:rPr>
                  </w:pPr>
                  <w:r>
                    <w:rPr>
                      <w:color w:val="EE0000"/>
                      <w:u w:val="single"/>
                    </w:rPr>
                    <w:t>.23</w:t>
                  </w:r>
                </w:p>
              </w:tc>
              <w:tc>
                <w:tcPr>
                  <w:tcW w:w="923" w:type="pct"/>
                  <w:vAlign w:val="center"/>
                </w:tcPr>
                <w:p w14:paraId="178BBFD9">
                  <w:pPr>
                    <w:spacing w:line="320" w:lineRule="exact"/>
                    <w:jc w:val="center"/>
                    <w:rPr>
                      <w:color w:val="EE0000"/>
                      <w:u w:val="single"/>
                    </w:rPr>
                  </w:pPr>
                  <w:r>
                    <w:rPr>
                      <w:color w:val="EE0000"/>
                      <w:u w:val="single"/>
                    </w:rPr>
                    <w:t>厂界上风向</w:t>
                  </w:r>
                </w:p>
              </w:tc>
              <w:tc>
                <w:tcPr>
                  <w:tcW w:w="412" w:type="pct"/>
                  <w:vAlign w:val="center"/>
                </w:tcPr>
                <w:p w14:paraId="674BA1AD">
                  <w:pPr>
                    <w:spacing w:line="320" w:lineRule="exact"/>
                    <w:jc w:val="center"/>
                    <w:rPr>
                      <w:color w:val="EE0000"/>
                      <w:u w:val="single"/>
                    </w:rPr>
                  </w:pPr>
                  <w:r>
                    <w:rPr>
                      <w:color w:val="EE0000"/>
                      <w:u w:val="single"/>
                    </w:rPr>
                    <w:t>0.094</w:t>
                  </w:r>
                </w:p>
              </w:tc>
              <w:tc>
                <w:tcPr>
                  <w:tcW w:w="668" w:type="pct"/>
                  <w:vMerge w:val="restart"/>
                  <w:vAlign w:val="center"/>
                </w:tcPr>
                <w:p w14:paraId="5B864C61">
                  <w:pPr>
                    <w:spacing w:line="320" w:lineRule="exact"/>
                    <w:jc w:val="center"/>
                    <w:rPr>
                      <w:color w:val="EE0000"/>
                      <w:u w:val="single"/>
                    </w:rPr>
                  </w:pPr>
                  <w:r>
                    <w:rPr>
                      <w:color w:val="EE0000"/>
                      <w:u w:val="single"/>
                    </w:rPr>
                    <w:t>0.162</w:t>
                  </w:r>
                </w:p>
              </w:tc>
              <w:tc>
                <w:tcPr>
                  <w:tcW w:w="668" w:type="pct"/>
                </w:tcPr>
                <w:p w14:paraId="4A2CF99B">
                  <w:pPr>
                    <w:spacing w:line="320" w:lineRule="exact"/>
                    <w:jc w:val="center"/>
                    <w:rPr>
                      <w:color w:val="EE0000"/>
                      <w:u w:val="single"/>
                    </w:rPr>
                  </w:pPr>
                  <w:r>
                    <w:rPr>
                      <w:color w:val="EE0000"/>
                      <w:u w:val="single"/>
                    </w:rPr>
                    <w:t>0.0007</w:t>
                  </w:r>
                </w:p>
              </w:tc>
              <w:tc>
                <w:tcPr>
                  <w:tcW w:w="668" w:type="pct"/>
                  <w:vMerge w:val="restart"/>
                  <w:vAlign w:val="center"/>
                </w:tcPr>
                <w:p w14:paraId="3A709D61">
                  <w:pPr>
                    <w:spacing w:line="320" w:lineRule="exact"/>
                    <w:jc w:val="center"/>
                    <w:rPr>
                      <w:color w:val="EE0000"/>
                      <w:u w:val="single"/>
                    </w:rPr>
                  </w:pPr>
                  <w:r>
                    <w:rPr>
                      <w:color w:val="EE0000"/>
                      <w:u w:val="single"/>
                    </w:rPr>
                    <w:t>0.0017</w:t>
                  </w:r>
                </w:p>
              </w:tc>
              <w:tc>
                <w:tcPr>
                  <w:tcW w:w="497" w:type="pct"/>
                  <w:vAlign w:val="center"/>
                </w:tcPr>
                <w:p w14:paraId="0D526590">
                  <w:pPr>
                    <w:spacing w:line="320" w:lineRule="exact"/>
                    <w:jc w:val="center"/>
                    <w:rPr>
                      <w:color w:val="EE0000"/>
                      <w:u w:val="single"/>
                    </w:rPr>
                  </w:pPr>
                  <w:r>
                    <w:rPr>
                      <w:color w:val="EE0000"/>
                      <w:u w:val="single"/>
                    </w:rPr>
                    <w:t>0.195</w:t>
                  </w:r>
                </w:p>
              </w:tc>
              <w:tc>
                <w:tcPr>
                  <w:tcW w:w="634" w:type="pct"/>
                  <w:vMerge w:val="restart"/>
                  <w:vAlign w:val="center"/>
                </w:tcPr>
                <w:p w14:paraId="2D0EF831">
                  <w:pPr>
                    <w:spacing w:line="320" w:lineRule="exact"/>
                    <w:jc w:val="center"/>
                    <w:rPr>
                      <w:color w:val="EE0000"/>
                      <w:u w:val="single"/>
                    </w:rPr>
                  </w:pPr>
                  <w:r>
                    <w:rPr>
                      <w:color w:val="EE0000"/>
                      <w:u w:val="single"/>
                    </w:rPr>
                    <w:t>0.414</w:t>
                  </w:r>
                </w:p>
              </w:tc>
            </w:tr>
            <w:tr w14:paraId="7244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62C5B659">
                  <w:pPr>
                    <w:spacing w:line="320" w:lineRule="exact"/>
                    <w:jc w:val="center"/>
                    <w:rPr>
                      <w:color w:val="EE0000"/>
                      <w:u w:val="single"/>
                    </w:rPr>
                  </w:pPr>
                </w:p>
              </w:tc>
              <w:tc>
                <w:tcPr>
                  <w:tcW w:w="923" w:type="pct"/>
                  <w:vAlign w:val="center"/>
                </w:tcPr>
                <w:p w14:paraId="55F165EC">
                  <w:pPr>
                    <w:spacing w:line="320" w:lineRule="exact"/>
                    <w:jc w:val="center"/>
                    <w:rPr>
                      <w:color w:val="EE0000"/>
                      <w:u w:val="single"/>
                    </w:rPr>
                  </w:pPr>
                  <w:r>
                    <w:rPr>
                      <w:color w:val="EE0000"/>
                      <w:u w:val="single"/>
                    </w:rPr>
                    <w:t>厂界下风向1#</w:t>
                  </w:r>
                </w:p>
              </w:tc>
              <w:tc>
                <w:tcPr>
                  <w:tcW w:w="412" w:type="pct"/>
                  <w:vAlign w:val="center"/>
                </w:tcPr>
                <w:p w14:paraId="28DFF6A9">
                  <w:pPr>
                    <w:spacing w:line="320" w:lineRule="exact"/>
                    <w:jc w:val="center"/>
                    <w:rPr>
                      <w:color w:val="EE0000"/>
                      <w:u w:val="single"/>
                    </w:rPr>
                  </w:pPr>
                  <w:r>
                    <w:rPr>
                      <w:color w:val="EE0000"/>
                      <w:u w:val="single"/>
                    </w:rPr>
                    <w:t>0.143</w:t>
                  </w:r>
                </w:p>
              </w:tc>
              <w:tc>
                <w:tcPr>
                  <w:tcW w:w="668" w:type="pct"/>
                  <w:vMerge w:val="continue"/>
                  <w:vAlign w:val="center"/>
                </w:tcPr>
                <w:p w14:paraId="330688C3">
                  <w:pPr>
                    <w:spacing w:line="320" w:lineRule="exact"/>
                    <w:jc w:val="center"/>
                    <w:rPr>
                      <w:color w:val="EE0000"/>
                      <w:u w:val="single"/>
                    </w:rPr>
                  </w:pPr>
                </w:p>
              </w:tc>
              <w:tc>
                <w:tcPr>
                  <w:tcW w:w="668" w:type="pct"/>
                </w:tcPr>
                <w:p w14:paraId="1CB972BD">
                  <w:pPr>
                    <w:spacing w:line="320" w:lineRule="exact"/>
                    <w:jc w:val="center"/>
                    <w:rPr>
                      <w:color w:val="EE0000"/>
                      <w:u w:val="single"/>
                    </w:rPr>
                  </w:pPr>
                  <w:r>
                    <w:rPr>
                      <w:color w:val="EE0000"/>
                      <w:u w:val="single"/>
                    </w:rPr>
                    <w:t>0.0013</w:t>
                  </w:r>
                </w:p>
              </w:tc>
              <w:tc>
                <w:tcPr>
                  <w:tcW w:w="668" w:type="pct"/>
                  <w:vMerge w:val="continue"/>
                  <w:vAlign w:val="center"/>
                </w:tcPr>
                <w:p w14:paraId="11738498">
                  <w:pPr>
                    <w:spacing w:line="320" w:lineRule="exact"/>
                    <w:jc w:val="center"/>
                    <w:rPr>
                      <w:color w:val="EE0000"/>
                      <w:u w:val="single"/>
                    </w:rPr>
                  </w:pPr>
                </w:p>
              </w:tc>
              <w:tc>
                <w:tcPr>
                  <w:tcW w:w="497" w:type="pct"/>
                  <w:vAlign w:val="center"/>
                </w:tcPr>
                <w:p w14:paraId="17B27D15">
                  <w:pPr>
                    <w:spacing w:line="320" w:lineRule="exact"/>
                    <w:jc w:val="center"/>
                    <w:rPr>
                      <w:color w:val="EE0000"/>
                      <w:u w:val="single"/>
                    </w:rPr>
                  </w:pPr>
                  <w:r>
                    <w:rPr>
                      <w:color w:val="EE0000"/>
                      <w:u w:val="single"/>
                    </w:rPr>
                    <w:t>0.414</w:t>
                  </w:r>
                </w:p>
              </w:tc>
              <w:tc>
                <w:tcPr>
                  <w:tcW w:w="634" w:type="pct"/>
                  <w:vMerge w:val="continue"/>
                  <w:vAlign w:val="center"/>
                </w:tcPr>
                <w:p w14:paraId="35755B82">
                  <w:pPr>
                    <w:spacing w:line="320" w:lineRule="exact"/>
                    <w:jc w:val="center"/>
                    <w:rPr>
                      <w:color w:val="EE0000"/>
                      <w:u w:val="single"/>
                    </w:rPr>
                  </w:pPr>
                </w:p>
              </w:tc>
            </w:tr>
            <w:tr w14:paraId="10F4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41169C02">
                  <w:pPr>
                    <w:spacing w:line="320" w:lineRule="exact"/>
                    <w:jc w:val="center"/>
                    <w:rPr>
                      <w:color w:val="EE0000"/>
                      <w:u w:val="single"/>
                    </w:rPr>
                  </w:pPr>
                </w:p>
              </w:tc>
              <w:tc>
                <w:tcPr>
                  <w:tcW w:w="923" w:type="pct"/>
                  <w:vAlign w:val="center"/>
                </w:tcPr>
                <w:p w14:paraId="1B6BD2DE">
                  <w:pPr>
                    <w:spacing w:line="320" w:lineRule="exact"/>
                    <w:jc w:val="center"/>
                    <w:rPr>
                      <w:color w:val="EE0000"/>
                      <w:u w:val="single"/>
                    </w:rPr>
                  </w:pPr>
                  <w:r>
                    <w:rPr>
                      <w:color w:val="EE0000"/>
                      <w:u w:val="single"/>
                    </w:rPr>
                    <w:t>厂界下风向2#</w:t>
                  </w:r>
                </w:p>
              </w:tc>
              <w:tc>
                <w:tcPr>
                  <w:tcW w:w="412" w:type="pct"/>
                  <w:vAlign w:val="center"/>
                </w:tcPr>
                <w:p w14:paraId="128555D5">
                  <w:pPr>
                    <w:spacing w:line="320" w:lineRule="exact"/>
                    <w:jc w:val="center"/>
                    <w:rPr>
                      <w:color w:val="EE0000"/>
                      <w:u w:val="single"/>
                    </w:rPr>
                  </w:pPr>
                  <w:r>
                    <w:rPr>
                      <w:color w:val="EE0000"/>
                      <w:u w:val="single"/>
                    </w:rPr>
                    <w:t>0.162</w:t>
                  </w:r>
                </w:p>
              </w:tc>
              <w:tc>
                <w:tcPr>
                  <w:tcW w:w="668" w:type="pct"/>
                  <w:vMerge w:val="continue"/>
                  <w:vAlign w:val="center"/>
                </w:tcPr>
                <w:p w14:paraId="203A9549">
                  <w:pPr>
                    <w:spacing w:line="320" w:lineRule="exact"/>
                    <w:jc w:val="center"/>
                    <w:rPr>
                      <w:color w:val="EE0000"/>
                      <w:u w:val="single"/>
                    </w:rPr>
                  </w:pPr>
                </w:p>
              </w:tc>
              <w:tc>
                <w:tcPr>
                  <w:tcW w:w="668" w:type="pct"/>
                </w:tcPr>
                <w:p w14:paraId="027DE13F">
                  <w:pPr>
                    <w:spacing w:line="320" w:lineRule="exact"/>
                    <w:jc w:val="center"/>
                    <w:rPr>
                      <w:color w:val="EE0000"/>
                      <w:u w:val="single"/>
                    </w:rPr>
                  </w:pPr>
                  <w:r>
                    <w:rPr>
                      <w:color w:val="EE0000"/>
                      <w:u w:val="single"/>
                    </w:rPr>
                    <w:t>0.0016</w:t>
                  </w:r>
                </w:p>
              </w:tc>
              <w:tc>
                <w:tcPr>
                  <w:tcW w:w="668" w:type="pct"/>
                  <w:vMerge w:val="continue"/>
                  <w:vAlign w:val="center"/>
                </w:tcPr>
                <w:p w14:paraId="3236EB8E">
                  <w:pPr>
                    <w:spacing w:line="320" w:lineRule="exact"/>
                    <w:jc w:val="center"/>
                    <w:rPr>
                      <w:color w:val="EE0000"/>
                      <w:u w:val="single"/>
                    </w:rPr>
                  </w:pPr>
                </w:p>
              </w:tc>
              <w:tc>
                <w:tcPr>
                  <w:tcW w:w="497" w:type="pct"/>
                  <w:vAlign w:val="center"/>
                </w:tcPr>
                <w:p w14:paraId="7FF76CDE">
                  <w:pPr>
                    <w:spacing w:line="320" w:lineRule="exact"/>
                    <w:jc w:val="center"/>
                    <w:rPr>
                      <w:color w:val="EE0000"/>
                      <w:u w:val="single"/>
                    </w:rPr>
                  </w:pPr>
                  <w:r>
                    <w:rPr>
                      <w:color w:val="EE0000"/>
                      <w:u w:val="single"/>
                    </w:rPr>
                    <w:t>0.369</w:t>
                  </w:r>
                </w:p>
              </w:tc>
              <w:tc>
                <w:tcPr>
                  <w:tcW w:w="634" w:type="pct"/>
                  <w:vMerge w:val="continue"/>
                  <w:vAlign w:val="center"/>
                </w:tcPr>
                <w:p w14:paraId="52188007">
                  <w:pPr>
                    <w:spacing w:line="320" w:lineRule="exact"/>
                    <w:jc w:val="center"/>
                    <w:rPr>
                      <w:color w:val="EE0000"/>
                      <w:u w:val="single"/>
                    </w:rPr>
                  </w:pPr>
                </w:p>
              </w:tc>
            </w:tr>
            <w:tr w14:paraId="6180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09D21D3F">
                  <w:pPr>
                    <w:spacing w:line="320" w:lineRule="exact"/>
                    <w:jc w:val="center"/>
                    <w:rPr>
                      <w:color w:val="EE0000"/>
                      <w:u w:val="single"/>
                    </w:rPr>
                  </w:pPr>
                </w:p>
              </w:tc>
              <w:tc>
                <w:tcPr>
                  <w:tcW w:w="923" w:type="pct"/>
                  <w:vAlign w:val="center"/>
                </w:tcPr>
                <w:p w14:paraId="5CB89DA0">
                  <w:pPr>
                    <w:spacing w:line="320" w:lineRule="exact"/>
                    <w:jc w:val="center"/>
                    <w:rPr>
                      <w:color w:val="EE0000"/>
                      <w:u w:val="single"/>
                    </w:rPr>
                  </w:pPr>
                  <w:r>
                    <w:rPr>
                      <w:color w:val="EE0000"/>
                      <w:u w:val="single"/>
                    </w:rPr>
                    <w:t>厂界下风向3#</w:t>
                  </w:r>
                </w:p>
              </w:tc>
              <w:tc>
                <w:tcPr>
                  <w:tcW w:w="412" w:type="pct"/>
                  <w:vAlign w:val="center"/>
                </w:tcPr>
                <w:p w14:paraId="3183F59E">
                  <w:pPr>
                    <w:spacing w:line="320" w:lineRule="exact"/>
                    <w:jc w:val="center"/>
                    <w:rPr>
                      <w:color w:val="EE0000"/>
                      <w:u w:val="single"/>
                    </w:rPr>
                  </w:pPr>
                  <w:r>
                    <w:rPr>
                      <w:color w:val="EE0000"/>
                      <w:u w:val="single"/>
                    </w:rPr>
                    <w:t>0.135</w:t>
                  </w:r>
                </w:p>
              </w:tc>
              <w:tc>
                <w:tcPr>
                  <w:tcW w:w="668" w:type="pct"/>
                  <w:vMerge w:val="continue"/>
                  <w:vAlign w:val="center"/>
                </w:tcPr>
                <w:p w14:paraId="2E7276DB">
                  <w:pPr>
                    <w:spacing w:line="320" w:lineRule="exact"/>
                    <w:jc w:val="center"/>
                    <w:rPr>
                      <w:color w:val="EE0000"/>
                      <w:u w:val="single"/>
                    </w:rPr>
                  </w:pPr>
                </w:p>
              </w:tc>
              <w:tc>
                <w:tcPr>
                  <w:tcW w:w="668" w:type="pct"/>
                </w:tcPr>
                <w:p w14:paraId="78467BD5">
                  <w:pPr>
                    <w:spacing w:line="320" w:lineRule="exact"/>
                    <w:jc w:val="center"/>
                    <w:rPr>
                      <w:color w:val="EE0000"/>
                      <w:u w:val="single"/>
                    </w:rPr>
                  </w:pPr>
                  <w:r>
                    <w:rPr>
                      <w:color w:val="EE0000"/>
                      <w:u w:val="single"/>
                    </w:rPr>
                    <w:t>0.0017</w:t>
                  </w:r>
                </w:p>
              </w:tc>
              <w:tc>
                <w:tcPr>
                  <w:tcW w:w="668" w:type="pct"/>
                  <w:vMerge w:val="continue"/>
                  <w:vAlign w:val="center"/>
                </w:tcPr>
                <w:p w14:paraId="43099722">
                  <w:pPr>
                    <w:spacing w:line="320" w:lineRule="exact"/>
                    <w:jc w:val="center"/>
                    <w:rPr>
                      <w:color w:val="EE0000"/>
                      <w:u w:val="single"/>
                    </w:rPr>
                  </w:pPr>
                </w:p>
              </w:tc>
              <w:tc>
                <w:tcPr>
                  <w:tcW w:w="497" w:type="pct"/>
                  <w:vAlign w:val="center"/>
                </w:tcPr>
                <w:p w14:paraId="61F7DDD3">
                  <w:pPr>
                    <w:spacing w:line="320" w:lineRule="exact"/>
                    <w:jc w:val="center"/>
                    <w:rPr>
                      <w:color w:val="EE0000"/>
                      <w:u w:val="single"/>
                    </w:rPr>
                  </w:pPr>
                  <w:r>
                    <w:rPr>
                      <w:color w:val="EE0000"/>
                      <w:u w:val="single"/>
                    </w:rPr>
                    <w:t>0.397</w:t>
                  </w:r>
                </w:p>
              </w:tc>
              <w:tc>
                <w:tcPr>
                  <w:tcW w:w="634" w:type="pct"/>
                  <w:vMerge w:val="continue"/>
                  <w:vAlign w:val="center"/>
                </w:tcPr>
                <w:p w14:paraId="7D05C5C2">
                  <w:pPr>
                    <w:spacing w:line="320" w:lineRule="exact"/>
                    <w:jc w:val="center"/>
                    <w:rPr>
                      <w:color w:val="EE0000"/>
                      <w:u w:val="single"/>
                    </w:rPr>
                  </w:pPr>
                </w:p>
              </w:tc>
            </w:tr>
          </w:tbl>
          <w:p w14:paraId="5684F19C">
            <w:pPr>
              <w:adjustRightInd w:val="0"/>
              <w:snapToGrid w:val="0"/>
              <w:spacing w:line="520" w:lineRule="exact"/>
              <w:ind w:firstLine="480" w:firstLineChars="200"/>
              <w:rPr>
                <w:snapToGrid w:val="0"/>
                <w:color w:val="EE0000"/>
                <w:kern w:val="0"/>
                <w:sz w:val="24"/>
                <w:u w:val="single"/>
              </w:rPr>
            </w:pPr>
            <w:r>
              <w:rPr>
                <w:snapToGrid w:val="0"/>
                <w:color w:val="EE0000"/>
                <w:kern w:val="0"/>
                <w:sz w:val="24"/>
                <w:u w:val="single"/>
              </w:rPr>
              <w:t>由上表可知，</w:t>
            </w:r>
            <w:r>
              <w:rPr>
                <w:bCs/>
                <w:color w:val="EE0000"/>
                <w:sz w:val="24"/>
                <w:u w:val="single"/>
              </w:rPr>
              <w:t>现有工程无组织废气中</w:t>
            </w:r>
            <w:r>
              <w:rPr>
                <w:bCs/>
                <w:color w:val="EE0000"/>
                <w:sz w:val="24"/>
                <w:szCs w:val="21"/>
                <w:u w:val="single"/>
              </w:rPr>
              <w:t>颗粒物周界外浓度最高点范围为0.408~0.436mg/m</w:t>
            </w:r>
            <w:r>
              <w:rPr>
                <w:bCs/>
                <w:color w:val="EE0000"/>
                <w:sz w:val="24"/>
                <w:szCs w:val="21"/>
                <w:u w:val="single"/>
                <w:vertAlign w:val="superscript"/>
              </w:rPr>
              <w:t>3</w:t>
            </w:r>
            <w:r>
              <w:rPr>
                <w:bCs/>
                <w:color w:val="EE0000"/>
                <w:sz w:val="24"/>
                <w:szCs w:val="21"/>
                <w:u w:val="single"/>
              </w:rPr>
              <w:t>、二氧化硫浓度范围为0.148~0.162mg/m</w:t>
            </w:r>
            <w:r>
              <w:rPr>
                <w:bCs/>
                <w:color w:val="EE0000"/>
                <w:sz w:val="24"/>
                <w:szCs w:val="21"/>
                <w:u w:val="single"/>
                <w:vertAlign w:val="superscript"/>
              </w:rPr>
              <w:t>3</w:t>
            </w:r>
            <w:r>
              <w:rPr>
                <w:bCs/>
                <w:color w:val="EE0000"/>
                <w:sz w:val="24"/>
                <w:szCs w:val="21"/>
                <w:u w:val="single"/>
              </w:rPr>
              <w:t>、氟化物浓度范围为0.0017~0.0019mg/m</w:t>
            </w:r>
            <w:r>
              <w:rPr>
                <w:bCs/>
                <w:color w:val="EE0000"/>
                <w:sz w:val="24"/>
                <w:szCs w:val="21"/>
                <w:u w:val="single"/>
                <w:vertAlign w:val="superscript"/>
              </w:rPr>
              <w:t>3</w:t>
            </w:r>
            <w:r>
              <w:rPr>
                <w:bCs/>
                <w:color w:val="EE0000"/>
                <w:sz w:val="24"/>
                <w:szCs w:val="21"/>
                <w:u w:val="single"/>
              </w:rPr>
              <w:t>，</w:t>
            </w:r>
            <w:r>
              <w:rPr>
                <w:bCs/>
                <w:color w:val="EE0000"/>
                <w:sz w:val="24"/>
                <w:u w:val="single"/>
              </w:rPr>
              <w:t>无组织排放废气均满足《砖瓦工业大气污染物排放标准》（DB41/2234-2022）企业边界</w:t>
            </w:r>
            <w:r>
              <w:rPr>
                <w:snapToGrid w:val="0"/>
                <w:color w:val="EE0000"/>
                <w:kern w:val="0"/>
                <w:sz w:val="24"/>
                <w:u w:val="single"/>
              </w:rPr>
              <w:t>颗粒物监控浓度限值1mg/m</w:t>
            </w:r>
            <w:r>
              <w:rPr>
                <w:snapToGrid w:val="0"/>
                <w:color w:val="EE0000"/>
                <w:kern w:val="0"/>
                <w:sz w:val="24"/>
                <w:u w:val="single"/>
                <w:vertAlign w:val="superscript"/>
              </w:rPr>
              <w:t>3</w:t>
            </w:r>
            <w:r>
              <w:rPr>
                <w:snapToGrid w:val="0"/>
                <w:color w:val="EE0000"/>
                <w:kern w:val="0"/>
                <w:sz w:val="24"/>
                <w:u w:val="single"/>
              </w:rPr>
              <w:t>、二氧化硫监控浓度限值0.5mg/m</w:t>
            </w:r>
            <w:r>
              <w:rPr>
                <w:snapToGrid w:val="0"/>
                <w:color w:val="EE0000"/>
                <w:kern w:val="0"/>
                <w:sz w:val="24"/>
                <w:u w:val="single"/>
                <w:vertAlign w:val="superscript"/>
              </w:rPr>
              <w:t>3</w:t>
            </w:r>
            <w:r>
              <w:rPr>
                <w:snapToGrid w:val="0"/>
                <w:color w:val="EE0000"/>
                <w:kern w:val="0"/>
                <w:sz w:val="24"/>
                <w:u w:val="single"/>
              </w:rPr>
              <w:t>、氟化物监控浓度限值0.02mg/m</w:t>
            </w:r>
            <w:r>
              <w:rPr>
                <w:snapToGrid w:val="0"/>
                <w:color w:val="EE0000"/>
                <w:kern w:val="0"/>
                <w:sz w:val="24"/>
                <w:u w:val="single"/>
                <w:vertAlign w:val="superscript"/>
              </w:rPr>
              <w:t>3</w:t>
            </w:r>
            <w:r>
              <w:rPr>
                <w:snapToGrid w:val="0"/>
                <w:color w:val="EE0000"/>
                <w:kern w:val="0"/>
                <w:sz w:val="24"/>
                <w:u w:val="single"/>
              </w:rPr>
              <w:t>的要求；</w:t>
            </w:r>
          </w:p>
          <w:p w14:paraId="185CBDF6">
            <w:pPr>
              <w:adjustRightInd w:val="0"/>
              <w:snapToGrid w:val="0"/>
              <w:spacing w:line="520" w:lineRule="exact"/>
              <w:ind w:firstLine="480" w:firstLineChars="200"/>
              <w:rPr>
                <w:snapToGrid w:val="0"/>
                <w:color w:val="EE0000"/>
                <w:kern w:val="0"/>
                <w:sz w:val="24"/>
                <w:u w:val="single"/>
              </w:rPr>
            </w:pPr>
            <w:r>
              <w:rPr>
                <w:snapToGrid w:val="0"/>
                <w:color w:val="EE0000"/>
                <w:kern w:val="0"/>
                <w:sz w:val="24"/>
                <w:u w:val="single"/>
              </w:rPr>
              <w:fldChar w:fldCharType="begin"/>
            </w:r>
            <w:r>
              <w:rPr>
                <w:snapToGrid w:val="0"/>
                <w:color w:val="EE0000"/>
                <w:kern w:val="0"/>
                <w:sz w:val="24"/>
                <w:u w:val="single"/>
              </w:rPr>
              <w:instrText xml:space="preserve"> = 4 \* GB3 </w:instrText>
            </w:r>
            <w:r>
              <w:rPr>
                <w:snapToGrid w:val="0"/>
                <w:color w:val="EE0000"/>
                <w:kern w:val="0"/>
                <w:sz w:val="24"/>
                <w:u w:val="single"/>
              </w:rPr>
              <w:fldChar w:fldCharType="separate"/>
            </w:r>
            <w:r>
              <w:rPr>
                <w:rFonts w:ascii="Cambria Math" w:hAnsi="Cambria Math" w:cs="Cambria Math"/>
                <w:snapToGrid w:val="0"/>
                <w:color w:val="EE0000"/>
                <w:kern w:val="0"/>
                <w:sz w:val="24"/>
                <w:u w:val="single"/>
              </w:rPr>
              <w:t>④</w:t>
            </w:r>
            <w:r>
              <w:rPr>
                <w:snapToGrid w:val="0"/>
                <w:color w:val="EE0000"/>
                <w:kern w:val="0"/>
                <w:sz w:val="24"/>
                <w:u w:val="single"/>
              </w:rPr>
              <w:fldChar w:fldCharType="end"/>
            </w:r>
            <w:r>
              <w:rPr>
                <w:snapToGrid w:val="0"/>
                <w:color w:val="EE0000"/>
                <w:kern w:val="0"/>
                <w:sz w:val="24"/>
                <w:u w:val="single"/>
              </w:rPr>
              <w:t>废气污染物排放总量核算</w:t>
            </w:r>
          </w:p>
          <w:p w14:paraId="38F04BAD">
            <w:pPr>
              <w:adjustRightInd w:val="0"/>
              <w:snapToGrid w:val="0"/>
              <w:spacing w:line="520" w:lineRule="exact"/>
              <w:ind w:firstLine="480" w:firstLineChars="200"/>
              <w:rPr>
                <w:snapToGrid w:val="0"/>
                <w:color w:val="EE0000"/>
                <w:kern w:val="0"/>
                <w:sz w:val="24"/>
                <w:u w:val="single"/>
              </w:rPr>
            </w:pPr>
            <w:r>
              <w:rPr>
                <w:snapToGrid w:val="0"/>
                <w:color w:val="EE0000"/>
                <w:kern w:val="0"/>
                <w:sz w:val="24"/>
                <w:u w:val="single"/>
              </w:rPr>
              <w:t>根据2021年企业自动和手工检测数据，六和建材现有工程废气污染物排放量情况，见表2-23。</w:t>
            </w:r>
          </w:p>
          <w:p w14:paraId="7594065C">
            <w:pPr>
              <w:adjustRightInd w:val="0"/>
              <w:snapToGrid w:val="0"/>
              <w:spacing w:line="520" w:lineRule="exact"/>
              <w:ind w:firstLine="480" w:firstLineChars="200"/>
              <w:jc w:val="center"/>
              <w:rPr>
                <w:rFonts w:eastAsia="黑体"/>
                <w:snapToGrid w:val="0"/>
                <w:color w:val="EE0000"/>
                <w:kern w:val="0"/>
                <w:sz w:val="24"/>
                <w:u w:val="single"/>
              </w:rPr>
            </w:pPr>
            <w:r>
              <w:rPr>
                <w:rFonts w:eastAsia="黑体"/>
                <w:snapToGrid w:val="0"/>
                <w:color w:val="EE0000"/>
                <w:kern w:val="0"/>
                <w:sz w:val="24"/>
                <w:u w:val="single"/>
              </w:rPr>
              <w:t>表2-23       六和建材现有工程废气污染物排放量情况</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2163"/>
              <w:gridCol w:w="2248"/>
              <w:gridCol w:w="2445"/>
            </w:tblGrid>
            <w:tr w14:paraId="573F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6" w:type="pct"/>
                  <w:vAlign w:val="center"/>
                </w:tcPr>
                <w:p w14:paraId="4AC4E172">
                  <w:pPr>
                    <w:adjustRightInd w:val="0"/>
                    <w:snapToGrid w:val="0"/>
                    <w:spacing w:line="320" w:lineRule="exact"/>
                    <w:jc w:val="center"/>
                    <w:rPr>
                      <w:color w:val="EE0000"/>
                      <w:szCs w:val="21"/>
                      <w:u w:val="single"/>
                    </w:rPr>
                  </w:pPr>
                  <w:r>
                    <w:rPr>
                      <w:color w:val="EE0000"/>
                      <w:szCs w:val="21"/>
                      <w:u w:val="single"/>
                    </w:rPr>
                    <w:t>项目</w:t>
                  </w:r>
                </w:p>
              </w:tc>
              <w:tc>
                <w:tcPr>
                  <w:tcW w:w="1279" w:type="pct"/>
                  <w:vAlign w:val="center"/>
                </w:tcPr>
                <w:p w14:paraId="7E09AD26">
                  <w:pPr>
                    <w:adjustRightInd w:val="0"/>
                    <w:snapToGrid w:val="0"/>
                    <w:spacing w:line="320" w:lineRule="exact"/>
                    <w:jc w:val="center"/>
                    <w:rPr>
                      <w:color w:val="EE0000"/>
                      <w:szCs w:val="21"/>
                      <w:u w:val="single"/>
                    </w:rPr>
                  </w:pPr>
                  <w:r>
                    <w:rPr>
                      <w:color w:val="EE0000"/>
                      <w:szCs w:val="21"/>
                      <w:u w:val="single"/>
                    </w:rPr>
                    <w:t>2021年废气排放量（t/a）</w:t>
                  </w:r>
                </w:p>
              </w:tc>
              <w:tc>
                <w:tcPr>
                  <w:tcW w:w="1329" w:type="pct"/>
                </w:tcPr>
                <w:p w14:paraId="544489BB">
                  <w:pPr>
                    <w:adjustRightInd w:val="0"/>
                    <w:snapToGrid w:val="0"/>
                    <w:spacing w:line="320" w:lineRule="exact"/>
                    <w:jc w:val="center"/>
                    <w:rPr>
                      <w:color w:val="EE0000"/>
                      <w:szCs w:val="21"/>
                      <w:u w:val="single"/>
                    </w:rPr>
                  </w:pPr>
                  <w:r>
                    <w:rPr>
                      <w:color w:val="EE0000"/>
                      <w:szCs w:val="21"/>
                      <w:u w:val="single"/>
                    </w:rPr>
                    <w:t>折合满负荷生产排放量（t/a）</w:t>
                  </w:r>
                </w:p>
              </w:tc>
              <w:tc>
                <w:tcPr>
                  <w:tcW w:w="1446" w:type="pct"/>
                  <w:vAlign w:val="center"/>
                </w:tcPr>
                <w:p w14:paraId="081CE30C">
                  <w:pPr>
                    <w:adjustRightInd w:val="0"/>
                    <w:snapToGrid w:val="0"/>
                    <w:spacing w:line="320" w:lineRule="exact"/>
                    <w:jc w:val="center"/>
                    <w:rPr>
                      <w:color w:val="EE0000"/>
                      <w:szCs w:val="21"/>
                      <w:u w:val="single"/>
                    </w:rPr>
                  </w:pPr>
                  <w:r>
                    <w:rPr>
                      <w:color w:val="EE0000"/>
                      <w:szCs w:val="21"/>
                      <w:u w:val="single"/>
                    </w:rPr>
                    <w:t>原总量核定文件核定总量（t/a）</w:t>
                  </w:r>
                </w:p>
              </w:tc>
            </w:tr>
            <w:tr w14:paraId="5E63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6" w:type="pct"/>
                  <w:vAlign w:val="center"/>
                </w:tcPr>
                <w:p w14:paraId="2761EC77">
                  <w:pPr>
                    <w:adjustRightInd w:val="0"/>
                    <w:snapToGrid w:val="0"/>
                    <w:spacing w:line="320" w:lineRule="exact"/>
                    <w:jc w:val="center"/>
                    <w:rPr>
                      <w:color w:val="EE0000"/>
                      <w:szCs w:val="21"/>
                      <w:u w:val="single"/>
                    </w:rPr>
                  </w:pPr>
                  <w:r>
                    <w:rPr>
                      <w:color w:val="EE0000"/>
                      <w:szCs w:val="21"/>
                      <w:u w:val="single"/>
                    </w:rPr>
                    <w:t>粉尘</w:t>
                  </w:r>
                </w:p>
              </w:tc>
              <w:tc>
                <w:tcPr>
                  <w:tcW w:w="1279" w:type="pct"/>
                  <w:vAlign w:val="center"/>
                </w:tcPr>
                <w:p w14:paraId="72B95B2F">
                  <w:pPr>
                    <w:adjustRightInd w:val="0"/>
                    <w:snapToGrid w:val="0"/>
                    <w:spacing w:line="320" w:lineRule="exact"/>
                    <w:jc w:val="center"/>
                    <w:rPr>
                      <w:color w:val="EE0000"/>
                      <w:szCs w:val="21"/>
                      <w:u w:val="single"/>
                    </w:rPr>
                  </w:pPr>
                  <w:r>
                    <w:rPr>
                      <w:color w:val="EE0000"/>
                      <w:szCs w:val="21"/>
                      <w:u w:val="single"/>
                    </w:rPr>
                    <w:t>0.864</w:t>
                  </w:r>
                </w:p>
              </w:tc>
              <w:tc>
                <w:tcPr>
                  <w:tcW w:w="1329" w:type="pct"/>
                  <w:vAlign w:val="center"/>
                </w:tcPr>
                <w:p w14:paraId="4BEBFEA1">
                  <w:pPr>
                    <w:adjustRightInd w:val="0"/>
                    <w:snapToGrid w:val="0"/>
                    <w:spacing w:line="320" w:lineRule="exact"/>
                    <w:jc w:val="center"/>
                    <w:rPr>
                      <w:color w:val="EE0000"/>
                      <w:szCs w:val="21"/>
                      <w:u w:val="single"/>
                    </w:rPr>
                  </w:pPr>
                  <w:r>
                    <w:rPr>
                      <w:color w:val="EE0000"/>
                      <w:szCs w:val="21"/>
                      <w:u w:val="single"/>
                    </w:rPr>
                    <w:t>3.456</w:t>
                  </w:r>
                </w:p>
              </w:tc>
              <w:tc>
                <w:tcPr>
                  <w:tcW w:w="1446" w:type="pct"/>
                  <w:vAlign w:val="bottom"/>
                </w:tcPr>
                <w:p w14:paraId="4C1BB7B5">
                  <w:pPr>
                    <w:adjustRightInd w:val="0"/>
                    <w:snapToGrid w:val="0"/>
                    <w:spacing w:line="320" w:lineRule="exact"/>
                    <w:jc w:val="center"/>
                    <w:rPr>
                      <w:color w:val="EE0000"/>
                      <w:szCs w:val="21"/>
                      <w:u w:val="single"/>
                    </w:rPr>
                  </w:pPr>
                  <w:r>
                    <w:rPr>
                      <w:color w:val="EE0000"/>
                      <w:szCs w:val="21"/>
                      <w:u w:val="single"/>
                    </w:rPr>
                    <w:t>0.26</w:t>
                  </w:r>
                </w:p>
              </w:tc>
            </w:tr>
            <w:tr w14:paraId="1636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pct"/>
                  <w:vAlign w:val="center"/>
                </w:tcPr>
                <w:p w14:paraId="27CA84E9">
                  <w:pPr>
                    <w:adjustRightInd w:val="0"/>
                    <w:snapToGrid w:val="0"/>
                    <w:spacing w:line="320" w:lineRule="exact"/>
                    <w:jc w:val="center"/>
                    <w:rPr>
                      <w:color w:val="EE0000"/>
                      <w:szCs w:val="21"/>
                      <w:u w:val="single"/>
                    </w:rPr>
                  </w:pPr>
                  <w:r>
                    <w:rPr>
                      <w:color w:val="EE0000"/>
                      <w:szCs w:val="21"/>
                      <w:u w:val="single"/>
                    </w:rPr>
                    <w:t>烟尘</w:t>
                  </w:r>
                </w:p>
              </w:tc>
              <w:tc>
                <w:tcPr>
                  <w:tcW w:w="1279" w:type="pct"/>
                  <w:vAlign w:val="center"/>
                </w:tcPr>
                <w:p w14:paraId="1F59AB00">
                  <w:pPr>
                    <w:adjustRightInd w:val="0"/>
                    <w:snapToGrid w:val="0"/>
                    <w:spacing w:line="320" w:lineRule="exact"/>
                    <w:jc w:val="center"/>
                    <w:rPr>
                      <w:color w:val="EE0000"/>
                      <w:szCs w:val="21"/>
                      <w:u w:val="single"/>
                    </w:rPr>
                  </w:pPr>
                  <w:r>
                    <w:rPr>
                      <w:color w:val="EE0000"/>
                      <w:szCs w:val="21"/>
                      <w:u w:val="single"/>
                    </w:rPr>
                    <w:t>2.269</w:t>
                  </w:r>
                </w:p>
              </w:tc>
              <w:tc>
                <w:tcPr>
                  <w:tcW w:w="1329" w:type="pct"/>
                  <w:vAlign w:val="center"/>
                </w:tcPr>
                <w:p w14:paraId="4E01D5FF">
                  <w:pPr>
                    <w:adjustRightInd w:val="0"/>
                    <w:snapToGrid w:val="0"/>
                    <w:spacing w:line="320" w:lineRule="exact"/>
                    <w:jc w:val="center"/>
                    <w:rPr>
                      <w:color w:val="EE0000"/>
                      <w:szCs w:val="21"/>
                      <w:u w:val="single"/>
                    </w:rPr>
                  </w:pPr>
                  <w:r>
                    <w:rPr>
                      <w:color w:val="EE0000"/>
                      <w:szCs w:val="21"/>
                      <w:u w:val="single"/>
                    </w:rPr>
                    <w:t>9.076</w:t>
                  </w:r>
                </w:p>
              </w:tc>
              <w:tc>
                <w:tcPr>
                  <w:tcW w:w="1446" w:type="pct"/>
                  <w:vAlign w:val="bottom"/>
                </w:tcPr>
                <w:p w14:paraId="179A5187">
                  <w:pPr>
                    <w:adjustRightInd w:val="0"/>
                    <w:snapToGrid w:val="0"/>
                    <w:spacing w:line="320" w:lineRule="exact"/>
                    <w:jc w:val="center"/>
                    <w:rPr>
                      <w:color w:val="EE0000"/>
                      <w:szCs w:val="21"/>
                      <w:u w:val="single"/>
                    </w:rPr>
                  </w:pPr>
                  <w:r>
                    <w:rPr>
                      <w:color w:val="EE0000"/>
                      <w:szCs w:val="21"/>
                      <w:u w:val="single"/>
                    </w:rPr>
                    <w:t>12.87</w:t>
                  </w:r>
                </w:p>
              </w:tc>
            </w:tr>
            <w:tr w14:paraId="001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pct"/>
                  <w:vAlign w:val="center"/>
                </w:tcPr>
                <w:p w14:paraId="3F47C4A4">
                  <w:pPr>
                    <w:adjustRightInd w:val="0"/>
                    <w:snapToGrid w:val="0"/>
                    <w:spacing w:line="320" w:lineRule="exact"/>
                    <w:jc w:val="center"/>
                    <w:rPr>
                      <w:color w:val="EE0000"/>
                      <w:szCs w:val="21"/>
                      <w:u w:val="single"/>
                    </w:rPr>
                  </w:pPr>
                  <w:r>
                    <w:rPr>
                      <w:color w:val="EE0000"/>
                      <w:szCs w:val="21"/>
                      <w:u w:val="single"/>
                    </w:rPr>
                    <w:t>二氧化硫</w:t>
                  </w:r>
                </w:p>
              </w:tc>
              <w:tc>
                <w:tcPr>
                  <w:tcW w:w="1279" w:type="pct"/>
                  <w:vAlign w:val="center"/>
                </w:tcPr>
                <w:p w14:paraId="3F4FB08E">
                  <w:pPr>
                    <w:adjustRightInd w:val="0"/>
                    <w:snapToGrid w:val="0"/>
                    <w:spacing w:line="320" w:lineRule="exact"/>
                    <w:jc w:val="center"/>
                    <w:rPr>
                      <w:color w:val="EE0000"/>
                      <w:szCs w:val="21"/>
                      <w:u w:val="single"/>
                    </w:rPr>
                  </w:pPr>
                  <w:r>
                    <w:rPr>
                      <w:color w:val="EE0000"/>
                      <w:kern w:val="0"/>
                      <w:szCs w:val="21"/>
                      <w:u w:val="single"/>
                    </w:rPr>
                    <w:t>21.685</w:t>
                  </w:r>
                </w:p>
              </w:tc>
              <w:tc>
                <w:tcPr>
                  <w:tcW w:w="1329" w:type="pct"/>
                  <w:vAlign w:val="center"/>
                </w:tcPr>
                <w:p w14:paraId="6F34FD6B">
                  <w:pPr>
                    <w:adjustRightInd w:val="0"/>
                    <w:snapToGrid w:val="0"/>
                    <w:spacing w:line="320" w:lineRule="exact"/>
                    <w:jc w:val="center"/>
                    <w:rPr>
                      <w:color w:val="EE0000"/>
                      <w:szCs w:val="21"/>
                      <w:u w:val="single"/>
                    </w:rPr>
                  </w:pPr>
                  <w:r>
                    <w:rPr>
                      <w:color w:val="EE0000"/>
                      <w:szCs w:val="21"/>
                      <w:u w:val="single"/>
                    </w:rPr>
                    <w:t>86.74</w:t>
                  </w:r>
                </w:p>
              </w:tc>
              <w:tc>
                <w:tcPr>
                  <w:tcW w:w="1446" w:type="pct"/>
                  <w:vAlign w:val="bottom"/>
                </w:tcPr>
                <w:p w14:paraId="723F43B9">
                  <w:pPr>
                    <w:adjustRightInd w:val="0"/>
                    <w:snapToGrid w:val="0"/>
                    <w:spacing w:line="320" w:lineRule="exact"/>
                    <w:jc w:val="center"/>
                    <w:rPr>
                      <w:color w:val="EE0000"/>
                      <w:szCs w:val="21"/>
                      <w:u w:val="single"/>
                    </w:rPr>
                  </w:pPr>
                  <w:r>
                    <w:rPr>
                      <w:color w:val="EE0000"/>
                      <w:szCs w:val="21"/>
                      <w:u w:val="single"/>
                    </w:rPr>
                    <w:t>24.39</w:t>
                  </w:r>
                </w:p>
              </w:tc>
            </w:tr>
            <w:tr w14:paraId="61A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pct"/>
                  <w:vAlign w:val="center"/>
                </w:tcPr>
                <w:p w14:paraId="65502E34">
                  <w:pPr>
                    <w:adjustRightInd w:val="0"/>
                    <w:snapToGrid w:val="0"/>
                    <w:spacing w:line="320" w:lineRule="exact"/>
                    <w:jc w:val="center"/>
                    <w:rPr>
                      <w:color w:val="EE0000"/>
                      <w:szCs w:val="21"/>
                      <w:u w:val="single"/>
                    </w:rPr>
                  </w:pPr>
                  <w:r>
                    <w:rPr>
                      <w:color w:val="EE0000"/>
                      <w:szCs w:val="21"/>
                      <w:u w:val="single"/>
                    </w:rPr>
                    <w:t>氮氧化物</w:t>
                  </w:r>
                </w:p>
              </w:tc>
              <w:tc>
                <w:tcPr>
                  <w:tcW w:w="1279" w:type="pct"/>
                  <w:vAlign w:val="center"/>
                </w:tcPr>
                <w:p w14:paraId="50096AD7">
                  <w:pPr>
                    <w:adjustRightInd w:val="0"/>
                    <w:snapToGrid w:val="0"/>
                    <w:spacing w:line="320" w:lineRule="exact"/>
                    <w:jc w:val="center"/>
                    <w:rPr>
                      <w:color w:val="EE0000"/>
                      <w:szCs w:val="21"/>
                      <w:u w:val="single"/>
                    </w:rPr>
                  </w:pPr>
                  <w:r>
                    <w:rPr>
                      <w:color w:val="EE0000"/>
                      <w:kern w:val="0"/>
                      <w:szCs w:val="21"/>
                      <w:u w:val="single"/>
                    </w:rPr>
                    <w:t>5.747</w:t>
                  </w:r>
                </w:p>
              </w:tc>
              <w:tc>
                <w:tcPr>
                  <w:tcW w:w="1329" w:type="pct"/>
                  <w:vAlign w:val="center"/>
                </w:tcPr>
                <w:p w14:paraId="14549B71">
                  <w:pPr>
                    <w:adjustRightInd w:val="0"/>
                    <w:snapToGrid w:val="0"/>
                    <w:spacing w:line="320" w:lineRule="exact"/>
                    <w:jc w:val="center"/>
                    <w:rPr>
                      <w:color w:val="EE0000"/>
                      <w:szCs w:val="21"/>
                      <w:u w:val="single"/>
                    </w:rPr>
                  </w:pPr>
                  <w:r>
                    <w:rPr>
                      <w:color w:val="EE0000"/>
                      <w:szCs w:val="21"/>
                      <w:u w:val="single"/>
                    </w:rPr>
                    <w:t>22.988</w:t>
                  </w:r>
                </w:p>
              </w:tc>
              <w:tc>
                <w:tcPr>
                  <w:tcW w:w="1446" w:type="pct"/>
                  <w:vAlign w:val="center"/>
                </w:tcPr>
                <w:p w14:paraId="6C85BCF2">
                  <w:pPr>
                    <w:adjustRightInd w:val="0"/>
                    <w:snapToGrid w:val="0"/>
                    <w:spacing w:line="320" w:lineRule="exact"/>
                    <w:jc w:val="center"/>
                    <w:rPr>
                      <w:color w:val="EE0000"/>
                      <w:szCs w:val="21"/>
                      <w:u w:val="single"/>
                    </w:rPr>
                  </w:pPr>
                  <w:r>
                    <w:rPr>
                      <w:color w:val="EE0000"/>
                      <w:szCs w:val="21"/>
                      <w:u w:val="single"/>
                    </w:rPr>
                    <w:t>/</w:t>
                  </w:r>
                </w:p>
              </w:tc>
            </w:tr>
            <w:tr w14:paraId="0E9C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pct"/>
                  <w:vAlign w:val="center"/>
                </w:tcPr>
                <w:p w14:paraId="7EFB962A">
                  <w:pPr>
                    <w:adjustRightInd w:val="0"/>
                    <w:snapToGrid w:val="0"/>
                    <w:spacing w:line="320" w:lineRule="exact"/>
                    <w:jc w:val="center"/>
                    <w:rPr>
                      <w:color w:val="EE0000"/>
                      <w:szCs w:val="21"/>
                      <w:u w:val="single"/>
                    </w:rPr>
                  </w:pPr>
                  <w:r>
                    <w:rPr>
                      <w:color w:val="EE0000"/>
                      <w:szCs w:val="21"/>
                      <w:u w:val="single"/>
                    </w:rPr>
                    <w:t>氟化物</w:t>
                  </w:r>
                </w:p>
              </w:tc>
              <w:tc>
                <w:tcPr>
                  <w:tcW w:w="1279" w:type="pct"/>
                  <w:vAlign w:val="center"/>
                </w:tcPr>
                <w:p w14:paraId="14BCC6B1">
                  <w:pPr>
                    <w:adjustRightInd w:val="0"/>
                    <w:snapToGrid w:val="0"/>
                    <w:spacing w:line="320" w:lineRule="exact"/>
                    <w:jc w:val="center"/>
                    <w:rPr>
                      <w:color w:val="EE0000"/>
                      <w:szCs w:val="21"/>
                      <w:u w:val="single"/>
                    </w:rPr>
                  </w:pPr>
                  <w:r>
                    <w:rPr>
                      <w:color w:val="EE0000"/>
                      <w:szCs w:val="21"/>
                      <w:u w:val="single"/>
                    </w:rPr>
                    <w:t>0.336</w:t>
                  </w:r>
                </w:p>
              </w:tc>
              <w:tc>
                <w:tcPr>
                  <w:tcW w:w="1329" w:type="pct"/>
                  <w:vAlign w:val="center"/>
                </w:tcPr>
                <w:p w14:paraId="291F2A7A">
                  <w:pPr>
                    <w:adjustRightInd w:val="0"/>
                    <w:snapToGrid w:val="0"/>
                    <w:spacing w:line="320" w:lineRule="exact"/>
                    <w:jc w:val="center"/>
                    <w:rPr>
                      <w:color w:val="EE0000"/>
                      <w:szCs w:val="21"/>
                      <w:u w:val="single"/>
                    </w:rPr>
                  </w:pPr>
                  <w:bookmarkStart w:id="24" w:name="_Hlk219062014"/>
                  <w:r>
                    <w:rPr>
                      <w:color w:val="EE0000"/>
                      <w:szCs w:val="21"/>
                      <w:u w:val="single"/>
                    </w:rPr>
                    <w:t>1.344</w:t>
                  </w:r>
                  <w:bookmarkEnd w:id="24"/>
                </w:p>
              </w:tc>
              <w:tc>
                <w:tcPr>
                  <w:tcW w:w="1446" w:type="pct"/>
                  <w:vAlign w:val="center"/>
                </w:tcPr>
                <w:p w14:paraId="3208972F">
                  <w:pPr>
                    <w:adjustRightInd w:val="0"/>
                    <w:snapToGrid w:val="0"/>
                    <w:spacing w:line="320" w:lineRule="exact"/>
                    <w:jc w:val="center"/>
                    <w:rPr>
                      <w:color w:val="EE0000"/>
                      <w:szCs w:val="21"/>
                      <w:u w:val="single"/>
                    </w:rPr>
                  </w:pPr>
                  <w:r>
                    <w:rPr>
                      <w:color w:val="EE0000"/>
                      <w:szCs w:val="21"/>
                      <w:u w:val="single"/>
                    </w:rPr>
                    <w:t>/</w:t>
                  </w:r>
                </w:p>
              </w:tc>
            </w:tr>
          </w:tbl>
          <w:p w14:paraId="2EC32273">
            <w:pPr>
              <w:jc w:val="left"/>
              <w:rPr>
                <w:rFonts w:eastAsiaTheme="minorEastAsia"/>
                <w:b/>
                <w:bCs/>
                <w:color w:val="EE0000"/>
                <w:szCs w:val="21"/>
                <w:u w:val="single"/>
              </w:rPr>
            </w:pPr>
            <w:r>
              <w:rPr>
                <w:rFonts w:eastAsiaTheme="minorEastAsia"/>
                <w:b/>
                <w:bCs/>
                <w:color w:val="EE0000"/>
                <w:szCs w:val="21"/>
                <w:u w:val="single"/>
              </w:rPr>
              <w:t>备注：</w:t>
            </w:r>
          </w:p>
          <w:p w14:paraId="0F0D54DF">
            <w:pPr>
              <w:jc w:val="left"/>
              <w:rPr>
                <w:rFonts w:eastAsiaTheme="minorEastAsia"/>
                <w:color w:val="EE0000"/>
                <w:szCs w:val="21"/>
                <w:u w:val="single"/>
              </w:rPr>
            </w:pPr>
            <w:r>
              <w:rPr>
                <w:rFonts w:eastAsiaTheme="minorEastAsia"/>
                <w:color w:val="EE0000"/>
                <w:szCs w:val="21"/>
                <w:u w:val="single"/>
              </w:rPr>
              <w:fldChar w:fldCharType="begin"/>
            </w:r>
            <w:r>
              <w:rPr>
                <w:rFonts w:eastAsiaTheme="minorEastAsia"/>
                <w:color w:val="EE0000"/>
                <w:szCs w:val="21"/>
                <w:u w:val="single"/>
              </w:rPr>
              <w:instrText xml:space="preserve"> = 1 \* GB3 </w:instrText>
            </w:r>
            <w:r>
              <w:rPr>
                <w:rFonts w:eastAsiaTheme="minorEastAsia"/>
                <w:color w:val="EE0000"/>
                <w:szCs w:val="21"/>
                <w:u w:val="single"/>
              </w:rPr>
              <w:fldChar w:fldCharType="separate"/>
            </w:r>
            <w:r>
              <w:rPr>
                <w:rFonts w:ascii="Cambria Math" w:hAnsi="Cambria Math" w:cs="Cambria Math" w:eastAsiaTheme="minorEastAsia"/>
                <w:color w:val="EE0000"/>
                <w:szCs w:val="21"/>
                <w:u w:val="single"/>
              </w:rPr>
              <w:t>①</w:t>
            </w:r>
            <w:r>
              <w:rPr>
                <w:rFonts w:eastAsiaTheme="minorEastAsia"/>
                <w:color w:val="EE0000"/>
                <w:szCs w:val="21"/>
                <w:u w:val="single"/>
              </w:rPr>
              <w:fldChar w:fldCharType="end"/>
            </w:r>
            <w:r>
              <w:rPr>
                <w:rFonts w:eastAsiaTheme="minorEastAsia"/>
                <w:color w:val="EE0000"/>
                <w:szCs w:val="21"/>
                <w:u w:val="single"/>
              </w:rPr>
              <w:t>2021年1月~3月份、12月份企业均为停产状态，窑炉烟气中颗粒物、二氧化硫、氮氧化物排放量数据引用烟气排放连续监测月平均值年报表中年排放总量数据，为2021年4月~11月排放量数据求和；</w:t>
            </w:r>
          </w:p>
          <w:p w14:paraId="0D7DA03E">
            <w:pPr>
              <w:jc w:val="left"/>
              <w:rPr>
                <w:rFonts w:eastAsiaTheme="minorEastAsia"/>
                <w:color w:val="EE0000"/>
                <w:szCs w:val="21"/>
                <w:u w:val="single"/>
              </w:rPr>
            </w:pPr>
            <w:r>
              <w:rPr>
                <w:rFonts w:eastAsiaTheme="minorEastAsia"/>
                <w:color w:val="EE0000"/>
                <w:szCs w:val="21"/>
                <w:u w:val="single"/>
              </w:rPr>
              <w:fldChar w:fldCharType="begin"/>
            </w:r>
            <w:r>
              <w:rPr>
                <w:rFonts w:eastAsiaTheme="minorEastAsia"/>
                <w:color w:val="EE0000"/>
                <w:szCs w:val="21"/>
                <w:u w:val="single"/>
              </w:rPr>
              <w:instrText xml:space="preserve"> = 2 \* GB3 </w:instrText>
            </w:r>
            <w:r>
              <w:rPr>
                <w:rFonts w:eastAsiaTheme="minorEastAsia"/>
                <w:color w:val="EE0000"/>
                <w:szCs w:val="21"/>
                <w:u w:val="single"/>
              </w:rPr>
              <w:fldChar w:fldCharType="separate"/>
            </w:r>
            <w:r>
              <w:rPr>
                <w:rFonts w:ascii="Cambria Math" w:hAnsi="Cambria Math" w:cs="Cambria Math" w:eastAsiaTheme="minorEastAsia"/>
                <w:color w:val="EE0000"/>
                <w:szCs w:val="21"/>
                <w:u w:val="single"/>
              </w:rPr>
              <w:t>②</w:t>
            </w:r>
            <w:r>
              <w:rPr>
                <w:rFonts w:eastAsiaTheme="minorEastAsia"/>
                <w:color w:val="EE0000"/>
                <w:szCs w:val="21"/>
                <w:u w:val="single"/>
              </w:rPr>
              <w:fldChar w:fldCharType="end"/>
            </w:r>
            <w:r>
              <w:rPr>
                <w:rFonts w:eastAsiaTheme="minorEastAsia"/>
                <w:color w:val="EE0000"/>
                <w:szCs w:val="21"/>
                <w:u w:val="single"/>
              </w:rPr>
              <w:t>根据企业提供的生产数据，2025年9月~11月企业实际运行天数为200d，总产量约为1500万块折标砖。</w:t>
            </w:r>
          </w:p>
          <w:p w14:paraId="27792AF7">
            <w:pPr>
              <w:jc w:val="left"/>
              <w:rPr>
                <w:rFonts w:eastAsiaTheme="minorEastAsia"/>
                <w:color w:val="EE0000"/>
                <w:szCs w:val="21"/>
                <w:u w:val="single"/>
              </w:rPr>
            </w:pPr>
            <w:r>
              <w:rPr>
                <w:rFonts w:eastAsiaTheme="minorEastAsia"/>
                <w:color w:val="EE0000"/>
                <w:szCs w:val="21"/>
                <w:u w:val="single"/>
              </w:rPr>
              <w:fldChar w:fldCharType="begin"/>
            </w:r>
            <w:r>
              <w:rPr>
                <w:rFonts w:eastAsiaTheme="minorEastAsia"/>
                <w:color w:val="EE0000"/>
                <w:szCs w:val="21"/>
                <w:u w:val="single"/>
              </w:rPr>
              <w:instrText xml:space="preserve"> = 3 \* GB3 </w:instrText>
            </w:r>
            <w:r>
              <w:rPr>
                <w:rFonts w:eastAsiaTheme="minorEastAsia"/>
                <w:color w:val="EE0000"/>
                <w:szCs w:val="21"/>
                <w:u w:val="single"/>
              </w:rPr>
              <w:fldChar w:fldCharType="separate"/>
            </w:r>
            <w:r>
              <w:rPr>
                <w:rFonts w:ascii="Cambria Math" w:hAnsi="Cambria Math" w:cs="Cambria Math" w:eastAsiaTheme="minorEastAsia"/>
                <w:color w:val="EE0000"/>
                <w:szCs w:val="21"/>
                <w:u w:val="single"/>
              </w:rPr>
              <w:t>③</w:t>
            </w:r>
            <w:r>
              <w:rPr>
                <w:rFonts w:eastAsiaTheme="minorEastAsia"/>
                <w:color w:val="EE0000"/>
                <w:szCs w:val="21"/>
                <w:u w:val="single"/>
              </w:rPr>
              <w:fldChar w:fldCharType="end"/>
            </w:r>
            <w:r>
              <w:rPr>
                <w:rFonts w:eastAsiaTheme="minorEastAsia"/>
                <w:color w:val="EE0000"/>
                <w:szCs w:val="21"/>
                <w:u w:val="single"/>
              </w:rPr>
              <w:t>破碎、筛分工段颗粒物、窑炉烟气氟化物采用2021年7月手工检测数据折算，运行时间取2021年企业实际正常运行时间：2025年4月~11月约200d。</w:t>
            </w:r>
          </w:p>
          <w:p w14:paraId="109E1114">
            <w:pPr>
              <w:adjustRightInd w:val="0"/>
              <w:snapToGrid w:val="0"/>
              <w:spacing w:line="520" w:lineRule="exact"/>
              <w:ind w:firstLine="480" w:firstLineChars="200"/>
              <w:rPr>
                <w:bCs/>
                <w:color w:val="EE0000"/>
                <w:sz w:val="24"/>
                <w:szCs w:val="21"/>
                <w:u w:val="single"/>
              </w:rPr>
            </w:pPr>
            <w:r>
              <w:rPr>
                <w:bCs/>
                <w:color w:val="EE0000"/>
                <w:sz w:val="24"/>
                <w:szCs w:val="21"/>
                <w:u w:val="single"/>
              </w:rPr>
              <w:t>（3）现有工程废气污染物排放总量汇总</w:t>
            </w:r>
          </w:p>
          <w:p w14:paraId="3B00B562">
            <w:pPr>
              <w:adjustRightInd w:val="0"/>
              <w:snapToGrid w:val="0"/>
              <w:spacing w:line="520" w:lineRule="exact"/>
              <w:ind w:firstLine="480" w:firstLineChars="200"/>
              <w:jc w:val="center"/>
              <w:rPr>
                <w:rFonts w:eastAsia="黑体"/>
                <w:snapToGrid w:val="0"/>
                <w:color w:val="EE0000"/>
                <w:kern w:val="0"/>
                <w:sz w:val="24"/>
                <w:u w:val="single"/>
              </w:rPr>
            </w:pPr>
            <w:r>
              <w:rPr>
                <w:rFonts w:eastAsia="黑体"/>
                <w:snapToGrid w:val="0"/>
                <w:color w:val="EE0000"/>
                <w:kern w:val="0"/>
                <w:sz w:val="24"/>
                <w:u w:val="single"/>
              </w:rPr>
              <w:t>表2-24       现有工程废气污染物排放总量汇总（满负荷工况下）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981"/>
              <w:gridCol w:w="1981"/>
              <w:gridCol w:w="1555"/>
              <w:gridCol w:w="1744"/>
            </w:tblGrid>
            <w:tr w14:paraId="0B5B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7" w:type="pct"/>
                  <w:vAlign w:val="center"/>
                </w:tcPr>
                <w:p w14:paraId="0ED34C4A">
                  <w:pPr>
                    <w:adjustRightInd w:val="0"/>
                    <w:snapToGrid w:val="0"/>
                    <w:spacing w:line="320" w:lineRule="exact"/>
                    <w:jc w:val="center"/>
                    <w:rPr>
                      <w:color w:val="EE0000"/>
                      <w:szCs w:val="21"/>
                      <w:u w:val="single"/>
                    </w:rPr>
                  </w:pPr>
                  <w:r>
                    <w:rPr>
                      <w:color w:val="EE0000"/>
                      <w:szCs w:val="21"/>
                      <w:u w:val="single"/>
                    </w:rPr>
                    <w:t>项目</w:t>
                  </w:r>
                </w:p>
              </w:tc>
              <w:tc>
                <w:tcPr>
                  <w:tcW w:w="1171" w:type="pct"/>
                  <w:vAlign w:val="center"/>
                </w:tcPr>
                <w:p w14:paraId="5B22733F">
                  <w:pPr>
                    <w:adjustRightInd w:val="0"/>
                    <w:snapToGrid w:val="0"/>
                    <w:spacing w:line="320" w:lineRule="exact"/>
                    <w:jc w:val="center"/>
                    <w:rPr>
                      <w:color w:val="EE0000"/>
                      <w:szCs w:val="21"/>
                      <w:u w:val="single"/>
                    </w:rPr>
                  </w:pPr>
                  <w:r>
                    <w:rPr>
                      <w:color w:val="EE0000"/>
                      <w:szCs w:val="21"/>
                      <w:u w:val="single"/>
                    </w:rPr>
                    <w:t>三兴建材废气污染物排放量（t/a）</w:t>
                  </w:r>
                </w:p>
              </w:tc>
              <w:tc>
                <w:tcPr>
                  <w:tcW w:w="1171" w:type="pct"/>
                  <w:vAlign w:val="center"/>
                </w:tcPr>
                <w:p w14:paraId="53AC12D9">
                  <w:pPr>
                    <w:adjustRightInd w:val="0"/>
                    <w:snapToGrid w:val="0"/>
                    <w:spacing w:line="320" w:lineRule="exact"/>
                    <w:jc w:val="center"/>
                    <w:rPr>
                      <w:color w:val="EE0000"/>
                      <w:szCs w:val="21"/>
                      <w:u w:val="single"/>
                    </w:rPr>
                  </w:pPr>
                  <w:r>
                    <w:rPr>
                      <w:color w:val="EE0000"/>
                      <w:szCs w:val="21"/>
                      <w:u w:val="single"/>
                    </w:rPr>
                    <w:t>六和建材废气污染物排放量（t/a）</w:t>
                  </w:r>
                </w:p>
              </w:tc>
              <w:tc>
                <w:tcPr>
                  <w:tcW w:w="919" w:type="pct"/>
                  <w:vAlign w:val="center"/>
                </w:tcPr>
                <w:p w14:paraId="0012809F">
                  <w:pPr>
                    <w:adjustRightInd w:val="0"/>
                    <w:snapToGrid w:val="0"/>
                    <w:spacing w:line="320" w:lineRule="exact"/>
                    <w:jc w:val="center"/>
                    <w:rPr>
                      <w:color w:val="EE0000"/>
                      <w:szCs w:val="21"/>
                      <w:u w:val="single"/>
                    </w:rPr>
                  </w:pPr>
                  <w:r>
                    <w:rPr>
                      <w:color w:val="EE0000"/>
                      <w:szCs w:val="21"/>
                      <w:u w:val="single"/>
                    </w:rPr>
                    <w:t>废气污染物排放总量（t/a）</w:t>
                  </w:r>
                </w:p>
              </w:tc>
              <w:tc>
                <w:tcPr>
                  <w:tcW w:w="1031" w:type="pct"/>
                  <w:vAlign w:val="center"/>
                </w:tcPr>
                <w:p w14:paraId="739DECEE">
                  <w:pPr>
                    <w:adjustRightInd w:val="0"/>
                    <w:snapToGrid w:val="0"/>
                    <w:spacing w:line="320" w:lineRule="exact"/>
                    <w:jc w:val="center"/>
                    <w:rPr>
                      <w:color w:val="EE0000"/>
                      <w:szCs w:val="21"/>
                      <w:u w:val="single"/>
                    </w:rPr>
                  </w:pPr>
                  <w:r>
                    <w:rPr>
                      <w:color w:val="EE0000"/>
                      <w:szCs w:val="21"/>
                      <w:u w:val="single"/>
                    </w:rPr>
                    <w:t>废气污染物排放核定总量（t/a）</w:t>
                  </w:r>
                </w:p>
              </w:tc>
            </w:tr>
            <w:tr w14:paraId="5D72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7" w:type="pct"/>
                  <w:vAlign w:val="center"/>
                </w:tcPr>
                <w:p w14:paraId="6173BEA6">
                  <w:pPr>
                    <w:adjustRightInd w:val="0"/>
                    <w:snapToGrid w:val="0"/>
                    <w:spacing w:line="320" w:lineRule="exact"/>
                    <w:jc w:val="center"/>
                    <w:rPr>
                      <w:color w:val="EE0000"/>
                      <w:szCs w:val="21"/>
                      <w:u w:val="single"/>
                    </w:rPr>
                  </w:pPr>
                  <w:r>
                    <w:rPr>
                      <w:color w:val="EE0000"/>
                      <w:szCs w:val="21"/>
                      <w:u w:val="single"/>
                    </w:rPr>
                    <w:t>粉尘</w:t>
                  </w:r>
                </w:p>
              </w:tc>
              <w:tc>
                <w:tcPr>
                  <w:tcW w:w="1171" w:type="pct"/>
                  <w:vAlign w:val="center"/>
                </w:tcPr>
                <w:p w14:paraId="3065E216">
                  <w:pPr>
                    <w:adjustRightInd w:val="0"/>
                    <w:snapToGrid w:val="0"/>
                    <w:spacing w:line="320" w:lineRule="exact"/>
                    <w:jc w:val="center"/>
                    <w:rPr>
                      <w:color w:val="EE0000"/>
                      <w:szCs w:val="21"/>
                      <w:u w:val="single"/>
                    </w:rPr>
                  </w:pPr>
                  <w:r>
                    <w:rPr>
                      <w:color w:val="EE0000"/>
                      <w:szCs w:val="21"/>
                      <w:u w:val="single"/>
                    </w:rPr>
                    <w:t>1.8604</w:t>
                  </w:r>
                </w:p>
              </w:tc>
              <w:tc>
                <w:tcPr>
                  <w:tcW w:w="1171" w:type="pct"/>
                  <w:vAlign w:val="center"/>
                </w:tcPr>
                <w:p w14:paraId="4F9F4287">
                  <w:pPr>
                    <w:adjustRightInd w:val="0"/>
                    <w:snapToGrid w:val="0"/>
                    <w:spacing w:line="320" w:lineRule="exact"/>
                    <w:jc w:val="center"/>
                    <w:rPr>
                      <w:color w:val="EE0000"/>
                      <w:szCs w:val="21"/>
                      <w:u w:val="single"/>
                    </w:rPr>
                  </w:pPr>
                  <w:r>
                    <w:rPr>
                      <w:color w:val="EE0000"/>
                      <w:szCs w:val="21"/>
                      <w:u w:val="single"/>
                    </w:rPr>
                    <w:t>3.456</w:t>
                  </w:r>
                </w:p>
              </w:tc>
              <w:tc>
                <w:tcPr>
                  <w:tcW w:w="919" w:type="pct"/>
                </w:tcPr>
                <w:p w14:paraId="2BC81B66">
                  <w:pPr>
                    <w:adjustRightInd w:val="0"/>
                    <w:snapToGrid w:val="0"/>
                    <w:spacing w:line="320" w:lineRule="exact"/>
                    <w:jc w:val="center"/>
                    <w:rPr>
                      <w:color w:val="EE0000"/>
                      <w:szCs w:val="21"/>
                      <w:u w:val="single"/>
                    </w:rPr>
                  </w:pPr>
                  <w:r>
                    <w:rPr>
                      <w:color w:val="EE0000"/>
                      <w:szCs w:val="21"/>
                      <w:u w:val="single"/>
                    </w:rPr>
                    <w:t>5.3164</w:t>
                  </w:r>
                </w:p>
              </w:tc>
              <w:tc>
                <w:tcPr>
                  <w:tcW w:w="1031" w:type="pct"/>
                  <w:vAlign w:val="center"/>
                </w:tcPr>
                <w:p w14:paraId="36CFD02D">
                  <w:pPr>
                    <w:adjustRightInd w:val="0"/>
                    <w:snapToGrid w:val="0"/>
                    <w:spacing w:line="320" w:lineRule="exact"/>
                    <w:jc w:val="center"/>
                    <w:rPr>
                      <w:color w:val="EE0000"/>
                      <w:szCs w:val="21"/>
                      <w:u w:val="single"/>
                    </w:rPr>
                  </w:pPr>
                  <w:r>
                    <w:rPr>
                      <w:color w:val="EE0000"/>
                      <w:szCs w:val="21"/>
                      <w:u w:val="single"/>
                    </w:rPr>
                    <w:t>21.66</w:t>
                  </w:r>
                </w:p>
              </w:tc>
            </w:tr>
            <w:tr w14:paraId="3516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07" w:type="pct"/>
                  <w:vAlign w:val="center"/>
                </w:tcPr>
                <w:p w14:paraId="62EAFE45">
                  <w:pPr>
                    <w:adjustRightInd w:val="0"/>
                    <w:snapToGrid w:val="0"/>
                    <w:spacing w:line="320" w:lineRule="exact"/>
                    <w:jc w:val="center"/>
                    <w:rPr>
                      <w:color w:val="EE0000"/>
                      <w:szCs w:val="21"/>
                      <w:u w:val="single"/>
                    </w:rPr>
                  </w:pPr>
                  <w:r>
                    <w:rPr>
                      <w:color w:val="EE0000"/>
                      <w:szCs w:val="21"/>
                      <w:u w:val="single"/>
                    </w:rPr>
                    <w:t>烟尘</w:t>
                  </w:r>
                </w:p>
              </w:tc>
              <w:tc>
                <w:tcPr>
                  <w:tcW w:w="1171" w:type="pct"/>
                  <w:vAlign w:val="center"/>
                </w:tcPr>
                <w:p w14:paraId="6C299746">
                  <w:pPr>
                    <w:adjustRightInd w:val="0"/>
                    <w:snapToGrid w:val="0"/>
                    <w:spacing w:line="320" w:lineRule="exact"/>
                    <w:jc w:val="center"/>
                    <w:rPr>
                      <w:color w:val="EE0000"/>
                      <w:szCs w:val="21"/>
                      <w:u w:val="single"/>
                    </w:rPr>
                  </w:pPr>
                  <w:r>
                    <w:rPr>
                      <w:color w:val="EE0000"/>
                      <w:szCs w:val="21"/>
                      <w:u w:val="single"/>
                    </w:rPr>
                    <w:t>3.7138</w:t>
                  </w:r>
                </w:p>
              </w:tc>
              <w:tc>
                <w:tcPr>
                  <w:tcW w:w="1171" w:type="pct"/>
                  <w:vAlign w:val="center"/>
                </w:tcPr>
                <w:p w14:paraId="129D3C16">
                  <w:pPr>
                    <w:adjustRightInd w:val="0"/>
                    <w:snapToGrid w:val="0"/>
                    <w:spacing w:line="320" w:lineRule="exact"/>
                    <w:jc w:val="center"/>
                    <w:rPr>
                      <w:color w:val="EE0000"/>
                      <w:szCs w:val="21"/>
                      <w:u w:val="single"/>
                    </w:rPr>
                  </w:pPr>
                  <w:r>
                    <w:rPr>
                      <w:color w:val="EE0000"/>
                      <w:szCs w:val="21"/>
                      <w:u w:val="single"/>
                    </w:rPr>
                    <w:t>9.076</w:t>
                  </w:r>
                </w:p>
              </w:tc>
              <w:tc>
                <w:tcPr>
                  <w:tcW w:w="919" w:type="pct"/>
                </w:tcPr>
                <w:p w14:paraId="1794418E">
                  <w:pPr>
                    <w:adjustRightInd w:val="0"/>
                    <w:snapToGrid w:val="0"/>
                    <w:spacing w:line="320" w:lineRule="exact"/>
                    <w:jc w:val="center"/>
                    <w:rPr>
                      <w:color w:val="EE0000"/>
                      <w:szCs w:val="21"/>
                      <w:u w:val="single"/>
                    </w:rPr>
                  </w:pPr>
                  <w:r>
                    <w:rPr>
                      <w:color w:val="EE0000"/>
                      <w:szCs w:val="21"/>
                      <w:u w:val="single"/>
                    </w:rPr>
                    <w:t>12.7898</w:t>
                  </w:r>
                </w:p>
              </w:tc>
              <w:tc>
                <w:tcPr>
                  <w:tcW w:w="1031" w:type="pct"/>
                  <w:vAlign w:val="center"/>
                </w:tcPr>
                <w:p w14:paraId="27169BD6">
                  <w:pPr>
                    <w:adjustRightInd w:val="0"/>
                    <w:snapToGrid w:val="0"/>
                    <w:spacing w:line="320" w:lineRule="exact"/>
                    <w:jc w:val="center"/>
                    <w:rPr>
                      <w:color w:val="EE0000"/>
                      <w:szCs w:val="21"/>
                      <w:u w:val="single"/>
                    </w:rPr>
                  </w:pPr>
                  <w:r>
                    <w:rPr>
                      <w:color w:val="EE0000"/>
                      <w:szCs w:val="21"/>
                      <w:u w:val="single"/>
                    </w:rPr>
                    <w:t>24.75</w:t>
                  </w:r>
                </w:p>
              </w:tc>
            </w:tr>
            <w:tr w14:paraId="5EA3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Align w:val="center"/>
                </w:tcPr>
                <w:p w14:paraId="5C48DB07">
                  <w:pPr>
                    <w:adjustRightInd w:val="0"/>
                    <w:snapToGrid w:val="0"/>
                    <w:spacing w:line="320" w:lineRule="exact"/>
                    <w:jc w:val="center"/>
                    <w:rPr>
                      <w:color w:val="EE0000"/>
                      <w:szCs w:val="21"/>
                      <w:u w:val="single"/>
                    </w:rPr>
                  </w:pPr>
                  <w:r>
                    <w:rPr>
                      <w:color w:val="EE0000"/>
                      <w:szCs w:val="21"/>
                      <w:u w:val="single"/>
                    </w:rPr>
                    <w:t>二氧化硫</w:t>
                  </w:r>
                </w:p>
              </w:tc>
              <w:tc>
                <w:tcPr>
                  <w:tcW w:w="1171" w:type="pct"/>
                  <w:vAlign w:val="center"/>
                </w:tcPr>
                <w:p w14:paraId="7207954C">
                  <w:pPr>
                    <w:adjustRightInd w:val="0"/>
                    <w:snapToGrid w:val="0"/>
                    <w:spacing w:line="320" w:lineRule="exact"/>
                    <w:jc w:val="center"/>
                    <w:rPr>
                      <w:color w:val="EE0000"/>
                      <w:szCs w:val="21"/>
                      <w:u w:val="single"/>
                    </w:rPr>
                  </w:pPr>
                  <w:r>
                    <w:rPr>
                      <w:color w:val="EE0000"/>
                      <w:szCs w:val="21"/>
                      <w:u w:val="single"/>
                    </w:rPr>
                    <w:t>22.6144</w:t>
                  </w:r>
                </w:p>
              </w:tc>
              <w:tc>
                <w:tcPr>
                  <w:tcW w:w="1171" w:type="pct"/>
                  <w:vAlign w:val="center"/>
                </w:tcPr>
                <w:p w14:paraId="27F78B2F">
                  <w:pPr>
                    <w:adjustRightInd w:val="0"/>
                    <w:snapToGrid w:val="0"/>
                    <w:spacing w:line="320" w:lineRule="exact"/>
                    <w:jc w:val="center"/>
                    <w:rPr>
                      <w:color w:val="EE0000"/>
                      <w:szCs w:val="21"/>
                      <w:u w:val="single"/>
                    </w:rPr>
                  </w:pPr>
                  <w:r>
                    <w:rPr>
                      <w:color w:val="EE0000"/>
                      <w:szCs w:val="21"/>
                      <w:u w:val="single"/>
                    </w:rPr>
                    <w:t>86.74</w:t>
                  </w:r>
                </w:p>
              </w:tc>
              <w:tc>
                <w:tcPr>
                  <w:tcW w:w="919" w:type="pct"/>
                </w:tcPr>
                <w:p w14:paraId="0EF35A0E">
                  <w:pPr>
                    <w:adjustRightInd w:val="0"/>
                    <w:snapToGrid w:val="0"/>
                    <w:spacing w:line="320" w:lineRule="exact"/>
                    <w:jc w:val="center"/>
                    <w:rPr>
                      <w:color w:val="EE0000"/>
                      <w:szCs w:val="21"/>
                      <w:u w:val="single"/>
                    </w:rPr>
                  </w:pPr>
                  <w:r>
                    <w:rPr>
                      <w:color w:val="EE0000"/>
                      <w:szCs w:val="21"/>
                      <w:u w:val="single"/>
                    </w:rPr>
                    <w:t>109.3544</w:t>
                  </w:r>
                </w:p>
              </w:tc>
              <w:tc>
                <w:tcPr>
                  <w:tcW w:w="1031" w:type="pct"/>
                  <w:vAlign w:val="center"/>
                </w:tcPr>
                <w:p w14:paraId="15E6FB72">
                  <w:pPr>
                    <w:adjustRightInd w:val="0"/>
                    <w:snapToGrid w:val="0"/>
                    <w:spacing w:line="320" w:lineRule="exact"/>
                    <w:jc w:val="center"/>
                    <w:rPr>
                      <w:color w:val="EE0000"/>
                      <w:szCs w:val="21"/>
                      <w:u w:val="single"/>
                    </w:rPr>
                  </w:pPr>
                  <w:r>
                    <w:rPr>
                      <w:color w:val="EE0000"/>
                      <w:szCs w:val="21"/>
                      <w:u w:val="single"/>
                    </w:rPr>
                    <w:t>74.29</w:t>
                  </w:r>
                </w:p>
              </w:tc>
            </w:tr>
            <w:tr w14:paraId="425E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Align w:val="center"/>
                </w:tcPr>
                <w:p w14:paraId="38CA8CE5">
                  <w:pPr>
                    <w:adjustRightInd w:val="0"/>
                    <w:snapToGrid w:val="0"/>
                    <w:spacing w:line="320" w:lineRule="exact"/>
                    <w:jc w:val="center"/>
                    <w:rPr>
                      <w:color w:val="EE0000"/>
                      <w:szCs w:val="21"/>
                      <w:u w:val="single"/>
                    </w:rPr>
                  </w:pPr>
                  <w:r>
                    <w:rPr>
                      <w:color w:val="EE0000"/>
                      <w:szCs w:val="21"/>
                      <w:u w:val="single"/>
                    </w:rPr>
                    <w:t>氮氧化物</w:t>
                  </w:r>
                </w:p>
              </w:tc>
              <w:tc>
                <w:tcPr>
                  <w:tcW w:w="1171" w:type="pct"/>
                  <w:vAlign w:val="center"/>
                </w:tcPr>
                <w:p w14:paraId="4D8BF4E6">
                  <w:pPr>
                    <w:adjustRightInd w:val="0"/>
                    <w:snapToGrid w:val="0"/>
                    <w:spacing w:line="320" w:lineRule="exact"/>
                    <w:jc w:val="center"/>
                    <w:rPr>
                      <w:color w:val="EE0000"/>
                      <w:szCs w:val="21"/>
                      <w:u w:val="single"/>
                    </w:rPr>
                  </w:pPr>
                  <w:r>
                    <w:rPr>
                      <w:color w:val="EE0000"/>
                      <w:szCs w:val="21"/>
                      <w:u w:val="single"/>
                    </w:rPr>
                    <w:t>28.552</w:t>
                  </w:r>
                </w:p>
              </w:tc>
              <w:tc>
                <w:tcPr>
                  <w:tcW w:w="1171" w:type="pct"/>
                  <w:vAlign w:val="center"/>
                </w:tcPr>
                <w:p w14:paraId="0D3EEEE1">
                  <w:pPr>
                    <w:adjustRightInd w:val="0"/>
                    <w:snapToGrid w:val="0"/>
                    <w:spacing w:line="320" w:lineRule="exact"/>
                    <w:jc w:val="center"/>
                    <w:rPr>
                      <w:color w:val="EE0000"/>
                      <w:szCs w:val="21"/>
                      <w:u w:val="single"/>
                    </w:rPr>
                  </w:pPr>
                  <w:r>
                    <w:rPr>
                      <w:color w:val="EE0000"/>
                      <w:szCs w:val="21"/>
                      <w:u w:val="single"/>
                    </w:rPr>
                    <w:t>22.988</w:t>
                  </w:r>
                </w:p>
              </w:tc>
              <w:tc>
                <w:tcPr>
                  <w:tcW w:w="919" w:type="pct"/>
                </w:tcPr>
                <w:p w14:paraId="2F0343D7">
                  <w:pPr>
                    <w:adjustRightInd w:val="0"/>
                    <w:snapToGrid w:val="0"/>
                    <w:spacing w:line="320" w:lineRule="exact"/>
                    <w:jc w:val="center"/>
                    <w:rPr>
                      <w:color w:val="EE0000"/>
                      <w:szCs w:val="21"/>
                      <w:u w:val="single"/>
                    </w:rPr>
                  </w:pPr>
                  <w:r>
                    <w:rPr>
                      <w:color w:val="EE0000"/>
                      <w:szCs w:val="21"/>
                      <w:u w:val="single"/>
                    </w:rPr>
                    <w:t>51.54</w:t>
                  </w:r>
                </w:p>
              </w:tc>
              <w:tc>
                <w:tcPr>
                  <w:tcW w:w="1031" w:type="pct"/>
                  <w:vAlign w:val="center"/>
                </w:tcPr>
                <w:p w14:paraId="5E0786C2">
                  <w:pPr>
                    <w:adjustRightInd w:val="0"/>
                    <w:snapToGrid w:val="0"/>
                    <w:spacing w:line="320" w:lineRule="exact"/>
                    <w:jc w:val="center"/>
                    <w:rPr>
                      <w:color w:val="EE0000"/>
                      <w:szCs w:val="21"/>
                      <w:u w:val="single"/>
                    </w:rPr>
                  </w:pPr>
                  <w:r>
                    <w:rPr>
                      <w:color w:val="EE0000"/>
                      <w:szCs w:val="21"/>
                      <w:u w:val="single"/>
                    </w:rPr>
                    <w:t>/</w:t>
                  </w:r>
                </w:p>
              </w:tc>
            </w:tr>
            <w:tr w14:paraId="31C0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pct"/>
                  <w:vAlign w:val="center"/>
                </w:tcPr>
                <w:p w14:paraId="4CDBCDB0">
                  <w:pPr>
                    <w:adjustRightInd w:val="0"/>
                    <w:snapToGrid w:val="0"/>
                    <w:spacing w:line="320" w:lineRule="exact"/>
                    <w:jc w:val="center"/>
                    <w:rPr>
                      <w:color w:val="EE0000"/>
                      <w:szCs w:val="21"/>
                      <w:u w:val="single"/>
                    </w:rPr>
                  </w:pPr>
                  <w:r>
                    <w:rPr>
                      <w:color w:val="EE0000"/>
                      <w:szCs w:val="21"/>
                      <w:u w:val="single"/>
                    </w:rPr>
                    <w:t>氟化物</w:t>
                  </w:r>
                </w:p>
              </w:tc>
              <w:tc>
                <w:tcPr>
                  <w:tcW w:w="1171" w:type="pct"/>
                  <w:vAlign w:val="center"/>
                </w:tcPr>
                <w:p w14:paraId="276EACEF">
                  <w:pPr>
                    <w:adjustRightInd w:val="0"/>
                    <w:snapToGrid w:val="0"/>
                    <w:spacing w:line="320" w:lineRule="exact"/>
                    <w:jc w:val="center"/>
                    <w:rPr>
                      <w:color w:val="EE0000"/>
                      <w:szCs w:val="21"/>
                      <w:u w:val="single"/>
                    </w:rPr>
                  </w:pPr>
                  <w:r>
                    <w:rPr>
                      <w:color w:val="EE0000"/>
                      <w:szCs w:val="21"/>
                      <w:u w:val="single"/>
                    </w:rPr>
                    <w:t>0.03228</w:t>
                  </w:r>
                </w:p>
              </w:tc>
              <w:tc>
                <w:tcPr>
                  <w:tcW w:w="1171" w:type="pct"/>
                  <w:vAlign w:val="center"/>
                </w:tcPr>
                <w:p w14:paraId="5BED180D">
                  <w:pPr>
                    <w:adjustRightInd w:val="0"/>
                    <w:snapToGrid w:val="0"/>
                    <w:spacing w:line="320" w:lineRule="exact"/>
                    <w:jc w:val="center"/>
                    <w:rPr>
                      <w:color w:val="EE0000"/>
                      <w:szCs w:val="21"/>
                      <w:u w:val="single"/>
                    </w:rPr>
                  </w:pPr>
                  <w:r>
                    <w:rPr>
                      <w:color w:val="EE0000"/>
                      <w:szCs w:val="21"/>
                      <w:u w:val="single"/>
                    </w:rPr>
                    <w:t>1.344</w:t>
                  </w:r>
                </w:p>
              </w:tc>
              <w:tc>
                <w:tcPr>
                  <w:tcW w:w="919" w:type="pct"/>
                </w:tcPr>
                <w:p w14:paraId="75A1F12F">
                  <w:pPr>
                    <w:adjustRightInd w:val="0"/>
                    <w:snapToGrid w:val="0"/>
                    <w:spacing w:line="320" w:lineRule="exact"/>
                    <w:jc w:val="center"/>
                    <w:rPr>
                      <w:color w:val="EE0000"/>
                      <w:szCs w:val="21"/>
                      <w:u w:val="single"/>
                    </w:rPr>
                  </w:pPr>
                  <w:r>
                    <w:rPr>
                      <w:color w:val="EE0000"/>
                      <w:szCs w:val="21"/>
                      <w:u w:val="single"/>
                    </w:rPr>
                    <w:t>1.376</w:t>
                  </w:r>
                  <w:r>
                    <w:rPr>
                      <w:rFonts w:hint="eastAsia"/>
                      <w:color w:val="EE0000"/>
                      <w:szCs w:val="21"/>
                      <w:u w:val="single"/>
                    </w:rPr>
                    <w:t>3</w:t>
                  </w:r>
                </w:p>
              </w:tc>
              <w:tc>
                <w:tcPr>
                  <w:tcW w:w="1031" w:type="pct"/>
                  <w:vAlign w:val="center"/>
                </w:tcPr>
                <w:p w14:paraId="12033B21">
                  <w:pPr>
                    <w:adjustRightInd w:val="0"/>
                    <w:snapToGrid w:val="0"/>
                    <w:spacing w:line="320" w:lineRule="exact"/>
                    <w:jc w:val="center"/>
                    <w:rPr>
                      <w:color w:val="EE0000"/>
                      <w:szCs w:val="21"/>
                      <w:u w:val="single"/>
                    </w:rPr>
                  </w:pPr>
                  <w:r>
                    <w:rPr>
                      <w:color w:val="EE0000"/>
                      <w:szCs w:val="21"/>
                      <w:u w:val="single"/>
                    </w:rPr>
                    <w:t>/</w:t>
                  </w:r>
                </w:p>
              </w:tc>
            </w:tr>
          </w:tbl>
          <w:p w14:paraId="43903631">
            <w:pPr>
              <w:adjustRightInd w:val="0"/>
              <w:snapToGrid w:val="0"/>
              <w:spacing w:line="520" w:lineRule="exact"/>
              <w:rPr>
                <w:rFonts w:eastAsia="黑体"/>
                <w:bCs/>
                <w:sz w:val="24"/>
                <w:szCs w:val="21"/>
              </w:rPr>
            </w:pPr>
            <w:r>
              <w:rPr>
                <w:rFonts w:eastAsia="黑体"/>
                <w:bCs/>
                <w:sz w:val="24"/>
                <w:szCs w:val="21"/>
              </w:rPr>
              <w:t>3.2废水治理措施及污染物排放情况</w:t>
            </w:r>
          </w:p>
          <w:p w14:paraId="291A910E">
            <w:pPr>
              <w:adjustRightInd w:val="0"/>
              <w:snapToGrid w:val="0"/>
              <w:spacing w:line="520" w:lineRule="exact"/>
              <w:rPr>
                <w:rFonts w:eastAsia="黑体"/>
                <w:bCs/>
                <w:sz w:val="24"/>
                <w:szCs w:val="21"/>
              </w:rPr>
            </w:pPr>
            <w:r>
              <w:rPr>
                <w:rFonts w:eastAsia="黑体"/>
                <w:bCs/>
                <w:sz w:val="24"/>
                <w:szCs w:val="21"/>
              </w:rPr>
              <w:t>3.2.1三兴建材废水治理措施及污染物排放情况</w:t>
            </w:r>
          </w:p>
          <w:p w14:paraId="33A245F1">
            <w:pPr>
              <w:adjustRightInd w:val="0"/>
              <w:snapToGrid w:val="0"/>
              <w:spacing w:line="520" w:lineRule="exact"/>
              <w:ind w:firstLine="480" w:firstLineChars="200"/>
              <w:rPr>
                <w:bCs/>
                <w:sz w:val="24"/>
              </w:rPr>
            </w:pPr>
            <w:r>
              <w:rPr>
                <w:bCs/>
                <w:sz w:val="24"/>
              </w:rPr>
              <w:t>三兴建材现有工程用水主要为生活用水、制砖用水、车间抑尘用水、道路抑尘用水、车辆冲洗用水、湿电除尘用水、脱硫系统用水。其中制砖用水、车间抑尘用水、道路抑尘用水进入物料或蒸发，不产生废水；废水主要为生活污水、车辆冲洗废水、湿电除尘废水、脱硫系统废水。</w:t>
            </w:r>
          </w:p>
          <w:p w14:paraId="38CA7084">
            <w:pPr>
              <w:adjustRightInd w:val="0"/>
              <w:snapToGrid w:val="0"/>
              <w:spacing w:line="520" w:lineRule="exact"/>
              <w:ind w:firstLine="480" w:firstLineChars="200"/>
              <w:rPr>
                <w:bCs/>
                <w:sz w:val="24"/>
              </w:rPr>
            </w:pPr>
            <w:r>
              <w:rPr>
                <w:bCs/>
                <w:sz w:val="24"/>
              </w:rPr>
              <w:t>（1）生活污水</w:t>
            </w:r>
          </w:p>
          <w:p w14:paraId="494B389E">
            <w:pPr>
              <w:adjustRightInd w:val="0"/>
              <w:snapToGrid w:val="0"/>
              <w:spacing w:line="520" w:lineRule="exact"/>
              <w:ind w:firstLine="480" w:firstLineChars="200"/>
              <w:rPr>
                <w:bCs/>
                <w:sz w:val="24"/>
              </w:rPr>
            </w:pPr>
            <w:r>
              <w:rPr>
                <w:bCs/>
                <w:sz w:val="24"/>
              </w:rPr>
              <w:t>三兴建材现有工程生活污水产生量2.0m</w:t>
            </w:r>
            <w:r>
              <w:rPr>
                <w:bCs/>
                <w:sz w:val="24"/>
                <w:vertAlign w:val="superscript"/>
              </w:rPr>
              <w:t>3</w:t>
            </w:r>
            <w:r>
              <w:rPr>
                <w:bCs/>
                <w:sz w:val="24"/>
              </w:rPr>
              <w:t>/d，经厂区</w:t>
            </w:r>
            <w:r>
              <w:rPr>
                <w:sz w:val="24"/>
              </w:rPr>
              <w:t>隔油池+化粪池处理后定期清运肥田。</w:t>
            </w:r>
          </w:p>
          <w:p w14:paraId="65C7D5DF">
            <w:pPr>
              <w:adjustRightInd w:val="0"/>
              <w:snapToGrid w:val="0"/>
              <w:spacing w:line="520" w:lineRule="exact"/>
              <w:ind w:firstLine="480" w:firstLineChars="200"/>
              <w:rPr>
                <w:bCs/>
                <w:sz w:val="24"/>
              </w:rPr>
            </w:pPr>
            <w:r>
              <w:rPr>
                <w:bCs/>
                <w:sz w:val="24"/>
              </w:rPr>
              <w:t>（2）车辆冲洗废水</w:t>
            </w:r>
          </w:p>
          <w:p w14:paraId="3E64A900">
            <w:pPr>
              <w:adjustRightInd w:val="0"/>
              <w:snapToGrid w:val="0"/>
              <w:spacing w:line="520" w:lineRule="exact"/>
              <w:ind w:firstLine="480" w:firstLineChars="200"/>
              <w:rPr>
                <w:bCs/>
                <w:sz w:val="24"/>
              </w:rPr>
            </w:pPr>
            <w:r>
              <w:rPr>
                <w:bCs/>
                <w:sz w:val="24"/>
              </w:rPr>
              <w:t>三兴建材现有工程</w:t>
            </w:r>
            <w:r>
              <w:rPr>
                <w:sz w:val="24"/>
              </w:rPr>
              <w:t>产生车辆冲洗废水2.1m</w:t>
            </w:r>
            <w:r>
              <w:rPr>
                <w:sz w:val="24"/>
                <w:vertAlign w:val="superscript"/>
              </w:rPr>
              <w:t>3</w:t>
            </w:r>
            <w:r>
              <w:rPr>
                <w:sz w:val="24"/>
              </w:rPr>
              <w:t>/d，经</w:t>
            </w:r>
            <w:r>
              <w:rPr>
                <w:bCs/>
                <w:sz w:val="24"/>
              </w:rPr>
              <w:t>沉淀池沉淀后循环使用。</w:t>
            </w:r>
          </w:p>
          <w:p w14:paraId="36B42870">
            <w:pPr>
              <w:adjustRightInd w:val="0"/>
              <w:snapToGrid w:val="0"/>
              <w:spacing w:line="520" w:lineRule="exact"/>
              <w:ind w:firstLine="480" w:firstLineChars="200"/>
              <w:rPr>
                <w:bCs/>
                <w:sz w:val="24"/>
              </w:rPr>
            </w:pPr>
            <w:r>
              <w:rPr>
                <w:bCs/>
                <w:sz w:val="24"/>
              </w:rPr>
              <w:t>（3）湿电除尘废水</w:t>
            </w:r>
          </w:p>
          <w:p w14:paraId="38801672">
            <w:pPr>
              <w:adjustRightInd w:val="0"/>
              <w:snapToGrid w:val="0"/>
              <w:spacing w:line="520" w:lineRule="exact"/>
              <w:ind w:firstLine="480" w:firstLineChars="200"/>
              <w:rPr>
                <w:bCs/>
                <w:sz w:val="24"/>
              </w:rPr>
            </w:pPr>
            <w:r>
              <w:rPr>
                <w:bCs/>
                <w:sz w:val="24"/>
              </w:rPr>
              <w:t>三兴建材现有工程湿电除尘器冲洗废水产生量为10</w:t>
            </w:r>
            <w:r>
              <w:rPr>
                <w:sz w:val="24"/>
              </w:rPr>
              <w:t>m</w:t>
            </w:r>
            <w:r>
              <w:rPr>
                <w:sz w:val="24"/>
                <w:vertAlign w:val="superscript"/>
              </w:rPr>
              <w:t>3</w:t>
            </w:r>
            <w:r>
              <w:rPr>
                <w:bCs/>
                <w:sz w:val="24"/>
              </w:rPr>
              <w:t>/d，经收集后作为制砖用水综合利用，不外排。</w:t>
            </w:r>
          </w:p>
          <w:p w14:paraId="24E9F160">
            <w:pPr>
              <w:adjustRightInd w:val="0"/>
              <w:snapToGrid w:val="0"/>
              <w:spacing w:line="520" w:lineRule="exact"/>
              <w:ind w:firstLine="480" w:firstLineChars="200"/>
              <w:rPr>
                <w:bCs/>
                <w:sz w:val="24"/>
              </w:rPr>
            </w:pPr>
            <w:r>
              <w:rPr>
                <w:bCs/>
                <w:sz w:val="24"/>
              </w:rPr>
              <w:t>（4）脱硫系统废水</w:t>
            </w:r>
          </w:p>
          <w:p w14:paraId="0E9B8779">
            <w:pPr>
              <w:adjustRightInd w:val="0"/>
              <w:snapToGrid w:val="0"/>
              <w:spacing w:line="520" w:lineRule="exact"/>
              <w:ind w:firstLine="480" w:firstLineChars="200"/>
              <w:rPr>
                <w:bCs/>
                <w:sz w:val="24"/>
              </w:rPr>
            </w:pPr>
            <w:r>
              <w:rPr>
                <w:bCs/>
                <w:sz w:val="24"/>
              </w:rPr>
              <w:t>三兴建材现有工程脱硫系统废水经</w:t>
            </w:r>
            <w:r>
              <w:rPr>
                <w:sz w:val="24"/>
              </w:rPr>
              <w:t>再生水池再生后循环利用</w:t>
            </w:r>
            <w:r>
              <w:rPr>
                <w:bCs/>
                <w:sz w:val="24"/>
                <w:szCs w:val="21"/>
              </w:rPr>
              <w:t>不外排。</w:t>
            </w:r>
          </w:p>
          <w:p w14:paraId="4F8A794B">
            <w:pPr>
              <w:adjustRightInd w:val="0"/>
              <w:snapToGrid w:val="0"/>
              <w:spacing w:line="520" w:lineRule="exact"/>
              <w:rPr>
                <w:rFonts w:eastAsia="黑体"/>
                <w:bCs/>
                <w:sz w:val="24"/>
                <w:szCs w:val="21"/>
              </w:rPr>
            </w:pPr>
            <w:r>
              <w:rPr>
                <w:rFonts w:eastAsia="黑体"/>
                <w:bCs/>
                <w:sz w:val="24"/>
                <w:szCs w:val="21"/>
              </w:rPr>
              <w:t>3.2.2六和建材废水治理措施及污染物排放情况</w:t>
            </w:r>
          </w:p>
          <w:p w14:paraId="0E5C0964">
            <w:pPr>
              <w:adjustRightInd w:val="0"/>
              <w:snapToGrid w:val="0"/>
              <w:spacing w:line="520" w:lineRule="exact"/>
              <w:ind w:firstLine="480" w:firstLineChars="200"/>
              <w:rPr>
                <w:bCs/>
                <w:sz w:val="24"/>
              </w:rPr>
            </w:pPr>
            <w:r>
              <w:rPr>
                <w:bCs/>
                <w:sz w:val="24"/>
              </w:rPr>
              <w:t>六和建材现有工程用水主要为生活用水、制砖用水、车间抑尘用水、道路抑尘用水、车辆冲洗用水、湿电除尘用水、脱硫系统用水。其中制砖用水、车间抑尘用水、道路抑尘用水进入物料或蒸发，不产生废水；废水主要为生活污水、车辆冲洗废水、湿电除尘废水、脱硫系统废水。</w:t>
            </w:r>
          </w:p>
          <w:p w14:paraId="7BE0FE51">
            <w:pPr>
              <w:adjustRightInd w:val="0"/>
              <w:snapToGrid w:val="0"/>
              <w:spacing w:line="520" w:lineRule="exact"/>
              <w:ind w:firstLine="480" w:firstLineChars="200"/>
              <w:rPr>
                <w:bCs/>
                <w:sz w:val="24"/>
              </w:rPr>
            </w:pPr>
            <w:r>
              <w:rPr>
                <w:bCs/>
                <w:sz w:val="24"/>
              </w:rPr>
              <w:t>（1）生活污水</w:t>
            </w:r>
          </w:p>
          <w:p w14:paraId="01896416">
            <w:pPr>
              <w:adjustRightInd w:val="0"/>
              <w:snapToGrid w:val="0"/>
              <w:spacing w:line="520" w:lineRule="exact"/>
              <w:ind w:firstLine="480" w:firstLineChars="200"/>
              <w:rPr>
                <w:bCs/>
                <w:sz w:val="24"/>
              </w:rPr>
            </w:pPr>
            <w:r>
              <w:rPr>
                <w:bCs/>
                <w:sz w:val="24"/>
              </w:rPr>
              <w:t>六和建材现有工程生活污水产生量3m</w:t>
            </w:r>
            <w:r>
              <w:rPr>
                <w:bCs/>
                <w:sz w:val="24"/>
                <w:vertAlign w:val="superscript"/>
              </w:rPr>
              <w:t>3</w:t>
            </w:r>
            <w:r>
              <w:rPr>
                <w:bCs/>
                <w:sz w:val="24"/>
              </w:rPr>
              <w:t>/d，经厂区</w:t>
            </w:r>
            <w:r>
              <w:rPr>
                <w:sz w:val="24"/>
              </w:rPr>
              <w:t>化粪池处理后定期清运肥田。</w:t>
            </w:r>
          </w:p>
          <w:p w14:paraId="0ED160CF">
            <w:pPr>
              <w:adjustRightInd w:val="0"/>
              <w:snapToGrid w:val="0"/>
              <w:spacing w:line="520" w:lineRule="exact"/>
              <w:ind w:firstLine="480" w:firstLineChars="200"/>
              <w:rPr>
                <w:bCs/>
                <w:sz w:val="24"/>
              </w:rPr>
            </w:pPr>
            <w:r>
              <w:rPr>
                <w:bCs/>
                <w:sz w:val="24"/>
              </w:rPr>
              <w:t>（2）车辆冲洗废水</w:t>
            </w:r>
          </w:p>
          <w:p w14:paraId="119B6514">
            <w:pPr>
              <w:adjustRightInd w:val="0"/>
              <w:snapToGrid w:val="0"/>
              <w:spacing w:line="520" w:lineRule="exact"/>
              <w:ind w:firstLine="480" w:firstLineChars="200"/>
              <w:rPr>
                <w:bCs/>
                <w:sz w:val="24"/>
              </w:rPr>
            </w:pPr>
            <w:r>
              <w:rPr>
                <w:bCs/>
                <w:sz w:val="24"/>
              </w:rPr>
              <w:t>六和建材现有工程</w:t>
            </w:r>
            <w:r>
              <w:rPr>
                <w:sz w:val="24"/>
              </w:rPr>
              <w:t>产生车辆冲洗废水2.1m</w:t>
            </w:r>
            <w:r>
              <w:rPr>
                <w:sz w:val="24"/>
                <w:vertAlign w:val="superscript"/>
              </w:rPr>
              <w:t>3</w:t>
            </w:r>
            <w:r>
              <w:rPr>
                <w:sz w:val="24"/>
              </w:rPr>
              <w:t>/d，经</w:t>
            </w:r>
            <w:r>
              <w:rPr>
                <w:bCs/>
                <w:sz w:val="24"/>
              </w:rPr>
              <w:t>沉淀池沉淀后循环使用。</w:t>
            </w:r>
          </w:p>
          <w:p w14:paraId="4E4C5A22">
            <w:pPr>
              <w:adjustRightInd w:val="0"/>
              <w:snapToGrid w:val="0"/>
              <w:spacing w:line="520" w:lineRule="exact"/>
              <w:ind w:firstLine="480" w:firstLineChars="200"/>
              <w:rPr>
                <w:bCs/>
                <w:sz w:val="24"/>
              </w:rPr>
            </w:pPr>
            <w:r>
              <w:rPr>
                <w:bCs/>
                <w:sz w:val="24"/>
              </w:rPr>
              <w:t>（3）湿电除尘废水</w:t>
            </w:r>
          </w:p>
          <w:p w14:paraId="622A9D2F">
            <w:pPr>
              <w:adjustRightInd w:val="0"/>
              <w:snapToGrid w:val="0"/>
              <w:spacing w:line="520" w:lineRule="exact"/>
              <w:ind w:firstLine="480" w:firstLineChars="200"/>
              <w:rPr>
                <w:bCs/>
                <w:sz w:val="24"/>
              </w:rPr>
            </w:pPr>
            <w:r>
              <w:rPr>
                <w:bCs/>
                <w:sz w:val="24"/>
              </w:rPr>
              <w:t>六和建材现有工程湿电除尘器冲洗废水产生量为8</w:t>
            </w:r>
            <w:r>
              <w:rPr>
                <w:sz w:val="24"/>
              </w:rPr>
              <w:t>m</w:t>
            </w:r>
            <w:r>
              <w:rPr>
                <w:sz w:val="24"/>
                <w:vertAlign w:val="superscript"/>
              </w:rPr>
              <w:t>3</w:t>
            </w:r>
            <w:r>
              <w:rPr>
                <w:bCs/>
                <w:sz w:val="24"/>
              </w:rPr>
              <w:t>/d，经收集后作为制砖用水综合利用，不外排。</w:t>
            </w:r>
          </w:p>
          <w:p w14:paraId="17DCF988">
            <w:pPr>
              <w:adjustRightInd w:val="0"/>
              <w:snapToGrid w:val="0"/>
              <w:spacing w:line="520" w:lineRule="exact"/>
              <w:ind w:firstLine="480" w:firstLineChars="200"/>
              <w:rPr>
                <w:bCs/>
                <w:sz w:val="24"/>
              </w:rPr>
            </w:pPr>
            <w:r>
              <w:rPr>
                <w:bCs/>
                <w:sz w:val="24"/>
              </w:rPr>
              <w:t>（4）脱硫系统废水</w:t>
            </w:r>
          </w:p>
          <w:p w14:paraId="135D87A3">
            <w:pPr>
              <w:adjustRightInd w:val="0"/>
              <w:snapToGrid w:val="0"/>
              <w:spacing w:line="520" w:lineRule="exact"/>
              <w:ind w:firstLine="480" w:firstLineChars="200"/>
              <w:rPr>
                <w:bCs/>
                <w:sz w:val="24"/>
              </w:rPr>
            </w:pPr>
            <w:r>
              <w:rPr>
                <w:bCs/>
                <w:sz w:val="24"/>
              </w:rPr>
              <w:t>六和建材现有工程脱硫系统废水经</w:t>
            </w:r>
            <w:r>
              <w:rPr>
                <w:sz w:val="24"/>
              </w:rPr>
              <w:t>再生水池再生后循环利用</w:t>
            </w:r>
            <w:r>
              <w:rPr>
                <w:bCs/>
                <w:sz w:val="24"/>
                <w:szCs w:val="21"/>
              </w:rPr>
              <w:t>不外排。</w:t>
            </w:r>
          </w:p>
          <w:p w14:paraId="76CA7229">
            <w:pPr>
              <w:adjustRightInd w:val="0"/>
              <w:snapToGrid w:val="0"/>
              <w:spacing w:line="520" w:lineRule="exact"/>
              <w:ind w:firstLine="480" w:firstLineChars="200"/>
              <w:rPr>
                <w:bCs/>
                <w:sz w:val="24"/>
                <w:szCs w:val="21"/>
              </w:rPr>
            </w:pPr>
            <w:r>
              <w:rPr>
                <w:bCs/>
                <w:sz w:val="24"/>
                <w:szCs w:val="21"/>
              </w:rPr>
              <w:t>综上所述，三兴建材、六和建材现有工程废水全部综合利用，无废水外排。</w:t>
            </w:r>
          </w:p>
          <w:p w14:paraId="34E23D8C">
            <w:pPr>
              <w:adjustRightInd w:val="0"/>
              <w:snapToGrid w:val="0"/>
              <w:spacing w:line="520" w:lineRule="exact"/>
              <w:rPr>
                <w:rFonts w:eastAsia="黑体"/>
                <w:bCs/>
                <w:sz w:val="24"/>
                <w:szCs w:val="21"/>
              </w:rPr>
            </w:pPr>
            <w:r>
              <w:rPr>
                <w:rFonts w:eastAsia="黑体"/>
                <w:bCs/>
                <w:sz w:val="24"/>
                <w:szCs w:val="21"/>
              </w:rPr>
              <w:t>3.3噪声治理措施及污染物排放情况</w:t>
            </w:r>
          </w:p>
          <w:p w14:paraId="429C446A">
            <w:pPr>
              <w:adjustRightInd w:val="0"/>
              <w:snapToGrid w:val="0"/>
              <w:spacing w:line="520" w:lineRule="exact"/>
              <w:ind w:firstLine="480" w:firstLineChars="200"/>
              <w:rPr>
                <w:bCs/>
                <w:sz w:val="24"/>
              </w:rPr>
            </w:pPr>
            <w:r>
              <w:rPr>
                <w:bCs/>
                <w:sz w:val="24"/>
              </w:rPr>
              <w:t>（1）三兴建材噪声治理措施及污染物排放情况</w:t>
            </w:r>
          </w:p>
          <w:p w14:paraId="33237E25">
            <w:pPr>
              <w:adjustRightInd w:val="0"/>
              <w:snapToGrid w:val="0"/>
              <w:spacing w:line="520" w:lineRule="exact"/>
              <w:ind w:firstLine="480" w:firstLineChars="200"/>
              <w:rPr>
                <w:sz w:val="24"/>
              </w:rPr>
            </w:pPr>
            <w:r>
              <w:rPr>
                <w:bCs/>
                <w:sz w:val="24"/>
              </w:rPr>
              <w:t>现有工程主要噪声设备为喂料机、</w:t>
            </w:r>
            <w:r>
              <w:rPr>
                <w:sz w:val="24"/>
              </w:rPr>
              <w:t>破碎机、筛分机、搅拌机、挤出制砖机、切坯机等，主要通过选用低噪声设备，并将生产设备置于车间内，采取车间隔声、基础减振、风机加装消声装置等措施降噪。</w:t>
            </w:r>
          </w:p>
          <w:p w14:paraId="7FA8DF9B">
            <w:pPr>
              <w:adjustRightInd w:val="0"/>
              <w:snapToGrid w:val="0"/>
              <w:spacing w:line="520" w:lineRule="exact"/>
              <w:ind w:firstLine="480" w:firstLineChars="200"/>
              <w:rPr>
                <w:bCs/>
                <w:sz w:val="24"/>
              </w:rPr>
            </w:pPr>
            <w:r>
              <w:rPr>
                <w:sz w:val="24"/>
              </w:rPr>
              <w:t>2025年10月28日，</w:t>
            </w:r>
            <w:r>
              <w:rPr>
                <w:bCs/>
                <w:sz w:val="24"/>
                <w:szCs w:val="21"/>
              </w:rPr>
              <w:t>河南省宗树环境检测技术研究有限公司对三兴建材现有工程</w:t>
            </w:r>
            <w:r>
              <w:rPr>
                <w:sz w:val="24"/>
              </w:rPr>
              <w:t>厂界噪声检测结果见下表：</w:t>
            </w:r>
          </w:p>
          <w:p w14:paraId="66B44CDA">
            <w:pPr>
              <w:spacing w:line="500" w:lineRule="exact"/>
              <w:jc w:val="center"/>
              <w:rPr>
                <w:rFonts w:eastAsia="黑体"/>
                <w:sz w:val="24"/>
                <w:szCs w:val="32"/>
              </w:rPr>
            </w:pPr>
            <w:r>
              <w:rPr>
                <w:rFonts w:eastAsia="黑体"/>
                <w:sz w:val="24"/>
                <w:szCs w:val="32"/>
              </w:rPr>
              <w:t>表2-25      现有工程厂界噪声检测结果（三兴建材）       单位：dB（A）</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418"/>
              <w:gridCol w:w="1276"/>
              <w:gridCol w:w="1275"/>
              <w:gridCol w:w="1419"/>
              <w:gridCol w:w="1158"/>
            </w:tblGrid>
            <w:tr w14:paraId="5E4C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14:paraId="1E024579">
                  <w:pPr>
                    <w:adjustRightInd w:val="0"/>
                    <w:snapToGrid w:val="0"/>
                    <w:spacing w:line="320" w:lineRule="exact"/>
                    <w:jc w:val="center"/>
                    <w:rPr>
                      <w:bCs/>
                      <w:szCs w:val="21"/>
                    </w:rPr>
                  </w:pPr>
                  <w:r>
                    <w:rPr>
                      <w:bCs/>
                      <w:szCs w:val="21"/>
                    </w:rPr>
                    <w:t>检测日期</w:t>
                  </w:r>
                </w:p>
              </w:tc>
              <w:tc>
                <w:tcPr>
                  <w:tcW w:w="1418" w:type="dxa"/>
                  <w:vAlign w:val="center"/>
                </w:tcPr>
                <w:p w14:paraId="58300381">
                  <w:pPr>
                    <w:adjustRightInd w:val="0"/>
                    <w:snapToGrid w:val="0"/>
                    <w:spacing w:line="320" w:lineRule="exact"/>
                    <w:jc w:val="center"/>
                    <w:rPr>
                      <w:bCs/>
                      <w:szCs w:val="21"/>
                    </w:rPr>
                  </w:pPr>
                  <w:r>
                    <w:rPr>
                      <w:bCs/>
                      <w:szCs w:val="21"/>
                    </w:rPr>
                    <w:t>检测时段</w:t>
                  </w:r>
                </w:p>
              </w:tc>
              <w:tc>
                <w:tcPr>
                  <w:tcW w:w="1276" w:type="dxa"/>
                  <w:vAlign w:val="center"/>
                </w:tcPr>
                <w:p w14:paraId="45034FD1">
                  <w:pPr>
                    <w:adjustRightInd w:val="0"/>
                    <w:snapToGrid w:val="0"/>
                    <w:spacing w:line="320" w:lineRule="exact"/>
                    <w:jc w:val="center"/>
                    <w:rPr>
                      <w:bCs/>
                      <w:szCs w:val="21"/>
                    </w:rPr>
                  </w:pPr>
                  <w:r>
                    <w:rPr>
                      <w:bCs/>
                      <w:szCs w:val="21"/>
                    </w:rPr>
                    <w:t>东厂界</w:t>
                  </w:r>
                </w:p>
              </w:tc>
              <w:tc>
                <w:tcPr>
                  <w:tcW w:w="1275" w:type="dxa"/>
                  <w:vAlign w:val="center"/>
                </w:tcPr>
                <w:p w14:paraId="2B19EA9B">
                  <w:pPr>
                    <w:adjustRightInd w:val="0"/>
                    <w:snapToGrid w:val="0"/>
                    <w:spacing w:line="320" w:lineRule="exact"/>
                    <w:jc w:val="center"/>
                    <w:rPr>
                      <w:bCs/>
                      <w:szCs w:val="21"/>
                    </w:rPr>
                  </w:pPr>
                  <w:r>
                    <w:rPr>
                      <w:bCs/>
                      <w:szCs w:val="21"/>
                    </w:rPr>
                    <w:t>南厂界</w:t>
                  </w:r>
                </w:p>
              </w:tc>
              <w:tc>
                <w:tcPr>
                  <w:tcW w:w="1419" w:type="dxa"/>
                  <w:vAlign w:val="center"/>
                </w:tcPr>
                <w:p w14:paraId="1C4A0272">
                  <w:pPr>
                    <w:adjustRightInd w:val="0"/>
                    <w:snapToGrid w:val="0"/>
                    <w:spacing w:line="320" w:lineRule="exact"/>
                    <w:jc w:val="center"/>
                    <w:rPr>
                      <w:bCs/>
                      <w:szCs w:val="21"/>
                    </w:rPr>
                  </w:pPr>
                  <w:r>
                    <w:rPr>
                      <w:bCs/>
                      <w:szCs w:val="21"/>
                    </w:rPr>
                    <w:t>西厂界</w:t>
                  </w:r>
                </w:p>
              </w:tc>
              <w:tc>
                <w:tcPr>
                  <w:tcW w:w="1158" w:type="dxa"/>
                  <w:vAlign w:val="center"/>
                </w:tcPr>
                <w:p w14:paraId="5AC0CE85">
                  <w:pPr>
                    <w:adjustRightInd w:val="0"/>
                    <w:snapToGrid w:val="0"/>
                    <w:spacing w:line="320" w:lineRule="exact"/>
                    <w:jc w:val="center"/>
                    <w:rPr>
                      <w:bCs/>
                      <w:szCs w:val="21"/>
                    </w:rPr>
                  </w:pPr>
                  <w:r>
                    <w:rPr>
                      <w:bCs/>
                      <w:szCs w:val="21"/>
                    </w:rPr>
                    <w:t>北厂界</w:t>
                  </w:r>
                </w:p>
              </w:tc>
            </w:tr>
            <w:tr w14:paraId="14BF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Merge w:val="restart"/>
                  <w:vAlign w:val="center"/>
                </w:tcPr>
                <w:p w14:paraId="385D3577">
                  <w:pPr>
                    <w:adjustRightInd w:val="0"/>
                    <w:snapToGrid w:val="0"/>
                    <w:spacing w:line="320" w:lineRule="exact"/>
                    <w:jc w:val="center"/>
                    <w:rPr>
                      <w:bCs/>
                      <w:szCs w:val="21"/>
                    </w:rPr>
                  </w:pPr>
                  <w:r>
                    <w:rPr>
                      <w:bCs/>
                      <w:szCs w:val="21"/>
                    </w:rPr>
                    <w:t>2025.10.28</w:t>
                  </w:r>
                </w:p>
              </w:tc>
              <w:tc>
                <w:tcPr>
                  <w:tcW w:w="1418" w:type="dxa"/>
                  <w:vAlign w:val="center"/>
                </w:tcPr>
                <w:p w14:paraId="6AD8F503">
                  <w:pPr>
                    <w:adjustRightInd w:val="0"/>
                    <w:snapToGrid w:val="0"/>
                    <w:spacing w:line="320" w:lineRule="exact"/>
                    <w:jc w:val="center"/>
                    <w:rPr>
                      <w:bCs/>
                      <w:szCs w:val="21"/>
                    </w:rPr>
                  </w:pPr>
                  <w:r>
                    <w:rPr>
                      <w:bCs/>
                      <w:szCs w:val="21"/>
                    </w:rPr>
                    <w:t>昼间</w:t>
                  </w:r>
                </w:p>
              </w:tc>
              <w:tc>
                <w:tcPr>
                  <w:tcW w:w="1276" w:type="dxa"/>
                  <w:vAlign w:val="center"/>
                </w:tcPr>
                <w:p w14:paraId="203C6BAD">
                  <w:pPr>
                    <w:adjustRightInd w:val="0"/>
                    <w:snapToGrid w:val="0"/>
                    <w:spacing w:line="320" w:lineRule="exact"/>
                    <w:jc w:val="center"/>
                    <w:rPr>
                      <w:bCs/>
                      <w:szCs w:val="21"/>
                    </w:rPr>
                  </w:pPr>
                  <w:r>
                    <w:rPr>
                      <w:bCs/>
                      <w:szCs w:val="21"/>
                    </w:rPr>
                    <w:t>55</w:t>
                  </w:r>
                </w:p>
              </w:tc>
              <w:tc>
                <w:tcPr>
                  <w:tcW w:w="1275" w:type="dxa"/>
                  <w:vAlign w:val="center"/>
                </w:tcPr>
                <w:p w14:paraId="48FBA1CA">
                  <w:pPr>
                    <w:adjustRightInd w:val="0"/>
                    <w:snapToGrid w:val="0"/>
                    <w:spacing w:line="320" w:lineRule="exact"/>
                    <w:jc w:val="center"/>
                    <w:rPr>
                      <w:bCs/>
                      <w:szCs w:val="21"/>
                    </w:rPr>
                  </w:pPr>
                  <w:r>
                    <w:rPr>
                      <w:bCs/>
                      <w:szCs w:val="21"/>
                    </w:rPr>
                    <w:t>55</w:t>
                  </w:r>
                </w:p>
              </w:tc>
              <w:tc>
                <w:tcPr>
                  <w:tcW w:w="1419" w:type="dxa"/>
                  <w:vAlign w:val="center"/>
                </w:tcPr>
                <w:p w14:paraId="787AA955">
                  <w:pPr>
                    <w:adjustRightInd w:val="0"/>
                    <w:snapToGrid w:val="0"/>
                    <w:spacing w:line="320" w:lineRule="exact"/>
                    <w:jc w:val="center"/>
                    <w:rPr>
                      <w:bCs/>
                      <w:szCs w:val="21"/>
                    </w:rPr>
                  </w:pPr>
                  <w:r>
                    <w:rPr>
                      <w:bCs/>
                      <w:szCs w:val="21"/>
                    </w:rPr>
                    <w:t>52</w:t>
                  </w:r>
                </w:p>
              </w:tc>
              <w:tc>
                <w:tcPr>
                  <w:tcW w:w="1158" w:type="dxa"/>
                  <w:vAlign w:val="center"/>
                </w:tcPr>
                <w:p w14:paraId="5B13A5FD">
                  <w:pPr>
                    <w:adjustRightInd w:val="0"/>
                    <w:snapToGrid w:val="0"/>
                    <w:spacing w:line="320" w:lineRule="exact"/>
                    <w:jc w:val="center"/>
                    <w:rPr>
                      <w:bCs/>
                      <w:szCs w:val="21"/>
                    </w:rPr>
                  </w:pPr>
                  <w:r>
                    <w:rPr>
                      <w:bCs/>
                      <w:szCs w:val="21"/>
                    </w:rPr>
                    <w:t>57</w:t>
                  </w:r>
                </w:p>
              </w:tc>
            </w:tr>
            <w:tr w14:paraId="65B6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Merge w:val="continue"/>
                  <w:vAlign w:val="center"/>
                </w:tcPr>
                <w:p w14:paraId="5C1A22CE">
                  <w:pPr>
                    <w:adjustRightInd w:val="0"/>
                    <w:snapToGrid w:val="0"/>
                    <w:spacing w:line="320" w:lineRule="exact"/>
                    <w:jc w:val="center"/>
                    <w:rPr>
                      <w:bCs/>
                      <w:szCs w:val="21"/>
                    </w:rPr>
                  </w:pPr>
                </w:p>
              </w:tc>
              <w:tc>
                <w:tcPr>
                  <w:tcW w:w="1418" w:type="dxa"/>
                  <w:vAlign w:val="center"/>
                </w:tcPr>
                <w:p w14:paraId="71B61179">
                  <w:pPr>
                    <w:adjustRightInd w:val="0"/>
                    <w:snapToGrid w:val="0"/>
                    <w:spacing w:line="320" w:lineRule="exact"/>
                    <w:jc w:val="center"/>
                    <w:rPr>
                      <w:bCs/>
                      <w:szCs w:val="21"/>
                    </w:rPr>
                  </w:pPr>
                  <w:r>
                    <w:rPr>
                      <w:bCs/>
                      <w:szCs w:val="21"/>
                    </w:rPr>
                    <w:t>夜间</w:t>
                  </w:r>
                </w:p>
              </w:tc>
              <w:tc>
                <w:tcPr>
                  <w:tcW w:w="1276" w:type="dxa"/>
                  <w:vAlign w:val="center"/>
                </w:tcPr>
                <w:p w14:paraId="70C94A96">
                  <w:pPr>
                    <w:adjustRightInd w:val="0"/>
                    <w:snapToGrid w:val="0"/>
                    <w:spacing w:line="320" w:lineRule="exact"/>
                    <w:jc w:val="center"/>
                    <w:rPr>
                      <w:bCs/>
                      <w:szCs w:val="21"/>
                    </w:rPr>
                  </w:pPr>
                  <w:r>
                    <w:rPr>
                      <w:bCs/>
                      <w:szCs w:val="21"/>
                    </w:rPr>
                    <w:t>45</w:t>
                  </w:r>
                </w:p>
              </w:tc>
              <w:tc>
                <w:tcPr>
                  <w:tcW w:w="1275" w:type="dxa"/>
                  <w:vAlign w:val="center"/>
                </w:tcPr>
                <w:p w14:paraId="753F519A">
                  <w:pPr>
                    <w:adjustRightInd w:val="0"/>
                    <w:snapToGrid w:val="0"/>
                    <w:spacing w:line="320" w:lineRule="exact"/>
                    <w:jc w:val="center"/>
                    <w:rPr>
                      <w:bCs/>
                      <w:szCs w:val="21"/>
                    </w:rPr>
                  </w:pPr>
                  <w:r>
                    <w:rPr>
                      <w:bCs/>
                      <w:szCs w:val="21"/>
                    </w:rPr>
                    <w:t>46</w:t>
                  </w:r>
                </w:p>
              </w:tc>
              <w:tc>
                <w:tcPr>
                  <w:tcW w:w="1419" w:type="dxa"/>
                  <w:vAlign w:val="center"/>
                </w:tcPr>
                <w:p w14:paraId="192A7D8E">
                  <w:pPr>
                    <w:adjustRightInd w:val="0"/>
                    <w:snapToGrid w:val="0"/>
                    <w:spacing w:line="320" w:lineRule="exact"/>
                    <w:jc w:val="center"/>
                    <w:rPr>
                      <w:bCs/>
                      <w:szCs w:val="21"/>
                    </w:rPr>
                  </w:pPr>
                  <w:r>
                    <w:rPr>
                      <w:bCs/>
                      <w:szCs w:val="21"/>
                    </w:rPr>
                    <w:t>46</w:t>
                  </w:r>
                </w:p>
              </w:tc>
              <w:tc>
                <w:tcPr>
                  <w:tcW w:w="1158" w:type="dxa"/>
                  <w:vAlign w:val="center"/>
                </w:tcPr>
                <w:p w14:paraId="0E1F66C3">
                  <w:pPr>
                    <w:adjustRightInd w:val="0"/>
                    <w:snapToGrid w:val="0"/>
                    <w:spacing w:line="320" w:lineRule="exact"/>
                    <w:jc w:val="center"/>
                    <w:rPr>
                      <w:bCs/>
                      <w:szCs w:val="21"/>
                    </w:rPr>
                  </w:pPr>
                  <w:r>
                    <w:rPr>
                      <w:bCs/>
                      <w:szCs w:val="21"/>
                    </w:rPr>
                    <w:t>47</w:t>
                  </w:r>
                </w:p>
              </w:tc>
            </w:tr>
          </w:tbl>
          <w:p w14:paraId="0C97356C">
            <w:pPr>
              <w:adjustRightInd w:val="0"/>
              <w:snapToGrid w:val="0"/>
              <w:spacing w:line="520" w:lineRule="exact"/>
              <w:ind w:firstLine="480" w:firstLineChars="200"/>
              <w:rPr>
                <w:bCs/>
                <w:sz w:val="24"/>
                <w:szCs w:val="21"/>
              </w:rPr>
            </w:pPr>
            <w:r>
              <w:rPr>
                <w:bCs/>
                <w:sz w:val="24"/>
                <w:szCs w:val="21"/>
              </w:rPr>
              <w:t>根据</w:t>
            </w:r>
            <w:r>
              <w:rPr>
                <w:sz w:val="24"/>
              </w:rPr>
              <w:t>检测结果</w:t>
            </w:r>
            <w:r>
              <w:rPr>
                <w:bCs/>
                <w:sz w:val="24"/>
                <w:szCs w:val="21"/>
              </w:rPr>
              <w:t>，三兴建材东、西、北厂界</w:t>
            </w:r>
            <w:r>
              <w:rPr>
                <w:bCs/>
                <w:sz w:val="24"/>
              </w:rPr>
              <w:t>均</w:t>
            </w:r>
            <w:r>
              <w:rPr>
                <w:bCs/>
                <w:sz w:val="24"/>
                <w:szCs w:val="21"/>
              </w:rPr>
              <w:t>满足《工业企业厂界环境噪声排放标准》（GB12348-2008）2类标准要求，南厂界邻S329省道，厂界噪声满足《工业企业厂界环境噪声排放标准》（GB12348-2008）4类标准要求。</w:t>
            </w:r>
          </w:p>
          <w:p w14:paraId="1AD30B1A">
            <w:pPr>
              <w:adjustRightInd w:val="0"/>
              <w:snapToGrid w:val="0"/>
              <w:spacing w:line="520" w:lineRule="exact"/>
              <w:ind w:firstLine="480" w:firstLineChars="200"/>
              <w:rPr>
                <w:bCs/>
                <w:color w:val="EE0000"/>
                <w:sz w:val="24"/>
                <w:u w:val="single"/>
              </w:rPr>
            </w:pPr>
            <w:r>
              <w:rPr>
                <w:bCs/>
                <w:color w:val="EE0000"/>
                <w:sz w:val="24"/>
                <w:u w:val="single"/>
              </w:rPr>
              <w:t>（2）六和建材噪声治理措施及污染物排放情况</w:t>
            </w:r>
          </w:p>
          <w:p w14:paraId="2D5DB764">
            <w:pPr>
              <w:adjustRightInd w:val="0"/>
              <w:snapToGrid w:val="0"/>
              <w:spacing w:line="520" w:lineRule="exact"/>
              <w:ind w:firstLine="480" w:firstLineChars="200"/>
              <w:rPr>
                <w:color w:val="EE0000"/>
                <w:sz w:val="24"/>
                <w:u w:val="single"/>
              </w:rPr>
            </w:pPr>
            <w:r>
              <w:rPr>
                <w:bCs/>
                <w:color w:val="EE0000"/>
                <w:sz w:val="24"/>
                <w:u w:val="single"/>
              </w:rPr>
              <w:t>六和建材现有工程主要噪声设备为喂料机、</w:t>
            </w:r>
            <w:r>
              <w:rPr>
                <w:color w:val="EE0000"/>
                <w:sz w:val="24"/>
                <w:u w:val="single"/>
              </w:rPr>
              <w:t>破碎机、筛分机、搅拌机、挤出制砖机、切坯机等，主要通过选用低噪声设备，并将生产设备置于车间内，采取车间隔声、基础减振、风机加装消声装置等措施降噪。</w:t>
            </w:r>
          </w:p>
          <w:p w14:paraId="7F515416">
            <w:pPr>
              <w:adjustRightInd w:val="0"/>
              <w:snapToGrid w:val="0"/>
              <w:spacing w:line="520" w:lineRule="exact"/>
              <w:ind w:firstLine="480" w:firstLineChars="200"/>
              <w:rPr>
                <w:bCs/>
                <w:color w:val="EE0000"/>
                <w:sz w:val="24"/>
                <w:u w:val="single"/>
              </w:rPr>
            </w:pPr>
            <w:r>
              <w:rPr>
                <w:color w:val="EE0000"/>
                <w:sz w:val="24"/>
                <w:u w:val="single"/>
              </w:rPr>
              <w:t>2021年7月24日，</w:t>
            </w:r>
            <w:r>
              <w:rPr>
                <w:bCs/>
                <w:color w:val="EE0000"/>
                <w:sz w:val="24"/>
                <w:szCs w:val="21"/>
                <w:u w:val="single"/>
              </w:rPr>
              <w:t>河南昆翔检测技术服务有限公司对六和建材现有工程</w:t>
            </w:r>
            <w:r>
              <w:rPr>
                <w:color w:val="EE0000"/>
                <w:sz w:val="24"/>
                <w:u w:val="single"/>
              </w:rPr>
              <w:t>厂界噪声检测结果见下表：</w:t>
            </w:r>
          </w:p>
          <w:p w14:paraId="6E13CB3F">
            <w:pPr>
              <w:spacing w:line="500" w:lineRule="exact"/>
              <w:jc w:val="center"/>
              <w:rPr>
                <w:rFonts w:eastAsia="黑体"/>
                <w:color w:val="EE0000"/>
                <w:sz w:val="24"/>
                <w:szCs w:val="32"/>
                <w:u w:val="single"/>
              </w:rPr>
            </w:pPr>
            <w:r>
              <w:rPr>
                <w:rFonts w:eastAsia="黑体"/>
                <w:color w:val="EE0000"/>
                <w:sz w:val="24"/>
                <w:szCs w:val="32"/>
                <w:u w:val="single"/>
              </w:rPr>
              <w:t>表2-26      现有工程厂界噪声检测结果（六和建材）       单位：dB（A）</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418"/>
              <w:gridCol w:w="1276"/>
              <w:gridCol w:w="1275"/>
              <w:gridCol w:w="1419"/>
              <w:gridCol w:w="1158"/>
            </w:tblGrid>
            <w:tr w14:paraId="7186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14:paraId="08692873">
                  <w:pPr>
                    <w:adjustRightInd w:val="0"/>
                    <w:snapToGrid w:val="0"/>
                    <w:spacing w:line="320" w:lineRule="exact"/>
                    <w:jc w:val="center"/>
                    <w:rPr>
                      <w:bCs/>
                      <w:color w:val="EE0000"/>
                      <w:szCs w:val="21"/>
                      <w:u w:val="single"/>
                    </w:rPr>
                  </w:pPr>
                  <w:r>
                    <w:rPr>
                      <w:bCs/>
                      <w:color w:val="EE0000"/>
                      <w:szCs w:val="21"/>
                      <w:u w:val="single"/>
                    </w:rPr>
                    <w:t>检测日期</w:t>
                  </w:r>
                </w:p>
              </w:tc>
              <w:tc>
                <w:tcPr>
                  <w:tcW w:w="1418" w:type="dxa"/>
                  <w:vAlign w:val="center"/>
                </w:tcPr>
                <w:p w14:paraId="4541814B">
                  <w:pPr>
                    <w:adjustRightInd w:val="0"/>
                    <w:snapToGrid w:val="0"/>
                    <w:spacing w:line="320" w:lineRule="exact"/>
                    <w:jc w:val="center"/>
                    <w:rPr>
                      <w:bCs/>
                      <w:color w:val="EE0000"/>
                      <w:szCs w:val="21"/>
                      <w:u w:val="single"/>
                    </w:rPr>
                  </w:pPr>
                  <w:r>
                    <w:rPr>
                      <w:bCs/>
                      <w:color w:val="EE0000"/>
                      <w:szCs w:val="21"/>
                      <w:u w:val="single"/>
                    </w:rPr>
                    <w:t>检测时段</w:t>
                  </w:r>
                </w:p>
              </w:tc>
              <w:tc>
                <w:tcPr>
                  <w:tcW w:w="1276" w:type="dxa"/>
                  <w:vAlign w:val="center"/>
                </w:tcPr>
                <w:p w14:paraId="7D09F8F4">
                  <w:pPr>
                    <w:adjustRightInd w:val="0"/>
                    <w:snapToGrid w:val="0"/>
                    <w:spacing w:line="320" w:lineRule="exact"/>
                    <w:jc w:val="center"/>
                    <w:rPr>
                      <w:bCs/>
                      <w:color w:val="EE0000"/>
                      <w:szCs w:val="21"/>
                      <w:u w:val="single"/>
                    </w:rPr>
                  </w:pPr>
                  <w:r>
                    <w:rPr>
                      <w:bCs/>
                      <w:color w:val="EE0000"/>
                      <w:szCs w:val="21"/>
                      <w:u w:val="single"/>
                    </w:rPr>
                    <w:t>东厂界</w:t>
                  </w:r>
                </w:p>
              </w:tc>
              <w:tc>
                <w:tcPr>
                  <w:tcW w:w="1275" w:type="dxa"/>
                  <w:vAlign w:val="center"/>
                </w:tcPr>
                <w:p w14:paraId="02A09943">
                  <w:pPr>
                    <w:adjustRightInd w:val="0"/>
                    <w:snapToGrid w:val="0"/>
                    <w:spacing w:line="320" w:lineRule="exact"/>
                    <w:jc w:val="center"/>
                    <w:rPr>
                      <w:bCs/>
                      <w:color w:val="EE0000"/>
                      <w:szCs w:val="21"/>
                      <w:u w:val="single"/>
                    </w:rPr>
                  </w:pPr>
                  <w:r>
                    <w:rPr>
                      <w:bCs/>
                      <w:color w:val="EE0000"/>
                      <w:szCs w:val="21"/>
                      <w:u w:val="single"/>
                    </w:rPr>
                    <w:t>南厂界</w:t>
                  </w:r>
                </w:p>
              </w:tc>
              <w:tc>
                <w:tcPr>
                  <w:tcW w:w="1419" w:type="dxa"/>
                  <w:vAlign w:val="center"/>
                </w:tcPr>
                <w:p w14:paraId="6624531D">
                  <w:pPr>
                    <w:adjustRightInd w:val="0"/>
                    <w:snapToGrid w:val="0"/>
                    <w:spacing w:line="320" w:lineRule="exact"/>
                    <w:jc w:val="center"/>
                    <w:rPr>
                      <w:bCs/>
                      <w:color w:val="EE0000"/>
                      <w:szCs w:val="21"/>
                      <w:u w:val="single"/>
                    </w:rPr>
                  </w:pPr>
                  <w:r>
                    <w:rPr>
                      <w:bCs/>
                      <w:color w:val="EE0000"/>
                      <w:szCs w:val="21"/>
                      <w:u w:val="single"/>
                    </w:rPr>
                    <w:t>西厂界</w:t>
                  </w:r>
                </w:p>
              </w:tc>
              <w:tc>
                <w:tcPr>
                  <w:tcW w:w="1158" w:type="dxa"/>
                  <w:vAlign w:val="center"/>
                </w:tcPr>
                <w:p w14:paraId="1A956D16">
                  <w:pPr>
                    <w:adjustRightInd w:val="0"/>
                    <w:snapToGrid w:val="0"/>
                    <w:spacing w:line="320" w:lineRule="exact"/>
                    <w:jc w:val="center"/>
                    <w:rPr>
                      <w:bCs/>
                      <w:color w:val="EE0000"/>
                      <w:szCs w:val="21"/>
                      <w:u w:val="single"/>
                    </w:rPr>
                  </w:pPr>
                  <w:r>
                    <w:rPr>
                      <w:bCs/>
                      <w:color w:val="EE0000"/>
                      <w:szCs w:val="21"/>
                      <w:u w:val="single"/>
                    </w:rPr>
                    <w:t>北厂界</w:t>
                  </w:r>
                </w:p>
              </w:tc>
            </w:tr>
            <w:tr w14:paraId="2F63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753" w:type="dxa"/>
                  <w:vMerge w:val="restart"/>
                  <w:vAlign w:val="center"/>
                </w:tcPr>
                <w:p w14:paraId="547CDACA">
                  <w:pPr>
                    <w:adjustRightInd w:val="0"/>
                    <w:snapToGrid w:val="0"/>
                    <w:spacing w:line="320" w:lineRule="exact"/>
                    <w:jc w:val="center"/>
                    <w:rPr>
                      <w:bCs/>
                      <w:color w:val="EE0000"/>
                      <w:szCs w:val="21"/>
                      <w:u w:val="single"/>
                    </w:rPr>
                  </w:pPr>
                  <w:r>
                    <w:rPr>
                      <w:bCs/>
                      <w:color w:val="EE0000"/>
                      <w:szCs w:val="21"/>
                      <w:u w:val="single"/>
                    </w:rPr>
                    <w:t>2021.07.24</w:t>
                  </w:r>
                </w:p>
              </w:tc>
              <w:tc>
                <w:tcPr>
                  <w:tcW w:w="1418" w:type="dxa"/>
                  <w:vAlign w:val="center"/>
                </w:tcPr>
                <w:p w14:paraId="54E25C4F">
                  <w:pPr>
                    <w:adjustRightInd w:val="0"/>
                    <w:snapToGrid w:val="0"/>
                    <w:spacing w:line="320" w:lineRule="exact"/>
                    <w:jc w:val="center"/>
                    <w:rPr>
                      <w:bCs/>
                      <w:color w:val="EE0000"/>
                      <w:szCs w:val="21"/>
                      <w:u w:val="single"/>
                    </w:rPr>
                  </w:pPr>
                  <w:r>
                    <w:rPr>
                      <w:bCs/>
                      <w:color w:val="EE0000"/>
                      <w:szCs w:val="21"/>
                      <w:u w:val="single"/>
                    </w:rPr>
                    <w:t>昼间</w:t>
                  </w:r>
                </w:p>
              </w:tc>
              <w:tc>
                <w:tcPr>
                  <w:tcW w:w="1276" w:type="dxa"/>
                  <w:vAlign w:val="center"/>
                </w:tcPr>
                <w:p w14:paraId="0AFC363E">
                  <w:pPr>
                    <w:adjustRightInd w:val="0"/>
                    <w:snapToGrid w:val="0"/>
                    <w:spacing w:line="320" w:lineRule="exact"/>
                    <w:jc w:val="center"/>
                    <w:rPr>
                      <w:bCs/>
                      <w:color w:val="EE0000"/>
                      <w:szCs w:val="21"/>
                      <w:u w:val="single"/>
                    </w:rPr>
                  </w:pPr>
                  <w:r>
                    <w:rPr>
                      <w:bCs/>
                      <w:color w:val="EE0000"/>
                      <w:szCs w:val="21"/>
                      <w:u w:val="single"/>
                    </w:rPr>
                    <w:t>56</w:t>
                  </w:r>
                </w:p>
              </w:tc>
              <w:tc>
                <w:tcPr>
                  <w:tcW w:w="1275" w:type="dxa"/>
                  <w:vAlign w:val="center"/>
                </w:tcPr>
                <w:p w14:paraId="08B99F73">
                  <w:pPr>
                    <w:adjustRightInd w:val="0"/>
                    <w:snapToGrid w:val="0"/>
                    <w:spacing w:line="320" w:lineRule="exact"/>
                    <w:jc w:val="center"/>
                    <w:rPr>
                      <w:bCs/>
                      <w:color w:val="EE0000"/>
                      <w:szCs w:val="21"/>
                      <w:u w:val="single"/>
                    </w:rPr>
                  </w:pPr>
                  <w:r>
                    <w:rPr>
                      <w:bCs/>
                      <w:color w:val="EE0000"/>
                      <w:szCs w:val="21"/>
                      <w:u w:val="single"/>
                    </w:rPr>
                    <w:t>54</w:t>
                  </w:r>
                </w:p>
              </w:tc>
              <w:tc>
                <w:tcPr>
                  <w:tcW w:w="1419" w:type="dxa"/>
                  <w:vAlign w:val="center"/>
                </w:tcPr>
                <w:p w14:paraId="5426B7B9">
                  <w:pPr>
                    <w:adjustRightInd w:val="0"/>
                    <w:snapToGrid w:val="0"/>
                    <w:spacing w:line="320" w:lineRule="exact"/>
                    <w:jc w:val="center"/>
                    <w:rPr>
                      <w:bCs/>
                      <w:color w:val="EE0000"/>
                      <w:szCs w:val="21"/>
                      <w:u w:val="single"/>
                    </w:rPr>
                  </w:pPr>
                  <w:r>
                    <w:rPr>
                      <w:bCs/>
                      <w:color w:val="EE0000"/>
                      <w:szCs w:val="21"/>
                      <w:u w:val="single"/>
                    </w:rPr>
                    <w:t>53</w:t>
                  </w:r>
                </w:p>
              </w:tc>
              <w:tc>
                <w:tcPr>
                  <w:tcW w:w="1158" w:type="dxa"/>
                  <w:vAlign w:val="center"/>
                </w:tcPr>
                <w:p w14:paraId="6C630FD8">
                  <w:pPr>
                    <w:adjustRightInd w:val="0"/>
                    <w:snapToGrid w:val="0"/>
                    <w:spacing w:line="320" w:lineRule="exact"/>
                    <w:jc w:val="center"/>
                    <w:rPr>
                      <w:bCs/>
                      <w:color w:val="EE0000"/>
                      <w:szCs w:val="21"/>
                      <w:u w:val="single"/>
                    </w:rPr>
                  </w:pPr>
                  <w:r>
                    <w:rPr>
                      <w:bCs/>
                      <w:color w:val="EE0000"/>
                      <w:szCs w:val="21"/>
                      <w:u w:val="single"/>
                    </w:rPr>
                    <w:t>56</w:t>
                  </w:r>
                </w:p>
              </w:tc>
            </w:tr>
            <w:tr w14:paraId="413B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Merge w:val="continue"/>
                  <w:vAlign w:val="center"/>
                </w:tcPr>
                <w:p w14:paraId="1E875DD3">
                  <w:pPr>
                    <w:adjustRightInd w:val="0"/>
                    <w:snapToGrid w:val="0"/>
                    <w:spacing w:line="320" w:lineRule="exact"/>
                    <w:jc w:val="center"/>
                    <w:rPr>
                      <w:bCs/>
                      <w:color w:val="EE0000"/>
                      <w:szCs w:val="21"/>
                      <w:u w:val="single"/>
                    </w:rPr>
                  </w:pPr>
                </w:p>
              </w:tc>
              <w:tc>
                <w:tcPr>
                  <w:tcW w:w="1418" w:type="dxa"/>
                  <w:vAlign w:val="center"/>
                </w:tcPr>
                <w:p w14:paraId="4A272671">
                  <w:pPr>
                    <w:adjustRightInd w:val="0"/>
                    <w:snapToGrid w:val="0"/>
                    <w:spacing w:line="320" w:lineRule="exact"/>
                    <w:jc w:val="center"/>
                    <w:rPr>
                      <w:bCs/>
                      <w:color w:val="EE0000"/>
                      <w:szCs w:val="21"/>
                      <w:u w:val="single"/>
                    </w:rPr>
                  </w:pPr>
                  <w:r>
                    <w:rPr>
                      <w:bCs/>
                      <w:color w:val="EE0000"/>
                      <w:szCs w:val="21"/>
                      <w:u w:val="single"/>
                    </w:rPr>
                    <w:t>夜间</w:t>
                  </w:r>
                </w:p>
              </w:tc>
              <w:tc>
                <w:tcPr>
                  <w:tcW w:w="1276" w:type="dxa"/>
                  <w:vAlign w:val="center"/>
                </w:tcPr>
                <w:p w14:paraId="5AFA9F21">
                  <w:pPr>
                    <w:adjustRightInd w:val="0"/>
                    <w:snapToGrid w:val="0"/>
                    <w:spacing w:line="320" w:lineRule="exact"/>
                    <w:jc w:val="center"/>
                    <w:rPr>
                      <w:bCs/>
                      <w:color w:val="EE0000"/>
                      <w:szCs w:val="21"/>
                      <w:u w:val="single"/>
                    </w:rPr>
                  </w:pPr>
                  <w:r>
                    <w:rPr>
                      <w:bCs/>
                      <w:color w:val="EE0000"/>
                      <w:szCs w:val="21"/>
                      <w:u w:val="single"/>
                    </w:rPr>
                    <w:t>46</w:t>
                  </w:r>
                </w:p>
              </w:tc>
              <w:tc>
                <w:tcPr>
                  <w:tcW w:w="1275" w:type="dxa"/>
                  <w:vAlign w:val="center"/>
                </w:tcPr>
                <w:p w14:paraId="5BB7AC46">
                  <w:pPr>
                    <w:adjustRightInd w:val="0"/>
                    <w:snapToGrid w:val="0"/>
                    <w:spacing w:line="320" w:lineRule="exact"/>
                    <w:jc w:val="center"/>
                    <w:rPr>
                      <w:bCs/>
                      <w:color w:val="EE0000"/>
                      <w:szCs w:val="21"/>
                      <w:u w:val="single"/>
                    </w:rPr>
                  </w:pPr>
                  <w:r>
                    <w:rPr>
                      <w:bCs/>
                      <w:color w:val="EE0000"/>
                      <w:szCs w:val="21"/>
                      <w:u w:val="single"/>
                    </w:rPr>
                    <w:t>43</w:t>
                  </w:r>
                </w:p>
              </w:tc>
              <w:tc>
                <w:tcPr>
                  <w:tcW w:w="1419" w:type="dxa"/>
                  <w:vAlign w:val="center"/>
                </w:tcPr>
                <w:p w14:paraId="3058D9DD">
                  <w:pPr>
                    <w:adjustRightInd w:val="0"/>
                    <w:snapToGrid w:val="0"/>
                    <w:spacing w:line="320" w:lineRule="exact"/>
                    <w:jc w:val="center"/>
                    <w:rPr>
                      <w:bCs/>
                      <w:color w:val="EE0000"/>
                      <w:szCs w:val="21"/>
                      <w:u w:val="single"/>
                    </w:rPr>
                  </w:pPr>
                  <w:r>
                    <w:rPr>
                      <w:bCs/>
                      <w:color w:val="EE0000"/>
                      <w:szCs w:val="21"/>
                      <w:u w:val="single"/>
                    </w:rPr>
                    <w:t>43</w:t>
                  </w:r>
                </w:p>
              </w:tc>
              <w:tc>
                <w:tcPr>
                  <w:tcW w:w="1158" w:type="dxa"/>
                  <w:vAlign w:val="center"/>
                </w:tcPr>
                <w:p w14:paraId="5BAAC45B">
                  <w:pPr>
                    <w:adjustRightInd w:val="0"/>
                    <w:snapToGrid w:val="0"/>
                    <w:spacing w:line="320" w:lineRule="exact"/>
                    <w:jc w:val="center"/>
                    <w:rPr>
                      <w:bCs/>
                      <w:color w:val="EE0000"/>
                      <w:szCs w:val="21"/>
                      <w:u w:val="single"/>
                    </w:rPr>
                  </w:pPr>
                  <w:r>
                    <w:rPr>
                      <w:bCs/>
                      <w:color w:val="EE0000"/>
                      <w:szCs w:val="21"/>
                      <w:u w:val="single"/>
                    </w:rPr>
                    <w:t>44</w:t>
                  </w:r>
                </w:p>
              </w:tc>
            </w:tr>
          </w:tbl>
          <w:p w14:paraId="2D11D5CB">
            <w:pPr>
              <w:adjustRightInd w:val="0"/>
              <w:snapToGrid w:val="0"/>
              <w:spacing w:line="520" w:lineRule="exact"/>
              <w:ind w:firstLine="480" w:firstLineChars="200"/>
              <w:rPr>
                <w:bCs/>
                <w:color w:val="EE0000"/>
                <w:sz w:val="24"/>
                <w:szCs w:val="21"/>
                <w:u w:val="single"/>
              </w:rPr>
            </w:pPr>
            <w:r>
              <w:rPr>
                <w:bCs/>
                <w:color w:val="EE0000"/>
                <w:sz w:val="24"/>
                <w:szCs w:val="21"/>
                <w:u w:val="single"/>
              </w:rPr>
              <w:t>根据</w:t>
            </w:r>
            <w:r>
              <w:rPr>
                <w:color w:val="EE0000"/>
                <w:sz w:val="24"/>
                <w:u w:val="single"/>
              </w:rPr>
              <w:t>检测结果</w:t>
            </w:r>
            <w:r>
              <w:rPr>
                <w:bCs/>
                <w:color w:val="EE0000"/>
                <w:sz w:val="24"/>
                <w:szCs w:val="21"/>
                <w:u w:val="single"/>
              </w:rPr>
              <w:t>，六和建材东、西、南、北厂界</w:t>
            </w:r>
            <w:r>
              <w:rPr>
                <w:bCs/>
                <w:color w:val="EE0000"/>
                <w:sz w:val="24"/>
                <w:u w:val="single"/>
              </w:rPr>
              <w:t>均</w:t>
            </w:r>
            <w:r>
              <w:rPr>
                <w:bCs/>
                <w:color w:val="EE0000"/>
                <w:sz w:val="24"/>
                <w:szCs w:val="21"/>
                <w:u w:val="single"/>
              </w:rPr>
              <w:t>满足《工业企业厂界环境噪声排放标准》（GB12348-2008）2类标准要求。</w:t>
            </w:r>
          </w:p>
          <w:p w14:paraId="1FE92A4E">
            <w:pPr>
              <w:adjustRightInd w:val="0"/>
              <w:snapToGrid w:val="0"/>
              <w:spacing w:line="520" w:lineRule="exact"/>
              <w:rPr>
                <w:rFonts w:eastAsia="黑体"/>
                <w:bCs/>
                <w:sz w:val="24"/>
                <w:szCs w:val="21"/>
              </w:rPr>
            </w:pPr>
            <w:r>
              <w:rPr>
                <w:rFonts w:eastAsia="黑体"/>
                <w:bCs/>
                <w:sz w:val="24"/>
                <w:szCs w:val="21"/>
              </w:rPr>
              <w:t>3.4固体废物治理措施及排放情况</w:t>
            </w:r>
          </w:p>
          <w:p w14:paraId="69DC0992">
            <w:pPr>
              <w:adjustRightInd w:val="0"/>
              <w:snapToGrid w:val="0"/>
              <w:spacing w:line="520" w:lineRule="exact"/>
              <w:ind w:firstLine="480" w:firstLineChars="200"/>
              <w:rPr>
                <w:bCs/>
                <w:sz w:val="24"/>
                <w:szCs w:val="21"/>
              </w:rPr>
            </w:pPr>
            <w:r>
              <w:rPr>
                <w:bCs/>
                <w:sz w:val="24"/>
                <w:szCs w:val="21"/>
              </w:rPr>
              <w:t>六和建材、三兴建材现有工程固体废物均做到综合利用或合理处置，固体废物产生及处置情况见下表：</w:t>
            </w:r>
          </w:p>
          <w:p w14:paraId="1908CC14">
            <w:pPr>
              <w:pStyle w:val="36"/>
              <w:spacing w:after="0" w:line="520" w:lineRule="exact"/>
              <w:ind w:left="0" w:leftChars="0" w:firstLine="0" w:firstLineChars="0"/>
              <w:jc w:val="center"/>
              <w:rPr>
                <w:rFonts w:eastAsia="黑体"/>
                <w:bCs/>
                <w:color w:val="EE0000"/>
                <w:sz w:val="24"/>
                <w:u w:val="single"/>
              </w:rPr>
            </w:pPr>
            <w:r>
              <w:rPr>
                <w:rFonts w:eastAsia="黑体"/>
                <w:bCs/>
                <w:color w:val="EE0000"/>
                <w:sz w:val="24"/>
                <w:u w:val="single"/>
              </w:rPr>
              <w:t>表2-27     现有工程固体废物产生及处置情况一览表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273"/>
              <w:gridCol w:w="702"/>
              <w:gridCol w:w="1133"/>
              <w:gridCol w:w="1131"/>
              <w:gridCol w:w="1273"/>
              <w:gridCol w:w="2169"/>
            </w:tblGrid>
            <w:tr w14:paraId="21F6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Align w:val="center"/>
                </w:tcPr>
                <w:p w14:paraId="0189E599">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产污环节</w:t>
                  </w:r>
                </w:p>
              </w:tc>
              <w:tc>
                <w:tcPr>
                  <w:tcW w:w="753" w:type="pct"/>
                  <w:vAlign w:val="center"/>
                </w:tcPr>
                <w:p w14:paraId="2239D941">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污染物</w:t>
                  </w:r>
                </w:p>
              </w:tc>
              <w:tc>
                <w:tcPr>
                  <w:tcW w:w="415" w:type="pct"/>
                  <w:tcBorders>
                    <w:right w:val="single" w:color="000000" w:sz="4" w:space="0"/>
                  </w:tcBorders>
                  <w:vAlign w:val="center"/>
                </w:tcPr>
                <w:p w14:paraId="20504EB6">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性质</w:t>
                  </w:r>
                </w:p>
              </w:tc>
              <w:tc>
                <w:tcPr>
                  <w:tcW w:w="670" w:type="pct"/>
                  <w:tcBorders>
                    <w:left w:val="single" w:color="000000" w:sz="4" w:space="0"/>
                    <w:right w:val="single" w:color="000000" w:sz="4" w:space="0"/>
                  </w:tcBorders>
                  <w:vAlign w:val="center"/>
                </w:tcPr>
                <w:p w14:paraId="5D1A4C57">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三兴建材产生量（t/a）</w:t>
                  </w:r>
                </w:p>
              </w:tc>
              <w:tc>
                <w:tcPr>
                  <w:tcW w:w="669" w:type="pct"/>
                  <w:tcBorders>
                    <w:left w:val="single" w:color="000000" w:sz="4" w:space="0"/>
                    <w:right w:val="single" w:color="000000" w:sz="4" w:space="0"/>
                  </w:tcBorders>
                  <w:vAlign w:val="center"/>
                </w:tcPr>
                <w:p w14:paraId="2FD3406D">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六和建材产生量（t/a）</w:t>
                  </w:r>
                </w:p>
              </w:tc>
              <w:tc>
                <w:tcPr>
                  <w:tcW w:w="753" w:type="pct"/>
                  <w:tcBorders>
                    <w:left w:val="single" w:color="000000" w:sz="4" w:space="0"/>
                  </w:tcBorders>
                  <w:vAlign w:val="center"/>
                </w:tcPr>
                <w:p w14:paraId="69E90D67">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现有工程产生量总计（t/a）</w:t>
                  </w:r>
                </w:p>
              </w:tc>
              <w:tc>
                <w:tcPr>
                  <w:tcW w:w="1282" w:type="pct"/>
                  <w:vAlign w:val="center"/>
                </w:tcPr>
                <w:p w14:paraId="421E5D82">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处理处置措施</w:t>
                  </w:r>
                </w:p>
              </w:tc>
            </w:tr>
            <w:tr w14:paraId="40F0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Merge w:val="restart"/>
                  <w:vAlign w:val="center"/>
                </w:tcPr>
                <w:p w14:paraId="78F22F19">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生产过程</w:t>
                  </w:r>
                </w:p>
              </w:tc>
              <w:tc>
                <w:tcPr>
                  <w:tcW w:w="753" w:type="pct"/>
                  <w:vAlign w:val="center"/>
                </w:tcPr>
                <w:p w14:paraId="7E05B8BB">
                  <w:pPr>
                    <w:jc w:val="center"/>
                    <w:rPr>
                      <w:color w:val="FF0000"/>
                      <w:szCs w:val="21"/>
                      <w:u w:val="single"/>
                    </w:rPr>
                  </w:pPr>
                  <w:r>
                    <w:rPr>
                      <w:color w:val="FF0000"/>
                      <w:szCs w:val="21"/>
                      <w:u w:val="single"/>
                    </w:rPr>
                    <w:t>废湿坯</w:t>
                  </w:r>
                </w:p>
              </w:tc>
              <w:tc>
                <w:tcPr>
                  <w:tcW w:w="415" w:type="pct"/>
                  <w:tcBorders>
                    <w:right w:val="single" w:color="000000" w:sz="4" w:space="0"/>
                  </w:tcBorders>
                  <w:vAlign w:val="center"/>
                </w:tcPr>
                <w:p w14:paraId="3C8CD871">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一般固废</w:t>
                  </w:r>
                </w:p>
              </w:tc>
              <w:tc>
                <w:tcPr>
                  <w:tcW w:w="670" w:type="pct"/>
                  <w:tcBorders>
                    <w:left w:val="single" w:color="000000" w:sz="4" w:space="0"/>
                    <w:right w:val="single" w:color="000000" w:sz="4" w:space="0"/>
                  </w:tcBorders>
                  <w:vAlign w:val="center"/>
                </w:tcPr>
                <w:p w14:paraId="017AE7FA">
                  <w:pPr>
                    <w:pStyle w:val="32"/>
                    <w:spacing w:before="0" w:beforeAutospacing="0" w:after="0" w:afterAutospacing="0"/>
                    <w:jc w:val="center"/>
                    <w:rPr>
                      <w:rFonts w:hint="eastAsia" w:ascii="Times New Roman" w:hAnsi="Times New Roman"/>
                      <w:color w:val="FF0000"/>
                      <w:kern w:val="2"/>
                      <w:sz w:val="21"/>
                      <w:szCs w:val="21"/>
                      <w:u w:val="single"/>
                    </w:rPr>
                  </w:pPr>
                  <w:r>
                    <w:rPr>
                      <w:rFonts w:hint="eastAsia" w:ascii="Times New Roman" w:hAnsi="Times New Roman"/>
                      <w:color w:val="FF0000"/>
                      <w:kern w:val="2"/>
                      <w:sz w:val="21"/>
                      <w:szCs w:val="21"/>
                      <w:u w:val="single"/>
                    </w:rPr>
                    <w:t>780</w:t>
                  </w:r>
                </w:p>
              </w:tc>
              <w:tc>
                <w:tcPr>
                  <w:tcW w:w="669" w:type="pct"/>
                  <w:tcBorders>
                    <w:left w:val="single" w:color="000000" w:sz="4" w:space="0"/>
                    <w:right w:val="single" w:color="000000" w:sz="4" w:space="0"/>
                  </w:tcBorders>
                  <w:vAlign w:val="center"/>
                </w:tcPr>
                <w:p w14:paraId="5DF7EE82">
                  <w:pPr>
                    <w:pStyle w:val="32"/>
                    <w:spacing w:before="0" w:beforeAutospacing="0" w:after="0" w:afterAutospacing="0"/>
                    <w:jc w:val="center"/>
                    <w:rPr>
                      <w:rFonts w:hint="eastAsia" w:ascii="Times New Roman" w:hAnsi="Times New Roman"/>
                      <w:color w:val="FF0000"/>
                      <w:kern w:val="2"/>
                      <w:sz w:val="21"/>
                      <w:szCs w:val="21"/>
                      <w:u w:val="single"/>
                    </w:rPr>
                  </w:pPr>
                  <w:r>
                    <w:rPr>
                      <w:rFonts w:hint="eastAsia" w:ascii="Times New Roman" w:hAnsi="Times New Roman"/>
                      <w:color w:val="FF0000"/>
                      <w:kern w:val="2"/>
                      <w:sz w:val="21"/>
                      <w:szCs w:val="21"/>
                      <w:u w:val="single"/>
                    </w:rPr>
                    <w:t>780</w:t>
                  </w:r>
                </w:p>
              </w:tc>
              <w:tc>
                <w:tcPr>
                  <w:tcW w:w="753" w:type="pct"/>
                  <w:tcBorders>
                    <w:left w:val="single" w:color="000000" w:sz="4" w:space="0"/>
                  </w:tcBorders>
                  <w:vAlign w:val="center"/>
                </w:tcPr>
                <w:p w14:paraId="24917373">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sz w:val="21"/>
                      <w:szCs w:val="21"/>
                      <w:u w:val="single"/>
                    </w:rPr>
                    <w:t>1560</w:t>
                  </w:r>
                </w:p>
              </w:tc>
              <w:tc>
                <w:tcPr>
                  <w:tcW w:w="1282" w:type="pct"/>
                  <w:vAlign w:val="center"/>
                </w:tcPr>
                <w:p w14:paraId="0EA73D8A">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sz w:val="21"/>
                      <w:szCs w:val="21"/>
                      <w:u w:val="single"/>
                    </w:rPr>
                    <w:t>经收集后回用于生产</w:t>
                  </w:r>
                </w:p>
              </w:tc>
            </w:tr>
            <w:tr w14:paraId="194B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Merge w:val="continue"/>
                  <w:vAlign w:val="center"/>
                </w:tcPr>
                <w:p w14:paraId="6622356F">
                  <w:pPr>
                    <w:pStyle w:val="32"/>
                    <w:spacing w:before="0" w:beforeAutospacing="0" w:after="0" w:afterAutospacing="0"/>
                    <w:jc w:val="center"/>
                    <w:rPr>
                      <w:rFonts w:ascii="Times New Roman" w:hAnsi="Times New Roman"/>
                      <w:color w:val="FF0000"/>
                      <w:kern w:val="2"/>
                      <w:sz w:val="21"/>
                      <w:szCs w:val="21"/>
                      <w:u w:val="single"/>
                    </w:rPr>
                  </w:pPr>
                </w:p>
              </w:tc>
              <w:tc>
                <w:tcPr>
                  <w:tcW w:w="753" w:type="pct"/>
                  <w:vAlign w:val="center"/>
                </w:tcPr>
                <w:p w14:paraId="4968C22F">
                  <w:pPr>
                    <w:jc w:val="center"/>
                    <w:rPr>
                      <w:color w:val="FF0000"/>
                      <w:szCs w:val="21"/>
                      <w:u w:val="single"/>
                    </w:rPr>
                  </w:pPr>
                  <w:r>
                    <w:rPr>
                      <w:color w:val="FF0000"/>
                      <w:szCs w:val="21"/>
                      <w:u w:val="single"/>
                    </w:rPr>
                    <w:t>不合格产品</w:t>
                  </w:r>
                </w:p>
              </w:tc>
              <w:tc>
                <w:tcPr>
                  <w:tcW w:w="415" w:type="pct"/>
                  <w:tcBorders>
                    <w:right w:val="single" w:color="000000" w:sz="4" w:space="0"/>
                  </w:tcBorders>
                  <w:vAlign w:val="center"/>
                </w:tcPr>
                <w:p w14:paraId="52EE5D44">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一般固废</w:t>
                  </w:r>
                </w:p>
              </w:tc>
              <w:tc>
                <w:tcPr>
                  <w:tcW w:w="670" w:type="pct"/>
                  <w:tcBorders>
                    <w:left w:val="single" w:color="000000" w:sz="4" w:space="0"/>
                    <w:right w:val="single" w:color="000000" w:sz="4" w:space="0"/>
                  </w:tcBorders>
                  <w:vAlign w:val="center"/>
                </w:tcPr>
                <w:p w14:paraId="6FFE572A">
                  <w:pPr>
                    <w:pStyle w:val="32"/>
                    <w:spacing w:before="0" w:beforeAutospacing="0" w:after="0" w:afterAutospacing="0"/>
                    <w:jc w:val="center"/>
                    <w:rPr>
                      <w:rFonts w:hint="eastAsia" w:ascii="Times New Roman" w:hAnsi="Times New Roman"/>
                      <w:color w:val="FF0000"/>
                      <w:kern w:val="2"/>
                      <w:sz w:val="21"/>
                      <w:szCs w:val="21"/>
                      <w:u w:val="single"/>
                    </w:rPr>
                  </w:pPr>
                  <w:r>
                    <w:rPr>
                      <w:rFonts w:hint="eastAsia" w:ascii="Times New Roman" w:hAnsi="Times New Roman"/>
                      <w:color w:val="FF0000"/>
                      <w:kern w:val="2"/>
                      <w:sz w:val="21"/>
                      <w:szCs w:val="21"/>
                      <w:u w:val="single"/>
                    </w:rPr>
                    <w:t>1689.75</w:t>
                  </w:r>
                </w:p>
              </w:tc>
              <w:tc>
                <w:tcPr>
                  <w:tcW w:w="669" w:type="pct"/>
                  <w:tcBorders>
                    <w:left w:val="single" w:color="000000" w:sz="4" w:space="0"/>
                    <w:right w:val="single" w:color="000000" w:sz="4" w:space="0"/>
                  </w:tcBorders>
                  <w:vAlign w:val="center"/>
                </w:tcPr>
                <w:p w14:paraId="7C19C430">
                  <w:pPr>
                    <w:pStyle w:val="32"/>
                    <w:spacing w:before="0" w:beforeAutospacing="0" w:after="0" w:afterAutospacing="0"/>
                    <w:jc w:val="center"/>
                    <w:rPr>
                      <w:rFonts w:hint="eastAsia" w:ascii="Times New Roman" w:hAnsi="Times New Roman"/>
                      <w:color w:val="FF0000"/>
                      <w:kern w:val="2"/>
                      <w:sz w:val="21"/>
                      <w:szCs w:val="21"/>
                      <w:u w:val="single"/>
                    </w:rPr>
                  </w:pPr>
                  <w:r>
                    <w:rPr>
                      <w:rFonts w:hint="eastAsia" w:ascii="Times New Roman" w:hAnsi="Times New Roman"/>
                      <w:color w:val="FF0000"/>
                      <w:kern w:val="2"/>
                      <w:sz w:val="21"/>
                      <w:szCs w:val="21"/>
                      <w:u w:val="single"/>
                    </w:rPr>
                    <w:t>1689.75</w:t>
                  </w:r>
                </w:p>
              </w:tc>
              <w:tc>
                <w:tcPr>
                  <w:tcW w:w="753" w:type="pct"/>
                  <w:tcBorders>
                    <w:left w:val="single" w:color="000000" w:sz="4" w:space="0"/>
                  </w:tcBorders>
                  <w:vAlign w:val="center"/>
                </w:tcPr>
                <w:p w14:paraId="0AEE2455">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sz w:val="21"/>
                      <w:szCs w:val="21"/>
                      <w:u w:val="single"/>
                    </w:rPr>
                    <w:t>3379.5</w:t>
                  </w:r>
                </w:p>
              </w:tc>
              <w:tc>
                <w:tcPr>
                  <w:tcW w:w="1282" w:type="pct"/>
                  <w:vAlign w:val="center"/>
                </w:tcPr>
                <w:p w14:paraId="5798BB01">
                  <w:pPr>
                    <w:pStyle w:val="32"/>
                    <w:spacing w:before="0" w:beforeAutospacing="0" w:after="0" w:afterAutospacing="0"/>
                    <w:jc w:val="center"/>
                    <w:rPr>
                      <w:rFonts w:ascii="Times New Roman" w:hAnsi="Times New Roman"/>
                      <w:color w:val="FF0000"/>
                      <w:sz w:val="21"/>
                      <w:szCs w:val="21"/>
                      <w:u w:val="single"/>
                    </w:rPr>
                  </w:pPr>
                  <w:r>
                    <w:rPr>
                      <w:rFonts w:ascii="Times New Roman" w:hAnsi="Times New Roman"/>
                      <w:color w:val="FF0000"/>
                      <w:sz w:val="21"/>
                      <w:szCs w:val="21"/>
                      <w:u w:val="single"/>
                    </w:rPr>
                    <w:t>经收集后回用于生产</w:t>
                  </w:r>
                </w:p>
              </w:tc>
            </w:tr>
            <w:tr w14:paraId="1AC2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Merge w:val="restart"/>
                  <w:vAlign w:val="center"/>
                </w:tcPr>
                <w:p w14:paraId="2092DBE9">
                  <w:pPr>
                    <w:jc w:val="center"/>
                    <w:rPr>
                      <w:color w:val="FF0000"/>
                      <w:szCs w:val="21"/>
                      <w:u w:val="single"/>
                    </w:rPr>
                  </w:pPr>
                  <w:r>
                    <w:rPr>
                      <w:color w:val="FF0000"/>
                      <w:szCs w:val="21"/>
                      <w:u w:val="single"/>
                    </w:rPr>
                    <w:t>环保设施</w:t>
                  </w:r>
                </w:p>
              </w:tc>
              <w:tc>
                <w:tcPr>
                  <w:tcW w:w="753" w:type="pct"/>
                  <w:vAlign w:val="center"/>
                </w:tcPr>
                <w:p w14:paraId="3D0B39DC">
                  <w:pPr>
                    <w:jc w:val="center"/>
                    <w:rPr>
                      <w:color w:val="FF0000"/>
                      <w:szCs w:val="21"/>
                      <w:u w:val="single"/>
                    </w:rPr>
                  </w:pPr>
                  <w:r>
                    <w:rPr>
                      <w:color w:val="FF0000"/>
                      <w:szCs w:val="21"/>
                      <w:u w:val="single"/>
                    </w:rPr>
                    <w:t>脱硫剂筒仓除尘灰</w:t>
                  </w:r>
                </w:p>
              </w:tc>
              <w:tc>
                <w:tcPr>
                  <w:tcW w:w="415" w:type="pct"/>
                  <w:tcBorders>
                    <w:right w:val="single" w:color="000000" w:sz="4" w:space="0"/>
                  </w:tcBorders>
                  <w:vAlign w:val="center"/>
                </w:tcPr>
                <w:p w14:paraId="72B779F2">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sz w:val="21"/>
                      <w:szCs w:val="21"/>
                      <w:u w:val="single"/>
                    </w:rPr>
                    <w:t>一般固废</w:t>
                  </w:r>
                </w:p>
              </w:tc>
              <w:tc>
                <w:tcPr>
                  <w:tcW w:w="670" w:type="pct"/>
                  <w:tcBorders>
                    <w:left w:val="single" w:color="000000" w:sz="4" w:space="0"/>
                    <w:right w:val="single" w:color="000000" w:sz="4" w:space="0"/>
                  </w:tcBorders>
                  <w:vAlign w:val="center"/>
                </w:tcPr>
                <w:p w14:paraId="03CE2EA1">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0</w:t>
                  </w:r>
                </w:p>
              </w:tc>
              <w:tc>
                <w:tcPr>
                  <w:tcW w:w="669" w:type="pct"/>
                  <w:tcBorders>
                    <w:left w:val="single" w:color="000000" w:sz="4" w:space="0"/>
                    <w:right w:val="single" w:color="000000" w:sz="4" w:space="0"/>
                  </w:tcBorders>
                  <w:vAlign w:val="center"/>
                </w:tcPr>
                <w:p w14:paraId="17DF97C1">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0.055</w:t>
                  </w:r>
                </w:p>
              </w:tc>
              <w:tc>
                <w:tcPr>
                  <w:tcW w:w="753" w:type="pct"/>
                  <w:tcBorders>
                    <w:left w:val="single" w:color="000000" w:sz="4" w:space="0"/>
                  </w:tcBorders>
                  <w:vAlign w:val="center"/>
                </w:tcPr>
                <w:p w14:paraId="77CD829A">
                  <w:pPr>
                    <w:pStyle w:val="32"/>
                    <w:spacing w:before="0" w:beforeAutospacing="0" w:after="0" w:afterAutospacing="0"/>
                    <w:jc w:val="center"/>
                    <w:rPr>
                      <w:rFonts w:ascii="Times New Roman" w:hAnsi="Times New Roman"/>
                      <w:color w:val="FF0000"/>
                      <w:sz w:val="21"/>
                      <w:szCs w:val="21"/>
                      <w:u w:val="single"/>
                    </w:rPr>
                  </w:pPr>
                  <w:r>
                    <w:rPr>
                      <w:rFonts w:ascii="Times New Roman" w:hAnsi="Times New Roman"/>
                      <w:color w:val="FF0000"/>
                      <w:sz w:val="21"/>
                      <w:szCs w:val="21"/>
                      <w:u w:val="single"/>
                    </w:rPr>
                    <w:t>0.055</w:t>
                  </w:r>
                </w:p>
              </w:tc>
              <w:tc>
                <w:tcPr>
                  <w:tcW w:w="1282" w:type="pct"/>
                  <w:vAlign w:val="center"/>
                </w:tcPr>
                <w:p w14:paraId="221856B1">
                  <w:pPr>
                    <w:pStyle w:val="32"/>
                    <w:spacing w:before="0" w:beforeAutospacing="0" w:after="0" w:afterAutospacing="0"/>
                    <w:jc w:val="center"/>
                    <w:rPr>
                      <w:rFonts w:ascii="Times New Roman" w:hAnsi="Times New Roman"/>
                      <w:color w:val="FF0000"/>
                      <w:sz w:val="21"/>
                      <w:szCs w:val="21"/>
                      <w:u w:val="single"/>
                    </w:rPr>
                  </w:pPr>
                  <w:r>
                    <w:rPr>
                      <w:rFonts w:ascii="Times New Roman" w:hAnsi="Times New Roman"/>
                      <w:color w:val="FF0000"/>
                      <w:sz w:val="21"/>
                      <w:szCs w:val="21"/>
                      <w:u w:val="single"/>
                    </w:rPr>
                    <w:t>经收集后回用做脱硫剂</w:t>
                  </w:r>
                </w:p>
              </w:tc>
            </w:tr>
            <w:tr w14:paraId="7D88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58" w:type="pct"/>
                  <w:vMerge w:val="continue"/>
                  <w:vAlign w:val="center"/>
                </w:tcPr>
                <w:p w14:paraId="6D8D6F9E">
                  <w:pPr>
                    <w:jc w:val="center"/>
                    <w:rPr>
                      <w:color w:val="FF0000"/>
                      <w:szCs w:val="21"/>
                      <w:u w:val="single"/>
                    </w:rPr>
                  </w:pPr>
                </w:p>
              </w:tc>
              <w:tc>
                <w:tcPr>
                  <w:tcW w:w="753" w:type="pct"/>
                  <w:vAlign w:val="center"/>
                </w:tcPr>
                <w:p w14:paraId="65FFEBB2">
                  <w:pPr>
                    <w:jc w:val="center"/>
                    <w:rPr>
                      <w:color w:val="FF0000"/>
                      <w:szCs w:val="21"/>
                      <w:u w:val="single"/>
                    </w:rPr>
                  </w:pPr>
                  <w:r>
                    <w:rPr>
                      <w:color w:val="FF0000"/>
                      <w:szCs w:val="21"/>
                      <w:u w:val="single"/>
                    </w:rPr>
                    <w:t>原料制备及窑车清理除尘灰</w:t>
                  </w:r>
                </w:p>
              </w:tc>
              <w:tc>
                <w:tcPr>
                  <w:tcW w:w="415" w:type="pct"/>
                  <w:tcBorders>
                    <w:right w:val="single" w:color="000000" w:sz="4" w:space="0"/>
                  </w:tcBorders>
                  <w:vAlign w:val="center"/>
                </w:tcPr>
                <w:p w14:paraId="2601E9B3">
                  <w:pPr>
                    <w:jc w:val="center"/>
                    <w:rPr>
                      <w:color w:val="FF0000"/>
                      <w:szCs w:val="21"/>
                      <w:u w:val="single"/>
                    </w:rPr>
                  </w:pPr>
                  <w:r>
                    <w:rPr>
                      <w:color w:val="FF0000"/>
                      <w:szCs w:val="21"/>
                      <w:u w:val="single"/>
                    </w:rPr>
                    <w:t>一般固废</w:t>
                  </w:r>
                </w:p>
              </w:tc>
              <w:tc>
                <w:tcPr>
                  <w:tcW w:w="670" w:type="pct"/>
                  <w:tcBorders>
                    <w:left w:val="single" w:color="000000" w:sz="4" w:space="0"/>
                    <w:right w:val="single" w:color="000000" w:sz="4" w:space="0"/>
                  </w:tcBorders>
                  <w:vAlign w:val="center"/>
                </w:tcPr>
                <w:p w14:paraId="4594438A">
                  <w:pPr>
                    <w:jc w:val="center"/>
                    <w:rPr>
                      <w:rFonts w:hint="eastAsia"/>
                      <w:color w:val="FF0000"/>
                      <w:szCs w:val="21"/>
                      <w:u w:val="single"/>
                    </w:rPr>
                  </w:pPr>
                  <w:r>
                    <w:rPr>
                      <w:rFonts w:hint="eastAsia"/>
                      <w:color w:val="FF0000"/>
                      <w:szCs w:val="21"/>
                      <w:u w:val="single"/>
                    </w:rPr>
                    <w:t>20</w:t>
                  </w:r>
                </w:p>
              </w:tc>
              <w:tc>
                <w:tcPr>
                  <w:tcW w:w="669" w:type="pct"/>
                  <w:tcBorders>
                    <w:left w:val="single" w:color="000000" w:sz="4" w:space="0"/>
                    <w:right w:val="single" w:color="000000" w:sz="4" w:space="0"/>
                  </w:tcBorders>
                  <w:vAlign w:val="center"/>
                </w:tcPr>
                <w:p w14:paraId="5D618CA6">
                  <w:pPr>
                    <w:jc w:val="center"/>
                    <w:rPr>
                      <w:rFonts w:hint="eastAsia"/>
                      <w:color w:val="FF0000"/>
                      <w:szCs w:val="21"/>
                      <w:u w:val="single"/>
                    </w:rPr>
                  </w:pPr>
                  <w:r>
                    <w:rPr>
                      <w:rFonts w:hint="eastAsia"/>
                      <w:color w:val="FF0000"/>
                      <w:szCs w:val="21"/>
                      <w:u w:val="single"/>
                    </w:rPr>
                    <w:t>25</w:t>
                  </w:r>
                </w:p>
              </w:tc>
              <w:tc>
                <w:tcPr>
                  <w:tcW w:w="753" w:type="pct"/>
                  <w:tcBorders>
                    <w:left w:val="single" w:color="000000" w:sz="4" w:space="0"/>
                  </w:tcBorders>
                  <w:vAlign w:val="center"/>
                </w:tcPr>
                <w:p w14:paraId="18FCF402">
                  <w:pPr>
                    <w:jc w:val="center"/>
                    <w:rPr>
                      <w:color w:val="FF0000"/>
                      <w:szCs w:val="21"/>
                      <w:u w:val="single"/>
                    </w:rPr>
                  </w:pPr>
                  <w:r>
                    <w:rPr>
                      <w:color w:val="FF0000"/>
                      <w:szCs w:val="21"/>
                      <w:u w:val="single"/>
                    </w:rPr>
                    <w:t>45.0</w:t>
                  </w:r>
                </w:p>
              </w:tc>
              <w:tc>
                <w:tcPr>
                  <w:tcW w:w="1282" w:type="pct"/>
                  <w:vAlign w:val="center"/>
                </w:tcPr>
                <w:p w14:paraId="73682609">
                  <w:pPr>
                    <w:jc w:val="center"/>
                    <w:rPr>
                      <w:color w:val="FF0000"/>
                      <w:szCs w:val="21"/>
                      <w:u w:val="single"/>
                    </w:rPr>
                  </w:pPr>
                  <w:r>
                    <w:rPr>
                      <w:color w:val="FF0000"/>
                      <w:szCs w:val="21"/>
                      <w:u w:val="single"/>
                    </w:rPr>
                    <w:t>经收集后回用于生产</w:t>
                  </w:r>
                </w:p>
              </w:tc>
            </w:tr>
            <w:tr w14:paraId="15B1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Merge w:val="continue"/>
                  <w:vAlign w:val="center"/>
                </w:tcPr>
                <w:p w14:paraId="177D9B00">
                  <w:pPr>
                    <w:jc w:val="center"/>
                    <w:rPr>
                      <w:color w:val="FF0000"/>
                      <w:szCs w:val="21"/>
                      <w:u w:val="single"/>
                    </w:rPr>
                  </w:pPr>
                </w:p>
              </w:tc>
              <w:tc>
                <w:tcPr>
                  <w:tcW w:w="753" w:type="pct"/>
                  <w:vAlign w:val="center"/>
                </w:tcPr>
                <w:p w14:paraId="48B00C11">
                  <w:pPr>
                    <w:jc w:val="center"/>
                    <w:rPr>
                      <w:color w:val="FF0000"/>
                      <w:szCs w:val="21"/>
                      <w:u w:val="single"/>
                    </w:rPr>
                  </w:pPr>
                  <w:r>
                    <w:rPr>
                      <w:color w:val="FF0000"/>
                      <w:szCs w:val="21"/>
                      <w:u w:val="single"/>
                    </w:rPr>
                    <w:t>窑炉烟气除尘灰</w:t>
                  </w:r>
                </w:p>
              </w:tc>
              <w:tc>
                <w:tcPr>
                  <w:tcW w:w="415" w:type="pct"/>
                  <w:tcBorders>
                    <w:right w:val="single" w:color="000000" w:sz="4" w:space="0"/>
                  </w:tcBorders>
                  <w:vAlign w:val="center"/>
                </w:tcPr>
                <w:p w14:paraId="24CBC371">
                  <w:pPr>
                    <w:jc w:val="center"/>
                    <w:rPr>
                      <w:color w:val="FF0000"/>
                      <w:szCs w:val="21"/>
                      <w:u w:val="single"/>
                    </w:rPr>
                  </w:pPr>
                  <w:r>
                    <w:rPr>
                      <w:color w:val="FF0000"/>
                      <w:szCs w:val="21"/>
                      <w:u w:val="single"/>
                    </w:rPr>
                    <w:t>一般固废</w:t>
                  </w:r>
                </w:p>
              </w:tc>
              <w:tc>
                <w:tcPr>
                  <w:tcW w:w="670" w:type="pct"/>
                  <w:tcBorders>
                    <w:left w:val="single" w:color="000000" w:sz="4" w:space="0"/>
                    <w:right w:val="single" w:color="000000" w:sz="4" w:space="0"/>
                  </w:tcBorders>
                  <w:vAlign w:val="center"/>
                </w:tcPr>
                <w:p w14:paraId="18E78288">
                  <w:pPr>
                    <w:jc w:val="center"/>
                    <w:rPr>
                      <w:rFonts w:hint="eastAsia"/>
                      <w:color w:val="FF0000"/>
                      <w:szCs w:val="21"/>
                      <w:u w:val="single"/>
                    </w:rPr>
                  </w:pPr>
                  <w:r>
                    <w:rPr>
                      <w:rFonts w:hint="eastAsia"/>
                      <w:color w:val="FF0000"/>
                      <w:szCs w:val="21"/>
                      <w:u w:val="single"/>
                    </w:rPr>
                    <w:t>17.55</w:t>
                  </w:r>
                </w:p>
              </w:tc>
              <w:tc>
                <w:tcPr>
                  <w:tcW w:w="669" w:type="pct"/>
                  <w:tcBorders>
                    <w:left w:val="single" w:color="000000" w:sz="4" w:space="0"/>
                    <w:right w:val="single" w:color="000000" w:sz="4" w:space="0"/>
                  </w:tcBorders>
                  <w:vAlign w:val="center"/>
                </w:tcPr>
                <w:p w14:paraId="60BC1838">
                  <w:pPr>
                    <w:jc w:val="center"/>
                    <w:rPr>
                      <w:rFonts w:hint="eastAsia"/>
                      <w:color w:val="FF0000"/>
                      <w:szCs w:val="21"/>
                      <w:u w:val="single"/>
                    </w:rPr>
                  </w:pPr>
                  <w:r>
                    <w:rPr>
                      <w:rFonts w:hint="eastAsia"/>
                      <w:color w:val="FF0000"/>
                      <w:szCs w:val="21"/>
                      <w:u w:val="single"/>
                    </w:rPr>
                    <w:t>17.55</w:t>
                  </w:r>
                </w:p>
              </w:tc>
              <w:tc>
                <w:tcPr>
                  <w:tcW w:w="753" w:type="pct"/>
                  <w:tcBorders>
                    <w:left w:val="single" w:color="000000" w:sz="4" w:space="0"/>
                  </w:tcBorders>
                  <w:vAlign w:val="center"/>
                </w:tcPr>
                <w:p w14:paraId="37F251AE">
                  <w:pPr>
                    <w:jc w:val="center"/>
                    <w:rPr>
                      <w:color w:val="FF0000"/>
                      <w:szCs w:val="21"/>
                      <w:u w:val="single"/>
                    </w:rPr>
                  </w:pPr>
                  <w:r>
                    <w:rPr>
                      <w:color w:val="FF0000"/>
                      <w:szCs w:val="21"/>
                      <w:u w:val="single"/>
                    </w:rPr>
                    <w:t>35.1</w:t>
                  </w:r>
                </w:p>
              </w:tc>
              <w:tc>
                <w:tcPr>
                  <w:tcW w:w="1282" w:type="pct"/>
                  <w:vAlign w:val="center"/>
                </w:tcPr>
                <w:p w14:paraId="2C42B1F0">
                  <w:pPr>
                    <w:jc w:val="center"/>
                    <w:rPr>
                      <w:color w:val="FF0000"/>
                      <w:szCs w:val="21"/>
                      <w:u w:val="single"/>
                    </w:rPr>
                  </w:pPr>
                  <w:r>
                    <w:rPr>
                      <w:color w:val="FF0000"/>
                      <w:szCs w:val="21"/>
                      <w:u w:val="single"/>
                    </w:rPr>
                    <w:t>经收集后回用于生产</w:t>
                  </w:r>
                </w:p>
              </w:tc>
            </w:tr>
            <w:tr w14:paraId="074D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Merge w:val="continue"/>
                  <w:vAlign w:val="center"/>
                </w:tcPr>
                <w:p w14:paraId="462D4BF9">
                  <w:pPr>
                    <w:jc w:val="center"/>
                    <w:rPr>
                      <w:color w:val="FF0000"/>
                      <w:szCs w:val="21"/>
                      <w:u w:val="single"/>
                    </w:rPr>
                  </w:pPr>
                </w:p>
              </w:tc>
              <w:tc>
                <w:tcPr>
                  <w:tcW w:w="753" w:type="pct"/>
                  <w:vAlign w:val="center"/>
                </w:tcPr>
                <w:p w14:paraId="52C879EE">
                  <w:pPr>
                    <w:jc w:val="center"/>
                    <w:rPr>
                      <w:color w:val="FF0000"/>
                      <w:szCs w:val="21"/>
                      <w:u w:val="single"/>
                    </w:rPr>
                  </w:pPr>
                  <w:r>
                    <w:rPr>
                      <w:color w:val="FF0000"/>
                      <w:szCs w:val="21"/>
                      <w:u w:val="single"/>
                    </w:rPr>
                    <w:t>脱硫石膏</w:t>
                  </w:r>
                </w:p>
              </w:tc>
              <w:tc>
                <w:tcPr>
                  <w:tcW w:w="415" w:type="pct"/>
                  <w:tcBorders>
                    <w:right w:val="single" w:color="000000" w:sz="4" w:space="0"/>
                  </w:tcBorders>
                  <w:vAlign w:val="center"/>
                </w:tcPr>
                <w:p w14:paraId="6FFA7D91">
                  <w:pPr>
                    <w:jc w:val="center"/>
                    <w:rPr>
                      <w:color w:val="FF0000"/>
                      <w:szCs w:val="21"/>
                      <w:u w:val="single"/>
                    </w:rPr>
                  </w:pPr>
                  <w:r>
                    <w:rPr>
                      <w:color w:val="FF0000"/>
                      <w:szCs w:val="21"/>
                      <w:u w:val="single"/>
                    </w:rPr>
                    <w:t>一般固废</w:t>
                  </w:r>
                </w:p>
              </w:tc>
              <w:tc>
                <w:tcPr>
                  <w:tcW w:w="670" w:type="pct"/>
                  <w:tcBorders>
                    <w:left w:val="single" w:color="000000" w:sz="4" w:space="0"/>
                    <w:right w:val="single" w:color="000000" w:sz="4" w:space="0"/>
                  </w:tcBorders>
                  <w:vAlign w:val="center"/>
                </w:tcPr>
                <w:p w14:paraId="62C53A1B">
                  <w:pPr>
                    <w:jc w:val="center"/>
                    <w:rPr>
                      <w:rFonts w:hint="eastAsia"/>
                      <w:color w:val="FF0000"/>
                      <w:szCs w:val="21"/>
                      <w:u w:val="single"/>
                    </w:rPr>
                  </w:pPr>
                  <w:r>
                    <w:rPr>
                      <w:rFonts w:hint="eastAsia"/>
                      <w:color w:val="FF0000"/>
                      <w:szCs w:val="21"/>
                      <w:u w:val="single"/>
                    </w:rPr>
                    <w:t>1105.5</w:t>
                  </w:r>
                </w:p>
              </w:tc>
              <w:tc>
                <w:tcPr>
                  <w:tcW w:w="669" w:type="pct"/>
                  <w:tcBorders>
                    <w:left w:val="single" w:color="000000" w:sz="4" w:space="0"/>
                    <w:right w:val="single" w:color="000000" w:sz="4" w:space="0"/>
                  </w:tcBorders>
                  <w:vAlign w:val="center"/>
                </w:tcPr>
                <w:p w14:paraId="6A56DDB8">
                  <w:pPr>
                    <w:jc w:val="center"/>
                    <w:rPr>
                      <w:rFonts w:hint="eastAsia"/>
                      <w:color w:val="FF0000"/>
                      <w:szCs w:val="21"/>
                      <w:u w:val="single"/>
                    </w:rPr>
                  </w:pPr>
                  <w:r>
                    <w:rPr>
                      <w:rFonts w:hint="eastAsia"/>
                      <w:color w:val="FF0000"/>
                      <w:szCs w:val="21"/>
                      <w:u w:val="single"/>
                    </w:rPr>
                    <w:t>1105.5</w:t>
                  </w:r>
                </w:p>
              </w:tc>
              <w:tc>
                <w:tcPr>
                  <w:tcW w:w="753" w:type="pct"/>
                  <w:tcBorders>
                    <w:left w:val="single" w:color="000000" w:sz="4" w:space="0"/>
                  </w:tcBorders>
                  <w:vAlign w:val="center"/>
                </w:tcPr>
                <w:p w14:paraId="3F23B4A1">
                  <w:pPr>
                    <w:jc w:val="center"/>
                    <w:rPr>
                      <w:color w:val="FF0000"/>
                      <w:szCs w:val="21"/>
                      <w:u w:val="single"/>
                    </w:rPr>
                  </w:pPr>
                  <w:r>
                    <w:rPr>
                      <w:color w:val="FF0000"/>
                      <w:szCs w:val="21"/>
                      <w:u w:val="single"/>
                    </w:rPr>
                    <w:t>2211</w:t>
                  </w:r>
                </w:p>
              </w:tc>
              <w:tc>
                <w:tcPr>
                  <w:tcW w:w="1282" w:type="pct"/>
                  <w:vAlign w:val="center"/>
                </w:tcPr>
                <w:p w14:paraId="3C2C372D">
                  <w:pPr>
                    <w:jc w:val="center"/>
                    <w:rPr>
                      <w:color w:val="FF0000"/>
                      <w:szCs w:val="21"/>
                      <w:u w:val="single"/>
                    </w:rPr>
                  </w:pPr>
                  <w:r>
                    <w:rPr>
                      <w:color w:val="FF0000"/>
                      <w:szCs w:val="21"/>
                      <w:u w:val="single"/>
                    </w:rPr>
                    <w:t>经收集后做为生产原料回用于生产</w:t>
                  </w:r>
                </w:p>
              </w:tc>
            </w:tr>
            <w:tr w14:paraId="2A98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58" w:type="pct"/>
                  <w:vMerge w:val="continue"/>
                  <w:vAlign w:val="center"/>
                </w:tcPr>
                <w:p w14:paraId="42D88F5B">
                  <w:pPr>
                    <w:jc w:val="center"/>
                    <w:rPr>
                      <w:color w:val="FF0000"/>
                      <w:szCs w:val="21"/>
                      <w:u w:val="single"/>
                    </w:rPr>
                  </w:pPr>
                </w:p>
              </w:tc>
              <w:tc>
                <w:tcPr>
                  <w:tcW w:w="753" w:type="pct"/>
                  <w:vAlign w:val="center"/>
                </w:tcPr>
                <w:p w14:paraId="09006D0E">
                  <w:pPr>
                    <w:jc w:val="center"/>
                    <w:rPr>
                      <w:color w:val="FF0000"/>
                      <w:szCs w:val="21"/>
                      <w:u w:val="single"/>
                    </w:rPr>
                  </w:pPr>
                  <w:r>
                    <w:rPr>
                      <w:color w:val="FF0000"/>
                      <w:szCs w:val="21"/>
                      <w:u w:val="single"/>
                    </w:rPr>
                    <w:t>洗车装置沉淀池底泥</w:t>
                  </w:r>
                </w:p>
              </w:tc>
              <w:tc>
                <w:tcPr>
                  <w:tcW w:w="415" w:type="pct"/>
                  <w:tcBorders>
                    <w:right w:val="single" w:color="000000" w:sz="4" w:space="0"/>
                  </w:tcBorders>
                  <w:vAlign w:val="center"/>
                </w:tcPr>
                <w:p w14:paraId="70646123">
                  <w:pPr>
                    <w:jc w:val="center"/>
                    <w:rPr>
                      <w:color w:val="FF0000"/>
                      <w:szCs w:val="21"/>
                      <w:u w:val="single"/>
                    </w:rPr>
                  </w:pPr>
                  <w:r>
                    <w:rPr>
                      <w:color w:val="FF0000"/>
                      <w:szCs w:val="21"/>
                      <w:u w:val="single"/>
                    </w:rPr>
                    <w:t>一般固废</w:t>
                  </w:r>
                </w:p>
              </w:tc>
              <w:tc>
                <w:tcPr>
                  <w:tcW w:w="670" w:type="pct"/>
                  <w:tcBorders>
                    <w:left w:val="single" w:color="000000" w:sz="4" w:space="0"/>
                    <w:right w:val="single" w:color="000000" w:sz="4" w:space="0"/>
                  </w:tcBorders>
                  <w:vAlign w:val="center"/>
                </w:tcPr>
                <w:p w14:paraId="354A4456">
                  <w:pPr>
                    <w:jc w:val="center"/>
                    <w:rPr>
                      <w:rFonts w:hint="eastAsia"/>
                      <w:color w:val="FF0000"/>
                      <w:szCs w:val="21"/>
                      <w:u w:val="single"/>
                    </w:rPr>
                  </w:pPr>
                  <w:r>
                    <w:rPr>
                      <w:rFonts w:hint="eastAsia"/>
                      <w:color w:val="FF0000"/>
                      <w:szCs w:val="21"/>
                      <w:u w:val="single"/>
                    </w:rPr>
                    <w:t>0.75</w:t>
                  </w:r>
                </w:p>
              </w:tc>
              <w:tc>
                <w:tcPr>
                  <w:tcW w:w="669" w:type="pct"/>
                  <w:tcBorders>
                    <w:left w:val="single" w:color="000000" w:sz="4" w:space="0"/>
                    <w:right w:val="single" w:color="000000" w:sz="4" w:space="0"/>
                  </w:tcBorders>
                  <w:vAlign w:val="center"/>
                </w:tcPr>
                <w:p w14:paraId="3AE57AF0">
                  <w:pPr>
                    <w:jc w:val="center"/>
                    <w:rPr>
                      <w:rFonts w:hint="eastAsia"/>
                      <w:color w:val="FF0000"/>
                      <w:szCs w:val="21"/>
                      <w:u w:val="single"/>
                    </w:rPr>
                  </w:pPr>
                  <w:r>
                    <w:rPr>
                      <w:rFonts w:hint="eastAsia"/>
                      <w:color w:val="FF0000"/>
                      <w:szCs w:val="21"/>
                      <w:u w:val="single"/>
                    </w:rPr>
                    <w:t>0.75</w:t>
                  </w:r>
                </w:p>
              </w:tc>
              <w:tc>
                <w:tcPr>
                  <w:tcW w:w="753" w:type="pct"/>
                  <w:tcBorders>
                    <w:left w:val="single" w:color="000000" w:sz="4" w:space="0"/>
                  </w:tcBorders>
                  <w:vAlign w:val="center"/>
                </w:tcPr>
                <w:p w14:paraId="542F0169">
                  <w:pPr>
                    <w:jc w:val="center"/>
                    <w:rPr>
                      <w:color w:val="FF0000"/>
                      <w:szCs w:val="21"/>
                      <w:u w:val="single"/>
                    </w:rPr>
                  </w:pPr>
                  <w:r>
                    <w:rPr>
                      <w:color w:val="FF0000"/>
                      <w:szCs w:val="21"/>
                      <w:u w:val="single"/>
                    </w:rPr>
                    <w:t>1.5</w:t>
                  </w:r>
                </w:p>
              </w:tc>
              <w:tc>
                <w:tcPr>
                  <w:tcW w:w="1282" w:type="pct"/>
                  <w:vAlign w:val="center"/>
                </w:tcPr>
                <w:p w14:paraId="5FD93376">
                  <w:pPr>
                    <w:jc w:val="center"/>
                    <w:rPr>
                      <w:color w:val="FF0000"/>
                      <w:szCs w:val="21"/>
                      <w:u w:val="single"/>
                    </w:rPr>
                  </w:pPr>
                  <w:r>
                    <w:rPr>
                      <w:color w:val="FF0000"/>
                      <w:szCs w:val="21"/>
                      <w:u w:val="single"/>
                    </w:rPr>
                    <w:t>经收集后做为生产原料回用于生产</w:t>
                  </w:r>
                </w:p>
              </w:tc>
            </w:tr>
            <w:tr w14:paraId="4C08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Align w:val="center"/>
                </w:tcPr>
                <w:p w14:paraId="285CF062">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设备维护</w:t>
                  </w:r>
                </w:p>
              </w:tc>
              <w:tc>
                <w:tcPr>
                  <w:tcW w:w="753" w:type="pct"/>
                  <w:vAlign w:val="center"/>
                </w:tcPr>
                <w:p w14:paraId="107EA00B">
                  <w:pPr>
                    <w:widowControl/>
                    <w:jc w:val="center"/>
                    <w:rPr>
                      <w:color w:val="FF0000"/>
                      <w:szCs w:val="21"/>
                      <w:u w:val="single"/>
                    </w:rPr>
                  </w:pPr>
                  <w:r>
                    <w:rPr>
                      <w:color w:val="FF0000"/>
                      <w:kern w:val="0"/>
                      <w:szCs w:val="21"/>
                      <w:u w:val="single"/>
                    </w:rPr>
                    <w:t>废机油</w:t>
                  </w:r>
                </w:p>
              </w:tc>
              <w:tc>
                <w:tcPr>
                  <w:tcW w:w="415" w:type="pct"/>
                  <w:tcBorders>
                    <w:right w:val="single" w:color="000000" w:sz="4" w:space="0"/>
                  </w:tcBorders>
                  <w:vAlign w:val="center"/>
                </w:tcPr>
                <w:p w14:paraId="64CE8190">
                  <w:pPr>
                    <w:jc w:val="center"/>
                    <w:rPr>
                      <w:color w:val="FF0000"/>
                      <w:szCs w:val="21"/>
                      <w:u w:val="single"/>
                    </w:rPr>
                  </w:pPr>
                  <w:r>
                    <w:rPr>
                      <w:color w:val="FF0000"/>
                      <w:szCs w:val="21"/>
                      <w:u w:val="single"/>
                    </w:rPr>
                    <w:t>危险固废</w:t>
                  </w:r>
                </w:p>
              </w:tc>
              <w:tc>
                <w:tcPr>
                  <w:tcW w:w="670" w:type="pct"/>
                  <w:tcBorders>
                    <w:left w:val="single" w:color="000000" w:sz="4" w:space="0"/>
                    <w:right w:val="single" w:color="000000" w:sz="4" w:space="0"/>
                  </w:tcBorders>
                  <w:vAlign w:val="center"/>
                </w:tcPr>
                <w:p w14:paraId="1CF5CB2A">
                  <w:pPr>
                    <w:jc w:val="center"/>
                    <w:rPr>
                      <w:rFonts w:hint="eastAsia"/>
                      <w:color w:val="FF0000"/>
                      <w:szCs w:val="21"/>
                      <w:u w:val="single"/>
                    </w:rPr>
                  </w:pPr>
                  <w:r>
                    <w:rPr>
                      <w:rFonts w:hint="eastAsia"/>
                      <w:color w:val="FF0000"/>
                      <w:szCs w:val="21"/>
                      <w:u w:val="single"/>
                    </w:rPr>
                    <w:t>0.25</w:t>
                  </w:r>
                </w:p>
              </w:tc>
              <w:tc>
                <w:tcPr>
                  <w:tcW w:w="669" w:type="pct"/>
                  <w:tcBorders>
                    <w:left w:val="single" w:color="000000" w:sz="4" w:space="0"/>
                    <w:right w:val="single" w:color="000000" w:sz="4" w:space="0"/>
                  </w:tcBorders>
                  <w:vAlign w:val="center"/>
                </w:tcPr>
                <w:p w14:paraId="365D7EE5">
                  <w:pPr>
                    <w:jc w:val="center"/>
                    <w:rPr>
                      <w:rFonts w:hint="eastAsia"/>
                      <w:color w:val="FF0000"/>
                      <w:szCs w:val="21"/>
                      <w:u w:val="single"/>
                    </w:rPr>
                  </w:pPr>
                  <w:r>
                    <w:rPr>
                      <w:rFonts w:hint="eastAsia"/>
                      <w:color w:val="FF0000"/>
                      <w:szCs w:val="21"/>
                      <w:u w:val="single"/>
                    </w:rPr>
                    <w:t>0.25</w:t>
                  </w:r>
                </w:p>
              </w:tc>
              <w:tc>
                <w:tcPr>
                  <w:tcW w:w="753" w:type="pct"/>
                  <w:tcBorders>
                    <w:left w:val="single" w:color="000000" w:sz="4" w:space="0"/>
                  </w:tcBorders>
                  <w:vAlign w:val="center"/>
                </w:tcPr>
                <w:p w14:paraId="0376AC66">
                  <w:pPr>
                    <w:jc w:val="center"/>
                    <w:rPr>
                      <w:color w:val="FF0000"/>
                      <w:szCs w:val="21"/>
                      <w:u w:val="single"/>
                    </w:rPr>
                  </w:pPr>
                  <w:r>
                    <w:rPr>
                      <w:color w:val="FF0000"/>
                      <w:szCs w:val="21"/>
                      <w:u w:val="single"/>
                    </w:rPr>
                    <w:t>0.5</w:t>
                  </w:r>
                </w:p>
              </w:tc>
              <w:tc>
                <w:tcPr>
                  <w:tcW w:w="1282" w:type="pct"/>
                  <w:vAlign w:val="center"/>
                </w:tcPr>
                <w:p w14:paraId="6F9BEE11">
                  <w:pPr>
                    <w:jc w:val="center"/>
                    <w:rPr>
                      <w:color w:val="FF0000"/>
                      <w:szCs w:val="21"/>
                      <w:u w:val="single"/>
                    </w:rPr>
                  </w:pPr>
                  <w:r>
                    <w:rPr>
                      <w:color w:val="FF0000"/>
                      <w:szCs w:val="21"/>
                      <w:u w:val="single"/>
                    </w:rPr>
                    <w:t>暂存于危废暂存间（20m</w:t>
                  </w:r>
                  <w:r>
                    <w:rPr>
                      <w:color w:val="FF0000"/>
                      <w:szCs w:val="21"/>
                      <w:u w:val="single"/>
                      <w:vertAlign w:val="superscript"/>
                    </w:rPr>
                    <w:t>2</w:t>
                  </w:r>
                  <w:r>
                    <w:rPr>
                      <w:color w:val="FF0000"/>
                      <w:szCs w:val="21"/>
                      <w:u w:val="single"/>
                    </w:rPr>
                    <w:t>），委托有资质单位处置</w:t>
                  </w:r>
                </w:p>
              </w:tc>
            </w:tr>
            <w:tr w14:paraId="63BC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Align w:val="center"/>
                </w:tcPr>
                <w:p w14:paraId="0F400556">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员工生活</w:t>
                  </w:r>
                </w:p>
              </w:tc>
              <w:tc>
                <w:tcPr>
                  <w:tcW w:w="753" w:type="pct"/>
                  <w:vAlign w:val="center"/>
                </w:tcPr>
                <w:p w14:paraId="26197FEC">
                  <w:pPr>
                    <w:pStyle w:val="32"/>
                    <w:spacing w:before="0" w:beforeAutospacing="0" w:after="0" w:afterAutospacing="0"/>
                    <w:jc w:val="center"/>
                    <w:rPr>
                      <w:rFonts w:ascii="Times New Roman" w:hAnsi="Times New Roman"/>
                      <w:color w:val="FF0000"/>
                      <w:sz w:val="21"/>
                      <w:szCs w:val="21"/>
                      <w:u w:val="single"/>
                    </w:rPr>
                  </w:pPr>
                  <w:r>
                    <w:rPr>
                      <w:rFonts w:ascii="Times New Roman" w:hAnsi="Times New Roman"/>
                      <w:color w:val="FF0000"/>
                      <w:kern w:val="2"/>
                      <w:sz w:val="21"/>
                      <w:szCs w:val="21"/>
                      <w:u w:val="single"/>
                    </w:rPr>
                    <w:t>生活垃圾</w:t>
                  </w:r>
                </w:p>
              </w:tc>
              <w:tc>
                <w:tcPr>
                  <w:tcW w:w="415" w:type="pct"/>
                  <w:tcBorders>
                    <w:right w:val="single" w:color="000000" w:sz="4" w:space="0"/>
                  </w:tcBorders>
                  <w:vAlign w:val="center"/>
                </w:tcPr>
                <w:p w14:paraId="3B4D45BE">
                  <w:pPr>
                    <w:pStyle w:val="32"/>
                    <w:spacing w:before="0" w:beforeAutospacing="0" w:after="0" w:afterAutospacing="0"/>
                    <w:jc w:val="center"/>
                    <w:rPr>
                      <w:rFonts w:ascii="Times New Roman" w:hAnsi="Times New Roman"/>
                      <w:color w:val="FF0000"/>
                      <w:sz w:val="21"/>
                      <w:szCs w:val="21"/>
                      <w:u w:val="single"/>
                    </w:rPr>
                  </w:pPr>
                  <w:r>
                    <w:rPr>
                      <w:rFonts w:ascii="Times New Roman" w:hAnsi="Times New Roman"/>
                      <w:color w:val="FF0000"/>
                      <w:kern w:val="2"/>
                      <w:sz w:val="21"/>
                      <w:szCs w:val="21"/>
                      <w:u w:val="single"/>
                    </w:rPr>
                    <w:t>生活垃圾</w:t>
                  </w:r>
                </w:p>
              </w:tc>
              <w:tc>
                <w:tcPr>
                  <w:tcW w:w="670" w:type="pct"/>
                  <w:tcBorders>
                    <w:left w:val="single" w:color="000000" w:sz="4" w:space="0"/>
                    <w:right w:val="single" w:color="000000" w:sz="4" w:space="0"/>
                  </w:tcBorders>
                  <w:vAlign w:val="center"/>
                </w:tcPr>
                <w:p w14:paraId="7EFD3EC0">
                  <w:pPr>
                    <w:pStyle w:val="32"/>
                    <w:spacing w:before="0" w:beforeAutospacing="0" w:after="0" w:afterAutospacing="0"/>
                    <w:jc w:val="center"/>
                    <w:rPr>
                      <w:rFonts w:hint="eastAsia" w:ascii="Times New Roman" w:hAnsi="Times New Roman"/>
                      <w:color w:val="FF0000"/>
                      <w:sz w:val="21"/>
                      <w:szCs w:val="21"/>
                      <w:u w:val="single"/>
                    </w:rPr>
                  </w:pPr>
                  <w:r>
                    <w:rPr>
                      <w:rFonts w:hint="eastAsia" w:ascii="Times New Roman" w:hAnsi="Times New Roman"/>
                      <w:color w:val="FF0000"/>
                      <w:sz w:val="21"/>
                      <w:szCs w:val="21"/>
                      <w:u w:val="single"/>
                    </w:rPr>
                    <w:t>9.9</w:t>
                  </w:r>
                </w:p>
              </w:tc>
              <w:tc>
                <w:tcPr>
                  <w:tcW w:w="669" w:type="pct"/>
                  <w:tcBorders>
                    <w:left w:val="single" w:color="000000" w:sz="4" w:space="0"/>
                    <w:right w:val="single" w:color="000000" w:sz="4" w:space="0"/>
                  </w:tcBorders>
                  <w:vAlign w:val="center"/>
                </w:tcPr>
                <w:p w14:paraId="04854C4A">
                  <w:pPr>
                    <w:pStyle w:val="32"/>
                    <w:spacing w:before="0" w:beforeAutospacing="0" w:after="0" w:afterAutospacing="0"/>
                    <w:jc w:val="center"/>
                    <w:rPr>
                      <w:rFonts w:hint="eastAsia" w:ascii="Times New Roman" w:hAnsi="Times New Roman"/>
                      <w:color w:val="FF0000"/>
                      <w:sz w:val="21"/>
                      <w:szCs w:val="21"/>
                      <w:u w:val="single"/>
                    </w:rPr>
                  </w:pPr>
                  <w:r>
                    <w:rPr>
                      <w:rFonts w:hint="eastAsia" w:ascii="Times New Roman" w:hAnsi="Times New Roman"/>
                      <w:color w:val="FF0000"/>
                      <w:sz w:val="21"/>
                      <w:szCs w:val="21"/>
                      <w:u w:val="single"/>
                    </w:rPr>
                    <w:t>9.9</w:t>
                  </w:r>
                </w:p>
              </w:tc>
              <w:tc>
                <w:tcPr>
                  <w:tcW w:w="753" w:type="pct"/>
                  <w:tcBorders>
                    <w:left w:val="single" w:color="000000" w:sz="4" w:space="0"/>
                  </w:tcBorders>
                  <w:vAlign w:val="center"/>
                </w:tcPr>
                <w:p w14:paraId="5544CA20">
                  <w:pPr>
                    <w:pStyle w:val="32"/>
                    <w:spacing w:before="0" w:beforeAutospacing="0" w:after="0" w:afterAutospacing="0"/>
                    <w:jc w:val="center"/>
                    <w:rPr>
                      <w:rFonts w:hint="eastAsia" w:ascii="Times New Roman" w:hAnsi="Times New Roman"/>
                      <w:color w:val="FF0000"/>
                      <w:sz w:val="21"/>
                      <w:szCs w:val="21"/>
                      <w:u w:val="single"/>
                    </w:rPr>
                  </w:pPr>
                  <w:r>
                    <w:rPr>
                      <w:rFonts w:hint="eastAsia" w:ascii="Times New Roman" w:hAnsi="Times New Roman"/>
                      <w:color w:val="FF0000"/>
                      <w:sz w:val="21"/>
                      <w:szCs w:val="21"/>
                      <w:u w:val="single"/>
                    </w:rPr>
                    <w:t>19.8</w:t>
                  </w:r>
                </w:p>
              </w:tc>
              <w:tc>
                <w:tcPr>
                  <w:tcW w:w="1282" w:type="pct"/>
                  <w:vAlign w:val="center"/>
                </w:tcPr>
                <w:p w14:paraId="33A533B0">
                  <w:pPr>
                    <w:pStyle w:val="32"/>
                    <w:spacing w:before="0" w:beforeAutospacing="0" w:after="0" w:afterAutospacing="0"/>
                    <w:jc w:val="center"/>
                    <w:rPr>
                      <w:rFonts w:ascii="Times New Roman" w:hAnsi="Times New Roman"/>
                      <w:color w:val="FF0000"/>
                      <w:kern w:val="2"/>
                      <w:sz w:val="21"/>
                      <w:szCs w:val="21"/>
                      <w:u w:val="single"/>
                    </w:rPr>
                  </w:pPr>
                  <w:r>
                    <w:rPr>
                      <w:rFonts w:ascii="Times New Roman" w:hAnsi="Times New Roman"/>
                      <w:color w:val="FF0000"/>
                      <w:kern w:val="2"/>
                      <w:sz w:val="21"/>
                      <w:szCs w:val="21"/>
                      <w:u w:val="single"/>
                    </w:rPr>
                    <w:t>集中收集后交由环卫部门外运</w:t>
                  </w:r>
                </w:p>
              </w:tc>
            </w:tr>
          </w:tbl>
          <w:p w14:paraId="46A85CF6">
            <w:pPr>
              <w:adjustRightInd w:val="0"/>
              <w:snapToGrid w:val="0"/>
              <w:spacing w:line="480" w:lineRule="exact"/>
              <w:rPr>
                <w:rFonts w:eastAsia="黑体"/>
                <w:bCs/>
                <w:sz w:val="24"/>
                <w:szCs w:val="21"/>
              </w:rPr>
            </w:pPr>
            <w:r>
              <w:rPr>
                <w:rFonts w:eastAsia="黑体"/>
                <w:bCs/>
                <w:sz w:val="24"/>
                <w:szCs w:val="21"/>
              </w:rPr>
              <w:t>4、现有工程存在的环境问题及整改措施</w:t>
            </w:r>
          </w:p>
          <w:p w14:paraId="69D0F699">
            <w:pPr>
              <w:spacing w:line="520" w:lineRule="exact"/>
              <w:ind w:firstLine="480" w:firstLineChars="200"/>
              <w:jc w:val="left"/>
              <w:rPr>
                <w:bCs/>
                <w:color w:val="FF0000"/>
                <w:sz w:val="24"/>
                <w:szCs w:val="21"/>
                <w:u w:val="single"/>
              </w:rPr>
            </w:pPr>
            <w:r>
              <w:rPr>
                <w:bCs/>
                <w:color w:val="FF0000"/>
                <w:sz w:val="24"/>
                <w:szCs w:val="21"/>
                <w:u w:val="single"/>
              </w:rPr>
              <w:t>现有工程存在的环保问题及整改措施如下：</w:t>
            </w:r>
          </w:p>
          <w:p w14:paraId="4A24FA80">
            <w:pPr>
              <w:spacing w:line="500" w:lineRule="exact"/>
              <w:jc w:val="center"/>
              <w:rPr>
                <w:rFonts w:eastAsia="黑体"/>
                <w:color w:val="FF0000"/>
                <w:sz w:val="24"/>
                <w:szCs w:val="32"/>
                <w:u w:val="single"/>
              </w:rPr>
            </w:pPr>
            <w:r>
              <w:rPr>
                <w:rFonts w:eastAsia="黑体"/>
                <w:color w:val="FF0000"/>
                <w:sz w:val="24"/>
                <w:szCs w:val="32"/>
                <w:u w:val="single"/>
              </w:rPr>
              <w:t>表2-28      现有工程存在的环保问题及整改措施</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3523"/>
              <w:gridCol w:w="4159"/>
            </w:tblGrid>
            <w:tr w14:paraId="63D2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Align w:val="center"/>
                </w:tcPr>
                <w:p w14:paraId="7CF556C2">
                  <w:pPr>
                    <w:adjustRightInd w:val="0"/>
                    <w:snapToGrid w:val="0"/>
                    <w:spacing w:line="360" w:lineRule="exact"/>
                    <w:jc w:val="center"/>
                    <w:rPr>
                      <w:color w:val="FF0000"/>
                      <w:szCs w:val="21"/>
                      <w:u w:val="single"/>
                    </w:rPr>
                  </w:pPr>
                  <w:r>
                    <w:rPr>
                      <w:color w:val="FF0000"/>
                      <w:szCs w:val="21"/>
                      <w:u w:val="single"/>
                    </w:rPr>
                    <w:t>序号</w:t>
                  </w:r>
                </w:p>
              </w:tc>
              <w:tc>
                <w:tcPr>
                  <w:tcW w:w="2083" w:type="pct"/>
                  <w:vAlign w:val="center"/>
                </w:tcPr>
                <w:p w14:paraId="6B0E5C37">
                  <w:pPr>
                    <w:adjustRightInd w:val="0"/>
                    <w:snapToGrid w:val="0"/>
                    <w:spacing w:line="360" w:lineRule="exact"/>
                    <w:jc w:val="center"/>
                    <w:rPr>
                      <w:color w:val="FF0000"/>
                      <w:szCs w:val="21"/>
                      <w:u w:val="single"/>
                    </w:rPr>
                  </w:pPr>
                  <w:r>
                    <w:rPr>
                      <w:color w:val="FF0000"/>
                      <w:szCs w:val="21"/>
                      <w:u w:val="single"/>
                    </w:rPr>
                    <w:t>环保问题</w:t>
                  </w:r>
                </w:p>
              </w:tc>
              <w:tc>
                <w:tcPr>
                  <w:tcW w:w="2459" w:type="pct"/>
                  <w:vAlign w:val="center"/>
                </w:tcPr>
                <w:p w14:paraId="20F4A10B">
                  <w:pPr>
                    <w:adjustRightInd w:val="0"/>
                    <w:snapToGrid w:val="0"/>
                    <w:spacing w:line="360" w:lineRule="exact"/>
                    <w:jc w:val="center"/>
                    <w:rPr>
                      <w:color w:val="FF0000"/>
                      <w:szCs w:val="21"/>
                      <w:u w:val="single"/>
                    </w:rPr>
                  </w:pPr>
                  <w:r>
                    <w:rPr>
                      <w:color w:val="FF0000"/>
                      <w:szCs w:val="21"/>
                      <w:u w:val="single"/>
                    </w:rPr>
                    <w:t>整改措施</w:t>
                  </w:r>
                </w:p>
              </w:tc>
            </w:tr>
            <w:tr w14:paraId="7868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Align w:val="center"/>
                </w:tcPr>
                <w:p w14:paraId="63003781">
                  <w:pPr>
                    <w:adjustRightInd w:val="0"/>
                    <w:snapToGrid w:val="0"/>
                    <w:spacing w:line="360" w:lineRule="exact"/>
                    <w:jc w:val="center"/>
                    <w:rPr>
                      <w:color w:val="FF0000"/>
                      <w:szCs w:val="21"/>
                      <w:highlight w:val="yellow"/>
                      <w:u w:val="single"/>
                    </w:rPr>
                  </w:pPr>
                  <w:r>
                    <w:rPr>
                      <w:color w:val="FF0000"/>
                      <w:szCs w:val="21"/>
                      <w:u w:val="single"/>
                    </w:rPr>
                    <w:t>六和建材</w:t>
                  </w:r>
                </w:p>
              </w:tc>
              <w:tc>
                <w:tcPr>
                  <w:tcW w:w="2083" w:type="pct"/>
                  <w:vAlign w:val="center"/>
                </w:tcPr>
                <w:p w14:paraId="1A5E35D8">
                  <w:pPr>
                    <w:adjustRightInd w:val="0"/>
                    <w:snapToGrid w:val="0"/>
                    <w:spacing w:line="360" w:lineRule="exact"/>
                    <w:jc w:val="center"/>
                    <w:rPr>
                      <w:color w:val="FF0000"/>
                      <w:szCs w:val="21"/>
                      <w:highlight w:val="yellow"/>
                      <w:u w:val="single"/>
                    </w:rPr>
                  </w:pPr>
                  <w:r>
                    <w:rPr>
                      <w:color w:val="FF0000"/>
                      <w:szCs w:val="21"/>
                      <w:u w:val="single"/>
                    </w:rPr>
                    <w:t>六和建材生产设施陈旧、环保设施维护和运行不善，颗粒物、二氧化硫排放浓度已不能</w:t>
                  </w:r>
                  <w:r>
                    <w:rPr>
                      <w:bCs/>
                      <w:color w:val="FF0000"/>
                      <w:szCs w:val="21"/>
                      <w:u w:val="single"/>
                    </w:rPr>
                    <w:t>满足《砖瓦工业大气污染物排放标准》（DB41/2234-2022）标准限值（颗粒物10mg/m</w:t>
                  </w:r>
                  <w:r>
                    <w:rPr>
                      <w:bCs/>
                      <w:color w:val="FF0000"/>
                      <w:szCs w:val="21"/>
                      <w:u w:val="single"/>
                      <w:vertAlign w:val="superscript"/>
                    </w:rPr>
                    <w:t>3</w:t>
                  </w:r>
                  <w:r>
                    <w:rPr>
                      <w:bCs/>
                      <w:color w:val="FF0000"/>
                      <w:szCs w:val="21"/>
                      <w:u w:val="single"/>
                    </w:rPr>
                    <w:t>）要求</w:t>
                  </w:r>
                  <w:r>
                    <w:rPr>
                      <w:color w:val="FF0000"/>
                      <w:szCs w:val="21"/>
                      <w:u w:val="single"/>
                    </w:rPr>
                    <w:t>，二氧化硫排放量超过原总量核定文件核定总量</w:t>
                  </w:r>
                </w:p>
              </w:tc>
              <w:tc>
                <w:tcPr>
                  <w:tcW w:w="2459" w:type="pct"/>
                  <w:vAlign w:val="center"/>
                </w:tcPr>
                <w:p w14:paraId="2B445B1D">
                  <w:pPr>
                    <w:adjustRightInd w:val="0"/>
                    <w:snapToGrid w:val="0"/>
                    <w:spacing w:line="360" w:lineRule="exact"/>
                    <w:jc w:val="center"/>
                    <w:rPr>
                      <w:color w:val="FF0000"/>
                      <w:szCs w:val="21"/>
                      <w:highlight w:val="yellow"/>
                      <w:u w:val="single"/>
                    </w:rPr>
                  </w:pPr>
                  <w:r>
                    <w:rPr>
                      <w:bCs/>
                      <w:color w:val="FF0000"/>
                      <w:szCs w:val="21"/>
                      <w:u w:val="single"/>
                    </w:rPr>
                    <w:t>本次技改工程六和建材和三兴建材合并重组，选址位于三兴建材院内，六和建材原厂址的生产设施将永久关停。技改工程按照环保绩效分级 A 级水平完善各项环保设施，确保各项污染物稳定达标排放</w:t>
                  </w:r>
                </w:p>
              </w:tc>
            </w:tr>
            <w:tr w14:paraId="2DAE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Merge w:val="restart"/>
                  <w:vAlign w:val="center"/>
                </w:tcPr>
                <w:p w14:paraId="2E1847FD">
                  <w:pPr>
                    <w:adjustRightInd w:val="0"/>
                    <w:snapToGrid w:val="0"/>
                    <w:spacing w:line="360" w:lineRule="exact"/>
                    <w:jc w:val="center"/>
                    <w:rPr>
                      <w:color w:val="FF0000"/>
                      <w:szCs w:val="21"/>
                      <w:u w:val="single"/>
                    </w:rPr>
                  </w:pPr>
                  <w:r>
                    <w:rPr>
                      <w:color w:val="FF0000"/>
                      <w:szCs w:val="21"/>
                      <w:u w:val="single"/>
                    </w:rPr>
                    <w:t>三兴建材</w:t>
                  </w:r>
                </w:p>
              </w:tc>
              <w:tc>
                <w:tcPr>
                  <w:tcW w:w="2083" w:type="pct"/>
                  <w:vAlign w:val="center"/>
                </w:tcPr>
                <w:p w14:paraId="748E77AB">
                  <w:pPr>
                    <w:adjustRightInd w:val="0"/>
                    <w:snapToGrid w:val="0"/>
                    <w:spacing w:line="360" w:lineRule="exact"/>
                    <w:jc w:val="center"/>
                    <w:rPr>
                      <w:color w:val="FF0000"/>
                      <w:szCs w:val="21"/>
                      <w:u w:val="single"/>
                    </w:rPr>
                  </w:pPr>
                  <w:r>
                    <w:rPr>
                      <w:color w:val="FF0000"/>
                      <w:szCs w:val="21"/>
                      <w:u w:val="single"/>
                    </w:rPr>
                    <w:t>厂区隧道窑烟气采用双碱法脱硫+湿电除尘，无脱硝工艺，不符合绩效分级A级企业要求。</w:t>
                  </w:r>
                </w:p>
              </w:tc>
              <w:tc>
                <w:tcPr>
                  <w:tcW w:w="2459" w:type="pct"/>
                  <w:vAlign w:val="center"/>
                </w:tcPr>
                <w:p w14:paraId="1891D542">
                  <w:pPr>
                    <w:adjustRightInd w:val="0"/>
                    <w:snapToGrid w:val="0"/>
                    <w:spacing w:line="360" w:lineRule="exact"/>
                    <w:jc w:val="center"/>
                    <w:rPr>
                      <w:color w:val="FF0000"/>
                      <w:szCs w:val="21"/>
                      <w:u w:val="single"/>
                    </w:rPr>
                  </w:pPr>
                  <w:r>
                    <w:rPr>
                      <w:color w:val="FF0000"/>
                      <w:szCs w:val="21"/>
                      <w:u w:val="single"/>
                    </w:rPr>
                    <w:t>本次技改新增脱硝设施，采用选择性非催化还原工艺，即 SNCR 脱硝工艺；淘汰现有双碱法脱硫系统，新增1套石灰-石膏湿法脱硫系统</w:t>
                  </w:r>
                </w:p>
              </w:tc>
            </w:tr>
            <w:tr w14:paraId="03C5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Merge w:val="continue"/>
                  <w:vAlign w:val="center"/>
                </w:tcPr>
                <w:p w14:paraId="2CF146A4">
                  <w:pPr>
                    <w:adjustRightInd w:val="0"/>
                    <w:snapToGrid w:val="0"/>
                    <w:spacing w:line="360" w:lineRule="exact"/>
                    <w:jc w:val="center"/>
                    <w:rPr>
                      <w:color w:val="FF0000"/>
                      <w:szCs w:val="21"/>
                      <w:u w:val="single"/>
                    </w:rPr>
                  </w:pPr>
                </w:p>
              </w:tc>
              <w:tc>
                <w:tcPr>
                  <w:tcW w:w="2083" w:type="pct"/>
                  <w:vAlign w:val="center"/>
                </w:tcPr>
                <w:p w14:paraId="3F2FCF94">
                  <w:pPr>
                    <w:adjustRightInd w:val="0"/>
                    <w:snapToGrid w:val="0"/>
                    <w:spacing w:line="360" w:lineRule="exact"/>
                    <w:jc w:val="center"/>
                    <w:rPr>
                      <w:color w:val="FF0000"/>
                      <w:szCs w:val="21"/>
                      <w:u w:val="single"/>
                    </w:rPr>
                  </w:pPr>
                  <w:r>
                    <w:rPr>
                      <w:color w:val="FF0000"/>
                      <w:szCs w:val="21"/>
                      <w:u w:val="single"/>
                    </w:rPr>
                    <w:t>现有储存脱硫剂石灰粉的筒仓粉尘经仓顶除尘器处理后未高空排放</w:t>
                  </w:r>
                </w:p>
              </w:tc>
              <w:tc>
                <w:tcPr>
                  <w:tcW w:w="2459" w:type="pct"/>
                  <w:vAlign w:val="center"/>
                </w:tcPr>
                <w:p w14:paraId="283B3DFA">
                  <w:pPr>
                    <w:adjustRightInd w:val="0"/>
                    <w:snapToGrid w:val="0"/>
                    <w:spacing w:line="360" w:lineRule="exact"/>
                    <w:jc w:val="center"/>
                    <w:rPr>
                      <w:color w:val="FF0000"/>
                      <w:szCs w:val="21"/>
                      <w:u w:val="single"/>
                    </w:rPr>
                  </w:pPr>
                  <w:r>
                    <w:rPr>
                      <w:color w:val="FF0000"/>
                      <w:szCs w:val="21"/>
                      <w:u w:val="single"/>
                    </w:rPr>
                    <w:t>项目拟利用现有石灰粉筒仓，按要求将经仓顶除尘器处理后的废气引入1根15m高排气筒排放</w:t>
                  </w:r>
                </w:p>
              </w:tc>
            </w:tr>
            <w:tr w14:paraId="058E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Merge w:val="continue"/>
                  <w:vAlign w:val="center"/>
                </w:tcPr>
                <w:p w14:paraId="499F9CA7">
                  <w:pPr>
                    <w:adjustRightInd w:val="0"/>
                    <w:snapToGrid w:val="0"/>
                    <w:spacing w:line="360" w:lineRule="exact"/>
                    <w:jc w:val="center"/>
                    <w:rPr>
                      <w:color w:val="FF0000"/>
                      <w:szCs w:val="21"/>
                      <w:u w:val="single"/>
                    </w:rPr>
                  </w:pPr>
                </w:p>
              </w:tc>
              <w:tc>
                <w:tcPr>
                  <w:tcW w:w="2083" w:type="pct"/>
                  <w:vAlign w:val="center"/>
                </w:tcPr>
                <w:p w14:paraId="0B4991C1">
                  <w:pPr>
                    <w:adjustRightInd w:val="0"/>
                    <w:snapToGrid w:val="0"/>
                    <w:spacing w:line="360" w:lineRule="exact"/>
                    <w:jc w:val="center"/>
                    <w:rPr>
                      <w:color w:val="FF0000"/>
                      <w:szCs w:val="21"/>
                      <w:u w:val="single"/>
                    </w:rPr>
                  </w:pPr>
                  <w:r>
                    <w:rPr>
                      <w:color w:val="FF0000"/>
                      <w:szCs w:val="21"/>
                      <w:u w:val="single"/>
                    </w:rPr>
                    <w:t>厂区未设置专门的一般固废暂存区</w:t>
                  </w:r>
                </w:p>
              </w:tc>
              <w:tc>
                <w:tcPr>
                  <w:tcW w:w="2459" w:type="pct"/>
                  <w:vAlign w:val="center"/>
                </w:tcPr>
                <w:p w14:paraId="20695FD9">
                  <w:pPr>
                    <w:adjustRightInd w:val="0"/>
                    <w:snapToGrid w:val="0"/>
                    <w:spacing w:line="360" w:lineRule="exact"/>
                    <w:jc w:val="center"/>
                    <w:rPr>
                      <w:color w:val="FF0000"/>
                      <w:szCs w:val="21"/>
                      <w:u w:val="single"/>
                    </w:rPr>
                  </w:pPr>
                  <w:r>
                    <w:rPr>
                      <w:color w:val="FF0000"/>
                      <w:szCs w:val="21"/>
                      <w:u w:val="single"/>
                    </w:rPr>
                    <w:t>按照《一般工业固体废物贮存和填埋污染控制标准》（GB18599-2020）的相关要求在原料仓库内设置专门的固体废物临时暂存区，暂存区面积100m</w:t>
                  </w:r>
                  <w:r>
                    <w:rPr>
                      <w:color w:val="FF0000"/>
                      <w:szCs w:val="21"/>
                      <w:u w:val="single"/>
                      <w:vertAlign w:val="superscript"/>
                    </w:rPr>
                    <w:t>2</w:t>
                  </w:r>
                </w:p>
              </w:tc>
            </w:tr>
            <w:tr w14:paraId="41DD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Merge w:val="continue"/>
                  <w:vAlign w:val="center"/>
                </w:tcPr>
                <w:p w14:paraId="6DCAE793">
                  <w:pPr>
                    <w:adjustRightInd w:val="0"/>
                    <w:snapToGrid w:val="0"/>
                    <w:spacing w:line="360" w:lineRule="exact"/>
                    <w:jc w:val="center"/>
                    <w:rPr>
                      <w:color w:val="FF0000"/>
                      <w:szCs w:val="21"/>
                      <w:highlight w:val="yellow"/>
                      <w:u w:val="single"/>
                    </w:rPr>
                  </w:pPr>
                </w:p>
              </w:tc>
              <w:tc>
                <w:tcPr>
                  <w:tcW w:w="2083" w:type="pct"/>
                  <w:vAlign w:val="center"/>
                </w:tcPr>
                <w:p w14:paraId="1C22D2B0">
                  <w:pPr>
                    <w:adjustRightInd w:val="0"/>
                    <w:snapToGrid w:val="0"/>
                    <w:spacing w:line="360" w:lineRule="exact"/>
                    <w:jc w:val="center"/>
                    <w:rPr>
                      <w:color w:val="FF0000"/>
                      <w:szCs w:val="21"/>
                      <w:highlight w:val="yellow"/>
                      <w:u w:val="single"/>
                    </w:rPr>
                  </w:pPr>
                  <w:r>
                    <w:rPr>
                      <w:color w:val="FF0000"/>
                      <w:szCs w:val="21"/>
                      <w:u w:val="single"/>
                    </w:rPr>
                    <w:t>现有物料输送廊道、车间二次封闭措施有破损、封闭不严现象，造成生产过程颗粒物无组织逸散</w:t>
                  </w:r>
                </w:p>
              </w:tc>
              <w:tc>
                <w:tcPr>
                  <w:tcW w:w="2459" w:type="pct"/>
                  <w:vAlign w:val="center"/>
                </w:tcPr>
                <w:p w14:paraId="7EF96D25">
                  <w:pPr>
                    <w:adjustRightInd w:val="0"/>
                    <w:snapToGrid w:val="0"/>
                    <w:spacing w:line="360" w:lineRule="exact"/>
                    <w:jc w:val="center"/>
                    <w:rPr>
                      <w:color w:val="FF0000"/>
                      <w:szCs w:val="21"/>
                      <w:highlight w:val="yellow"/>
                      <w:u w:val="single"/>
                    </w:rPr>
                  </w:pPr>
                  <w:r>
                    <w:rPr>
                      <w:color w:val="FF0000"/>
                      <w:szCs w:val="21"/>
                      <w:u w:val="single"/>
                    </w:rPr>
                    <w:t>整修现有物料输送廊道，本次技改工程破碎、筛分、搅拌工序重新安装或整修二次封闭措施，加强车间和各产尘点的封闭管理和维护，严控颗粒物无组织排放</w:t>
                  </w:r>
                </w:p>
              </w:tc>
            </w:tr>
          </w:tbl>
          <w:p w14:paraId="220068A5">
            <w:pPr>
              <w:pStyle w:val="189"/>
              <w:adjustRightInd w:val="0"/>
              <w:snapToGrid w:val="0"/>
              <w:spacing w:before="0" w:after="0"/>
              <w:ind w:firstLine="0" w:firstLineChars="0"/>
              <w:rPr>
                <w:rFonts w:ascii="Times New Roman" w:hAnsi="Times New Roman"/>
                <w:color w:val="EE0000"/>
                <w:kern w:val="2"/>
              </w:rPr>
            </w:pPr>
          </w:p>
          <w:p w14:paraId="2092124A">
            <w:pPr>
              <w:pStyle w:val="189"/>
              <w:adjustRightInd w:val="0"/>
              <w:snapToGrid w:val="0"/>
              <w:spacing w:before="0" w:after="0"/>
              <w:ind w:firstLine="0" w:firstLineChars="0"/>
              <w:rPr>
                <w:rFonts w:ascii="Times New Roman" w:hAnsi="Times New Roman"/>
                <w:color w:val="EE0000"/>
                <w:kern w:val="2"/>
              </w:rPr>
            </w:pPr>
          </w:p>
          <w:p w14:paraId="56D9CF5F">
            <w:pPr>
              <w:pStyle w:val="189"/>
              <w:adjustRightInd w:val="0"/>
              <w:snapToGrid w:val="0"/>
              <w:spacing w:before="0" w:after="0"/>
              <w:ind w:firstLine="0" w:firstLineChars="0"/>
              <w:rPr>
                <w:rFonts w:ascii="Times New Roman" w:hAnsi="Times New Roman"/>
                <w:color w:val="EE0000"/>
                <w:kern w:val="2"/>
              </w:rPr>
            </w:pPr>
          </w:p>
          <w:p w14:paraId="7234E4D0">
            <w:pPr>
              <w:pStyle w:val="189"/>
              <w:adjustRightInd w:val="0"/>
              <w:snapToGrid w:val="0"/>
              <w:spacing w:before="0" w:after="0"/>
              <w:ind w:firstLine="0" w:firstLineChars="0"/>
              <w:rPr>
                <w:rFonts w:ascii="Times New Roman" w:hAnsi="Times New Roman"/>
                <w:color w:val="EE0000"/>
                <w:kern w:val="2"/>
              </w:rPr>
            </w:pPr>
          </w:p>
          <w:p w14:paraId="58E39D05">
            <w:pPr>
              <w:pStyle w:val="189"/>
              <w:adjustRightInd w:val="0"/>
              <w:snapToGrid w:val="0"/>
              <w:spacing w:before="0" w:after="0"/>
              <w:ind w:firstLine="0" w:firstLineChars="0"/>
              <w:rPr>
                <w:rFonts w:ascii="Times New Roman" w:hAnsi="Times New Roman"/>
                <w:color w:val="EE0000"/>
                <w:kern w:val="2"/>
              </w:rPr>
            </w:pPr>
          </w:p>
          <w:p w14:paraId="6EC1BDCD">
            <w:pPr>
              <w:pStyle w:val="189"/>
              <w:adjustRightInd w:val="0"/>
              <w:snapToGrid w:val="0"/>
              <w:spacing w:before="0" w:after="0"/>
              <w:ind w:firstLine="0" w:firstLineChars="0"/>
              <w:rPr>
                <w:rFonts w:ascii="Times New Roman" w:hAnsi="Times New Roman"/>
                <w:color w:val="EE0000"/>
                <w:kern w:val="2"/>
              </w:rPr>
            </w:pPr>
          </w:p>
          <w:p w14:paraId="76F3D321">
            <w:pPr>
              <w:pStyle w:val="189"/>
              <w:adjustRightInd w:val="0"/>
              <w:snapToGrid w:val="0"/>
              <w:spacing w:before="0" w:after="0"/>
              <w:ind w:firstLine="0" w:firstLineChars="0"/>
              <w:rPr>
                <w:rFonts w:ascii="Times New Roman" w:hAnsi="Times New Roman"/>
                <w:color w:val="EE0000"/>
                <w:kern w:val="2"/>
              </w:rPr>
            </w:pPr>
          </w:p>
          <w:p w14:paraId="6E21B0F7">
            <w:pPr>
              <w:pStyle w:val="189"/>
              <w:adjustRightInd w:val="0"/>
              <w:snapToGrid w:val="0"/>
              <w:spacing w:before="0" w:after="0"/>
              <w:ind w:firstLine="0" w:firstLineChars="0"/>
              <w:rPr>
                <w:rFonts w:ascii="Times New Roman" w:hAnsi="Times New Roman"/>
                <w:color w:val="EE0000"/>
                <w:kern w:val="2"/>
              </w:rPr>
            </w:pPr>
          </w:p>
          <w:p w14:paraId="0C73CBA5">
            <w:pPr>
              <w:pStyle w:val="189"/>
              <w:adjustRightInd w:val="0"/>
              <w:snapToGrid w:val="0"/>
              <w:spacing w:before="0" w:after="0"/>
              <w:ind w:firstLine="0" w:firstLineChars="0"/>
              <w:rPr>
                <w:rFonts w:ascii="Times New Roman" w:hAnsi="Times New Roman"/>
                <w:color w:val="EE0000"/>
                <w:kern w:val="2"/>
              </w:rPr>
            </w:pPr>
          </w:p>
          <w:p w14:paraId="3CFACA12">
            <w:pPr>
              <w:pStyle w:val="189"/>
              <w:adjustRightInd w:val="0"/>
              <w:snapToGrid w:val="0"/>
              <w:spacing w:before="0" w:after="0"/>
              <w:ind w:firstLine="0" w:firstLineChars="0"/>
              <w:rPr>
                <w:rFonts w:ascii="Times New Roman" w:hAnsi="Times New Roman"/>
                <w:color w:val="EE0000"/>
                <w:kern w:val="2"/>
              </w:rPr>
            </w:pPr>
          </w:p>
          <w:p w14:paraId="7DC76312">
            <w:pPr>
              <w:pStyle w:val="189"/>
              <w:adjustRightInd w:val="0"/>
              <w:snapToGrid w:val="0"/>
              <w:spacing w:before="0" w:after="0"/>
              <w:ind w:firstLine="0" w:firstLineChars="0"/>
              <w:rPr>
                <w:rFonts w:ascii="Times New Roman" w:hAnsi="Times New Roman"/>
                <w:color w:val="EE0000"/>
                <w:kern w:val="2"/>
              </w:rPr>
            </w:pPr>
          </w:p>
          <w:p w14:paraId="14071124">
            <w:pPr>
              <w:pStyle w:val="189"/>
              <w:adjustRightInd w:val="0"/>
              <w:snapToGrid w:val="0"/>
              <w:spacing w:before="0" w:after="0"/>
              <w:ind w:firstLine="0" w:firstLineChars="0"/>
              <w:rPr>
                <w:rFonts w:ascii="Times New Roman" w:hAnsi="Times New Roman"/>
                <w:color w:val="EE0000"/>
                <w:kern w:val="2"/>
              </w:rPr>
            </w:pPr>
          </w:p>
          <w:p w14:paraId="3FB491E3">
            <w:pPr>
              <w:pStyle w:val="189"/>
              <w:adjustRightInd w:val="0"/>
              <w:snapToGrid w:val="0"/>
              <w:spacing w:before="0" w:after="0"/>
              <w:ind w:firstLine="0" w:firstLineChars="0"/>
              <w:rPr>
                <w:rFonts w:ascii="Times New Roman" w:hAnsi="Times New Roman"/>
                <w:color w:val="EE0000"/>
                <w:kern w:val="2"/>
              </w:rPr>
            </w:pPr>
          </w:p>
          <w:p w14:paraId="0B633BC8">
            <w:pPr>
              <w:pStyle w:val="189"/>
              <w:adjustRightInd w:val="0"/>
              <w:snapToGrid w:val="0"/>
              <w:spacing w:before="0" w:after="0"/>
              <w:ind w:firstLine="0" w:firstLineChars="0"/>
              <w:rPr>
                <w:rFonts w:ascii="Times New Roman" w:hAnsi="Times New Roman"/>
                <w:color w:val="EE0000"/>
                <w:kern w:val="2"/>
              </w:rPr>
            </w:pPr>
          </w:p>
        </w:tc>
      </w:tr>
    </w:tbl>
    <w:p w14:paraId="0A7857A9">
      <w:pPr>
        <w:pStyle w:val="32"/>
        <w:jc w:val="center"/>
        <w:rPr>
          <w:rFonts w:ascii="Times New Roman" w:hAnsi="Times New Roman" w:eastAsia="黑体"/>
          <w:snapToGrid w:val="0"/>
          <w:color w:val="EE0000"/>
          <w:sz w:val="36"/>
          <w:szCs w:val="36"/>
        </w:rPr>
        <w:sectPr>
          <w:pgSz w:w="11906" w:h="16838"/>
          <w:pgMar w:top="1701" w:right="1531" w:bottom="1701" w:left="1531" w:header="851" w:footer="851" w:gutter="0"/>
          <w:cols w:space="720" w:num="1"/>
          <w:docGrid w:linePitch="312" w:charSpace="0"/>
        </w:sectPr>
      </w:pPr>
    </w:p>
    <w:p w14:paraId="45C7AC5C">
      <w:pPr>
        <w:pStyle w:val="32"/>
        <w:adjustRightInd w:val="0"/>
        <w:snapToGrid w:val="0"/>
        <w:spacing w:before="0" w:beforeAutospacing="0" w:after="0" w:afterAutospacing="0" w:line="14" w:lineRule="auto"/>
        <w:jc w:val="center"/>
        <w:outlineLvl w:val="0"/>
        <w:rPr>
          <w:rFonts w:ascii="Times New Roman" w:hAnsi="Times New Roman" w:eastAsia="黑体"/>
          <w:snapToGrid w:val="0"/>
          <w:color w:val="EE0000"/>
          <w:sz w:val="30"/>
          <w:szCs w:val="30"/>
        </w:rPr>
      </w:pPr>
    </w:p>
    <w:p w14:paraId="182C2795">
      <w:pPr>
        <w:pStyle w:val="32"/>
        <w:jc w:val="center"/>
        <w:outlineLvl w:val="0"/>
        <w:rPr>
          <w:rFonts w:ascii="Times New Roman" w:hAnsi="Times New Roman" w:eastAsia="黑体"/>
          <w:snapToGrid w:val="0"/>
          <w:sz w:val="30"/>
          <w:szCs w:val="30"/>
        </w:rPr>
      </w:pPr>
      <w:bookmarkStart w:id="25" w:name="_Toc217711382"/>
      <w:r>
        <w:rPr>
          <w:rFonts w:ascii="Times New Roman" w:hAnsi="Times New Roman" w:eastAsia="黑体"/>
          <w:snapToGrid w:val="0"/>
          <w:sz w:val="30"/>
          <w:szCs w:val="30"/>
        </w:rPr>
        <w:t>三、区域环境质量现状、环境保护目标及评价标准</w:t>
      </w:r>
      <w:bookmarkEnd w:id="25"/>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411"/>
      </w:tblGrid>
      <w:tr w14:paraId="095EB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6" w:type="dxa"/>
            <w:vAlign w:val="center"/>
          </w:tcPr>
          <w:p w14:paraId="70F730A7">
            <w:pPr>
              <w:adjustRightInd w:val="0"/>
              <w:snapToGrid w:val="0"/>
              <w:jc w:val="center"/>
              <w:rPr>
                <w:kern w:val="0"/>
                <w:sz w:val="24"/>
              </w:rPr>
            </w:pPr>
            <w:r>
              <w:rPr>
                <w:kern w:val="0"/>
                <w:sz w:val="24"/>
              </w:rPr>
              <w:t>区域</w:t>
            </w:r>
          </w:p>
          <w:p w14:paraId="56127958">
            <w:pPr>
              <w:adjustRightInd w:val="0"/>
              <w:snapToGrid w:val="0"/>
              <w:jc w:val="center"/>
              <w:rPr>
                <w:kern w:val="0"/>
                <w:sz w:val="24"/>
              </w:rPr>
            </w:pPr>
            <w:r>
              <w:rPr>
                <w:kern w:val="0"/>
                <w:sz w:val="24"/>
              </w:rPr>
              <w:t>环境</w:t>
            </w:r>
          </w:p>
          <w:p w14:paraId="1DC5F66B">
            <w:pPr>
              <w:adjustRightInd w:val="0"/>
              <w:snapToGrid w:val="0"/>
              <w:jc w:val="center"/>
              <w:rPr>
                <w:kern w:val="0"/>
                <w:sz w:val="24"/>
              </w:rPr>
            </w:pPr>
            <w:r>
              <w:rPr>
                <w:kern w:val="0"/>
                <w:sz w:val="24"/>
              </w:rPr>
              <w:t>质量</w:t>
            </w:r>
          </w:p>
          <w:p w14:paraId="4E8B2B5B">
            <w:pPr>
              <w:adjustRightInd w:val="0"/>
              <w:snapToGrid w:val="0"/>
              <w:jc w:val="center"/>
              <w:rPr>
                <w:kern w:val="0"/>
                <w:szCs w:val="21"/>
              </w:rPr>
            </w:pPr>
            <w:r>
              <w:rPr>
                <w:kern w:val="0"/>
                <w:sz w:val="24"/>
              </w:rPr>
              <w:t>现状</w:t>
            </w:r>
          </w:p>
        </w:tc>
        <w:tc>
          <w:tcPr>
            <w:tcW w:w="8411" w:type="dxa"/>
            <w:vAlign w:val="center"/>
          </w:tcPr>
          <w:p w14:paraId="4C0B1CA6">
            <w:pPr>
              <w:pStyle w:val="24"/>
              <w:spacing w:after="0" w:line="500" w:lineRule="exact"/>
              <w:ind w:left="0" w:leftChars="0"/>
              <w:rPr>
                <w:rFonts w:eastAsia="黑体"/>
                <w:sz w:val="24"/>
              </w:rPr>
            </w:pPr>
            <w:bookmarkStart w:id="26" w:name="_Hlk217863345"/>
            <w:r>
              <w:rPr>
                <w:rFonts w:eastAsia="黑体"/>
                <w:sz w:val="24"/>
              </w:rPr>
              <w:t>1、环境空气质量现状</w:t>
            </w:r>
          </w:p>
          <w:p w14:paraId="226276DE">
            <w:pPr>
              <w:spacing w:line="520" w:lineRule="exact"/>
              <w:ind w:firstLine="480" w:firstLineChars="200"/>
              <w:jc w:val="left"/>
              <w:rPr>
                <w:kern w:val="0"/>
                <w:sz w:val="24"/>
              </w:rPr>
            </w:pPr>
            <w:r>
              <w:rPr>
                <w:kern w:val="0"/>
                <w:sz w:val="24"/>
              </w:rPr>
              <w:t>（1）常规监测</w:t>
            </w:r>
          </w:p>
          <w:p w14:paraId="61870F19">
            <w:pPr>
              <w:autoSpaceDE w:val="0"/>
              <w:autoSpaceDN w:val="0"/>
              <w:adjustRightInd w:val="0"/>
              <w:spacing w:line="520" w:lineRule="exact"/>
              <w:ind w:firstLine="480" w:firstLineChars="200"/>
              <w:jc w:val="left"/>
              <w:rPr>
                <w:kern w:val="0"/>
                <w:sz w:val="24"/>
              </w:rPr>
            </w:pPr>
            <w:r>
              <w:rPr>
                <w:kern w:val="0"/>
                <w:sz w:val="24"/>
              </w:rPr>
              <w:t>根据大气功能区划分原则，本项目所在区域为二类功能区，环境空气质量应执行《环境空气质量标准》（</w:t>
            </w:r>
            <w:r>
              <w:rPr>
                <w:rFonts w:eastAsia="TimesNewRomanPSMT"/>
                <w:kern w:val="0"/>
                <w:sz w:val="24"/>
              </w:rPr>
              <w:t>GB3095-2012</w:t>
            </w:r>
            <w:r>
              <w:rPr>
                <w:kern w:val="0"/>
                <w:sz w:val="24"/>
              </w:rPr>
              <w:t>）二级标准。</w:t>
            </w:r>
          </w:p>
          <w:p w14:paraId="155B172A">
            <w:pPr>
              <w:autoSpaceDE w:val="0"/>
              <w:autoSpaceDN w:val="0"/>
              <w:adjustRightInd w:val="0"/>
              <w:spacing w:line="520" w:lineRule="exact"/>
              <w:ind w:firstLine="480" w:firstLineChars="200"/>
              <w:jc w:val="left"/>
              <w:rPr>
                <w:kern w:val="0"/>
                <w:sz w:val="24"/>
              </w:rPr>
            </w:pPr>
            <w:r>
              <w:rPr>
                <w:kern w:val="0"/>
                <w:sz w:val="24"/>
              </w:rPr>
              <w:t>本次环境空气质量现状引用河南省城市环境空气质量自动监控中心对宝丰县的监测数据，监测时间为2024年全年，检测因子为SO</w:t>
            </w:r>
            <w:r>
              <w:rPr>
                <w:kern w:val="0"/>
                <w:sz w:val="24"/>
                <w:vertAlign w:val="subscript"/>
              </w:rPr>
              <w:t>2</w:t>
            </w:r>
            <w:r>
              <w:rPr>
                <w:kern w:val="0"/>
                <w:sz w:val="24"/>
              </w:rPr>
              <w:t>、NO</w:t>
            </w:r>
            <w:r>
              <w:rPr>
                <w:kern w:val="0"/>
                <w:sz w:val="24"/>
                <w:vertAlign w:val="subscript"/>
              </w:rPr>
              <w:t>2</w:t>
            </w:r>
            <w:r>
              <w:rPr>
                <w:kern w:val="0"/>
                <w:sz w:val="24"/>
              </w:rPr>
              <w:t>、PM</w:t>
            </w:r>
            <w:r>
              <w:rPr>
                <w:kern w:val="0"/>
                <w:sz w:val="24"/>
                <w:vertAlign w:val="subscript"/>
              </w:rPr>
              <w:t>10</w:t>
            </w:r>
            <w:r>
              <w:rPr>
                <w:kern w:val="0"/>
                <w:sz w:val="24"/>
              </w:rPr>
              <w:t>、PM</w:t>
            </w:r>
            <w:r>
              <w:rPr>
                <w:kern w:val="0"/>
                <w:sz w:val="24"/>
                <w:vertAlign w:val="subscript"/>
              </w:rPr>
              <w:t>2.5</w:t>
            </w:r>
            <w:r>
              <w:rPr>
                <w:kern w:val="0"/>
                <w:sz w:val="24"/>
              </w:rPr>
              <w:t>、CO、O</w:t>
            </w:r>
            <w:r>
              <w:rPr>
                <w:kern w:val="0"/>
                <w:sz w:val="24"/>
                <w:vertAlign w:val="subscript"/>
              </w:rPr>
              <w:t>3</w:t>
            </w:r>
            <w:r>
              <w:rPr>
                <w:kern w:val="0"/>
                <w:sz w:val="24"/>
              </w:rPr>
              <w:t>共6项，其检测结果见下表：</w:t>
            </w:r>
          </w:p>
          <w:p w14:paraId="5B80655D">
            <w:pPr>
              <w:spacing w:line="500" w:lineRule="exact"/>
              <w:jc w:val="center"/>
              <w:rPr>
                <w:rFonts w:eastAsia="黑体"/>
                <w:sz w:val="24"/>
              </w:rPr>
            </w:pPr>
            <w:r>
              <w:rPr>
                <w:rFonts w:eastAsia="黑体"/>
                <w:sz w:val="24"/>
              </w:rPr>
              <w:t>表3-1      宝丰县环境空气监测结果统计表（2024年累计数据）</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9"/>
              <w:gridCol w:w="882"/>
              <w:gridCol w:w="2125"/>
              <w:gridCol w:w="1198"/>
              <w:gridCol w:w="1144"/>
              <w:gridCol w:w="989"/>
              <w:gridCol w:w="1148"/>
            </w:tblGrid>
            <w:tr w14:paraId="5DCF74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27" w:type="pct"/>
                  <w:tcBorders>
                    <w:bottom w:val="single" w:color="auto" w:sz="6" w:space="0"/>
                    <w:right w:val="single" w:color="auto" w:sz="6" w:space="0"/>
                  </w:tcBorders>
                  <w:vAlign w:val="center"/>
                </w:tcPr>
                <w:p w14:paraId="67BD991E">
                  <w:pPr>
                    <w:pStyle w:val="24"/>
                    <w:adjustRightInd w:val="0"/>
                    <w:snapToGrid w:val="0"/>
                    <w:spacing w:after="0" w:line="240" w:lineRule="auto"/>
                    <w:ind w:left="0" w:leftChars="0"/>
                    <w:jc w:val="center"/>
                    <w:rPr>
                      <w:bCs/>
                      <w:szCs w:val="21"/>
                    </w:rPr>
                  </w:pPr>
                  <w:r>
                    <w:rPr>
                      <w:bCs/>
                      <w:szCs w:val="21"/>
                    </w:rPr>
                    <w:t>所在</w:t>
                  </w:r>
                </w:p>
                <w:p w14:paraId="6FA80929">
                  <w:pPr>
                    <w:pStyle w:val="24"/>
                    <w:adjustRightInd w:val="0"/>
                    <w:snapToGrid w:val="0"/>
                    <w:spacing w:after="0" w:line="240" w:lineRule="auto"/>
                    <w:ind w:left="0" w:leftChars="0"/>
                    <w:jc w:val="center"/>
                    <w:rPr>
                      <w:bCs/>
                      <w:szCs w:val="21"/>
                    </w:rPr>
                  </w:pPr>
                  <w:r>
                    <w:rPr>
                      <w:bCs/>
                      <w:szCs w:val="21"/>
                    </w:rPr>
                    <w:t>区域</w:t>
                  </w:r>
                </w:p>
              </w:tc>
              <w:tc>
                <w:tcPr>
                  <w:tcW w:w="539" w:type="pct"/>
                  <w:tcBorders>
                    <w:left w:val="single" w:color="auto" w:sz="6" w:space="0"/>
                    <w:bottom w:val="single" w:color="auto" w:sz="6" w:space="0"/>
                    <w:right w:val="single" w:color="auto" w:sz="6" w:space="0"/>
                  </w:tcBorders>
                  <w:vAlign w:val="center"/>
                </w:tcPr>
                <w:p w14:paraId="1C744E00">
                  <w:pPr>
                    <w:pStyle w:val="24"/>
                    <w:adjustRightInd w:val="0"/>
                    <w:snapToGrid w:val="0"/>
                    <w:spacing w:after="0" w:line="240" w:lineRule="auto"/>
                    <w:ind w:left="0" w:leftChars="0"/>
                    <w:jc w:val="center"/>
                    <w:rPr>
                      <w:bCs/>
                      <w:szCs w:val="21"/>
                    </w:rPr>
                  </w:pPr>
                  <w:r>
                    <w:rPr>
                      <w:bCs/>
                      <w:szCs w:val="21"/>
                    </w:rPr>
                    <w:t>污染物</w:t>
                  </w:r>
                </w:p>
              </w:tc>
              <w:tc>
                <w:tcPr>
                  <w:tcW w:w="1298" w:type="pct"/>
                  <w:tcBorders>
                    <w:left w:val="single" w:color="auto" w:sz="6" w:space="0"/>
                    <w:bottom w:val="single" w:color="auto" w:sz="6" w:space="0"/>
                    <w:right w:val="single" w:color="auto" w:sz="6" w:space="0"/>
                  </w:tcBorders>
                  <w:vAlign w:val="center"/>
                </w:tcPr>
                <w:p w14:paraId="34E12341">
                  <w:pPr>
                    <w:pStyle w:val="24"/>
                    <w:adjustRightInd w:val="0"/>
                    <w:snapToGrid w:val="0"/>
                    <w:spacing w:after="0" w:line="240" w:lineRule="auto"/>
                    <w:ind w:left="0" w:leftChars="0"/>
                    <w:jc w:val="center"/>
                    <w:rPr>
                      <w:bCs/>
                      <w:szCs w:val="21"/>
                    </w:rPr>
                  </w:pPr>
                  <w:r>
                    <w:rPr>
                      <w:bCs/>
                      <w:szCs w:val="21"/>
                    </w:rPr>
                    <w:t>年评价指标</w:t>
                  </w:r>
                </w:p>
              </w:tc>
              <w:tc>
                <w:tcPr>
                  <w:tcW w:w="732" w:type="pct"/>
                  <w:tcBorders>
                    <w:left w:val="single" w:color="auto" w:sz="6" w:space="0"/>
                    <w:bottom w:val="single" w:color="auto" w:sz="6" w:space="0"/>
                    <w:right w:val="single" w:color="auto" w:sz="6" w:space="0"/>
                  </w:tcBorders>
                  <w:vAlign w:val="center"/>
                </w:tcPr>
                <w:p w14:paraId="3C123281">
                  <w:pPr>
                    <w:pStyle w:val="24"/>
                    <w:adjustRightInd w:val="0"/>
                    <w:snapToGrid w:val="0"/>
                    <w:spacing w:after="0" w:line="240" w:lineRule="auto"/>
                    <w:ind w:left="0" w:leftChars="0"/>
                    <w:jc w:val="center"/>
                    <w:rPr>
                      <w:bCs/>
                      <w:szCs w:val="21"/>
                    </w:rPr>
                  </w:pPr>
                  <w:r>
                    <w:rPr>
                      <w:bCs/>
                      <w:szCs w:val="21"/>
                    </w:rPr>
                    <w:t>现状浓度</w:t>
                  </w:r>
                </w:p>
                <w:p w14:paraId="21285A0E">
                  <w:pPr>
                    <w:pStyle w:val="24"/>
                    <w:adjustRightInd w:val="0"/>
                    <w:snapToGrid w:val="0"/>
                    <w:spacing w:after="0" w:line="240" w:lineRule="auto"/>
                    <w:ind w:left="0" w:leftChars="0"/>
                    <w:jc w:val="center"/>
                    <w:rPr>
                      <w:bCs/>
                      <w:szCs w:val="21"/>
                    </w:rPr>
                  </w:pPr>
                  <w:r>
                    <w:rPr>
                      <w:bCs/>
                      <w:szCs w:val="21"/>
                    </w:rPr>
                    <w:t>（μg/m</w:t>
                  </w:r>
                  <w:r>
                    <w:rPr>
                      <w:bCs/>
                      <w:szCs w:val="21"/>
                      <w:vertAlign w:val="superscript"/>
                    </w:rPr>
                    <w:t>3</w:t>
                  </w:r>
                  <w:r>
                    <w:rPr>
                      <w:bCs/>
                      <w:szCs w:val="21"/>
                    </w:rPr>
                    <w:t>）</w:t>
                  </w:r>
                </w:p>
              </w:tc>
              <w:tc>
                <w:tcPr>
                  <w:tcW w:w="699" w:type="pct"/>
                  <w:tcBorders>
                    <w:left w:val="single" w:color="auto" w:sz="6" w:space="0"/>
                    <w:bottom w:val="single" w:color="auto" w:sz="6" w:space="0"/>
                    <w:right w:val="single" w:color="auto" w:sz="6" w:space="0"/>
                  </w:tcBorders>
                  <w:vAlign w:val="center"/>
                </w:tcPr>
                <w:p w14:paraId="241380BD">
                  <w:pPr>
                    <w:pStyle w:val="24"/>
                    <w:adjustRightInd w:val="0"/>
                    <w:snapToGrid w:val="0"/>
                    <w:spacing w:after="0" w:line="240" w:lineRule="auto"/>
                    <w:ind w:left="0" w:leftChars="0"/>
                    <w:jc w:val="center"/>
                    <w:rPr>
                      <w:bCs/>
                      <w:szCs w:val="21"/>
                    </w:rPr>
                  </w:pPr>
                  <w:r>
                    <w:rPr>
                      <w:bCs/>
                      <w:szCs w:val="21"/>
                    </w:rPr>
                    <w:t>标准值</w:t>
                  </w:r>
                </w:p>
                <w:p w14:paraId="1B3E883D">
                  <w:pPr>
                    <w:pStyle w:val="24"/>
                    <w:adjustRightInd w:val="0"/>
                    <w:snapToGrid w:val="0"/>
                    <w:spacing w:after="0" w:line="240" w:lineRule="auto"/>
                    <w:ind w:left="0" w:leftChars="0"/>
                    <w:jc w:val="center"/>
                    <w:rPr>
                      <w:bCs/>
                      <w:szCs w:val="21"/>
                    </w:rPr>
                  </w:pPr>
                  <w:r>
                    <w:rPr>
                      <w:bCs/>
                      <w:szCs w:val="21"/>
                    </w:rPr>
                    <w:t>（μg/m</w:t>
                  </w:r>
                  <w:r>
                    <w:rPr>
                      <w:bCs/>
                      <w:szCs w:val="21"/>
                      <w:vertAlign w:val="superscript"/>
                    </w:rPr>
                    <w:t>3</w:t>
                  </w:r>
                  <w:r>
                    <w:rPr>
                      <w:bCs/>
                      <w:szCs w:val="21"/>
                    </w:rPr>
                    <w:t>）</w:t>
                  </w:r>
                </w:p>
              </w:tc>
              <w:tc>
                <w:tcPr>
                  <w:tcW w:w="604" w:type="pct"/>
                  <w:tcBorders>
                    <w:left w:val="single" w:color="auto" w:sz="6" w:space="0"/>
                    <w:bottom w:val="single" w:color="auto" w:sz="6" w:space="0"/>
                    <w:right w:val="single" w:color="auto" w:sz="6" w:space="0"/>
                  </w:tcBorders>
                  <w:vAlign w:val="center"/>
                </w:tcPr>
                <w:p w14:paraId="48FD3AC4">
                  <w:pPr>
                    <w:pStyle w:val="24"/>
                    <w:adjustRightInd w:val="0"/>
                    <w:snapToGrid w:val="0"/>
                    <w:spacing w:after="0" w:line="240" w:lineRule="auto"/>
                    <w:ind w:left="0" w:leftChars="0"/>
                    <w:jc w:val="center"/>
                    <w:rPr>
                      <w:bCs/>
                      <w:szCs w:val="21"/>
                    </w:rPr>
                  </w:pPr>
                  <w:r>
                    <w:rPr>
                      <w:bCs/>
                      <w:szCs w:val="21"/>
                    </w:rPr>
                    <w:t>占标率</w:t>
                  </w:r>
                </w:p>
                <w:p w14:paraId="35C44A4B">
                  <w:pPr>
                    <w:pStyle w:val="24"/>
                    <w:adjustRightInd w:val="0"/>
                    <w:snapToGrid w:val="0"/>
                    <w:spacing w:after="0" w:line="240" w:lineRule="auto"/>
                    <w:ind w:left="0" w:leftChars="0"/>
                    <w:jc w:val="center"/>
                    <w:rPr>
                      <w:bCs/>
                      <w:szCs w:val="21"/>
                    </w:rPr>
                  </w:pPr>
                  <w:r>
                    <w:rPr>
                      <w:bCs/>
                      <w:szCs w:val="21"/>
                    </w:rPr>
                    <w:t>（%）</w:t>
                  </w:r>
                </w:p>
              </w:tc>
              <w:tc>
                <w:tcPr>
                  <w:tcW w:w="701" w:type="pct"/>
                  <w:tcBorders>
                    <w:left w:val="single" w:color="auto" w:sz="6" w:space="0"/>
                    <w:bottom w:val="single" w:color="auto" w:sz="6" w:space="0"/>
                  </w:tcBorders>
                  <w:vAlign w:val="center"/>
                </w:tcPr>
                <w:p w14:paraId="4662F7F6">
                  <w:pPr>
                    <w:pStyle w:val="24"/>
                    <w:adjustRightInd w:val="0"/>
                    <w:snapToGrid w:val="0"/>
                    <w:spacing w:after="0" w:line="240" w:lineRule="auto"/>
                    <w:ind w:left="0" w:leftChars="0"/>
                    <w:jc w:val="center"/>
                    <w:rPr>
                      <w:bCs/>
                      <w:szCs w:val="21"/>
                    </w:rPr>
                  </w:pPr>
                  <w:r>
                    <w:rPr>
                      <w:bCs/>
                      <w:szCs w:val="21"/>
                    </w:rPr>
                    <w:t>达标情况</w:t>
                  </w:r>
                </w:p>
              </w:tc>
            </w:tr>
            <w:tr w14:paraId="694E4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27" w:type="pct"/>
                  <w:vMerge w:val="restart"/>
                  <w:tcBorders>
                    <w:top w:val="single" w:color="auto" w:sz="6" w:space="0"/>
                    <w:bottom w:val="single" w:color="auto" w:sz="12" w:space="0"/>
                    <w:right w:val="single" w:color="auto" w:sz="6" w:space="0"/>
                  </w:tcBorders>
                  <w:vAlign w:val="center"/>
                </w:tcPr>
                <w:p w14:paraId="7AB928C9">
                  <w:pPr>
                    <w:pStyle w:val="24"/>
                    <w:adjustRightInd w:val="0"/>
                    <w:snapToGrid w:val="0"/>
                    <w:spacing w:after="0" w:line="240" w:lineRule="auto"/>
                    <w:ind w:left="0" w:leftChars="0"/>
                    <w:jc w:val="center"/>
                    <w:rPr>
                      <w:szCs w:val="21"/>
                    </w:rPr>
                  </w:pPr>
                  <w:r>
                    <w:rPr>
                      <w:szCs w:val="21"/>
                    </w:rPr>
                    <w:t>宝丰县</w:t>
                  </w:r>
                </w:p>
              </w:tc>
              <w:tc>
                <w:tcPr>
                  <w:tcW w:w="539" w:type="pct"/>
                  <w:tcBorders>
                    <w:top w:val="single" w:color="auto" w:sz="6" w:space="0"/>
                    <w:left w:val="single" w:color="auto" w:sz="6" w:space="0"/>
                    <w:bottom w:val="single" w:color="auto" w:sz="6" w:space="0"/>
                    <w:right w:val="single" w:color="auto" w:sz="6" w:space="0"/>
                  </w:tcBorders>
                  <w:vAlign w:val="center"/>
                </w:tcPr>
                <w:p w14:paraId="2C5E95FD">
                  <w:pPr>
                    <w:pStyle w:val="24"/>
                    <w:adjustRightInd w:val="0"/>
                    <w:snapToGrid w:val="0"/>
                    <w:spacing w:after="0" w:line="240" w:lineRule="auto"/>
                    <w:ind w:left="0" w:leftChars="0"/>
                    <w:jc w:val="center"/>
                    <w:rPr>
                      <w:szCs w:val="21"/>
                    </w:rPr>
                  </w:pPr>
                  <w:r>
                    <w:rPr>
                      <w:szCs w:val="21"/>
                    </w:rPr>
                    <w:t>SO</w:t>
                  </w:r>
                  <w:r>
                    <w:rPr>
                      <w:szCs w:val="21"/>
                      <w:vertAlign w:val="subscript"/>
                    </w:rPr>
                    <w:t>2</w:t>
                  </w:r>
                </w:p>
              </w:tc>
              <w:tc>
                <w:tcPr>
                  <w:tcW w:w="1298" w:type="pct"/>
                  <w:tcBorders>
                    <w:top w:val="single" w:color="auto" w:sz="6" w:space="0"/>
                    <w:left w:val="single" w:color="auto" w:sz="6" w:space="0"/>
                    <w:bottom w:val="single" w:color="auto" w:sz="6" w:space="0"/>
                    <w:right w:val="single" w:color="auto" w:sz="6" w:space="0"/>
                  </w:tcBorders>
                  <w:vAlign w:val="center"/>
                </w:tcPr>
                <w:p w14:paraId="43ACE533">
                  <w:pPr>
                    <w:pStyle w:val="24"/>
                    <w:adjustRightInd w:val="0"/>
                    <w:snapToGrid w:val="0"/>
                    <w:spacing w:after="0" w:line="240" w:lineRule="auto"/>
                    <w:ind w:left="0" w:leftChars="0"/>
                    <w:jc w:val="center"/>
                    <w:rPr>
                      <w:szCs w:val="21"/>
                    </w:rPr>
                  </w:pPr>
                  <w:r>
                    <w:rPr>
                      <w:kern w:val="0"/>
                      <w:szCs w:val="21"/>
                    </w:rPr>
                    <w:t>年平均质量浓度</w:t>
                  </w:r>
                </w:p>
              </w:tc>
              <w:tc>
                <w:tcPr>
                  <w:tcW w:w="732" w:type="pct"/>
                  <w:tcBorders>
                    <w:top w:val="single" w:color="auto" w:sz="6" w:space="0"/>
                    <w:left w:val="single" w:color="auto" w:sz="6" w:space="0"/>
                    <w:bottom w:val="single" w:color="auto" w:sz="6" w:space="0"/>
                    <w:right w:val="single" w:color="auto" w:sz="6" w:space="0"/>
                  </w:tcBorders>
                  <w:vAlign w:val="center"/>
                </w:tcPr>
                <w:p w14:paraId="5AE1AAA5">
                  <w:pPr>
                    <w:adjustRightInd w:val="0"/>
                    <w:snapToGrid w:val="0"/>
                    <w:jc w:val="center"/>
                    <w:rPr>
                      <w:szCs w:val="21"/>
                    </w:rPr>
                  </w:pPr>
                  <w:r>
                    <w:rPr>
                      <w:szCs w:val="21"/>
                    </w:rPr>
                    <w:t>8</w:t>
                  </w:r>
                </w:p>
              </w:tc>
              <w:tc>
                <w:tcPr>
                  <w:tcW w:w="699" w:type="pct"/>
                  <w:tcBorders>
                    <w:top w:val="single" w:color="auto" w:sz="6" w:space="0"/>
                    <w:left w:val="single" w:color="auto" w:sz="6" w:space="0"/>
                    <w:bottom w:val="single" w:color="auto" w:sz="6" w:space="0"/>
                    <w:right w:val="single" w:color="auto" w:sz="6" w:space="0"/>
                  </w:tcBorders>
                  <w:vAlign w:val="center"/>
                </w:tcPr>
                <w:p w14:paraId="1E5C62F8">
                  <w:pPr>
                    <w:pStyle w:val="24"/>
                    <w:adjustRightInd w:val="0"/>
                    <w:snapToGrid w:val="0"/>
                    <w:spacing w:after="0" w:line="240" w:lineRule="auto"/>
                    <w:ind w:left="0" w:leftChars="0"/>
                    <w:jc w:val="center"/>
                    <w:rPr>
                      <w:szCs w:val="21"/>
                    </w:rPr>
                  </w:pPr>
                  <w:r>
                    <w:rPr>
                      <w:szCs w:val="21"/>
                    </w:rPr>
                    <w:t>60</w:t>
                  </w:r>
                </w:p>
              </w:tc>
              <w:tc>
                <w:tcPr>
                  <w:tcW w:w="604" w:type="pct"/>
                  <w:tcBorders>
                    <w:top w:val="single" w:color="auto" w:sz="6" w:space="0"/>
                    <w:left w:val="single" w:color="auto" w:sz="6" w:space="0"/>
                    <w:bottom w:val="single" w:color="auto" w:sz="6" w:space="0"/>
                    <w:right w:val="single" w:color="auto" w:sz="6" w:space="0"/>
                  </w:tcBorders>
                  <w:vAlign w:val="center"/>
                </w:tcPr>
                <w:p w14:paraId="594D9491">
                  <w:pPr>
                    <w:adjustRightInd w:val="0"/>
                    <w:snapToGrid w:val="0"/>
                    <w:jc w:val="center"/>
                    <w:rPr>
                      <w:szCs w:val="21"/>
                    </w:rPr>
                  </w:pPr>
                  <w:r>
                    <w:rPr>
                      <w:szCs w:val="21"/>
                    </w:rPr>
                    <w:t>13.3</w:t>
                  </w:r>
                </w:p>
              </w:tc>
              <w:tc>
                <w:tcPr>
                  <w:tcW w:w="701" w:type="pct"/>
                  <w:tcBorders>
                    <w:top w:val="single" w:color="auto" w:sz="6" w:space="0"/>
                    <w:left w:val="single" w:color="auto" w:sz="6" w:space="0"/>
                    <w:bottom w:val="single" w:color="auto" w:sz="6" w:space="0"/>
                  </w:tcBorders>
                  <w:vAlign w:val="center"/>
                </w:tcPr>
                <w:p w14:paraId="10495BAA">
                  <w:pPr>
                    <w:pStyle w:val="24"/>
                    <w:adjustRightInd w:val="0"/>
                    <w:snapToGrid w:val="0"/>
                    <w:spacing w:after="0" w:line="240" w:lineRule="auto"/>
                    <w:ind w:left="0" w:leftChars="0"/>
                    <w:jc w:val="center"/>
                    <w:rPr>
                      <w:szCs w:val="21"/>
                    </w:rPr>
                  </w:pPr>
                  <w:r>
                    <w:rPr>
                      <w:szCs w:val="21"/>
                    </w:rPr>
                    <w:t>达标</w:t>
                  </w:r>
                </w:p>
              </w:tc>
            </w:tr>
            <w:tr w14:paraId="3604FE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27" w:type="pct"/>
                  <w:vMerge w:val="continue"/>
                  <w:tcBorders>
                    <w:top w:val="single" w:color="auto" w:sz="6" w:space="0"/>
                    <w:bottom w:val="single" w:color="auto" w:sz="12" w:space="0"/>
                    <w:right w:val="single" w:color="auto" w:sz="6" w:space="0"/>
                  </w:tcBorders>
                  <w:vAlign w:val="center"/>
                </w:tcPr>
                <w:p w14:paraId="7BCDDFEB">
                  <w:pPr>
                    <w:widowControl/>
                    <w:adjustRightInd w:val="0"/>
                    <w:snapToGrid w:val="0"/>
                    <w:jc w:val="left"/>
                    <w:rPr>
                      <w:szCs w:val="21"/>
                    </w:rPr>
                  </w:pPr>
                </w:p>
              </w:tc>
              <w:tc>
                <w:tcPr>
                  <w:tcW w:w="539" w:type="pct"/>
                  <w:tcBorders>
                    <w:top w:val="single" w:color="auto" w:sz="6" w:space="0"/>
                    <w:left w:val="single" w:color="auto" w:sz="6" w:space="0"/>
                    <w:bottom w:val="single" w:color="auto" w:sz="6" w:space="0"/>
                    <w:right w:val="single" w:color="auto" w:sz="6" w:space="0"/>
                  </w:tcBorders>
                  <w:vAlign w:val="center"/>
                </w:tcPr>
                <w:p w14:paraId="24143EB2">
                  <w:pPr>
                    <w:pStyle w:val="24"/>
                    <w:adjustRightInd w:val="0"/>
                    <w:snapToGrid w:val="0"/>
                    <w:spacing w:after="0" w:line="240" w:lineRule="auto"/>
                    <w:ind w:left="0" w:leftChars="0"/>
                    <w:jc w:val="center"/>
                    <w:rPr>
                      <w:szCs w:val="21"/>
                    </w:rPr>
                  </w:pPr>
                  <w:r>
                    <w:rPr>
                      <w:szCs w:val="21"/>
                    </w:rPr>
                    <w:t>NO</w:t>
                  </w:r>
                  <w:r>
                    <w:rPr>
                      <w:szCs w:val="21"/>
                      <w:vertAlign w:val="subscript"/>
                    </w:rPr>
                    <w:t>2</w:t>
                  </w:r>
                </w:p>
              </w:tc>
              <w:tc>
                <w:tcPr>
                  <w:tcW w:w="1298" w:type="pct"/>
                  <w:tcBorders>
                    <w:top w:val="single" w:color="auto" w:sz="6" w:space="0"/>
                    <w:left w:val="single" w:color="auto" w:sz="6" w:space="0"/>
                    <w:bottom w:val="single" w:color="auto" w:sz="6" w:space="0"/>
                    <w:right w:val="single" w:color="auto" w:sz="6" w:space="0"/>
                  </w:tcBorders>
                  <w:vAlign w:val="center"/>
                </w:tcPr>
                <w:p w14:paraId="37B6041D">
                  <w:pPr>
                    <w:pStyle w:val="24"/>
                    <w:adjustRightInd w:val="0"/>
                    <w:snapToGrid w:val="0"/>
                    <w:spacing w:after="0" w:line="240" w:lineRule="auto"/>
                    <w:ind w:left="0" w:leftChars="0"/>
                    <w:jc w:val="center"/>
                    <w:rPr>
                      <w:szCs w:val="21"/>
                    </w:rPr>
                  </w:pPr>
                  <w:r>
                    <w:rPr>
                      <w:kern w:val="0"/>
                      <w:szCs w:val="21"/>
                    </w:rPr>
                    <w:t>年平均质量浓度</w:t>
                  </w:r>
                </w:p>
              </w:tc>
              <w:tc>
                <w:tcPr>
                  <w:tcW w:w="732" w:type="pct"/>
                  <w:tcBorders>
                    <w:top w:val="single" w:color="auto" w:sz="6" w:space="0"/>
                    <w:left w:val="single" w:color="auto" w:sz="6" w:space="0"/>
                    <w:bottom w:val="single" w:color="auto" w:sz="6" w:space="0"/>
                    <w:right w:val="single" w:color="auto" w:sz="6" w:space="0"/>
                  </w:tcBorders>
                  <w:vAlign w:val="center"/>
                </w:tcPr>
                <w:p w14:paraId="5CC89105">
                  <w:pPr>
                    <w:adjustRightInd w:val="0"/>
                    <w:snapToGrid w:val="0"/>
                    <w:jc w:val="center"/>
                    <w:rPr>
                      <w:szCs w:val="21"/>
                    </w:rPr>
                  </w:pPr>
                  <w:r>
                    <w:rPr>
                      <w:szCs w:val="21"/>
                    </w:rPr>
                    <w:t>21</w:t>
                  </w:r>
                </w:p>
              </w:tc>
              <w:tc>
                <w:tcPr>
                  <w:tcW w:w="699" w:type="pct"/>
                  <w:tcBorders>
                    <w:top w:val="single" w:color="auto" w:sz="6" w:space="0"/>
                    <w:left w:val="single" w:color="auto" w:sz="6" w:space="0"/>
                    <w:bottom w:val="single" w:color="auto" w:sz="6" w:space="0"/>
                    <w:right w:val="single" w:color="auto" w:sz="6" w:space="0"/>
                  </w:tcBorders>
                  <w:vAlign w:val="center"/>
                </w:tcPr>
                <w:p w14:paraId="15704768">
                  <w:pPr>
                    <w:pStyle w:val="24"/>
                    <w:adjustRightInd w:val="0"/>
                    <w:snapToGrid w:val="0"/>
                    <w:spacing w:after="0" w:line="240" w:lineRule="auto"/>
                    <w:ind w:left="0" w:leftChars="0"/>
                    <w:jc w:val="center"/>
                    <w:rPr>
                      <w:szCs w:val="21"/>
                    </w:rPr>
                  </w:pPr>
                  <w:r>
                    <w:rPr>
                      <w:szCs w:val="21"/>
                    </w:rPr>
                    <w:t>40</w:t>
                  </w:r>
                </w:p>
              </w:tc>
              <w:tc>
                <w:tcPr>
                  <w:tcW w:w="604" w:type="pct"/>
                  <w:tcBorders>
                    <w:top w:val="single" w:color="auto" w:sz="6" w:space="0"/>
                    <w:left w:val="single" w:color="auto" w:sz="6" w:space="0"/>
                    <w:bottom w:val="single" w:color="auto" w:sz="6" w:space="0"/>
                    <w:right w:val="single" w:color="auto" w:sz="6" w:space="0"/>
                  </w:tcBorders>
                  <w:vAlign w:val="center"/>
                </w:tcPr>
                <w:p w14:paraId="0F702B6A">
                  <w:pPr>
                    <w:adjustRightInd w:val="0"/>
                    <w:snapToGrid w:val="0"/>
                    <w:jc w:val="center"/>
                    <w:rPr>
                      <w:szCs w:val="21"/>
                    </w:rPr>
                  </w:pPr>
                  <w:r>
                    <w:rPr>
                      <w:szCs w:val="21"/>
                    </w:rPr>
                    <w:t>52.5</w:t>
                  </w:r>
                </w:p>
              </w:tc>
              <w:tc>
                <w:tcPr>
                  <w:tcW w:w="701" w:type="pct"/>
                  <w:tcBorders>
                    <w:top w:val="single" w:color="auto" w:sz="6" w:space="0"/>
                    <w:left w:val="single" w:color="auto" w:sz="6" w:space="0"/>
                    <w:bottom w:val="single" w:color="auto" w:sz="6" w:space="0"/>
                  </w:tcBorders>
                  <w:vAlign w:val="center"/>
                </w:tcPr>
                <w:p w14:paraId="5D3E31AF">
                  <w:pPr>
                    <w:pStyle w:val="24"/>
                    <w:adjustRightInd w:val="0"/>
                    <w:snapToGrid w:val="0"/>
                    <w:spacing w:after="0" w:line="240" w:lineRule="auto"/>
                    <w:ind w:left="0" w:leftChars="0"/>
                    <w:jc w:val="center"/>
                    <w:rPr>
                      <w:szCs w:val="21"/>
                    </w:rPr>
                  </w:pPr>
                  <w:r>
                    <w:rPr>
                      <w:szCs w:val="21"/>
                    </w:rPr>
                    <w:t>达标</w:t>
                  </w:r>
                </w:p>
              </w:tc>
            </w:tr>
            <w:tr w14:paraId="094724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27" w:type="pct"/>
                  <w:vMerge w:val="continue"/>
                  <w:tcBorders>
                    <w:top w:val="single" w:color="auto" w:sz="6" w:space="0"/>
                    <w:bottom w:val="single" w:color="auto" w:sz="12" w:space="0"/>
                    <w:right w:val="single" w:color="auto" w:sz="6" w:space="0"/>
                  </w:tcBorders>
                  <w:vAlign w:val="center"/>
                </w:tcPr>
                <w:p w14:paraId="78B3FF8A">
                  <w:pPr>
                    <w:widowControl/>
                    <w:adjustRightInd w:val="0"/>
                    <w:snapToGrid w:val="0"/>
                    <w:jc w:val="left"/>
                    <w:rPr>
                      <w:szCs w:val="21"/>
                    </w:rPr>
                  </w:pPr>
                </w:p>
              </w:tc>
              <w:tc>
                <w:tcPr>
                  <w:tcW w:w="539" w:type="pct"/>
                  <w:tcBorders>
                    <w:top w:val="single" w:color="auto" w:sz="6" w:space="0"/>
                    <w:left w:val="single" w:color="auto" w:sz="6" w:space="0"/>
                    <w:bottom w:val="single" w:color="auto" w:sz="6" w:space="0"/>
                    <w:right w:val="single" w:color="auto" w:sz="6" w:space="0"/>
                  </w:tcBorders>
                  <w:vAlign w:val="center"/>
                </w:tcPr>
                <w:p w14:paraId="2C5F5B9A">
                  <w:pPr>
                    <w:pStyle w:val="24"/>
                    <w:adjustRightInd w:val="0"/>
                    <w:snapToGrid w:val="0"/>
                    <w:spacing w:after="0" w:line="240" w:lineRule="auto"/>
                    <w:ind w:left="0" w:leftChars="0"/>
                    <w:jc w:val="center"/>
                    <w:rPr>
                      <w:szCs w:val="21"/>
                    </w:rPr>
                  </w:pPr>
                  <w:r>
                    <w:rPr>
                      <w:szCs w:val="21"/>
                    </w:rPr>
                    <w:t>PM</w:t>
                  </w:r>
                  <w:r>
                    <w:rPr>
                      <w:szCs w:val="21"/>
                      <w:vertAlign w:val="subscript"/>
                    </w:rPr>
                    <w:t>10</w:t>
                  </w:r>
                </w:p>
              </w:tc>
              <w:tc>
                <w:tcPr>
                  <w:tcW w:w="1298" w:type="pct"/>
                  <w:tcBorders>
                    <w:top w:val="single" w:color="auto" w:sz="6" w:space="0"/>
                    <w:left w:val="single" w:color="auto" w:sz="6" w:space="0"/>
                    <w:bottom w:val="single" w:color="auto" w:sz="6" w:space="0"/>
                    <w:right w:val="single" w:color="auto" w:sz="6" w:space="0"/>
                  </w:tcBorders>
                  <w:vAlign w:val="center"/>
                </w:tcPr>
                <w:p w14:paraId="6149F032">
                  <w:pPr>
                    <w:pStyle w:val="24"/>
                    <w:adjustRightInd w:val="0"/>
                    <w:snapToGrid w:val="0"/>
                    <w:spacing w:after="0" w:line="240" w:lineRule="auto"/>
                    <w:ind w:left="0" w:leftChars="0"/>
                    <w:jc w:val="center"/>
                    <w:rPr>
                      <w:szCs w:val="21"/>
                    </w:rPr>
                  </w:pPr>
                  <w:r>
                    <w:rPr>
                      <w:kern w:val="0"/>
                      <w:szCs w:val="21"/>
                    </w:rPr>
                    <w:t>年平均质量浓度</w:t>
                  </w:r>
                </w:p>
              </w:tc>
              <w:tc>
                <w:tcPr>
                  <w:tcW w:w="732" w:type="pct"/>
                  <w:tcBorders>
                    <w:top w:val="single" w:color="auto" w:sz="6" w:space="0"/>
                    <w:left w:val="single" w:color="auto" w:sz="6" w:space="0"/>
                    <w:bottom w:val="single" w:color="auto" w:sz="6" w:space="0"/>
                    <w:right w:val="single" w:color="auto" w:sz="6" w:space="0"/>
                  </w:tcBorders>
                  <w:vAlign w:val="center"/>
                </w:tcPr>
                <w:p w14:paraId="6C90926A">
                  <w:pPr>
                    <w:adjustRightInd w:val="0"/>
                    <w:snapToGrid w:val="0"/>
                    <w:jc w:val="center"/>
                    <w:rPr>
                      <w:szCs w:val="21"/>
                    </w:rPr>
                  </w:pPr>
                  <w:r>
                    <w:rPr>
                      <w:szCs w:val="21"/>
                    </w:rPr>
                    <w:t>80</w:t>
                  </w:r>
                </w:p>
              </w:tc>
              <w:tc>
                <w:tcPr>
                  <w:tcW w:w="699" w:type="pct"/>
                  <w:tcBorders>
                    <w:top w:val="single" w:color="auto" w:sz="6" w:space="0"/>
                    <w:left w:val="single" w:color="auto" w:sz="6" w:space="0"/>
                    <w:bottom w:val="single" w:color="auto" w:sz="6" w:space="0"/>
                    <w:right w:val="single" w:color="auto" w:sz="6" w:space="0"/>
                  </w:tcBorders>
                  <w:vAlign w:val="center"/>
                </w:tcPr>
                <w:p w14:paraId="014DEE10">
                  <w:pPr>
                    <w:pStyle w:val="24"/>
                    <w:adjustRightInd w:val="0"/>
                    <w:snapToGrid w:val="0"/>
                    <w:spacing w:after="0" w:line="240" w:lineRule="auto"/>
                    <w:ind w:left="0" w:leftChars="0"/>
                    <w:jc w:val="center"/>
                    <w:rPr>
                      <w:szCs w:val="21"/>
                    </w:rPr>
                  </w:pPr>
                  <w:r>
                    <w:rPr>
                      <w:szCs w:val="21"/>
                    </w:rPr>
                    <w:t>70</w:t>
                  </w:r>
                </w:p>
              </w:tc>
              <w:tc>
                <w:tcPr>
                  <w:tcW w:w="604" w:type="pct"/>
                  <w:tcBorders>
                    <w:top w:val="single" w:color="auto" w:sz="6" w:space="0"/>
                    <w:left w:val="single" w:color="auto" w:sz="6" w:space="0"/>
                    <w:bottom w:val="single" w:color="auto" w:sz="6" w:space="0"/>
                    <w:right w:val="single" w:color="auto" w:sz="6" w:space="0"/>
                  </w:tcBorders>
                  <w:vAlign w:val="center"/>
                </w:tcPr>
                <w:p w14:paraId="25B2918A">
                  <w:pPr>
                    <w:adjustRightInd w:val="0"/>
                    <w:snapToGrid w:val="0"/>
                    <w:jc w:val="center"/>
                    <w:rPr>
                      <w:szCs w:val="21"/>
                    </w:rPr>
                  </w:pPr>
                  <w:r>
                    <w:rPr>
                      <w:szCs w:val="21"/>
                    </w:rPr>
                    <w:t>114.3</w:t>
                  </w:r>
                </w:p>
              </w:tc>
              <w:tc>
                <w:tcPr>
                  <w:tcW w:w="701" w:type="pct"/>
                  <w:tcBorders>
                    <w:top w:val="single" w:color="auto" w:sz="6" w:space="0"/>
                    <w:left w:val="single" w:color="auto" w:sz="6" w:space="0"/>
                    <w:bottom w:val="single" w:color="auto" w:sz="6" w:space="0"/>
                  </w:tcBorders>
                  <w:vAlign w:val="center"/>
                </w:tcPr>
                <w:p w14:paraId="4E8617AD">
                  <w:pPr>
                    <w:pStyle w:val="24"/>
                    <w:adjustRightInd w:val="0"/>
                    <w:snapToGrid w:val="0"/>
                    <w:spacing w:after="0" w:line="240" w:lineRule="auto"/>
                    <w:ind w:left="0" w:leftChars="0"/>
                    <w:jc w:val="center"/>
                    <w:rPr>
                      <w:szCs w:val="21"/>
                    </w:rPr>
                  </w:pPr>
                  <w:r>
                    <w:rPr>
                      <w:szCs w:val="21"/>
                    </w:rPr>
                    <w:t>超标</w:t>
                  </w:r>
                </w:p>
              </w:tc>
            </w:tr>
            <w:tr w14:paraId="3A6F0F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27" w:type="pct"/>
                  <w:vMerge w:val="continue"/>
                  <w:tcBorders>
                    <w:top w:val="single" w:color="auto" w:sz="6" w:space="0"/>
                    <w:bottom w:val="single" w:color="auto" w:sz="12" w:space="0"/>
                    <w:right w:val="single" w:color="auto" w:sz="6" w:space="0"/>
                  </w:tcBorders>
                  <w:vAlign w:val="center"/>
                </w:tcPr>
                <w:p w14:paraId="09447A51">
                  <w:pPr>
                    <w:widowControl/>
                    <w:adjustRightInd w:val="0"/>
                    <w:snapToGrid w:val="0"/>
                    <w:jc w:val="left"/>
                    <w:rPr>
                      <w:szCs w:val="21"/>
                    </w:rPr>
                  </w:pPr>
                </w:p>
              </w:tc>
              <w:tc>
                <w:tcPr>
                  <w:tcW w:w="539" w:type="pct"/>
                  <w:tcBorders>
                    <w:top w:val="single" w:color="auto" w:sz="6" w:space="0"/>
                    <w:left w:val="single" w:color="auto" w:sz="6" w:space="0"/>
                    <w:bottom w:val="single" w:color="auto" w:sz="6" w:space="0"/>
                    <w:right w:val="single" w:color="auto" w:sz="6" w:space="0"/>
                  </w:tcBorders>
                  <w:vAlign w:val="center"/>
                </w:tcPr>
                <w:p w14:paraId="23153B56">
                  <w:pPr>
                    <w:pStyle w:val="24"/>
                    <w:adjustRightInd w:val="0"/>
                    <w:snapToGrid w:val="0"/>
                    <w:spacing w:after="0" w:line="240" w:lineRule="auto"/>
                    <w:ind w:left="0" w:leftChars="0"/>
                    <w:jc w:val="center"/>
                    <w:rPr>
                      <w:szCs w:val="21"/>
                    </w:rPr>
                  </w:pPr>
                  <w:r>
                    <w:rPr>
                      <w:szCs w:val="21"/>
                    </w:rPr>
                    <w:t>PM</w:t>
                  </w:r>
                  <w:r>
                    <w:rPr>
                      <w:szCs w:val="21"/>
                      <w:vertAlign w:val="subscript"/>
                    </w:rPr>
                    <w:t>2.5</w:t>
                  </w:r>
                </w:p>
              </w:tc>
              <w:tc>
                <w:tcPr>
                  <w:tcW w:w="1298" w:type="pct"/>
                  <w:tcBorders>
                    <w:top w:val="single" w:color="auto" w:sz="6" w:space="0"/>
                    <w:left w:val="single" w:color="auto" w:sz="6" w:space="0"/>
                    <w:bottom w:val="single" w:color="auto" w:sz="6" w:space="0"/>
                    <w:right w:val="single" w:color="auto" w:sz="6" w:space="0"/>
                  </w:tcBorders>
                  <w:vAlign w:val="center"/>
                </w:tcPr>
                <w:p w14:paraId="009217C8">
                  <w:pPr>
                    <w:pStyle w:val="24"/>
                    <w:adjustRightInd w:val="0"/>
                    <w:snapToGrid w:val="0"/>
                    <w:spacing w:after="0" w:line="240" w:lineRule="auto"/>
                    <w:ind w:left="0" w:leftChars="0"/>
                    <w:jc w:val="center"/>
                    <w:rPr>
                      <w:szCs w:val="21"/>
                    </w:rPr>
                  </w:pPr>
                  <w:r>
                    <w:rPr>
                      <w:kern w:val="0"/>
                      <w:szCs w:val="21"/>
                    </w:rPr>
                    <w:t>年平均质量浓度</w:t>
                  </w:r>
                </w:p>
              </w:tc>
              <w:tc>
                <w:tcPr>
                  <w:tcW w:w="732" w:type="pct"/>
                  <w:tcBorders>
                    <w:top w:val="single" w:color="auto" w:sz="6" w:space="0"/>
                    <w:left w:val="single" w:color="auto" w:sz="6" w:space="0"/>
                    <w:bottom w:val="single" w:color="auto" w:sz="6" w:space="0"/>
                    <w:right w:val="single" w:color="auto" w:sz="6" w:space="0"/>
                  </w:tcBorders>
                  <w:vAlign w:val="center"/>
                </w:tcPr>
                <w:p w14:paraId="7FA6F658">
                  <w:pPr>
                    <w:adjustRightInd w:val="0"/>
                    <w:snapToGrid w:val="0"/>
                    <w:jc w:val="center"/>
                    <w:rPr>
                      <w:szCs w:val="21"/>
                    </w:rPr>
                  </w:pPr>
                  <w:r>
                    <w:rPr>
                      <w:szCs w:val="21"/>
                    </w:rPr>
                    <w:t>44</w:t>
                  </w:r>
                </w:p>
              </w:tc>
              <w:tc>
                <w:tcPr>
                  <w:tcW w:w="699" w:type="pct"/>
                  <w:tcBorders>
                    <w:top w:val="single" w:color="auto" w:sz="6" w:space="0"/>
                    <w:left w:val="single" w:color="auto" w:sz="6" w:space="0"/>
                    <w:bottom w:val="single" w:color="auto" w:sz="6" w:space="0"/>
                    <w:right w:val="single" w:color="auto" w:sz="6" w:space="0"/>
                  </w:tcBorders>
                  <w:vAlign w:val="center"/>
                </w:tcPr>
                <w:p w14:paraId="434591FE">
                  <w:pPr>
                    <w:pStyle w:val="24"/>
                    <w:adjustRightInd w:val="0"/>
                    <w:snapToGrid w:val="0"/>
                    <w:spacing w:after="0" w:line="240" w:lineRule="auto"/>
                    <w:ind w:left="0" w:leftChars="0"/>
                    <w:jc w:val="center"/>
                    <w:rPr>
                      <w:szCs w:val="21"/>
                    </w:rPr>
                  </w:pPr>
                  <w:r>
                    <w:rPr>
                      <w:szCs w:val="21"/>
                    </w:rPr>
                    <w:t>35</w:t>
                  </w:r>
                </w:p>
              </w:tc>
              <w:tc>
                <w:tcPr>
                  <w:tcW w:w="604" w:type="pct"/>
                  <w:tcBorders>
                    <w:top w:val="single" w:color="auto" w:sz="6" w:space="0"/>
                    <w:left w:val="single" w:color="auto" w:sz="6" w:space="0"/>
                    <w:bottom w:val="single" w:color="auto" w:sz="6" w:space="0"/>
                    <w:right w:val="single" w:color="auto" w:sz="6" w:space="0"/>
                  </w:tcBorders>
                  <w:vAlign w:val="center"/>
                </w:tcPr>
                <w:p w14:paraId="5EFEA499">
                  <w:pPr>
                    <w:adjustRightInd w:val="0"/>
                    <w:snapToGrid w:val="0"/>
                    <w:jc w:val="center"/>
                    <w:rPr>
                      <w:szCs w:val="21"/>
                    </w:rPr>
                  </w:pPr>
                  <w:r>
                    <w:rPr>
                      <w:szCs w:val="21"/>
                    </w:rPr>
                    <w:t>125.7</w:t>
                  </w:r>
                </w:p>
              </w:tc>
              <w:tc>
                <w:tcPr>
                  <w:tcW w:w="701" w:type="pct"/>
                  <w:tcBorders>
                    <w:top w:val="single" w:color="auto" w:sz="6" w:space="0"/>
                    <w:left w:val="single" w:color="auto" w:sz="6" w:space="0"/>
                    <w:bottom w:val="single" w:color="auto" w:sz="6" w:space="0"/>
                  </w:tcBorders>
                  <w:vAlign w:val="center"/>
                </w:tcPr>
                <w:p w14:paraId="69FD6DED">
                  <w:pPr>
                    <w:pStyle w:val="24"/>
                    <w:adjustRightInd w:val="0"/>
                    <w:snapToGrid w:val="0"/>
                    <w:spacing w:after="0" w:line="240" w:lineRule="auto"/>
                    <w:ind w:left="0" w:leftChars="0"/>
                    <w:jc w:val="center"/>
                    <w:rPr>
                      <w:szCs w:val="21"/>
                    </w:rPr>
                  </w:pPr>
                  <w:r>
                    <w:rPr>
                      <w:szCs w:val="21"/>
                    </w:rPr>
                    <w:t>超标</w:t>
                  </w:r>
                </w:p>
              </w:tc>
            </w:tr>
            <w:tr w14:paraId="396554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27" w:type="pct"/>
                  <w:vMerge w:val="continue"/>
                  <w:tcBorders>
                    <w:top w:val="single" w:color="auto" w:sz="6" w:space="0"/>
                    <w:bottom w:val="single" w:color="auto" w:sz="12" w:space="0"/>
                    <w:right w:val="single" w:color="auto" w:sz="6" w:space="0"/>
                  </w:tcBorders>
                  <w:vAlign w:val="center"/>
                </w:tcPr>
                <w:p w14:paraId="51C43BAA">
                  <w:pPr>
                    <w:widowControl/>
                    <w:adjustRightInd w:val="0"/>
                    <w:snapToGrid w:val="0"/>
                    <w:jc w:val="left"/>
                    <w:rPr>
                      <w:szCs w:val="21"/>
                    </w:rPr>
                  </w:pPr>
                </w:p>
              </w:tc>
              <w:tc>
                <w:tcPr>
                  <w:tcW w:w="539" w:type="pct"/>
                  <w:tcBorders>
                    <w:top w:val="single" w:color="auto" w:sz="6" w:space="0"/>
                    <w:left w:val="single" w:color="auto" w:sz="6" w:space="0"/>
                    <w:bottom w:val="single" w:color="auto" w:sz="6" w:space="0"/>
                    <w:right w:val="single" w:color="auto" w:sz="6" w:space="0"/>
                  </w:tcBorders>
                  <w:vAlign w:val="center"/>
                </w:tcPr>
                <w:p w14:paraId="7031C6CA">
                  <w:pPr>
                    <w:pStyle w:val="24"/>
                    <w:adjustRightInd w:val="0"/>
                    <w:snapToGrid w:val="0"/>
                    <w:spacing w:after="0" w:line="240" w:lineRule="auto"/>
                    <w:ind w:left="0" w:leftChars="0"/>
                    <w:jc w:val="center"/>
                    <w:rPr>
                      <w:szCs w:val="21"/>
                    </w:rPr>
                  </w:pPr>
                  <w:r>
                    <w:rPr>
                      <w:szCs w:val="21"/>
                    </w:rPr>
                    <w:t>CO</w:t>
                  </w:r>
                </w:p>
              </w:tc>
              <w:tc>
                <w:tcPr>
                  <w:tcW w:w="1298" w:type="pct"/>
                  <w:tcBorders>
                    <w:top w:val="single" w:color="auto" w:sz="6" w:space="0"/>
                    <w:left w:val="single" w:color="auto" w:sz="6" w:space="0"/>
                    <w:bottom w:val="single" w:color="auto" w:sz="6" w:space="0"/>
                    <w:right w:val="single" w:color="auto" w:sz="6" w:space="0"/>
                  </w:tcBorders>
                  <w:vAlign w:val="center"/>
                </w:tcPr>
                <w:p w14:paraId="761F7607">
                  <w:pPr>
                    <w:pStyle w:val="24"/>
                    <w:adjustRightInd w:val="0"/>
                    <w:snapToGrid w:val="0"/>
                    <w:spacing w:after="0" w:line="240" w:lineRule="auto"/>
                    <w:ind w:left="0" w:leftChars="0"/>
                    <w:jc w:val="center"/>
                    <w:rPr>
                      <w:szCs w:val="21"/>
                    </w:rPr>
                  </w:pPr>
                  <w:r>
                    <w:rPr>
                      <w:szCs w:val="21"/>
                    </w:rPr>
                    <w:t>日平均质量浓度</w:t>
                  </w:r>
                </w:p>
              </w:tc>
              <w:tc>
                <w:tcPr>
                  <w:tcW w:w="732" w:type="pct"/>
                  <w:tcBorders>
                    <w:top w:val="single" w:color="auto" w:sz="6" w:space="0"/>
                    <w:left w:val="single" w:color="auto" w:sz="6" w:space="0"/>
                    <w:bottom w:val="single" w:color="auto" w:sz="6" w:space="0"/>
                    <w:right w:val="single" w:color="auto" w:sz="6" w:space="0"/>
                  </w:tcBorders>
                  <w:vAlign w:val="center"/>
                </w:tcPr>
                <w:p w14:paraId="2FFFDBB0">
                  <w:pPr>
                    <w:adjustRightInd w:val="0"/>
                    <w:snapToGrid w:val="0"/>
                    <w:jc w:val="center"/>
                    <w:rPr>
                      <w:szCs w:val="21"/>
                    </w:rPr>
                  </w:pPr>
                  <w:r>
                    <w:rPr>
                      <w:szCs w:val="21"/>
                    </w:rPr>
                    <w:t>1000</w:t>
                  </w:r>
                </w:p>
              </w:tc>
              <w:tc>
                <w:tcPr>
                  <w:tcW w:w="699" w:type="pct"/>
                  <w:tcBorders>
                    <w:top w:val="single" w:color="auto" w:sz="6" w:space="0"/>
                    <w:left w:val="single" w:color="auto" w:sz="6" w:space="0"/>
                    <w:bottom w:val="single" w:color="auto" w:sz="6" w:space="0"/>
                    <w:right w:val="single" w:color="auto" w:sz="6" w:space="0"/>
                  </w:tcBorders>
                  <w:vAlign w:val="center"/>
                </w:tcPr>
                <w:p w14:paraId="059BAD35">
                  <w:pPr>
                    <w:pStyle w:val="24"/>
                    <w:adjustRightInd w:val="0"/>
                    <w:snapToGrid w:val="0"/>
                    <w:spacing w:after="0" w:line="240" w:lineRule="auto"/>
                    <w:ind w:left="0" w:leftChars="0"/>
                    <w:jc w:val="center"/>
                    <w:rPr>
                      <w:szCs w:val="21"/>
                    </w:rPr>
                  </w:pPr>
                  <w:r>
                    <w:rPr>
                      <w:szCs w:val="21"/>
                    </w:rPr>
                    <w:t>4000</w:t>
                  </w:r>
                </w:p>
              </w:tc>
              <w:tc>
                <w:tcPr>
                  <w:tcW w:w="604" w:type="pct"/>
                  <w:tcBorders>
                    <w:top w:val="single" w:color="auto" w:sz="6" w:space="0"/>
                    <w:left w:val="single" w:color="auto" w:sz="6" w:space="0"/>
                    <w:bottom w:val="single" w:color="auto" w:sz="6" w:space="0"/>
                    <w:right w:val="single" w:color="auto" w:sz="6" w:space="0"/>
                  </w:tcBorders>
                  <w:vAlign w:val="center"/>
                </w:tcPr>
                <w:p w14:paraId="40507B8F">
                  <w:pPr>
                    <w:adjustRightInd w:val="0"/>
                    <w:snapToGrid w:val="0"/>
                    <w:jc w:val="center"/>
                    <w:rPr>
                      <w:szCs w:val="21"/>
                    </w:rPr>
                  </w:pPr>
                  <w:r>
                    <w:rPr>
                      <w:szCs w:val="21"/>
                    </w:rPr>
                    <w:t>25</w:t>
                  </w:r>
                </w:p>
              </w:tc>
              <w:tc>
                <w:tcPr>
                  <w:tcW w:w="701" w:type="pct"/>
                  <w:tcBorders>
                    <w:top w:val="single" w:color="auto" w:sz="6" w:space="0"/>
                    <w:left w:val="single" w:color="auto" w:sz="6" w:space="0"/>
                    <w:bottom w:val="single" w:color="auto" w:sz="6" w:space="0"/>
                  </w:tcBorders>
                  <w:vAlign w:val="center"/>
                </w:tcPr>
                <w:p w14:paraId="6AA0E45B">
                  <w:pPr>
                    <w:pStyle w:val="24"/>
                    <w:adjustRightInd w:val="0"/>
                    <w:snapToGrid w:val="0"/>
                    <w:spacing w:after="0" w:line="240" w:lineRule="auto"/>
                    <w:ind w:left="0" w:leftChars="0"/>
                    <w:jc w:val="center"/>
                    <w:rPr>
                      <w:szCs w:val="21"/>
                    </w:rPr>
                  </w:pPr>
                  <w:r>
                    <w:rPr>
                      <w:szCs w:val="21"/>
                    </w:rPr>
                    <w:t>达标</w:t>
                  </w:r>
                </w:p>
              </w:tc>
            </w:tr>
            <w:tr w14:paraId="1902CE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427" w:type="pct"/>
                  <w:vMerge w:val="continue"/>
                  <w:tcBorders>
                    <w:top w:val="single" w:color="auto" w:sz="6" w:space="0"/>
                    <w:right w:val="single" w:color="auto" w:sz="6" w:space="0"/>
                  </w:tcBorders>
                  <w:vAlign w:val="center"/>
                </w:tcPr>
                <w:p w14:paraId="7F75B25E">
                  <w:pPr>
                    <w:widowControl/>
                    <w:adjustRightInd w:val="0"/>
                    <w:snapToGrid w:val="0"/>
                    <w:jc w:val="left"/>
                    <w:rPr>
                      <w:szCs w:val="21"/>
                    </w:rPr>
                  </w:pPr>
                </w:p>
              </w:tc>
              <w:tc>
                <w:tcPr>
                  <w:tcW w:w="539" w:type="pct"/>
                  <w:tcBorders>
                    <w:top w:val="single" w:color="auto" w:sz="6" w:space="0"/>
                    <w:left w:val="single" w:color="auto" w:sz="6" w:space="0"/>
                    <w:right w:val="single" w:color="auto" w:sz="6" w:space="0"/>
                  </w:tcBorders>
                  <w:vAlign w:val="center"/>
                </w:tcPr>
                <w:p w14:paraId="6148CBAA">
                  <w:pPr>
                    <w:pStyle w:val="24"/>
                    <w:adjustRightInd w:val="0"/>
                    <w:snapToGrid w:val="0"/>
                    <w:spacing w:after="0" w:line="240" w:lineRule="auto"/>
                    <w:ind w:left="0" w:leftChars="0"/>
                    <w:jc w:val="center"/>
                    <w:rPr>
                      <w:szCs w:val="21"/>
                    </w:rPr>
                  </w:pPr>
                  <w:r>
                    <w:rPr>
                      <w:szCs w:val="21"/>
                    </w:rPr>
                    <w:t>O</w:t>
                  </w:r>
                  <w:r>
                    <w:rPr>
                      <w:szCs w:val="21"/>
                      <w:vertAlign w:val="subscript"/>
                    </w:rPr>
                    <w:t>3</w:t>
                  </w:r>
                </w:p>
              </w:tc>
              <w:tc>
                <w:tcPr>
                  <w:tcW w:w="1298" w:type="pct"/>
                  <w:tcBorders>
                    <w:top w:val="single" w:color="auto" w:sz="6" w:space="0"/>
                    <w:left w:val="single" w:color="auto" w:sz="6" w:space="0"/>
                    <w:right w:val="single" w:color="auto" w:sz="6" w:space="0"/>
                  </w:tcBorders>
                  <w:vAlign w:val="center"/>
                </w:tcPr>
                <w:p w14:paraId="40BA1AFD">
                  <w:pPr>
                    <w:pStyle w:val="24"/>
                    <w:adjustRightInd w:val="0"/>
                    <w:snapToGrid w:val="0"/>
                    <w:spacing w:after="0" w:line="240" w:lineRule="auto"/>
                    <w:ind w:left="0" w:leftChars="0"/>
                    <w:jc w:val="center"/>
                    <w:rPr>
                      <w:szCs w:val="21"/>
                    </w:rPr>
                  </w:pPr>
                  <w:r>
                    <w:rPr>
                      <w:szCs w:val="21"/>
                    </w:rPr>
                    <w:t>日最大8小时平均质量浓度</w:t>
                  </w:r>
                </w:p>
              </w:tc>
              <w:tc>
                <w:tcPr>
                  <w:tcW w:w="732" w:type="pct"/>
                  <w:tcBorders>
                    <w:top w:val="single" w:color="auto" w:sz="6" w:space="0"/>
                    <w:left w:val="single" w:color="auto" w:sz="6" w:space="0"/>
                    <w:right w:val="single" w:color="auto" w:sz="6" w:space="0"/>
                  </w:tcBorders>
                  <w:vAlign w:val="center"/>
                </w:tcPr>
                <w:p w14:paraId="3EAA3AC5">
                  <w:pPr>
                    <w:adjustRightInd w:val="0"/>
                    <w:snapToGrid w:val="0"/>
                    <w:jc w:val="center"/>
                    <w:rPr>
                      <w:szCs w:val="21"/>
                    </w:rPr>
                  </w:pPr>
                  <w:r>
                    <w:rPr>
                      <w:szCs w:val="21"/>
                    </w:rPr>
                    <w:t>164</w:t>
                  </w:r>
                </w:p>
              </w:tc>
              <w:tc>
                <w:tcPr>
                  <w:tcW w:w="699" w:type="pct"/>
                  <w:tcBorders>
                    <w:top w:val="single" w:color="auto" w:sz="6" w:space="0"/>
                    <w:left w:val="single" w:color="auto" w:sz="6" w:space="0"/>
                    <w:right w:val="single" w:color="auto" w:sz="6" w:space="0"/>
                  </w:tcBorders>
                  <w:vAlign w:val="center"/>
                </w:tcPr>
                <w:p w14:paraId="239D6FC2">
                  <w:pPr>
                    <w:pStyle w:val="24"/>
                    <w:adjustRightInd w:val="0"/>
                    <w:snapToGrid w:val="0"/>
                    <w:spacing w:after="0" w:line="240" w:lineRule="auto"/>
                    <w:ind w:left="0" w:leftChars="0"/>
                    <w:jc w:val="center"/>
                    <w:rPr>
                      <w:szCs w:val="21"/>
                    </w:rPr>
                  </w:pPr>
                  <w:r>
                    <w:rPr>
                      <w:szCs w:val="21"/>
                    </w:rPr>
                    <w:t>160</w:t>
                  </w:r>
                </w:p>
              </w:tc>
              <w:tc>
                <w:tcPr>
                  <w:tcW w:w="604" w:type="pct"/>
                  <w:tcBorders>
                    <w:top w:val="single" w:color="auto" w:sz="6" w:space="0"/>
                    <w:left w:val="single" w:color="auto" w:sz="6" w:space="0"/>
                    <w:right w:val="single" w:color="auto" w:sz="6" w:space="0"/>
                  </w:tcBorders>
                  <w:vAlign w:val="center"/>
                </w:tcPr>
                <w:p w14:paraId="69D5374C">
                  <w:pPr>
                    <w:adjustRightInd w:val="0"/>
                    <w:snapToGrid w:val="0"/>
                    <w:jc w:val="center"/>
                    <w:rPr>
                      <w:szCs w:val="21"/>
                    </w:rPr>
                  </w:pPr>
                  <w:r>
                    <w:rPr>
                      <w:szCs w:val="21"/>
                    </w:rPr>
                    <w:t>102.5</w:t>
                  </w:r>
                </w:p>
              </w:tc>
              <w:tc>
                <w:tcPr>
                  <w:tcW w:w="701" w:type="pct"/>
                  <w:tcBorders>
                    <w:top w:val="single" w:color="auto" w:sz="6" w:space="0"/>
                    <w:left w:val="single" w:color="auto" w:sz="6" w:space="0"/>
                  </w:tcBorders>
                  <w:vAlign w:val="center"/>
                </w:tcPr>
                <w:p w14:paraId="33B745F0">
                  <w:pPr>
                    <w:pStyle w:val="24"/>
                    <w:adjustRightInd w:val="0"/>
                    <w:snapToGrid w:val="0"/>
                    <w:spacing w:after="0" w:line="240" w:lineRule="auto"/>
                    <w:ind w:left="0" w:leftChars="0"/>
                    <w:jc w:val="center"/>
                    <w:rPr>
                      <w:szCs w:val="21"/>
                    </w:rPr>
                  </w:pPr>
                  <w:r>
                    <w:rPr>
                      <w:szCs w:val="21"/>
                    </w:rPr>
                    <w:t>超标</w:t>
                  </w:r>
                </w:p>
              </w:tc>
            </w:tr>
          </w:tbl>
          <w:p w14:paraId="394C9258">
            <w:pPr>
              <w:pStyle w:val="24"/>
              <w:adjustRightInd w:val="0"/>
              <w:snapToGrid w:val="0"/>
              <w:spacing w:after="0" w:line="520" w:lineRule="exact"/>
              <w:ind w:left="0" w:leftChars="0" w:firstLine="480" w:firstLineChars="200"/>
              <w:rPr>
                <w:sz w:val="24"/>
              </w:rPr>
            </w:pPr>
            <w:r>
              <w:rPr>
                <w:sz w:val="24"/>
              </w:rPr>
              <w:t>由上表可知，本项目所在区域环境空气中的SO</w:t>
            </w:r>
            <w:r>
              <w:rPr>
                <w:sz w:val="24"/>
                <w:vertAlign w:val="subscript"/>
              </w:rPr>
              <w:t>2</w:t>
            </w:r>
            <w:r>
              <w:rPr>
                <w:sz w:val="24"/>
              </w:rPr>
              <w:t>、NO</w:t>
            </w:r>
            <w:r>
              <w:rPr>
                <w:sz w:val="24"/>
                <w:vertAlign w:val="subscript"/>
              </w:rPr>
              <w:t>2</w:t>
            </w:r>
            <w:r>
              <w:rPr>
                <w:sz w:val="24"/>
              </w:rPr>
              <w:t>年平均质量浓度、CO日平均浓度满足《环境空气质量标准》（GB3095-2012）及其修改单二级标准，PM</w:t>
            </w:r>
            <w:r>
              <w:rPr>
                <w:sz w:val="24"/>
                <w:vertAlign w:val="subscript"/>
              </w:rPr>
              <w:t>10</w:t>
            </w:r>
            <w:r>
              <w:rPr>
                <w:sz w:val="24"/>
              </w:rPr>
              <w:t>、PM</w:t>
            </w:r>
            <w:r>
              <w:rPr>
                <w:sz w:val="24"/>
                <w:vertAlign w:val="subscript"/>
              </w:rPr>
              <w:t>2.5</w:t>
            </w:r>
            <w:r>
              <w:rPr>
                <w:sz w:val="24"/>
              </w:rPr>
              <w:t>年平均质量浓度、O</w:t>
            </w:r>
            <w:r>
              <w:rPr>
                <w:sz w:val="24"/>
                <w:vertAlign w:val="subscript"/>
              </w:rPr>
              <w:t>3</w:t>
            </w:r>
            <w:r>
              <w:rPr>
                <w:sz w:val="24"/>
              </w:rPr>
              <w:t>日最大8小时平均质量浓度不满足《环境空气质量标准》（GB3095-2012）及其修改单二级标准。本项目所在区域属于未达标区。目前，平顶山市正在实施《平顶山市2025年蓝天保卫战实施方案》等，通过实施一系列大气污染防治措施，可有效改善宝丰县区域环境空气质量。</w:t>
            </w:r>
          </w:p>
          <w:p w14:paraId="277FA985">
            <w:pPr>
              <w:autoSpaceDE w:val="0"/>
              <w:autoSpaceDN w:val="0"/>
              <w:adjustRightInd w:val="0"/>
              <w:spacing w:line="520" w:lineRule="exact"/>
              <w:ind w:firstLine="480" w:firstLineChars="200"/>
              <w:jc w:val="left"/>
              <w:rPr>
                <w:sz w:val="24"/>
                <w:szCs w:val="21"/>
              </w:rPr>
            </w:pPr>
            <w:r>
              <w:rPr>
                <w:sz w:val="24"/>
                <w:szCs w:val="21"/>
              </w:rPr>
              <w:t>（2）特征因子监测</w:t>
            </w:r>
          </w:p>
          <w:p w14:paraId="67970A63">
            <w:pPr>
              <w:adjustRightInd w:val="0"/>
              <w:snapToGrid w:val="0"/>
              <w:spacing w:line="520" w:lineRule="exact"/>
              <w:ind w:firstLine="480" w:firstLineChars="200"/>
              <w:rPr>
                <w:bCs/>
                <w:color w:val="EE0000"/>
                <w:sz w:val="24"/>
              </w:rPr>
            </w:pPr>
            <w:r>
              <w:rPr>
                <w:bCs/>
                <w:sz w:val="24"/>
              </w:rPr>
              <w:t>本次评价引用河南贝纳检测技术服务有限公司于2023年7月19日~21日对项目西侧260m处闹店村的环境质量检测数据，检测因子为TSP、SO</w:t>
            </w:r>
            <w:r>
              <w:rPr>
                <w:bCs/>
                <w:sz w:val="24"/>
                <w:vertAlign w:val="subscript"/>
              </w:rPr>
              <w:t>2</w:t>
            </w:r>
            <w:r>
              <w:rPr>
                <w:bCs/>
                <w:sz w:val="24"/>
              </w:rPr>
              <w:t>、NO</w:t>
            </w:r>
            <w:r>
              <w:rPr>
                <w:bCs/>
                <w:sz w:val="24"/>
                <w:vertAlign w:val="subscript"/>
              </w:rPr>
              <w:t>x</w:t>
            </w:r>
            <w:r>
              <w:rPr>
                <w:bCs/>
                <w:sz w:val="24"/>
              </w:rPr>
              <w:t>、氟化物、氨、硫化氢，具体检测结果统计如下表。</w:t>
            </w:r>
          </w:p>
          <w:p w14:paraId="28766536">
            <w:pPr>
              <w:spacing w:line="500" w:lineRule="exact"/>
              <w:ind w:firstLine="480" w:firstLineChars="200"/>
              <w:jc w:val="center"/>
              <w:rPr>
                <w:bCs/>
                <w:sz w:val="24"/>
              </w:rPr>
            </w:pPr>
            <w:r>
              <w:rPr>
                <w:rFonts w:eastAsia="黑体"/>
                <w:bCs/>
                <w:sz w:val="24"/>
              </w:rPr>
              <w:t xml:space="preserve">表3-2      环境空气质量监测结果统计表       </w:t>
            </w:r>
            <w:r>
              <w:rPr>
                <w:bCs/>
                <w:szCs w:val="21"/>
              </w:rPr>
              <w:t>单位：</w:t>
            </w:r>
            <w:r>
              <w:rPr>
                <w:bCs/>
                <w:kern w:val="0"/>
                <w:szCs w:val="21"/>
              </w:rPr>
              <w:t>µg/m</w:t>
            </w:r>
            <w:r>
              <w:rPr>
                <w:bCs/>
                <w:kern w:val="0"/>
                <w:szCs w:val="21"/>
                <w:vertAlign w:val="superscript"/>
              </w:rPr>
              <w:t>3</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941"/>
              <w:gridCol w:w="579"/>
              <w:gridCol w:w="1431"/>
              <w:gridCol w:w="1100"/>
              <w:gridCol w:w="1886"/>
              <w:gridCol w:w="1317"/>
            </w:tblGrid>
            <w:tr w14:paraId="6C9A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69" w:type="pct"/>
                  <w:vAlign w:val="center"/>
                </w:tcPr>
                <w:p w14:paraId="42CD1047">
                  <w:pPr>
                    <w:pStyle w:val="203"/>
                    <w:rPr>
                      <w:rFonts w:ascii="Times New Roman" w:hAnsi="Times New Roman"/>
                      <w:bCs/>
                      <w:szCs w:val="21"/>
                      <w:lang w:eastAsia="zh-CN"/>
                    </w:rPr>
                  </w:pPr>
                  <w:r>
                    <w:rPr>
                      <w:rFonts w:ascii="Times New Roman" w:hAnsi="Times New Roman"/>
                      <w:bCs/>
                      <w:szCs w:val="21"/>
                      <w:lang w:eastAsia="zh-CN"/>
                    </w:rPr>
                    <w:t>监测点</w:t>
                  </w:r>
                </w:p>
              </w:tc>
              <w:tc>
                <w:tcPr>
                  <w:tcW w:w="929" w:type="pct"/>
                  <w:gridSpan w:val="2"/>
                  <w:vAlign w:val="center"/>
                </w:tcPr>
                <w:p w14:paraId="4FF65B58">
                  <w:pPr>
                    <w:widowControl/>
                    <w:jc w:val="center"/>
                    <w:rPr>
                      <w:bCs/>
                      <w:kern w:val="0"/>
                      <w:szCs w:val="21"/>
                    </w:rPr>
                  </w:pPr>
                  <w:r>
                    <w:rPr>
                      <w:bCs/>
                      <w:kern w:val="0"/>
                      <w:szCs w:val="21"/>
                    </w:rPr>
                    <w:t>监测因子</w:t>
                  </w:r>
                </w:p>
              </w:tc>
              <w:tc>
                <w:tcPr>
                  <w:tcW w:w="874" w:type="pct"/>
                  <w:vAlign w:val="center"/>
                </w:tcPr>
                <w:p w14:paraId="391B19DC">
                  <w:pPr>
                    <w:widowControl/>
                    <w:jc w:val="center"/>
                    <w:rPr>
                      <w:bCs/>
                      <w:kern w:val="0"/>
                      <w:szCs w:val="21"/>
                    </w:rPr>
                  </w:pPr>
                  <w:r>
                    <w:rPr>
                      <w:bCs/>
                      <w:kern w:val="0"/>
                      <w:szCs w:val="21"/>
                    </w:rPr>
                    <w:t>浓度范围</w:t>
                  </w:r>
                </w:p>
              </w:tc>
              <w:tc>
                <w:tcPr>
                  <w:tcW w:w="672" w:type="pct"/>
                  <w:vAlign w:val="center"/>
                </w:tcPr>
                <w:p w14:paraId="5FBBCD0F">
                  <w:pPr>
                    <w:widowControl/>
                    <w:jc w:val="center"/>
                    <w:rPr>
                      <w:bCs/>
                      <w:kern w:val="0"/>
                      <w:szCs w:val="21"/>
                    </w:rPr>
                  </w:pPr>
                  <w:r>
                    <w:rPr>
                      <w:bCs/>
                      <w:kern w:val="0"/>
                      <w:szCs w:val="21"/>
                    </w:rPr>
                    <w:t>标准</w:t>
                  </w:r>
                </w:p>
              </w:tc>
              <w:tc>
                <w:tcPr>
                  <w:tcW w:w="1152" w:type="pct"/>
                  <w:vAlign w:val="center"/>
                </w:tcPr>
                <w:p w14:paraId="42B6A4DF">
                  <w:pPr>
                    <w:widowControl/>
                    <w:jc w:val="center"/>
                    <w:rPr>
                      <w:bCs/>
                      <w:kern w:val="0"/>
                      <w:szCs w:val="21"/>
                    </w:rPr>
                  </w:pPr>
                  <w:r>
                    <w:rPr>
                      <w:bCs/>
                      <w:kern w:val="0"/>
                      <w:szCs w:val="21"/>
                    </w:rPr>
                    <w:t>评价指数范围</w:t>
                  </w:r>
                </w:p>
              </w:tc>
              <w:tc>
                <w:tcPr>
                  <w:tcW w:w="804" w:type="pct"/>
                  <w:vAlign w:val="center"/>
                </w:tcPr>
                <w:p w14:paraId="73DFD27B">
                  <w:pPr>
                    <w:widowControl/>
                    <w:jc w:val="center"/>
                    <w:rPr>
                      <w:bCs/>
                      <w:kern w:val="0"/>
                      <w:szCs w:val="21"/>
                    </w:rPr>
                  </w:pPr>
                  <w:r>
                    <w:rPr>
                      <w:bCs/>
                      <w:kern w:val="0"/>
                      <w:szCs w:val="21"/>
                    </w:rPr>
                    <w:t>评价结果</w:t>
                  </w:r>
                </w:p>
              </w:tc>
            </w:tr>
            <w:tr w14:paraId="01B4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69" w:type="pct"/>
                  <w:vMerge w:val="restart"/>
                  <w:vAlign w:val="center"/>
                </w:tcPr>
                <w:p w14:paraId="02F39969">
                  <w:pPr>
                    <w:pStyle w:val="203"/>
                    <w:rPr>
                      <w:rFonts w:ascii="Times New Roman" w:hAnsi="Times New Roman"/>
                      <w:bCs/>
                      <w:szCs w:val="21"/>
                      <w:lang w:eastAsia="zh-CN"/>
                    </w:rPr>
                  </w:pPr>
                  <w:r>
                    <w:rPr>
                      <w:rFonts w:ascii="Times New Roman" w:hAnsi="Times New Roman"/>
                      <w:bCs/>
                      <w:szCs w:val="21"/>
                      <w:lang w:eastAsia="zh-CN"/>
                    </w:rPr>
                    <w:t>闹店村</w:t>
                  </w:r>
                </w:p>
              </w:tc>
              <w:tc>
                <w:tcPr>
                  <w:tcW w:w="575" w:type="pct"/>
                  <w:vAlign w:val="center"/>
                </w:tcPr>
                <w:p w14:paraId="56510691">
                  <w:pPr>
                    <w:jc w:val="center"/>
                    <w:rPr>
                      <w:bCs/>
                      <w:szCs w:val="21"/>
                    </w:rPr>
                  </w:pPr>
                  <w:r>
                    <w:rPr>
                      <w:bCs/>
                      <w:szCs w:val="21"/>
                    </w:rPr>
                    <w:t>TSP</w:t>
                  </w:r>
                </w:p>
              </w:tc>
              <w:tc>
                <w:tcPr>
                  <w:tcW w:w="354" w:type="pct"/>
                  <w:vMerge w:val="restart"/>
                  <w:vAlign w:val="center"/>
                </w:tcPr>
                <w:p w14:paraId="7D75D612">
                  <w:pPr>
                    <w:jc w:val="center"/>
                    <w:rPr>
                      <w:bCs/>
                      <w:szCs w:val="21"/>
                    </w:rPr>
                  </w:pPr>
                  <w:r>
                    <w:rPr>
                      <w:bCs/>
                      <w:szCs w:val="21"/>
                    </w:rPr>
                    <w:t>24h平均</w:t>
                  </w:r>
                </w:p>
              </w:tc>
              <w:tc>
                <w:tcPr>
                  <w:tcW w:w="874" w:type="pct"/>
                  <w:vAlign w:val="center"/>
                </w:tcPr>
                <w:p w14:paraId="2CA268E0">
                  <w:pPr>
                    <w:jc w:val="center"/>
                    <w:rPr>
                      <w:bCs/>
                      <w:szCs w:val="21"/>
                    </w:rPr>
                  </w:pPr>
                  <w:r>
                    <w:rPr>
                      <w:bCs/>
                      <w:szCs w:val="21"/>
                    </w:rPr>
                    <w:t>169-212</w:t>
                  </w:r>
                </w:p>
              </w:tc>
              <w:tc>
                <w:tcPr>
                  <w:tcW w:w="672" w:type="pct"/>
                  <w:vAlign w:val="center"/>
                </w:tcPr>
                <w:p w14:paraId="6D9E286C">
                  <w:pPr>
                    <w:jc w:val="center"/>
                    <w:rPr>
                      <w:bCs/>
                      <w:szCs w:val="21"/>
                    </w:rPr>
                  </w:pPr>
                  <w:r>
                    <w:rPr>
                      <w:bCs/>
                      <w:szCs w:val="21"/>
                    </w:rPr>
                    <w:t>300</w:t>
                  </w:r>
                </w:p>
              </w:tc>
              <w:tc>
                <w:tcPr>
                  <w:tcW w:w="1152" w:type="pct"/>
                  <w:vAlign w:val="center"/>
                </w:tcPr>
                <w:p w14:paraId="6781A946">
                  <w:pPr>
                    <w:jc w:val="center"/>
                    <w:rPr>
                      <w:bCs/>
                      <w:szCs w:val="21"/>
                    </w:rPr>
                  </w:pPr>
                  <w:r>
                    <w:rPr>
                      <w:bCs/>
                      <w:szCs w:val="21"/>
                    </w:rPr>
                    <w:t>0.56-0.71</w:t>
                  </w:r>
                </w:p>
              </w:tc>
              <w:tc>
                <w:tcPr>
                  <w:tcW w:w="804" w:type="pct"/>
                  <w:vAlign w:val="center"/>
                </w:tcPr>
                <w:p w14:paraId="7447CDF3">
                  <w:pPr>
                    <w:pStyle w:val="203"/>
                    <w:rPr>
                      <w:rFonts w:ascii="Times New Roman" w:hAnsi="Times New Roman"/>
                      <w:bCs/>
                      <w:szCs w:val="21"/>
                      <w:lang w:eastAsia="zh-CN"/>
                    </w:rPr>
                  </w:pPr>
                  <w:r>
                    <w:rPr>
                      <w:rFonts w:ascii="Times New Roman" w:hAnsi="Times New Roman"/>
                      <w:bCs/>
                      <w:szCs w:val="21"/>
                      <w:lang w:eastAsia="zh-CN"/>
                    </w:rPr>
                    <w:t>达标</w:t>
                  </w:r>
                </w:p>
              </w:tc>
            </w:tr>
            <w:tr w14:paraId="0894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69" w:type="pct"/>
                  <w:vMerge w:val="continue"/>
                  <w:vAlign w:val="center"/>
                </w:tcPr>
                <w:p w14:paraId="118AEE66">
                  <w:pPr>
                    <w:pStyle w:val="203"/>
                    <w:rPr>
                      <w:rFonts w:ascii="Times New Roman" w:hAnsi="Times New Roman"/>
                      <w:bCs/>
                      <w:szCs w:val="21"/>
                      <w:lang w:eastAsia="zh-CN"/>
                    </w:rPr>
                  </w:pPr>
                </w:p>
              </w:tc>
              <w:tc>
                <w:tcPr>
                  <w:tcW w:w="575" w:type="pct"/>
                  <w:vAlign w:val="center"/>
                </w:tcPr>
                <w:p w14:paraId="19E8808C">
                  <w:pPr>
                    <w:jc w:val="center"/>
                    <w:rPr>
                      <w:bCs/>
                      <w:szCs w:val="21"/>
                    </w:rPr>
                  </w:pPr>
                  <w:r>
                    <w:rPr>
                      <w:bCs/>
                      <w:szCs w:val="21"/>
                    </w:rPr>
                    <w:t>SO</w:t>
                  </w:r>
                  <w:r>
                    <w:rPr>
                      <w:bCs/>
                      <w:szCs w:val="21"/>
                      <w:vertAlign w:val="subscript"/>
                    </w:rPr>
                    <w:t>2</w:t>
                  </w:r>
                </w:p>
              </w:tc>
              <w:tc>
                <w:tcPr>
                  <w:tcW w:w="354" w:type="pct"/>
                  <w:vMerge w:val="continue"/>
                  <w:vAlign w:val="center"/>
                </w:tcPr>
                <w:p w14:paraId="07983BE7">
                  <w:pPr>
                    <w:jc w:val="center"/>
                    <w:rPr>
                      <w:bCs/>
                      <w:szCs w:val="21"/>
                    </w:rPr>
                  </w:pPr>
                </w:p>
              </w:tc>
              <w:tc>
                <w:tcPr>
                  <w:tcW w:w="874" w:type="pct"/>
                  <w:vAlign w:val="center"/>
                </w:tcPr>
                <w:p w14:paraId="763EB381">
                  <w:pPr>
                    <w:jc w:val="center"/>
                    <w:rPr>
                      <w:bCs/>
                      <w:szCs w:val="21"/>
                    </w:rPr>
                  </w:pPr>
                  <w:r>
                    <w:rPr>
                      <w:bCs/>
                      <w:szCs w:val="21"/>
                    </w:rPr>
                    <w:t>21-31</w:t>
                  </w:r>
                </w:p>
              </w:tc>
              <w:tc>
                <w:tcPr>
                  <w:tcW w:w="672" w:type="pct"/>
                  <w:vAlign w:val="center"/>
                </w:tcPr>
                <w:p w14:paraId="5E794A9B">
                  <w:pPr>
                    <w:jc w:val="center"/>
                    <w:rPr>
                      <w:bCs/>
                      <w:szCs w:val="21"/>
                    </w:rPr>
                  </w:pPr>
                  <w:r>
                    <w:rPr>
                      <w:bCs/>
                      <w:szCs w:val="21"/>
                    </w:rPr>
                    <w:t>150</w:t>
                  </w:r>
                </w:p>
              </w:tc>
              <w:tc>
                <w:tcPr>
                  <w:tcW w:w="1152" w:type="pct"/>
                  <w:vAlign w:val="center"/>
                </w:tcPr>
                <w:p w14:paraId="6E300821">
                  <w:pPr>
                    <w:jc w:val="center"/>
                    <w:rPr>
                      <w:bCs/>
                      <w:szCs w:val="21"/>
                    </w:rPr>
                  </w:pPr>
                  <w:r>
                    <w:rPr>
                      <w:bCs/>
                      <w:szCs w:val="21"/>
                    </w:rPr>
                    <w:t>0.14-0.21</w:t>
                  </w:r>
                </w:p>
              </w:tc>
              <w:tc>
                <w:tcPr>
                  <w:tcW w:w="804" w:type="pct"/>
                  <w:vAlign w:val="center"/>
                </w:tcPr>
                <w:p w14:paraId="43B4C270">
                  <w:pPr>
                    <w:pStyle w:val="203"/>
                    <w:rPr>
                      <w:rFonts w:ascii="Times New Roman" w:hAnsi="Times New Roman"/>
                      <w:bCs/>
                      <w:szCs w:val="21"/>
                      <w:lang w:eastAsia="zh-CN"/>
                    </w:rPr>
                  </w:pPr>
                  <w:r>
                    <w:rPr>
                      <w:rFonts w:ascii="Times New Roman" w:hAnsi="Times New Roman"/>
                      <w:bCs/>
                      <w:szCs w:val="21"/>
                      <w:lang w:eastAsia="zh-CN"/>
                    </w:rPr>
                    <w:t>达标</w:t>
                  </w:r>
                </w:p>
              </w:tc>
            </w:tr>
            <w:tr w14:paraId="5B66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69" w:type="pct"/>
                  <w:vMerge w:val="continue"/>
                  <w:vAlign w:val="center"/>
                </w:tcPr>
                <w:p w14:paraId="364DAAC0">
                  <w:pPr>
                    <w:pStyle w:val="203"/>
                    <w:rPr>
                      <w:rFonts w:ascii="Times New Roman" w:hAnsi="Times New Roman"/>
                      <w:bCs/>
                      <w:szCs w:val="21"/>
                      <w:lang w:eastAsia="zh-CN"/>
                    </w:rPr>
                  </w:pPr>
                </w:p>
              </w:tc>
              <w:tc>
                <w:tcPr>
                  <w:tcW w:w="575" w:type="pct"/>
                  <w:vAlign w:val="center"/>
                </w:tcPr>
                <w:p w14:paraId="5C9C4A0F">
                  <w:pPr>
                    <w:jc w:val="center"/>
                    <w:rPr>
                      <w:bCs/>
                      <w:szCs w:val="21"/>
                    </w:rPr>
                  </w:pPr>
                  <w:r>
                    <w:rPr>
                      <w:bCs/>
                      <w:szCs w:val="21"/>
                    </w:rPr>
                    <w:t>NO</w:t>
                  </w:r>
                  <w:r>
                    <w:rPr>
                      <w:bCs/>
                      <w:szCs w:val="21"/>
                      <w:vertAlign w:val="subscript"/>
                    </w:rPr>
                    <w:t>x</w:t>
                  </w:r>
                </w:p>
              </w:tc>
              <w:tc>
                <w:tcPr>
                  <w:tcW w:w="354" w:type="pct"/>
                  <w:vMerge w:val="continue"/>
                  <w:vAlign w:val="center"/>
                </w:tcPr>
                <w:p w14:paraId="72D21822">
                  <w:pPr>
                    <w:jc w:val="center"/>
                    <w:rPr>
                      <w:bCs/>
                      <w:szCs w:val="21"/>
                    </w:rPr>
                  </w:pPr>
                </w:p>
              </w:tc>
              <w:tc>
                <w:tcPr>
                  <w:tcW w:w="874" w:type="pct"/>
                  <w:vAlign w:val="center"/>
                </w:tcPr>
                <w:p w14:paraId="00F4C5C5">
                  <w:pPr>
                    <w:jc w:val="center"/>
                    <w:rPr>
                      <w:bCs/>
                      <w:szCs w:val="21"/>
                    </w:rPr>
                  </w:pPr>
                  <w:r>
                    <w:rPr>
                      <w:bCs/>
                      <w:szCs w:val="21"/>
                    </w:rPr>
                    <w:t>14-24</w:t>
                  </w:r>
                </w:p>
              </w:tc>
              <w:tc>
                <w:tcPr>
                  <w:tcW w:w="672" w:type="pct"/>
                  <w:vAlign w:val="center"/>
                </w:tcPr>
                <w:p w14:paraId="4953BBF5">
                  <w:pPr>
                    <w:jc w:val="center"/>
                    <w:rPr>
                      <w:bCs/>
                      <w:szCs w:val="21"/>
                    </w:rPr>
                  </w:pPr>
                  <w:r>
                    <w:rPr>
                      <w:bCs/>
                      <w:szCs w:val="21"/>
                    </w:rPr>
                    <w:t>100</w:t>
                  </w:r>
                </w:p>
              </w:tc>
              <w:tc>
                <w:tcPr>
                  <w:tcW w:w="1152" w:type="pct"/>
                  <w:vAlign w:val="center"/>
                </w:tcPr>
                <w:p w14:paraId="2C5E71FC">
                  <w:pPr>
                    <w:jc w:val="center"/>
                    <w:rPr>
                      <w:bCs/>
                      <w:szCs w:val="21"/>
                    </w:rPr>
                  </w:pPr>
                  <w:r>
                    <w:rPr>
                      <w:bCs/>
                      <w:szCs w:val="21"/>
                    </w:rPr>
                    <w:t>0.14-0.24</w:t>
                  </w:r>
                </w:p>
              </w:tc>
              <w:tc>
                <w:tcPr>
                  <w:tcW w:w="804" w:type="pct"/>
                  <w:vAlign w:val="center"/>
                </w:tcPr>
                <w:p w14:paraId="3E479688">
                  <w:pPr>
                    <w:pStyle w:val="203"/>
                    <w:rPr>
                      <w:rFonts w:ascii="Times New Roman" w:hAnsi="Times New Roman"/>
                      <w:bCs/>
                      <w:szCs w:val="21"/>
                      <w:lang w:eastAsia="zh-CN"/>
                    </w:rPr>
                  </w:pPr>
                  <w:r>
                    <w:rPr>
                      <w:rFonts w:ascii="Times New Roman" w:hAnsi="Times New Roman"/>
                      <w:bCs/>
                      <w:szCs w:val="21"/>
                      <w:lang w:eastAsia="zh-CN"/>
                    </w:rPr>
                    <w:t>达标</w:t>
                  </w:r>
                </w:p>
              </w:tc>
            </w:tr>
            <w:tr w14:paraId="2D44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69" w:type="pct"/>
                  <w:vMerge w:val="continue"/>
                  <w:vAlign w:val="center"/>
                </w:tcPr>
                <w:p w14:paraId="0CDDCE95">
                  <w:pPr>
                    <w:pStyle w:val="203"/>
                    <w:rPr>
                      <w:rFonts w:ascii="Times New Roman" w:hAnsi="Times New Roman"/>
                      <w:bCs/>
                      <w:szCs w:val="21"/>
                      <w:lang w:eastAsia="zh-CN"/>
                    </w:rPr>
                  </w:pPr>
                </w:p>
              </w:tc>
              <w:tc>
                <w:tcPr>
                  <w:tcW w:w="575" w:type="pct"/>
                  <w:vAlign w:val="center"/>
                </w:tcPr>
                <w:p w14:paraId="344AE1CD">
                  <w:pPr>
                    <w:jc w:val="center"/>
                    <w:rPr>
                      <w:bCs/>
                      <w:szCs w:val="21"/>
                    </w:rPr>
                  </w:pPr>
                  <w:r>
                    <w:rPr>
                      <w:bCs/>
                      <w:szCs w:val="21"/>
                    </w:rPr>
                    <w:t>氟化物</w:t>
                  </w:r>
                </w:p>
              </w:tc>
              <w:tc>
                <w:tcPr>
                  <w:tcW w:w="354" w:type="pct"/>
                  <w:vMerge w:val="continue"/>
                  <w:vAlign w:val="center"/>
                </w:tcPr>
                <w:p w14:paraId="37C54DBD">
                  <w:pPr>
                    <w:jc w:val="center"/>
                    <w:rPr>
                      <w:bCs/>
                      <w:szCs w:val="21"/>
                    </w:rPr>
                  </w:pPr>
                </w:p>
              </w:tc>
              <w:tc>
                <w:tcPr>
                  <w:tcW w:w="874" w:type="pct"/>
                  <w:vAlign w:val="center"/>
                </w:tcPr>
                <w:p w14:paraId="27442474">
                  <w:pPr>
                    <w:jc w:val="center"/>
                    <w:rPr>
                      <w:bCs/>
                      <w:szCs w:val="21"/>
                    </w:rPr>
                  </w:pPr>
                  <w:r>
                    <w:rPr>
                      <w:bCs/>
                      <w:szCs w:val="21"/>
                    </w:rPr>
                    <w:t>2.2-4.1</w:t>
                  </w:r>
                </w:p>
              </w:tc>
              <w:tc>
                <w:tcPr>
                  <w:tcW w:w="672" w:type="pct"/>
                  <w:vAlign w:val="center"/>
                </w:tcPr>
                <w:p w14:paraId="7C3732FB">
                  <w:pPr>
                    <w:jc w:val="center"/>
                    <w:rPr>
                      <w:bCs/>
                      <w:szCs w:val="21"/>
                    </w:rPr>
                  </w:pPr>
                  <w:r>
                    <w:rPr>
                      <w:bCs/>
                      <w:szCs w:val="21"/>
                    </w:rPr>
                    <w:t>7</w:t>
                  </w:r>
                </w:p>
              </w:tc>
              <w:tc>
                <w:tcPr>
                  <w:tcW w:w="1152" w:type="pct"/>
                  <w:vAlign w:val="center"/>
                </w:tcPr>
                <w:p w14:paraId="6CABB3E7">
                  <w:pPr>
                    <w:jc w:val="center"/>
                    <w:rPr>
                      <w:bCs/>
                      <w:szCs w:val="21"/>
                    </w:rPr>
                  </w:pPr>
                  <w:r>
                    <w:rPr>
                      <w:bCs/>
                      <w:szCs w:val="21"/>
                    </w:rPr>
                    <w:t>0.31-0.58</w:t>
                  </w:r>
                </w:p>
              </w:tc>
              <w:tc>
                <w:tcPr>
                  <w:tcW w:w="804" w:type="pct"/>
                  <w:vAlign w:val="center"/>
                </w:tcPr>
                <w:p w14:paraId="12219457">
                  <w:pPr>
                    <w:pStyle w:val="203"/>
                    <w:rPr>
                      <w:rFonts w:ascii="Times New Roman" w:hAnsi="Times New Roman"/>
                      <w:bCs/>
                      <w:szCs w:val="21"/>
                      <w:lang w:eastAsia="zh-CN"/>
                    </w:rPr>
                  </w:pPr>
                  <w:r>
                    <w:rPr>
                      <w:rFonts w:ascii="Times New Roman" w:hAnsi="Times New Roman"/>
                      <w:bCs/>
                      <w:szCs w:val="21"/>
                      <w:lang w:eastAsia="zh-CN"/>
                    </w:rPr>
                    <w:t>达标</w:t>
                  </w:r>
                </w:p>
              </w:tc>
            </w:tr>
            <w:tr w14:paraId="1135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69" w:type="pct"/>
                  <w:vMerge w:val="continue"/>
                  <w:vAlign w:val="center"/>
                </w:tcPr>
                <w:p w14:paraId="38AE4D94">
                  <w:pPr>
                    <w:pStyle w:val="203"/>
                    <w:rPr>
                      <w:rFonts w:ascii="Times New Roman" w:hAnsi="Times New Roman"/>
                      <w:bCs/>
                      <w:szCs w:val="21"/>
                      <w:lang w:eastAsia="zh-CN"/>
                    </w:rPr>
                  </w:pPr>
                </w:p>
              </w:tc>
              <w:tc>
                <w:tcPr>
                  <w:tcW w:w="575" w:type="pct"/>
                  <w:vAlign w:val="center"/>
                </w:tcPr>
                <w:p w14:paraId="11E2E9AE">
                  <w:pPr>
                    <w:jc w:val="center"/>
                    <w:rPr>
                      <w:bCs/>
                      <w:szCs w:val="21"/>
                    </w:rPr>
                  </w:pPr>
                  <w:r>
                    <w:rPr>
                      <w:bCs/>
                      <w:szCs w:val="21"/>
                    </w:rPr>
                    <w:t>氨</w:t>
                  </w:r>
                </w:p>
              </w:tc>
              <w:tc>
                <w:tcPr>
                  <w:tcW w:w="354" w:type="pct"/>
                  <w:vMerge w:val="restart"/>
                  <w:vAlign w:val="center"/>
                </w:tcPr>
                <w:p w14:paraId="492B738E">
                  <w:pPr>
                    <w:jc w:val="center"/>
                    <w:rPr>
                      <w:bCs/>
                      <w:szCs w:val="21"/>
                    </w:rPr>
                  </w:pPr>
                  <w:r>
                    <w:rPr>
                      <w:bCs/>
                      <w:szCs w:val="21"/>
                    </w:rPr>
                    <w:t>1h平均</w:t>
                  </w:r>
                </w:p>
              </w:tc>
              <w:tc>
                <w:tcPr>
                  <w:tcW w:w="874" w:type="pct"/>
                  <w:vAlign w:val="center"/>
                </w:tcPr>
                <w:p w14:paraId="22FCE308">
                  <w:pPr>
                    <w:jc w:val="center"/>
                    <w:rPr>
                      <w:bCs/>
                      <w:szCs w:val="21"/>
                    </w:rPr>
                  </w:pPr>
                  <w:r>
                    <w:rPr>
                      <w:bCs/>
                      <w:szCs w:val="21"/>
                    </w:rPr>
                    <w:t>50-100</w:t>
                  </w:r>
                </w:p>
              </w:tc>
              <w:tc>
                <w:tcPr>
                  <w:tcW w:w="672" w:type="pct"/>
                  <w:vAlign w:val="center"/>
                </w:tcPr>
                <w:p w14:paraId="5A9E7894">
                  <w:pPr>
                    <w:jc w:val="center"/>
                    <w:rPr>
                      <w:bCs/>
                      <w:szCs w:val="21"/>
                    </w:rPr>
                  </w:pPr>
                  <w:r>
                    <w:rPr>
                      <w:bCs/>
                      <w:szCs w:val="21"/>
                    </w:rPr>
                    <w:t>200</w:t>
                  </w:r>
                </w:p>
              </w:tc>
              <w:tc>
                <w:tcPr>
                  <w:tcW w:w="1152" w:type="pct"/>
                  <w:vAlign w:val="center"/>
                </w:tcPr>
                <w:p w14:paraId="0C84BB55">
                  <w:pPr>
                    <w:jc w:val="center"/>
                    <w:rPr>
                      <w:bCs/>
                      <w:szCs w:val="21"/>
                    </w:rPr>
                  </w:pPr>
                  <w:r>
                    <w:rPr>
                      <w:bCs/>
                      <w:szCs w:val="21"/>
                    </w:rPr>
                    <w:t>0.25-0.5</w:t>
                  </w:r>
                </w:p>
              </w:tc>
              <w:tc>
                <w:tcPr>
                  <w:tcW w:w="804" w:type="pct"/>
                  <w:vAlign w:val="center"/>
                </w:tcPr>
                <w:p w14:paraId="5B135F21">
                  <w:pPr>
                    <w:pStyle w:val="203"/>
                    <w:rPr>
                      <w:rFonts w:ascii="Times New Roman" w:hAnsi="Times New Roman"/>
                      <w:bCs/>
                      <w:szCs w:val="21"/>
                      <w:lang w:eastAsia="zh-CN"/>
                    </w:rPr>
                  </w:pPr>
                  <w:r>
                    <w:rPr>
                      <w:rFonts w:ascii="Times New Roman" w:hAnsi="Times New Roman"/>
                      <w:bCs/>
                      <w:szCs w:val="21"/>
                      <w:lang w:eastAsia="zh-CN"/>
                    </w:rPr>
                    <w:t>达标</w:t>
                  </w:r>
                </w:p>
              </w:tc>
            </w:tr>
            <w:tr w14:paraId="7857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69" w:type="pct"/>
                  <w:vMerge w:val="continue"/>
                  <w:vAlign w:val="center"/>
                </w:tcPr>
                <w:p w14:paraId="46825CA7">
                  <w:pPr>
                    <w:pStyle w:val="203"/>
                    <w:rPr>
                      <w:rFonts w:ascii="Times New Roman" w:hAnsi="Times New Roman"/>
                      <w:bCs/>
                      <w:szCs w:val="21"/>
                      <w:lang w:eastAsia="zh-CN"/>
                    </w:rPr>
                  </w:pPr>
                </w:p>
              </w:tc>
              <w:tc>
                <w:tcPr>
                  <w:tcW w:w="575" w:type="pct"/>
                  <w:vAlign w:val="center"/>
                </w:tcPr>
                <w:p w14:paraId="12293FC6">
                  <w:pPr>
                    <w:jc w:val="center"/>
                    <w:rPr>
                      <w:bCs/>
                      <w:szCs w:val="21"/>
                    </w:rPr>
                  </w:pPr>
                  <w:r>
                    <w:rPr>
                      <w:bCs/>
                      <w:szCs w:val="21"/>
                    </w:rPr>
                    <w:t>硫化氢</w:t>
                  </w:r>
                </w:p>
              </w:tc>
              <w:tc>
                <w:tcPr>
                  <w:tcW w:w="354" w:type="pct"/>
                  <w:vMerge w:val="continue"/>
                  <w:vAlign w:val="center"/>
                </w:tcPr>
                <w:p w14:paraId="53803EE2">
                  <w:pPr>
                    <w:jc w:val="center"/>
                    <w:rPr>
                      <w:bCs/>
                      <w:szCs w:val="21"/>
                    </w:rPr>
                  </w:pPr>
                </w:p>
              </w:tc>
              <w:tc>
                <w:tcPr>
                  <w:tcW w:w="874" w:type="pct"/>
                  <w:vAlign w:val="center"/>
                </w:tcPr>
                <w:p w14:paraId="79F94787">
                  <w:pPr>
                    <w:jc w:val="center"/>
                    <w:rPr>
                      <w:bCs/>
                      <w:szCs w:val="21"/>
                    </w:rPr>
                  </w:pPr>
                  <w:r>
                    <w:rPr>
                      <w:bCs/>
                      <w:szCs w:val="21"/>
                    </w:rPr>
                    <w:t>2-8</w:t>
                  </w:r>
                </w:p>
              </w:tc>
              <w:tc>
                <w:tcPr>
                  <w:tcW w:w="672" w:type="pct"/>
                  <w:vAlign w:val="center"/>
                </w:tcPr>
                <w:p w14:paraId="6B3A07AB">
                  <w:pPr>
                    <w:jc w:val="center"/>
                    <w:rPr>
                      <w:bCs/>
                      <w:szCs w:val="21"/>
                    </w:rPr>
                  </w:pPr>
                  <w:r>
                    <w:rPr>
                      <w:bCs/>
                      <w:szCs w:val="21"/>
                    </w:rPr>
                    <w:t>10</w:t>
                  </w:r>
                </w:p>
              </w:tc>
              <w:tc>
                <w:tcPr>
                  <w:tcW w:w="1152" w:type="pct"/>
                  <w:vAlign w:val="center"/>
                </w:tcPr>
                <w:p w14:paraId="2C450E41">
                  <w:pPr>
                    <w:jc w:val="center"/>
                    <w:rPr>
                      <w:bCs/>
                      <w:szCs w:val="21"/>
                    </w:rPr>
                  </w:pPr>
                  <w:r>
                    <w:rPr>
                      <w:bCs/>
                      <w:szCs w:val="21"/>
                    </w:rPr>
                    <w:t>0.2-0.8</w:t>
                  </w:r>
                </w:p>
              </w:tc>
              <w:tc>
                <w:tcPr>
                  <w:tcW w:w="804" w:type="pct"/>
                  <w:vAlign w:val="center"/>
                </w:tcPr>
                <w:p w14:paraId="70409313">
                  <w:pPr>
                    <w:pStyle w:val="203"/>
                    <w:rPr>
                      <w:rFonts w:ascii="Times New Roman" w:hAnsi="Times New Roman"/>
                      <w:bCs/>
                      <w:szCs w:val="21"/>
                      <w:lang w:eastAsia="zh-CN"/>
                    </w:rPr>
                  </w:pPr>
                  <w:r>
                    <w:rPr>
                      <w:rFonts w:ascii="Times New Roman" w:hAnsi="Times New Roman"/>
                      <w:bCs/>
                      <w:szCs w:val="21"/>
                      <w:lang w:eastAsia="zh-CN"/>
                    </w:rPr>
                    <w:t>达标</w:t>
                  </w:r>
                </w:p>
              </w:tc>
            </w:tr>
          </w:tbl>
          <w:p w14:paraId="06A6C0AE">
            <w:pPr>
              <w:spacing w:line="500" w:lineRule="exact"/>
              <w:ind w:firstLine="480" w:firstLineChars="200"/>
              <w:rPr>
                <w:bCs/>
                <w:sz w:val="24"/>
              </w:rPr>
            </w:pPr>
            <w:r>
              <w:rPr>
                <w:bCs/>
                <w:sz w:val="24"/>
              </w:rPr>
              <w:t>根据检测结果，本项目所在区域TSP、SO</w:t>
            </w:r>
            <w:r>
              <w:rPr>
                <w:bCs/>
                <w:sz w:val="24"/>
                <w:vertAlign w:val="subscript"/>
              </w:rPr>
              <w:t>2</w:t>
            </w:r>
            <w:r>
              <w:rPr>
                <w:bCs/>
                <w:sz w:val="24"/>
              </w:rPr>
              <w:t>、NO</w:t>
            </w:r>
            <w:r>
              <w:rPr>
                <w:bCs/>
                <w:sz w:val="24"/>
                <w:vertAlign w:val="subscript"/>
              </w:rPr>
              <w:t>x</w:t>
            </w:r>
            <w:r>
              <w:rPr>
                <w:bCs/>
                <w:sz w:val="24"/>
              </w:rPr>
              <w:t>、氟化物能够满足《环境空气质量标准》（GB3095—2012）二级标准及修改单要求；氨、硫化氢能够满足《环境影响评价技术导则  大气环境》（HJ2.2-2018）附录D要求。</w:t>
            </w:r>
          </w:p>
          <w:bookmarkEnd w:id="26"/>
          <w:p w14:paraId="49971801">
            <w:pPr>
              <w:pStyle w:val="24"/>
              <w:spacing w:after="0" w:line="500" w:lineRule="exact"/>
              <w:ind w:left="0" w:leftChars="0"/>
              <w:rPr>
                <w:rFonts w:eastAsia="黑体"/>
                <w:sz w:val="24"/>
              </w:rPr>
            </w:pPr>
            <w:r>
              <w:rPr>
                <w:rFonts w:eastAsia="黑体"/>
                <w:sz w:val="24"/>
              </w:rPr>
              <w:t>2、地表水环境质量现状</w:t>
            </w:r>
          </w:p>
          <w:p w14:paraId="5887BBA0">
            <w:pPr>
              <w:spacing w:line="500" w:lineRule="exact"/>
              <w:ind w:firstLine="480" w:firstLineChars="200"/>
              <w:rPr>
                <w:bCs/>
                <w:sz w:val="24"/>
              </w:rPr>
            </w:pPr>
            <w:r>
              <w:rPr>
                <w:bCs/>
                <w:sz w:val="24"/>
              </w:rPr>
              <w:t>本项目运营期无废水外排。根据调查，距离本项目最近的地表水体为厂址西侧约650m的寨沟，寨沟向北流至范营村东汇入柳杨河，杨柳河向东北流至后庄村北汇入北汝河。</w:t>
            </w:r>
          </w:p>
          <w:p w14:paraId="3D2E9800">
            <w:pPr>
              <w:spacing w:line="500" w:lineRule="exact"/>
              <w:ind w:firstLine="480" w:firstLineChars="200"/>
              <w:rPr>
                <w:bCs/>
                <w:sz w:val="24"/>
              </w:rPr>
            </w:pPr>
            <w:r>
              <w:rPr>
                <w:bCs/>
                <w:sz w:val="24"/>
              </w:rPr>
              <w:t>为了解区域地表水环境质量现状，本次评价引用2023年平顶山市生态环境监测中心对北汝河襄城鲁渡断面的监测数据，监测结果见下表：</w:t>
            </w:r>
          </w:p>
          <w:p w14:paraId="3697EFB6">
            <w:pPr>
              <w:autoSpaceDE w:val="0"/>
              <w:autoSpaceDN w:val="0"/>
              <w:adjustRightInd w:val="0"/>
              <w:spacing w:line="520" w:lineRule="exact"/>
              <w:jc w:val="left"/>
              <w:rPr>
                <w:rFonts w:eastAsia="黑体"/>
                <w:kern w:val="0"/>
                <w:sz w:val="24"/>
              </w:rPr>
            </w:pPr>
            <w:r>
              <w:rPr>
                <w:rFonts w:eastAsia="黑体"/>
                <w:sz w:val="24"/>
                <w:lang w:val="zh-CN"/>
              </w:rPr>
              <w:t>表</w:t>
            </w:r>
            <w:r>
              <w:rPr>
                <w:rFonts w:eastAsia="黑体"/>
                <w:sz w:val="24"/>
              </w:rPr>
              <w:t xml:space="preserve">3-3   </w:t>
            </w:r>
            <w:r>
              <w:rPr>
                <w:rFonts w:eastAsia="黑体"/>
                <w:sz w:val="24"/>
                <w:lang w:val="zh-CN"/>
              </w:rPr>
              <w:t>2023年</w:t>
            </w:r>
            <w:r>
              <w:rPr>
                <w:rFonts w:eastAsia="黑体"/>
                <w:bCs/>
                <w:sz w:val="24"/>
              </w:rPr>
              <w:t>北汝河襄城鲁渡断面</w:t>
            </w:r>
            <w:r>
              <w:rPr>
                <w:rFonts w:eastAsia="黑体"/>
                <w:sz w:val="24"/>
                <w:lang w:val="zh-CN"/>
              </w:rPr>
              <w:t>监测数据统计表     单位：mg/L（pH除外）</w:t>
            </w:r>
          </w:p>
          <w:tbl>
            <w:tblPr>
              <w:tblStyle w:val="37"/>
              <w:tblW w:w="4990"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570"/>
              <w:gridCol w:w="1845"/>
              <w:gridCol w:w="1057"/>
              <w:gridCol w:w="1057"/>
              <w:gridCol w:w="941"/>
              <w:gridCol w:w="848"/>
              <w:gridCol w:w="814"/>
              <w:gridCol w:w="1037"/>
            </w:tblGrid>
            <w:tr w14:paraId="09F2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349" w:type="pct"/>
                  <w:tcBorders>
                    <w:tl2br w:val="nil"/>
                    <w:tr2bl w:val="nil"/>
                  </w:tcBorders>
                  <w:vAlign w:val="center"/>
                </w:tcPr>
                <w:p w14:paraId="7DD3FC05">
                  <w:pPr>
                    <w:snapToGrid w:val="0"/>
                    <w:spacing w:line="320" w:lineRule="exact"/>
                    <w:jc w:val="center"/>
                    <w:rPr>
                      <w:szCs w:val="21"/>
                    </w:rPr>
                  </w:pPr>
                  <w:r>
                    <w:rPr>
                      <w:szCs w:val="21"/>
                    </w:rPr>
                    <w:t>监测断面</w:t>
                  </w:r>
                </w:p>
              </w:tc>
              <w:tc>
                <w:tcPr>
                  <w:tcW w:w="1129" w:type="pct"/>
                  <w:tcBorders>
                    <w:tl2br w:val="nil"/>
                    <w:tr2bl w:val="nil"/>
                  </w:tcBorders>
                  <w:vAlign w:val="center"/>
                </w:tcPr>
                <w:p w14:paraId="48784307">
                  <w:pPr>
                    <w:snapToGrid w:val="0"/>
                    <w:spacing w:line="320" w:lineRule="exact"/>
                    <w:jc w:val="center"/>
                    <w:rPr>
                      <w:szCs w:val="21"/>
                    </w:rPr>
                  </w:pPr>
                  <w:r>
                    <w:rPr>
                      <w:szCs w:val="21"/>
                    </w:rPr>
                    <w:t>监测因子</w:t>
                  </w:r>
                </w:p>
              </w:tc>
              <w:tc>
                <w:tcPr>
                  <w:tcW w:w="647" w:type="pct"/>
                  <w:tcBorders>
                    <w:tl2br w:val="nil"/>
                    <w:tr2bl w:val="nil"/>
                  </w:tcBorders>
                  <w:vAlign w:val="center"/>
                </w:tcPr>
                <w:p w14:paraId="48B03D15">
                  <w:pPr>
                    <w:snapToGrid w:val="0"/>
                    <w:spacing w:line="320" w:lineRule="exact"/>
                    <w:jc w:val="center"/>
                    <w:rPr>
                      <w:szCs w:val="21"/>
                    </w:rPr>
                  </w:pPr>
                  <w:r>
                    <w:rPr>
                      <w:szCs w:val="21"/>
                    </w:rPr>
                    <w:t>平均值</w:t>
                  </w:r>
                </w:p>
              </w:tc>
              <w:tc>
                <w:tcPr>
                  <w:tcW w:w="647" w:type="pct"/>
                  <w:tcBorders>
                    <w:tl2br w:val="nil"/>
                    <w:tr2bl w:val="nil"/>
                  </w:tcBorders>
                  <w:vAlign w:val="center"/>
                </w:tcPr>
                <w:p w14:paraId="2C242ACB">
                  <w:pPr>
                    <w:snapToGrid w:val="0"/>
                    <w:spacing w:line="320" w:lineRule="exact"/>
                    <w:jc w:val="center"/>
                    <w:rPr>
                      <w:szCs w:val="21"/>
                    </w:rPr>
                  </w:pPr>
                  <w:r>
                    <w:rPr>
                      <w:szCs w:val="21"/>
                    </w:rPr>
                    <w:fldChar w:fldCharType="begin"/>
                  </w:r>
                  <w:r>
                    <w:rPr>
                      <w:szCs w:val="21"/>
                    </w:rPr>
                    <w:instrText xml:space="preserve"> = 3 \* ROMAN </w:instrText>
                  </w:r>
                  <w:r>
                    <w:rPr>
                      <w:szCs w:val="21"/>
                    </w:rPr>
                    <w:fldChar w:fldCharType="separate"/>
                  </w:r>
                  <w:r>
                    <w:rPr>
                      <w:szCs w:val="21"/>
                    </w:rPr>
                    <w:t>III</w:t>
                  </w:r>
                  <w:r>
                    <w:rPr>
                      <w:szCs w:val="21"/>
                    </w:rPr>
                    <w:fldChar w:fldCharType="end"/>
                  </w:r>
                  <w:r>
                    <w:rPr>
                      <w:szCs w:val="21"/>
                    </w:rPr>
                    <w:t>类标准</w:t>
                  </w:r>
                </w:p>
              </w:tc>
              <w:tc>
                <w:tcPr>
                  <w:tcW w:w="576" w:type="pct"/>
                  <w:tcBorders>
                    <w:tl2br w:val="nil"/>
                    <w:tr2bl w:val="nil"/>
                  </w:tcBorders>
                  <w:vAlign w:val="center"/>
                </w:tcPr>
                <w:p w14:paraId="028A7143">
                  <w:pPr>
                    <w:snapToGrid w:val="0"/>
                    <w:spacing w:line="320" w:lineRule="exact"/>
                    <w:jc w:val="center"/>
                    <w:rPr>
                      <w:szCs w:val="21"/>
                    </w:rPr>
                  </w:pPr>
                  <w:r>
                    <w:rPr>
                      <w:szCs w:val="21"/>
                    </w:rPr>
                    <w:t>标准指数</w:t>
                  </w:r>
                </w:p>
              </w:tc>
              <w:tc>
                <w:tcPr>
                  <w:tcW w:w="519" w:type="pct"/>
                  <w:tcBorders>
                    <w:tl2br w:val="nil"/>
                    <w:tr2bl w:val="nil"/>
                  </w:tcBorders>
                  <w:vAlign w:val="center"/>
                </w:tcPr>
                <w:p w14:paraId="1427BDB5">
                  <w:pPr>
                    <w:snapToGrid w:val="0"/>
                    <w:spacing w:line="320" w:lineRule="exact"/>
                    <w:jc w:val="center"/>
                    <w:rPr>
                      <w:szCs w:val="21"/>
                    </w:rPr>
                  </w:pPr>
                  <w:r>
                    <w:rPr>
                      <w:szCs w:val="21"/>
                    </w:rPr>
                    <w:t>超标率（%）</w:t>
                  </w:r>
                </w:p>
              </w:tc>
              <w:tc>
                <w:tcPr>
                  <w:tcW w:w="498" w:type="pct"/>
                  <w:tcBorders>
                    <w:tl2br w:val="nil"/>
                    <w:tr2bl w:val="nil"/>
                  </w:tcBorders>
                  <w:vAlign w:val="center"/>
                </w:tcPr>
                <w:p w14:paraId="53A57C3B">
                  <w:pPr>
                    <w:snapToGrid w:val="0"/>
                    <w:spacing w:line="320" w:lineRule="exact"/>
                    <w:jc w:val="center"/>
                    <w:rPr>
                      <w:szCs w:val="21"/>
                    </w:rPr>
                  </w:pPr>
                  <w:r>
                    <w:rPr>
                      <w:szCs w:val="21"/>
                    </w:rPr>
                    <w:t>最大超标倍数</w:t>
                  </w:r>
                </w:p>
              </w:tc>
              <w:tc>
                <w:tcPr>
                  <w:tcW w:w="634" w:type="pct"/>
                  <w:tcBorders>
                    <w:tl2br w:val="nil"/>
                    <w:tr2bl w:val="nil"/>
                  </w:tcBorders>
                  <w:vAlign w:val="center"/>
                </w:tcPr>
                <w:p w14:paraId="0E9BCC1D">
                  <w:pPr>
                    <w:snapToGrid w:val="0"/>
                    <w:spacing w:line="320" w:lineRule="exact"/>
                    <w:jc w:val="center"/>
                    <w:rPr>
                      <w:szCs w:val="21"/>
                    </w:rPr>
                  </w:pPr>
                  <w:r>
                    <w:rPr>
                      <w:szCs w:val="21"/>
                    </w:rPr>
                    <w:t>评价结果</w:t>
                  </w:r>
                </w:p>
              </w:tc>
            </w:tr>
            <w:tr w14:paraId="4901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349" w:type="pct"/>
                  <w:vMerge w:val="restart"/>
                  <w:tcBorders>
                    <w:tl2br w:val="nil"/>
                    <w:tr2bl w:val="nil"/>
                  </w:tcBorders>
                  <w:vAlign w:val="center"/>
                </w:tcPr>
                <w:p w14:paraId="2888BD30">
                  <w:pPr>
                    <w:snapToGrid w:val="0"/>
                    <w:spacing w:line="320" w:lineRule="exact"/>
                    <w:jc w:val="center"/>
                    <w:rPr>
                      <w:szCs w:val="21"/>
                    </w:rPr>
                  </w:pPr>
                  <w:r>
                    <w:rPr>
                      <w:szCs w:val="21"/>
                    </w:rPr>
                    <w:t>北汝河襄城鲁渡断面</w:t>
                  </w:r>
                </w:p>
              </w:tc>
              <w:tc>
                <w:tcPr>
                  <w:tcW w:w="1129" w:type="pct"/>
                  <w:tcBorders>
                    <w:tl2br w:val="nil"/>
                    <w:tr2bl w:val="nil"/>
                  </w:tcBorders>
                  <w:vAlign w:val="center"/>
                </w:tcPr>
                <w:p w14:paraId="20CEA61E">
                  <w:pPr>
                    <w:snapToGrid w:val="0"/>
                    <w:spacing w:line="320" w:lineRule="exact"/>
                    <w:jc w:val="center"/>
                    <w:rPr>
                      <w:szCs w:val="21"/>
                    </w:rPr>
                  </w:pPr>
                  <w:r>
                    <w:rPr>
                      <w:szCs w:val="21"/>
                    </w:rPr>
                    <w:t>pH</w:t>
                  </w:r>
                </w:p>
              </w:tc>
              <w:tc>
                <w:tcPr>
                  <w:tcW w:w="647" w:type="pct"/>
                  <w:tcBorders>
                    <w:tl2br w:val="nil"/>
                    <w:tr2bl w:val="nil"/>
                  </w:tcBorders>
                  <w:vAlign w:val="center"/>
                </w:tcPr>
                <w:p w14:paraId="32C791E9">
                  <w:pPr>
                    <w:snapToGrid w:val="0"/>
                    <w:spacing w:line="320" w:lineRule="exact"/>
                    <w:jc w:val="center"/>
                    <w:rPr>
                      <w:szCs w:val="21"/>
                    </w:rPr>
                  </w:pPr>
                  <w:r>
                    <w:rPr>
                      <w:szCs w:val="21"/>
                    </w:rPr>
                    <w:t>8</w:t>
                  </w:r>
                </w:p>
              </w:tc>
              <w:tc>
                <w:tcPr>
                  <w:tcW w:w="647" w:type="pct"/>
                  <w:tcBorders>
                    <w:tl2br w:val="nil"/>
                    <w:tr2bl w:val="nil"/>
                  </w:tcBorders>
                  <w:vAlign w:val="center"/>
                </w:tcPr>
                <w:p w14:paraId="2D355649">
                  <w:pPr>
                    <w:snapToGrid w:val="0"/>
                    <w:spacing w:line="320" w:lineRule="exact"/>
                    <w:jc w:val="center"/>
                    <w:rPr>
                      <w:szCs w:val="21"/>
                    </w:rPr>
                  </w:pPr>
                  <w:r>
                    <w:rPr>
                      <w:szCs w:val="21"/>
                    </w:rPr>
                    <w:t>6～9</w:t>
                  </w:r>
                </w:p>
              </w:tc>
              <w:tc>
                <w:tcPr>
                  <w:tcW w:w="576" w:type="pct"/>
                  <w:tcBorders>
                    <w:tl2br w:val="nil"/>
                    <w:tr2bl w:val="nil"/>
                  </w:tcBorders>
                </w:tcPr>
                <w:p w14:paraId="723C02A9">
                  <w:pPr>
                    <w:snapToGrid w:val="0"/>
                    <w:spacing w:line="320" w:lineRule="exact"/>
                    <w:jc w:val="center"/>
                    <w:rPr>
                      <w:szCs w:val="21"/>
                    </w:rPr>
                  </w:pPr>
                  <w:r>
                    <w:rPr>
                      <w:szCs w:val="21"/>
                    </w:rPr>
                    <w:t>0.50</w:t>
                  </w:r>
                </w:p>
              </w:tc>
              <w:tc>
                <w:tcPr>
                  <w:tcW w:w="519" w:type="pct"/>
                  <w:tcBorders>
                    <w:tl2br w:val="nil"/>
                    <w:tr2bl w:val="nil"/>
                  </w:tcBorders>
                  <w:vAlign w:val="center"/>
                </w:tcPr>
                <w:p w14:paraId="033F0CED">
                  <w:pPr>
                    <w:snapToGrid w:val="0"/>
                    <w:spacing w:line="320" w:lineRule="exact"/>
                    <w:jc w:val="center"/>
                    <w:rPr>
                      <w:szCs w:val="21"/>
                    </w:rPr>
                  </w:pPr>
                  <w:r>
                    <w:rPr>
                      <w:szCs w:val="21"/>
                    </w:rPr>
                    <w:t>0</w:t>
                  </w:r>
                </w:p>
              </w:tc>
              <w:tc>
                <w:tcPr>
                  <w:tcW w:w="498" w:type="pct"/>
                  <w:tcBorders>
                    <w:tl2br w:val="nil"/>
                    <w:tr2bl w:val="nil"/>
                  </w:tcBorders>
                  <w:vAlign w:val="center"/>
                </w:tcPr>
                <w:p w14:paraId="24DF9992">
                  <w:pPr>
                    <w:snapToGrid w:val="0"/>
                    <w:spacing w:line="320" w:lineRule="exact"/>
                    <w:jc w:val="center"/>
                    <w:rPr>
                      <w:szCs w:val="21"/>
                    </w:rPr>
                  </w:pPr>
                  <w:r>
                    <w:rPr>
                      <w:szCs w:val="21"/>
                    </w:rPr>
                    <w:t>0</w:t>
                  </w:r>
                </w:p>
              </w:tc>
              <w:tc>
                <w:tcPr>
                  <w:tcW w:w="634" w:type="pct"/>
                  <w:tcBorders>
                    <w:tl2br w:val="nil"/>
                    <w:tr2bl w:val="nil"/>
                  </w:tcBorders>
                  <w:vAlign w:val="center"/>
                </w:tcPr>
                <w:p w14:paraId="311335BB">
                  <w:pPr>
                    <w:snapToGrid w:val="0"/>
                    <w:spacing w:line="320" w:lineRule="exact"/>
                    <w:jc w:val="center"/>
                    <w:rPr>
                      <w:szCs w:val="21"/>
                    </w:rPr>
                  </w:pPr>
                  <w:r>
                    <w:rPr>
                      <w:szCs w:val="21"/>
                    </w:rPr>
                    <w:t>达标</w:t>
                  </w:r>
                </w:p>
              </w:tc>
            </w:tr>
            <w:tr w14:paraId="031C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349" w:type="pct"/>
                  <w:vMerge w:val="continue"/>
                  <w:tcBorders>
                    <w:tl2br w:val="nil"/>
                    <w:tr2bl w:val="nil"/>
                  </w:tcBorders>
                  <w:vAlign w:val="center"/>
                </w:tcPr>
                <w:p w14:paraId="4B4A7DFD">
                  <w:pPr>
                    <w:widowControl/>
                    <w:snapToGrid w:val="0"/>
                    <w:spacing w:line="320" w:lineRule="exact"/>
                    <w:jc w:val="center"/>
                    <w:rPr>
                      <w:szCs w:val="21"/>
                    </w:rPr>
                  </w:pPr>
                </w:p>
              </w:tc>
              <w:tc>
                <w:tcPr>
                  <w:tcW w:w="1129" w:type="pct"/>
                  <w:tcBorders>
                    <w:tl2br w:val="nil"/>
                    <w:tr2bl w:val="nil"/>
                  </w:tcBorders>
                  <w:vAlign w:val="center"/>
                </w:tcPr>
                <w:p w14:paraId="03D038AB">
                  <w:pPr>
                    <w:snapToGrid w:val="0"/>
                    <w:spacing w:line="320" w:lineRule="exact"/>
                    <w:jc w:val="center"/>
                    <w:rPr>
                      <w:szCs w:val="21"/>
                    </w:rPr>
                  </w:pPr>
                  <w:r>
                    <w:rPr>
                      <w:szCs w:val="21"/>
                    </w:rPr>
                    <w:t>高锰酸盐指数</w:t>
                  </w:r>
                </w:p>
              </w:tc>
              <w:tc>
                <w:tcPr>
                  <w:tcW w:w="647" w:type="pct"/>
                  <w:tcBorders>
                    <w:tl2br w:val="nil"/>
                    <w:tr2bl w:val="nil"/>
                  </w:tcBorders>
                  <w:vAlign w:val="center"/>
                </w:tcPr>
                <w:p w14:paraId="661A9EDB">
                  <w:pPr>
                    <w:snapToGrid w:val="0"/>
                    <w:spacing w:line="320" w:lineRule="exact"/>
                    <w:jc w:val="center"/>
                    <w:rPr>
                      <w:szCs w:val="21"/>
                    </w:rPr>
                  </w:pPr>
                  <w:r>
                    <w:rPr>
                      <w:szCs w:val="21"/>
                    </w:rPr>
                    <w:t>3.3</w:t>
                  </w:r>
                </w:p>
              </w:tc>
              <w:tc>
                <w:tcPr>
                  <w:tcW w:w="647" w:type="pct"/>
                  <w:tcBorders>
                    <w:tl2br w:val="nil"/>
                    <w:tr2bl w:val="nil"/>
                  </w:tcBorders>
                  <w:vAlign w:val="center"/>
                </w:tcPr>
                <w:p w14:paraId="264D343E">
                  <w:pPr>
                    <w:snapToGrid w:val="0"/>
                    <w:spacing w:line="320" w:lineRule="exact"/>
                    <w:jc w:val="center"/>
                    <w:rPr>
                      <w:szCs w:val="21"/>
                    </w:rPr>
                  </w:pPr>
                  <w:r>
                    <w:rPr>
                      <w:szCs w:val="21"/>
                    </w:rPr>
                    <w:t>6</w:t>
                  </w:r>
                </w:p>
              </w:tc>
              <w:tc>
                <w:tcPr>
                  <w:tcW w:w="576" w:type="pct"/>
                  <w:tcBorders>
                    <w:tl2br w:val="nil"/>
                    <w:tr2bl w:val="nil"/>
                  </w:tcBorders>
                </w:tcPr>
                <w:p w14:paraId="7AD9EB96">
                  <w:pPr>
                    <w:snapToGrid w:val="0"/>
                    <w:spacing w:line="320" w:lineRule="exact"/>
                    <w:jc w:val="center"/>
                    <w:rPr>
                      <w:szCs w:val="21"/>
                    </w:rPr>
                  </w:pPr>
                  <w:r>
                    <w:rPr>
                      <w:szCs w:val="21"/>
                    </w:rPr>
                    <w:t>0.55</w:t>
                  </w:r>
                </w:p>
              </w:tc>
              <w:tc>
                <w:tcPr>
                  <w:tcW w:w="519" w:type="pct"/>
                  <w:tcBorders>
                    <w:tl2br w:val="nil"/>
                    <w:tr2bl w:val="nil"/>
                  </w:tcBorders>
                  <w:vAlign w:val="center"/>
                </w:tcPr>
                <w:p w14:paraId="152FDB1F">
                  <w:pPr>
                    <w:snapToGrid w:val="0"/>
                    <w:spacing w:line="320" w:lineRule="exact"/>
                    <w:jc w:val="center"/>
                    <w:rPr>
                      <w:szCs w:val="21"/>
                    </w:rPr>
                  </w:pPr>
                  <w:r>
                    <w:rPr>
                      <w:szCs w:val="21"/>
                    </w:rPr>
                    <w:t>0</w:t>
                  </w:r>
                </w:p>
              </w:tc>
              <w:tc>
                <w:tcPr>
                  <w:tcW w:w="498" w:type="pct"/>
                  <w:tcBorders>
                    <w:tl2br w:val="nil"/>
                    <w:tr2bl w:val="nil"/>
                  </w:tcBorders>
                  <w:vAlign w:val="center"/>
                </w:tcPr>
                <w:p w14:paraId="67F5F107">
                  <w:pPr>
                    <w:snapToGrid w:val="0"/>
                    <w:spacing w:line="320" w:lineRule="exact"/>
                    <w:jc w:val="center"/>
                    <w:rPr>
                      <w:szCs w:val="21"/>
                    </w:rPr>
                  </w:pPr>
                  <w:r>
                    <w:rPr>
                      <w:szCs w:val="21"/>
                    </w:rPr>
                    <w:t>0</w:t>
                  </w:r>
                </w:p>
              </w:tc>
              <w:tc>
                <w:tcPr>
                  <w:tcW w:w="634" w:type="pct"/>
                  <w:tcBorders>
                    <w:tl2br w:val="nil"/>
                    <w:tr2bl w:val="nil"/>
                  </w:tcBorders>
                  <w:vAlign w:val="center"/>
                </w:tcPr>
                <w:p w14:paraId="612C7F4B">
                  <w:pPr>
                    <w:snapToGrid w:val="0"/>
                    <w:spacing w:line="320" w:lineRule="exact"/>
                    <w:jc w:val="center"/>
                    <w:rPr>
                      <w:szCs w:val="21"/>
                    </w:rPr>
                  </w:pPr>
                  <w:r>
                    <w:rPr>
                      <w:szCs w:val="21"/>
                    </w:rPr>
                    <w:t>达标</w:t>
                  </w:r>
                </w:p>
              </w:tc>
            </w:tr>
            <w:tr w14:paraId="6E14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349" w:type="pct"/>
                  <w:vMerge w:val="continue"/>
                  <w:tcBorders>
                    <w:tl2br w:val="nil"/>
                    <w:tr2bl w:val="nil"/>
                  </w:tcBorders>
                  <w:vAlign w:val="center"/>
                </w:tcPr>
                <w:p w14:paraId="70C4436F">
                  <w:pPr>
                    <w:widowControl/>
                    <w:snapToGrid w:val="0"/>
                    <w:spacing w:line="320" w:lineRule="exact"/>
                    <w:jc w:val="center"/>
                    <w:rPr>
                      <w:szCs w:val="21"/>
                    </w:rPr>
                  </w:pPr>
                </w:p>
              </w:tc>
              <w:tc>
                <w:tcPr>
                  <w:tcW w:w="1129" w:type="pct"/>
                  <w:tcBorders>
                    <w:tl2br w:val="nil"/>
                    <w:tr2bl w:val="nil"/>
                  </w:tcBorders>
                  <w:vAlign w:val="center"/>
                </w:tcPr>
                <w:p w14:paraId="345BDCC2">
                  <w:pPr>
                    <w:snapToGrid w:val="0"/>
                    <w:spacing w:line="320" w:lineRule="exact"/>
                    <w:jc w:val="center"/>
                    <w:rPr>
                      <w:szCs w:val="21"/>
                    </w:rPr>
                  </w:pPr>
                  <w:r>
                    <w:rPr>
                      <w:szCs w:val="21"/>
                    </w:rPr>
                    <w:t>化学需氧量</w:t>
                  </w:r>
                </w:p>
              </w:tc>
              <w:tc>
                <w:tcPr>
                  <w:tcW w:w="647" w:type="pct"/>
                  <w:tcBorders>
                    <w:tl2br w:val="nil"/>
                    <w:tr2bl w:val="nil"/>
                  </w:tcBorders>
                  <w:vAlign w:val="center"/>
                </w:tcPr>
                <w:p w14:paraId="4330CA61">
                  <w:pPr>
                    <w:snapToGrid w:val="0"/>
                    <w:spacing w:line="320" w:lineRule="exact"/>
                    <w:jc w:val="center"/>
                    <w:rPr>
                      <w:szCs w:val="21"/>
                    </w:rPr>
                  </w:pPr>
                  <w:r>
                    <w:rPr>
                      <w:szCs w:val="21"/>
                    </w:rPr>
                    <w:t>14.4</w:t>
                  </w:r>
                </w:p>
              </w:tc>
              <w:tc>
                <w:tcPr>
                  <w:tcW w:w="647" w:type="pct"/>
                  <w:tcBorders>
                    <w:tl2br w:val="nil"/>
                    <w:tr2bl w:val="nil"/>
                  </w:tcBorders>
                  <w:vAlign w:val="center"/>
                </w:tcPr>
                <w:p w14:paraId="41D0C527">
                  <w:pPr>
                    <w:snapToGrid w:val="0"/>
                    <w:spacing w:line="320" w:lineRule="exact"/>
                    <w:jc w:val="center"/>
                    <w:rPr>
                      <w:szCs w:val="21"/>
                    </w:rPr>
                  </w:pPr>
                  <w:r>
                    <w:rPr>
                      <w:szCs w:val="21"/>
                    </w:rPr>
                    <w:t>20</w:t>
                  </w:r>
                </w:p>
              </w:tc>
              <w:tc>
                <w:tcPr>
                  <w:tcW w:w="576" w:type="pct"/>
                  <w:tcBorders>
                    <w:tl2br w:val="nil"/>
                    <w:tr2bl w:val="nil"/>
                  </w:tcBorders>
                </w:tcPr>
                <w:p w14:paraId="012841D0">
                  <w:pPr>
                    <w:snapToGrid w:val="0"/>
                    <w:spacing w:line="320" w:lineRule="exact"/>
                    <w:jc w:val="center"/>
                    <w:rPr>
                      <w:szCs w:val="21"/>
                    </w:rPr>
                  </w:pPr>
                  <w:r>
                    <w:rPr>
                      <w:szCs w:val="21"/>
                    </w:rPr>
                    <w:t>0.72</w:t>
                  </w:r>
                </w:p>
              </w:tc>
              <w:tc>
                <w:tcPr>
                  <w:tcW w:w="519" w:type="pct"/>
                  <w:tcBorders>
                    <w:tl2br w:val="nil"/>
                    <w:tr2bl w:val="nil"/>
                  </w:tcBorders>
                  <w:vAlign w:val="center"/>
                </w:tcPr>
                <w:p w14:paraId="00717779">
                  <w:pPr>
                    <w:snapToGrid w:val="0"/>
                    <w:spacing w:line="320" w:lineRule="exact"/>
                    <w:jc w:val="center"/>
                    <w:rPr>
                      <w:szCs w:val="21"/>
                    </w:rPr>
                  </w:pPr>
                  <w:r>
                    <w:rPr>
                      <w:szCs w:val="21"/>
                    </w:rPr>
                    <w:t>0</w:t>
                  </w:r>
                </w:p>
              </w:tc>
              <w:tc>
                <w:tcPr>
                  <w:tcW w:w="498" w:type="pct"/>
                  <w:tcBorders>
                    <w:tl2br w:val="nil"/>
                    <w:tr2bl w:val="nil"/>
                  </w:tcBorders>
                  <w:vAlign w:val="center"/>
                </w:tcPr>
                <w:p w14:paraId="1C010532">
                  <w:pPr>
                    <w:snapToGrid w:val="0"/>
                    <w:spacing w:line="320" w:lineRule="exact"/>
                    <w:jc w:val="center"/>
                    <w:rPr>
                      <w:szCs w:val="21"/>
                    </w:rPr>
                  </w:pPr>
                  <w:r>
                    <w:rPr>
                      <w:szCs w:val="21"/>
                    </w:rPr>
                    <w:t>0</w:t>
                  </w:r>
                </w:p>
              </w:tc>
              <w:tc>
                <w:tcPr>
                  <w:tcW w:w="634" w:type="pct"/>
                  <w:tcBorders>
                    <w:tl2br w:val="nil"/>
                    <w:tr2bl w:val="nil"/>
                  </w:tcBorders>
                  <w:vAlign w:val="center"/>
                </w:tcPr>
                <w:p w14:paraId="6E3122E4">
                  <w:pPr>
                    <w:snapToGrid w:val="0"/>
                    <w:spacing w:line="320" w:lineRule="exact"/>
                    <w:jc w:val="center"/>
                    <w:rPr>
                      <w:szCs w:val="21"/>
                    </w:rPr>
                  </w:pPr>
                  <w:r>
                    <w:rPr>
                      <w:szCs w:val="21"/>
                    </w:rPr>
                    <w:t>达标</w:t>
                  </w:r>
                </w:p>
              </w:tc>
            </w:tr>
            <w:tr w14:paraId="1266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349" w:type="pct"/>
                  <w:vMerge w:val="continue"/>
                  <w:tcBorders>
                    <w:tl2br w:val="nil"/>
                    <w:tr2bl w:val="nil"/>
                  </w:tcBorders>
                  <w:vAlign w:val="center"/>
                </w:tcPr>
                <w:p w14:paraId="23954D50">
                  <w:pPr>
                    <w:widowControl/>
                    <w:snapToGrid w:val="0"/>
                    <w:spacing w:line="320" w:lineRule="exact"/>
                    <w:jc w:val="center"/>
                    <w:rPr>
                      <w:szCs w:val="21"/>
                    </w:rPr>
                  </w:pPr>
                </w:p>
              </w:tc>
              <w:tc>
                <w:tcPr>
                  <w:tcW w:w="1129" w:type="pct"/>
                  <w:tcBorders>
                    <w:tl2br w:val="nil"/>
                    <w:tr2bl w:val="nil"/>
                  </w:tcBorders>
                  <w:vAlign w:val="center"/>
                </w:tcPr>
                <w:p w14:paraId="31C3BBAC">
                  <w:pPr>
                    <w:snapToGrid w:val="0"/>
                    <w:spacing w:line="320" w:lineRule="exact"/>
                    <w:jc w:val="center"/>
                    <w:rPr>
                      <w:szCs w:val="21"/>
                    </w:rPr>
                  </w:pPr>
                  <w:r>
                    <w:rPr>
                      <w:szCs w:val="21"/>
                    </w:rPr>
                    <w:t>五日生化需氧量</w:t>
                  </w:r>
                </w:p>
              </w:tc>
              <w:tc>
                <w:tcPr>
                  <w:tcW w:w="647" w:type="pct"/>
                  <w:tcBorders>
                    <w:tl2br w:val="nil"/>
                    <w:tr2bl w:val="nil"/>
                  </w:tcBorders>
                  <w:vAlign w:val="center"/>
                </w:tcPr>
                <w:p w14:paraId="3D038582">
                  <w:pPr>
                    <w:snapToGrid w:val="0"/>
                    <w:spacing w:line="320" w:lineRule="exact"/>
                    <w:jc w:val="center"/>
                    <w:rPr>
                      <w:szCs w:val="21"/>
                    </w:rPr>
                  </w:pPr>
                  <w:r>
                    <w:rPr>
                      <w:szCs w:val="21"/>
                    </w:rPr>
                    <w:t>1.9</w:t>
                  </w:r>
                </w:p>
              </w:tc>
              <w:tc>
                <w:tcPr>
                  <w:tcW w:w="647" w:type="pct"/>
                  <w:tcBorders>
                    <w:tl2br w:val="nil"/>
                    <w:tr2bl w:val="nil"/>
                  </w:tcBorders>
                  <w:vAlign w:val="center"/>
                </w:tcPr>
                <w:p w14:paraId="4B25A5C4">
                  <w:pPr>
                    <w:snapToGrid w:val="0"/>
                    <w:spacing w:line="320" w:lineRule="exact"/>
                    <w:jc w:val="center"/>
                    <w:rPr>
                      <w:szCs w:val="21"/>
                    </w:rPr>
                  </w:pPr>
                  <w:r>
                    <w:rPr>
                      <w:szCs w:val="21"/>
                    </w:rPr>
                    <w:t>4</w:t>
                  </w:r>
                </w:p>
              </w:tc>
              <w:tc>
                <w:tcPr>
                  <w:tcW w:w="576" w:type="pct"/>
                  <w:tcBorders>
                    <w:tl2br w:val="nil"/>
                    <w:tr2bl w:val="nil"/>
                  </w:tcBorders>
                </w:tcPr>
                <w:p w14:paraId="7E552C5D">
                  <w:pPr>
                    <w:snapToGrid w:val="0"/>
                    <w:spacing w:line="320" w:lineRule="exact"/>
                    <w:jc w:val="center"/>
                    <w:rPr>
                      <w:szCs w:val="21"/>
                    </w:rPr>
                  </w:pPr>
                  <w:r>
                    <w:rPr>
                      <w:szCs w:val="21"/>
                    </w:rPr>
                    <w:t>0.475</w:t>
                  </w:r>
                </w:p>
              </w:tc>
              <w:tc>
                <w:tcPr>
                  <w:tcW w:w="519" w:type="pct"/>
                  <w:tcBorders>
                    <w:tl2br w:val="nil"/>
                    <w:tr2bl w:val="nil"/>
                  </w:tcBorders>
                  <w:vAlign w:val="center"/>
                </w:tcPr>
                <w:p w14:paraId="2493D5A9">
                  <w:pPr>
                    <w:snapToGrid w:val="0"/>
                    <w:spacing w:line="320" w:lineRule="exact"/>
                    <w:jc w:val="center"/>
                    <w:rPr>
                      <w:szCs w:val="21"/>
                    </w:rPr>
                  </w:pPr>
                  <w:r>
                    <w:rPr>
                      <w:szCs w:val="21"/>
                    </w:rPr>
                    <w:t>0</w:t>
                  </w:r>
                </w:p>
              </w:tc>
              <w:tc>
                <w:tcPr>
                  <w:tcW w:w="498" w:type="pct"/>
                  <w:tcBorders>
                    <w:tl2br w:val="nil"/>
                    <w:tr2bl w:val="nil"/>
                  </w:tcBorders>
                  <w:vAlign w:val="center"/>
                </w:tcPr>
                <w:p w14:paraId="56788132">
                  <w:pPr>
                    <w:snapToGrid w:val="0"/>
                    <w:spacing w:line="320" w:lineRule="exact"/>
                    <w:jc w:val="center"/>
                    <w:rPr>
                      <w:szCs w:val="21"/>
                    </w:rPr>
                  </w:pPr>
                  <w:r>
                    <w:rPr>
                      <w:szCs w:val="21"/>
                    </w:rPr>
                    <w:t>0</w:t>
                  </w:r>
                </w:p>
              </w:tc>
              <w:tc>
                <w:tcPr>
                  <w:tcW w:w="634" w:type="pct"/>
                  <w:tcBorders>
                    <w:tl2br w:val="nil"/>
                    <w:tr2bl w:val="nil"/>
                  </w:tcBorders>
                  <w:vAlign w:val="center"/>
                </w:tcPr>
                <w:p w14:paraId="68013BF8">
                  <w:pPr>
                    <w:snapToGrid w:val="0"/>
                    <w:spacing w:line="320" w:lineRule="exact"/>
                    <w:jc w:val="center"/>
                    <w:rPr>
                      <w:szCs w:val="21"/>
                    </w:rPr>
                  </w:pPr>
                  <w:r>
                    <w:rPr>
                      <w:szCs w:val="21"/>
                    </w:rPr>
                    <w:t>达标</w:t>
                  </w:r>
                </w:p>
              </w:tc>
            </w:tr>
            <w:tr w14:paraId="2CBC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349" w:type="pct"/>
                  <w:vMerge w:val="continue"/>
                  <w:tcBorders>
                    <w:tl2br w:val="nil"/>
                    <w:tr2bl w:val="nil"/>
                  </w:tcBorders>
                  <w:vAlign w:val="center"/>
                </w:tcPr>
                <w:p w14:paraId="661F91EC">
                  <w:pPr>
                    <w:widowControl/>
                    <w:snapToGrid w:val="0"/>
                    <w:spacing w:line="320" w:lineRule="exact"/>
                    <w:jc w:val="center"/>
                    <w:rPr>
                      <w:szCs w:val="21"/>
                    </w:rPr>
                  </w:pPr>
                </w:p>
              </w:tc>
              <w:tc>
                <w:tcPr>
                  <w:tcW w:w="1129" w:type="pct"/>
                  <w:tcBorders>
                    <w:tl2br w:val="nil"/>
                    <w:tr2bl w:val="nil"/>
                  </w:tcBorders>
                  <w:vAlign w:val="center"/>
                </w:tcPr>
                <w:p w14:paraId="642DED44">
                  <w:pPr>
                    <w:snapToGrid w:val="0"/>
                    <w:spacing w:line="320" w:lineRule="exact"/>
                    <w:jc w:val="center"/>
                    <w:rPr>
                      <w:szCs w:val="21"/>
                    </w:rPr>
                  </w:pPr>
                  <w:r>
                    <w:rPr>
                      <w:szCs w:val="21"/>
                    </w:rPr>
                    <w:t>氟化物</w:t>
                  </w:r>
                </w:p>
              </w:tc>
              <w:tc>
                <w:tcPr>
                  <w:tcW w:w="647" w:type="pct"/>
                  <w:tcBorders>
                    <w:tl2br w:val="nil"/>
                    <w:tr2bl w:val="nil"/>
                  </w:tcBorders>
                  <w:vAlign w:val="center"/>
                </w:tcPr>
                <w:p w14:paraId="50F43513">
                  <w:pPr>
                    <w:snapToGrid w:val="0"/>
                    <w:spacing w:line="320" w:lineRule="exact"/>
                    <w:jc w:val="center"/>
                    <w:rPr>
                      <w:szCs w:val="21"/>
                    </w:rPr>
                  </w:pPr>
                  <w:r>
                    <w:rPr>
                      <w:szCs w:val="21"/>
                    </w:rPr>
                    <w:t>0.528</w:t>
                  </w:r>
                </w:p>
              </w:tc>
              <w:tc>
                <w:tcPr>
                  <w:tcW w:w="647" w:type="pct"/>
                  <w:tcBorders>
                    <w:tl2br w:val="nil"/>
                    <w:tr2bl w:val="nil"/>
                  </w:tcBorders>
                  <w:vAlign w:val="center"/>
                </w:tcPr>
                <w:p w14:paraId="43A4FEE8">
                  <w:pPr>
                    <w:snapToGrid w:val="0"/>
                    <w:spacing w:line="320" w:lineRule="exact"/>
                    <w:jc w:val="center"/>
                    <w:rPr>
                      <w:szCs w:val="21"/>
                    </w:rPr>
                  </w:pPr>
                  <w:r>
                    <w:rPr>
                      <w:szCs w:val="21"/>
                    </w:rPr>
                    <w:t>1.0</w:t>
                  </w:r>
                </w:p>
              </w:tc>
              <w:tc>
                <w:tcPr>
                  <w:tcW w:w="576" w:type="pct"/>
                  <w:tcBorders>
                    <w:tl2br w:val="nil"/>
                    <w:tr2bl w:val="nil"/>
                  </w:tcBorders>
                </w:tcPr>
                <w:p w14:paraId="2BD3DE6D">
                  <w:pPr>
                    <w:snapToGrid w:val="0"/>
                    <w:spacing w:line="320" w:lineRule="exact"/>
                    <w:jc w:val="center"/>
                  </w:pPr>
                  <w:r>
                    <w:t>0.528</w:t>
                  </w:r>
                </w:p>
              </w:tc>
              <w:tc>
                <w:tcPr>
                  <w:tcW w:w="519" w:type="pct"/>
                  <w:tcBorders>
                    <w:tl2br w:val="nil"/>
                    <w:tr2bl w:val="nil"/>
                  </w:tcBorders>
                  <w:vAlign w:val="center"/>
                </w:tcPr>
                <w:p w14:paraId="7A08D4C2">
                  <w:pPr>
                    <w:snapToGrid w:val="0"/>
                    <w:spacing w:line="320" w:lineRule="exact"/>
                    <w:jc w:val="center"/>
                    <w:rPr>
                      <w:szCs w:val="21"/>
                    </w:rPr>
                  </w:pPr>
                  <w:r>
                    <w:rPr>
                      <w:szCs w:val="21"/>
                    </w:rPr>
                    <w:t>0</w:t>
                  </w:r>
                </w:p>
              </w:tc>
              <w:tc>
                <w:tcPr>
                  <w:tcW w:w="498" w:type="pct"/>
                  <w:tcBorders>
                    <w:tl2br w:val="nil"/>
                    <w:tr2bl w:val="nil"/>
                  </w:tcBorders>
                  <w:vAlign w:val="center"/>
                </w:tcPr>
                <w:p w14:paraId="3FD71C86">
                  <w:pPr>
                    <w:snapToGrid w:val="0"/>
                    <w:spacing w:line="320" w:lineRule="exact"/>
                    <w:jc w:val="center"/>
                    <w:rPr>
                      <w:szCs w:val="21"/>
                    </w:rPr>
                  </w:pPr>
                  <w:r>
                    <w:rPr>
                      <w:szCs w:val="21"/>
                    </w:rPr>
                    <w:t>0</w:t>
                  </w:r>
                </w:p>
              </w:tc>
              <w:tc>
                <w:tcPr>
                  <w:tcW w:w="634" w:type="pct"/>
                  <w:tcBorders>
                    <w:tl2br w:val="nil"/>
                    <w:tr2bl w:val="nil"/>
                  </w:tcBorders>
                  <w:vAlign w:val="center"/>
                </w:tcPr>
                <w:p w14:paraId="3A6E18DF">
                  <w:pPr>
                    <w:snapToGrid w:val="0"/>
                    <w:spacing w:line="320" w:lineRule="exact"/>
                    <w:jc w:val="center"/>
                    <w:rPr>
                      <w:szCs w:val="21"/>
                    </w:rPr>
                  </w:pPr>
                  <w:r>
                    <w:rPr>
                      <w:szCs w:val="21"/>
                    </w:rPr>
                    <w:t>达标</w:t>
                  </w:r>
                </w:p>
              </w:tc>
            </w:tr>
            <w:tr w14:paraId="6A56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9" w:type="pct"/>
                  <w:vMerge w:val="continue"/>
                  <w:tcBorders>
                    <w:tl2br w:val="nil"/>
                    <w:tr2bl w:val="nil"/>
                  </w:tcBorders>
                  <w:vAlign w:val="center"/>
                </w:tcPr>
                <w:p w14:paraId="033C5F7F">
                  <w:pPr>
                    <w:widowControl/>
                    <w:snapToGrid w:val="0"/>
                    <w:spacing w:line="320" w:lineRule="exact"/>
                    <w:jc w:val="center"/>
                    <w:rPr>
                      <w:szCs w:val="21"/>
                    </w:rPr>
                  </w:pPr>
                </w:p>
              </w:tc>
              <w:tc>
                <w:tcPr>
                  <w:tcW w:w="1129" w:type="pct"/>
                  <w:tcBorders>
                    <w:tl2br w:val="nil"/>
                    <w:tr2bl w:val="nil"/>
                  </w:tcBorders>
                  <w:vAlign w:val="center"/>
                </w:tcPr>
                <w:p w14:paraId="3E282F7A">
                  <w:pPr>
                    <w:snapToGrid w:val="0"/>
                    <w:spacing w:line="320" w:lineRule="exact"/>
                    <w:jc w:val="center"/>
                    <w:rPr>
                      <w:szCs w:val="21"/>
                    </w:rPr>
                  </w:pPr>
                  <w:r>
                    <w:rPr>
                      <w:szCs w:val="21"/>
                    </w:rPr>
                    <w:t>氨氮</w:t>
                  </w:r>
                </w:p>
              </w:tc>
              <w:tc>
                <w:tcPr>
                  <w:tcW w:w="647" w:type="pct"/>
                  <w:tcBorders>
                    <w:tl2br w:val="nil"/>
                    <w:tr2bl w:val="nil"/>
                  </w:tcBorders>
                  <w:vAlign w:val="center"/>
                </w:tcPr>
                <w:p w14:paraId="26B238D6">
                  <w:pPr>
                    <w:snapToGrid w:val="0"/>
                    <w:spacing w:line="320" w:lineRule="exact"/>
                    <w:jc w:val="center"/>
                    <w:rPr>
                      <w:szCs w:val="21"/>
                    </w:rPr>
                  </w:pPr>
                  <w:r>
                    <w:rPr>
                      <w:szCs w:val="21"/>
                    </w:rPr>
                    <w:t>0.18</w:t>
                  </w:r>
                </w:p>
              </w:tc>
              <w:tc>
                <w:tcPr>
                  <w:tcW w:w="647" w:type="pct"/>
                  <w:tcBorders>
                    <w:tl2br w:val="nil"/>
                    <w:tr2bl w:val="nil"/>
                  </w:tcBorders>
                  <w:vAlign w:val="center"/>
                </w:tcPr>
                <w:p w14:paraId="1E3B283C">
                  <w:pPr>
                    <w:snapToGrid w:val="0"/>
                    <w:spacing w:line="320" w:lineRule="exact"/>
                    <w:jc w:val="center"/>
                    <w:rPr>
                      <w:szCs w:val="21"/>
                    </w:rPr>
                  </w:pPr>
                  <w:r>
                    <w:rPr>
                      <w:szCs w:val="21"/>
                    </w:rPr>
                    <w:t>1.0</w:t>
                  </w:r>
                </w:p>
              </w:tc>
              <w:tc>
                <w:tcPr>
                  <w:tcW w:w="576" w:type="pct"/>
                  <w:tcBorders>
                    <w:tl2br w:val="nil"/>
                    <w:tr2bl w:val="nil"/>
                  </w:tcBorders>
                </w:tcPr>
                <w:p w14:paraId="5E834C01">
                  <w:pPr>
                    <w:snapToGrid w:val="0"/>
                    <w:spacing w:line="320" w:lineRule="exact"/>
                    <w:jc w:val="center"/>
                    <w:rPr>
                      <w:szCs w:val="21"/>
                    </w:rPr>
                  </w:pPr>
                  <w:r>
                    <w:rPr>
                      <w:szCs w:val="21"/>
                    </w:rPr>
                    <w:t>0.18</w:t>
                  </w:r>
                </w:p>
              </w:tc>
              <w:tc>
                <w:tcPr>
                  <w:tcW w:w="519" w:type="pct"/>
                  <w:tcBorders>
                    <w:tl2br w:val="nil"/>
                    <w:tr2bl w:val="nil"/>
                  </w:tcBorders>
                  <w:vAlign w:val="center"/>
                </w:tcPr>
                <w:p w14:paraId="6E07A3C4">
                  <w:pPr>
                    <w:snapToGrid w:val="0"/>
                    <w:spacing w:line="320" w:lineRule="exact"/>
                    <w:jc w:val="center"/>
                    <w:rPr>
                      <w:szCs w:val="21"/>
                    </w:rPr>
                  </w:pPr>
                  <w:r>
                    <w:rPr>
                      <w:szCs w:val="21"/>
                    </w:rPr>
                    <w:t>0</w:t>
                  </w:r>
                </w:p>
              </w:tc>
              <w:tc>
                <w:tcPr>
                  <w:tcW w:w="498" w:type="pct"/>
                  <w:tcBorders>
                    <w:tl2br w:val="nil"/>
                    <w:tr2bl w:val="nil"/>
                  </w:tcBorders>
                  <w:vAlign w:val="center"/>
                </w:tcPr>
                <w:p w14:paraId="36229B80">
                  <w:pPr>
                    <w:snapToGrid w:val="0"/>
                    <w:spacing w:line="320" w:lineRule="exact"/>
                    <w:jc w:val="center"/>
                    <w:rPr>
                      <w:szCs w:val="21"/>
                    </w:rPr>
                  </w:pPr>
                  <w:r>
                    <w:rPr>
                      <w:szCs w:val="21"/>
                    </w:rPr>
                    <w:t>0</w:t>
                  </w:r>
                </w:p>
              </w:tc>
              <w:tc>
                <w:tcPr>
                  <w:tcW w:w="634" w:type="pct"/>
                  <w:tcBorders>
                    <w:tl2br w:val="nil"/>
                    <w:tr2bl w:val="nil"/>
                  </w:tcBorders>
                  <w:vAlign w:val="center"/>
                </w:tcPr>
                <w:p w14:paraId="68B45CBB">
                  <w:pPr>
                    <w:snapToGrid w:val="0"/>
                    <w:spacing w:line="320" w:lineRule="exact"/>
                    <w:jc w:val="center"/>
                    <w:rPr>
                      <w:szCs w:val="21"/>
                    </w:rPr>
                  </w:pPr>
                  <w:r>
                    <w:rPr>
                      <w:szCs w:val="21"/>
                    </w:rPr>
                    <w:t>达标</w:t>
                  </w:r>
                </w:p>
              </w:tc>
            </w:tr>
            <w:tr w14:paraId="2B7E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9" w:type="pct"/>
                  <w:vMerge w:val="continue"/>
                  <w:tcBorders>
                    <w:tl2br w:val="nil"/>
                    <w:tr2bl w:val="nil"/>
                  </w:tcBorders>
                  <w:vAlign w:val="center"/>
                </w:tcPr>
                <w:p w14:paraId="2F23BA98">
                  <w:pPr>
                    <w:widowControl/>
                    <w:snapToGrid w:val="0"/>
                    <w:spacing w:line="320" w:lineRule="exact"/>
                    <w:jc w:val="center"/>
                    <w:rPr>
                      <w:szCs w:val="21"/>
                    </w:rPr>
                  </w:pPr>
                </w:p>
              </w:tc>
              <w:tc>
                <w:tcPr>
                  <w:tcW w:w="1129" w:type="pct"/>
                  <w:tcBorders>
                    <w:tl2br w:val="nil"/>
                    <w:tr2bl w:val="nil"/>
                  </w:tcBorders>
                  <w:vAlign w:val="center"/>
                </w:tcPr>
                <w:p w14:paraId="08BA2FEA">
                  <w:pPr>
                    <w:snapToGrid w:val="0"/>
                    <w:spacing w:line="320" w:lineRule="exact"/>
                    <w:jc w:val="center"/>
                    <w:rPr>
                      <w:szCs w:val="21"/>
                    </w:rPr>
                  </w:pPr>
                  <w:r>
                    <w:rPr>
                      <w:szCs w:val="21"/>
                    </w:rPr>
                    <w:t>总磷</w:t>
                  </w:r>
                </w:p>
              </w:tc>
              <w:tc>
                <w:tcPr>
                  <w:tcW w:w="647" w:type="pct"/>
                  <w:tcBorders>
                    <w:tl2br w:val="nil"/>
                    <w:tr2bl w:val="nil"/>
                  </w:tcBorders>
                  <w:vAlign w:val="center"/>
                </w:tcPr>
                <w:p w14:paraId="69CCDD8D">
                  <w:pPr>
                    <w:snapToGrid w:val="0"/>
                    <w:spacing w:line="320" w:lineRule="exact"/>
                    <w:jc w:val="center"/>
                    <w:rPr>
                      <w:szCs w:val="21"/>
                    </w:rPr>
                  </w:pPr>
                  <w:r>
                    <w:rPr>
                      <w:szCs w:val="21"/>
                    </w:rPr>
                    <w:t>0.047</w:t>
                  </w:r>
                </w:p>
              </w:tc>
              <w:tc>
                <w:tcPr>
                  <w:tcW w:w="647" w:type="pct"/>
                  <w:tcBorders>
                    <w:tl2br w:val="nil"/>
                    <w:tr2bl w:val="nil"/>
                  </w:tcBorders>
                  <w:vAlign w:val="center"/>
                </w:tcPr>
                <w:p w14:paraId="735C573E">
                  <w:pPr>
                    <w:snapToGrid w:val="0"/>
                    <w:spacing w:line="320" w:lineRule="exact"/>
                    <w:jc w:val="center"/>
                    <w:rPr>
                      <w:szCs w:val="21"/>
                    </w:rPr>
                  </w:pPr>
                  <w:r>
                    <w:rPr>
                      <w:szCs w:val="21"/>
                    </w:rPr>
                    <w:t>0.2</w:t>
                  </w:r>
                </w:p>
              </w:tc>
              <w:tc>
                <w:tcPr>
                  <w:tcW w:w="576" w:type="pct"/>
                  <w:tcBorders>
                    <w:tl2br w:val="nil"/>
                    <w:tr2bl w:val="nil"/>
                  </w:tcBorders>
                </w:tcPr>
                <w:p w14:paraId="388BCA61">
                  <w:pPr>
                    <w:snapToGrid w:val="0"/>
                    <w:spacing w:line="320" w:lineRule="exact"/>
                    <w:jc w:val="center"/>
                  </w:pPr>
                  <w:r>
                    <w:t>0.235</w:t>
                  </w:r>
                </w:p>
              </w:tc>
              <w:tc>
                <w:tcPr>
                  <w:tcW w:w="519" w:type="pct"/>
                  <w:tcBorders>
                    <w:tl2br w:val="nil"/>
                    <w:tr2bl w:val="nil"/>
                  </w:tcBorders>
                  <w:vAlign w:val="center"/>
                </w:tcPr>
                <w:p w14:paraId="65DFB198">
                  <w:pPr>
                    <w:snapToGrid w:val="0"/>
                    <w:spacing w:line="320" w:lineRule="exact"/>
                    <w:jc w:val="center"/>
                    <w:rPr>
                      <w:szCs w:val="21"/>
                    </w:rPr>
                  </w:pPr>
                  <w:r>
                    <w:rPr>
                      <w:szCs w:val="21"/>
                    </w:rPr>
                    <w:t>0</w:t>
                  </w:r>
                </w:p>
              </w:tc>
              <w:tc>
                <w:tcPr>
                  <w:tcW w:w="498" w:type="pct"/>
                  <w:tcBorders>
                    <w:tl2br w:val="nil"/>
                    <w:tr2bl w:val="nil"/>
                  </w:tcBorders>
                  <w:vAlign w:val="center"/>
                </w:tcPr>
                <w:p w14:paraId="51AD0390">
                  <w:pPr>
                    <w:snapToGrid w:val="0"/>
                    <w:spacing w:line="320" w:lineRule="exact"/>
                    <w:jc w:val="center"/>
                    <w:rPr>
                      <w:szCs w:val="21"/>
                    </w:rPr>
                  </w:pPr>
                  <w:r>
                    <w:rPr>
                      <w:szCs w:val="21"/>
                    </w:rPr>
                    <w:t>0</w:t>
                  </w:r>
                </w:p>
              </w:tc>
              <w:tc>
                <w:tcPr>
                  <w:tcW w:w="634" w:type="pct"/>
                  <w:tcBorders>
                    <w:tl2br w:val="nil"/>
                    <w:tr2bl w:val="nil"/>
                  </w:tcBorders>
                  <w:vAlign w:val="center"/>
                </w:tcPr>
                <w:p w14:paraId="756E8200">
                  <w:pPr>
                    <w:snapToGrid w:val="0"/>
                    <w:spacing w:line="320" w:lineRule="exact"/>
                    <w:jc w:val="center"/>
                    <w:rPr>
                      <w:szCs w:val="21"/>
                    </w:rPr>
                  </w:pPr>
                  <w:r>
                    <w:rPr>
                      <w:szCs w:val="21"/>
                    </w:rPr>
                    <w:t>达标</w:t>
                  </w:r>
                </w:p>
              </w:tc>
            </w:tr>
            <w:tr w14:paraId="109B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9" w:type="pct"/>
                  <w:vMerge w:val="continue"/>
                  <w:tcBorders>
                    <w:tl2br w:val="nil"/>
                    <w:tr2bl w:val="nil"/>
                  </w:tcBorders>
                  <w:vAlign w:val="center"/>
                </w:tcPr>
                <w:p w14:paraId="109F2350">
                  <w:pPr>
                    <w:widowControl/>
                    <w:snapToGrid w:val="0"/>
                    <w:spacing w:line="320" w:lineRule="exact"/>
                    <w:jc w:val="center"/>
                    <w:rPr>
                      <w:szCs w:val="21"/>
                    </w:rPr>
                  </w:pPr>
                </w:p>
              </w:tc>
              <w:tc>
                <w:tcPr>
                  <w:tcW w:w="1129" w:type="pct"/>
                  <w:tcBorders>
                    <w:tl2br w:val="nil"/>
                    <w:tr2bl w:val="nil"/>
                  </w:tcBorders>
                  <w:vAlign w:val="center"/>
                </w:tcPr>
                <w:p w14:paraId="441A76E6">
                  <w:pPr>
                    <w:snapToGrid w:val="0"/>
                    <w:spacing w:line="320" w:lineRule="exact"/>
                    <w:jc w:val="center"/>
                    <w:rPr>
                      <w:szCs w:val="21"/>
                    </w:rPr>
                  </w:pPr>
                  <w:r>
                    <w:rPr>
                      <w:szCs w:val="21"/>
                    </w:rPr>
                    <w:t>石油类</w:t>
                  </w:r>
                </w:p>
              </w:tc>
              <w:tc>
                <w:tcPr>
                  <w:tcW w:w="647" w:type="pct"/>
                  <w:tcBorders>
                    <w:tl2br w:val="nil"/>
                    <w:tr2bl w:val="nil"/>
                  </w:tcBorders>
                  <w:vAlign w:val="center"/>
                </w:tcPr>
                <w:p w14:paraId="4650304B">
                  <w:pPr>
                    <w:snapToGrid w:val="0"/>
                    <w:spacing w:line="320" w:lineRule="exact"/>
                    <w:jc w:val="center"/>
                    <w:rPr>
                      <w:szCs w:val="21"/>
                    </w:rPr>
                  </w:pPr>
                  <w:r>
                    <w:rPr>
                      <w:szCs w:val="21"/>
                    </w:rPr>
                    <w:t>0.005</w:t>
                  </w:r>
                </w:p>
              </w:tc>
              <w:tc>
                <w:tcPr>
                  <w:tcW w:w="647" w:type="pct"/>
                  <w:tcBorders>
                    <w:tl2br w:val="nil"/>
                    <w:tr2bl w:val="nil"/>
                  </w:tcBorders>
                  <w:vAlign w:val="center"/>
                </w:tcPr>
                <w:p w14:paraId="0D5985D1">
                  <w:pPr>
                    <w:snapToGrid w:val="0"/>
                    <w:spacing w:line="320" w:lineRule="exact"/>
                    <w:jc w:val="center"/>
                    <w:rPr>
                      <w:szCs w:val="21"/>
                    </w:rPr>
                  </w:pPr>
                  <w:r>
                    <w:rPr>
                      <w:szCs w:val="21"/>
                    </w:rPr>
                    <w:t>0.05</w:t>
                  </w:r>
                </w:p>
              </w:tc>
              <w:tc>
                <w:tcPr>
                  <w:tcW w:w="576" w:type="pct"/>
                  <w:tcBorders>
                    <w:tl2br w:val="nil"/>
                    <w:tr2bl w:val="nil"/>
                  </w:tcBorders>
                </w:tcPr>
                <w:p w14:paraId="3E6F4ADD">
                  <w:pPr>
                    <w:snapToGrid w:val="0"/>
                    <w:spacing w:line="320" w:lineRule="exact"/>
                    <w:jc w:val="center"/>
                    <w:rPr>
                      <w:szCs w:val="21"/>
                    </w:rPr>
                  </w:pPr>
                  <w:r>
                    <w:rPr>
                      <w:szCs w:val="21"/>
                    </w:rPr>
                    <w:t>0.1</w:t>
                  </w:r>
                </w:p>
              </w:tc>
              <w:tc>
                <w:tcPr>
                  <w:tcW w:w="519" w:type="pct"/>
                  <w:tcBorders>
                    <w:tl2br w:val="nil"/>
                    <w:tr2bl w:val="nil"/>
                  </w:tcBorders>
                  <w:vAlign w:val="center"/>
                </w:tcPr>
                <w:p w14:paraId="4E97D301">
                  <w:pPr>
                    <w:snapToGrid w:val="0"/>
                    <w:spacing w:line="320" w:lineRule="exact"/>
                    <w:jc w:val="center"/>
                    <w:rPr>
                      <w:szCs w:val="21"/>
                    </w:rPr>
                  </w:pPr>
                  <w:r>
                    <w:rPr>
                      <w:szCs w:val="21"/>
                    </w:rPr>
                    <w:t>0</w:t>
                  </w:r>
                </w:p>
              </w:tc>
              <w:tc>
                <w:tcPr>
                  <w:tcW w:w="498" w:type="pct"/>
                  <w:tcBorders>
                    <w:tl2br w:val="nil"/>
                    <w:tr2bl w:val="nil"/>
                  </w:tcBorders>
                  <w:vAlign w:val="center"/>
                </w:tcPr>
                <w:p w14:paraId="3186BB96">
                  <w:pPr>
                    <w:snapToGrid w:val="0"/>
                    <w:spacing w:line="320" w:lineRule="exact"/>
                    <w:jc w:val="center"/>
                    <w:rPr>
                      <w:szCs w:val="21"/>
                    </w:rPr>
                  </w:pPr>
                  <w:r>
                    <w:rPr>
                      <w:szCs w:val="21"/>
                    </w:rPr>
                    <w:t>0</w:t>
                  </w:r>
                </w:p>
              </w:tc>
              <w:tc>
                <w:tcPr>
                  <w:tcW w:w="634" w:type="pct"/>
                  <w:tcBorders>
                    <w:tl2br w:val="nil"/>
                    <w:tr2bl w:val="nil"/>
                  </w:tcBorders>
                  <w:vAlign w:val="center"/>
                </w:tcPr>
                <w:p w14:paraId="18D72463">
                  <w:pPr>
                    <w:snapToGrid w:val="0"/>
                    <w:spacing w:line="320" w:lineRule="exact"/>
                    <w:jc w:val="center"/>
                    <w:rPr>
                      <w:szCs w:val="21"/>
                    </w:rPr>
                  </w:pPr>
                  <w:r>
                    <w:rPr>
                      <w:szCs w:val="21"/>
                    </w:rPr>
                    <w:t>达标</w:t>
                  </w:r>
                </w:p>
              </w:tc>
            </w:tr>
            <w:tr w14:paraId="6179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349" w:type="pct"/>
                  <w:vMerge w:val="continue"/>
                  <w:tcBorders>
                    <w:tl2br w:val="nil"/>
                    <w:tr2bl w:val="nil"/>
                  </w:tcBorders>
                  <w:vAlign w:val="center"/>
                </w:tcPr>
                <w:p w14:paraId="416056C5">
                  <w:pPr>
                    <w:widowControl/>
                    <w:snapToGrid w:val="0"/>
                    <w:spacing w:line="320" w:lineRule="exact"/>
                    <w:jc w:val="center"/>
                    <w:rPr>
                      <w:szCs w:val="21"/>
                    </w:rPr>
                  </w:pPr>
                </w:p>
              </w:tc>
              <w:tc>
                <w:tcPr>
                  <w:tcW w:w="1129" w:type="pct"/>
                  <w:tcBorders>
                    <w:tl2br w:val="nil"/>
                    <w:tr2bl w:val="nil"/>
                  </w:tcBorders>
                  <w:vAlign w:val="center"/>
                </w:tcPr>
                <w:p w14:paraId="27ED9085">
                  <w:pPr>
                    <w:snapToGrid w:val="0"/>
                    <w:spacing w:line="320" w:lineRule="exact"/>
                    <w:jc w:val="center"/>
                    <w:rPr>
                      <w:szCs w:val="21"/>
                    </w:rPr>
                  </w:pPr>
                  <w:r>
                    <w:rPr>
                      <w:szCs w:val="21"/>
                    </w:rPr>
                    <w:t>挥发酚</w:t>
                  </w:r>
                </w:p>
              </w:tc>
              <w:tc>
                <w:tcPr>
                  <w:tcW w:w="647" w:type="pct"/>
                  <w:tcBorders>
                    <w:tl2br w:val="nil"/>
                    <w:tr2bl w:val="nil"/>
                  </w:tcBorders>
                  <w:vAlign w:val="center"/>
                </w:tcPr>
                <w:p w14:paraId="5FCE06B2">
                  <w:pPr>
                    <w:snapToGrid w:val="0"/>
                    <w:spacing w:line="320" w:lineRule="exact"/>
                    <w:jc w:val="center"/>
                    <w:rPr>
                      <w:szCs w:val="21"/>
                    </w:rPr>
                  </w:pPr>
                  <w:r>
                    <w:rPr>
                      <w:szCs w:val="21"/>
                    </w:rPr>
                    <w:t>0.0003</w:t>
                  </w:r>
                </w:p>
              </w:tc>
              <w:tc>
                <w:tcPr>
                  <w:tcW w:w="647" w:type="pct"/>
                  <w:tcBorders>
                    <w:tl2br w:val="nil"/>
                    <w:tr2bl w:val="nil"/>
                  </w:tcBorders>
                  <w:vAlign w:val="center"/>
                </w:tcPr>
                <w:p w14:paraId="7DE3C655">
                  <w:pPr>
                    <w:snapToGrid w:val="0"/>
                    <w:spacing w:line="320" w:lineRule="exact"/>
                    <w:jc w:val="center"/>
                    <w:rPr>
                      <w:szCs w:val="21"/>
                    </w:rPr>
                  </w:pPr>
                  <w:r>
                    <w:rPr>
                      <w:szCs w:val="21"/>
                    </w:rPr>
                    <w:t>0.005</w:t>
                  </w:r>
                </w:p>
              </w:tc>
              <w:tc>
                <w:tcPr>
                  <w:tcW w:w="576" w:type="pct"/>
                  <w:tcBorders>
                    <w:tl2br w:val="nil"/>
                    <w:tr2bl w:val="nil"/>
                  </w:tcBorders>
                </w:tcPr>
                <w:p w14:paraId="263CABC2">
                  <w:pPr>
                    <w:snapToGrid w:val="0"/>
                    <w:spacing w:line="320" w:lineRule="exact"/>
                    <w:jc w:val="center"/>
                    <w:rPr>
                      <w:szCs w:val="21"/>
                    </w:rPr>
                  </w:pPr>
                  <w:r>
                    <w:rPr>
                      <w:szCs w:val="21"/>
                    </w:rPr>
                    <w:t>0.06</w:t>
                  </w:r>
                </w:p>
              </w:tc>
              <w:tc>
                <w:tcPr>
                  <w:tcW w:w="519" w:type="pct"/>
                  <w:tcBorders>
                    <w:tl2br w:val="nil"/>
                    <w:tr2bl w:val="nil"/>
                  </w:tcBorders>
                  <w:vAlign w:val="center"/>
                </w:tcPr>
                <w:p w14:paraId="0095F524">
                  <w:pPr>
                    <w:snapToGrid w:val="0"/>
                    <w:spacing w:line="320" w:lineRule="exact"/>
                    <w:jc w:val="center"/>
                    <w:rPr>
                      <w:szCs w:val="21"/>
                    </w:rPr>
                  </w:pPr>
                  <w:r>
                    <w:rPr>
                      <w:szCs w:val="21"/>
                    </w:rPr>
                    <w:t>0</w:t>
                  </w:r>
                </w:p>
              </w:tc>
              <w:tc>
                <w:tcPr>
                  <w:tcW w:w="498" w:type="pct"/>
                  <w:tcBorders>
                    <w:tl2br w:val="nil"/>
                    <w:tr2bl w:val="nil"/>
                  </w:tcBorders>
                  <w:vAlign w:val="center"/>
                </w:tcPr>
                <w:p w14:paraId="13EA1A62">
                  <w:pPr>
                    <w:snapToGrid w:val="0"/>
                    <w:spacing w:line="320" w:lineRule="exact"/>
                    <w:jc w:val="center"/>
                    <w:rPr>
                      <w:szCs w:val="21"/>
                    </w:rPr>
                  </w:pPr>
                  <w:r>
                    <w:rPr>
                      <w:szCs w:val="21"/>
                    </w:rPr>
                    <w:t>0</w:t>
                  </w:r>
                </w:p>
              </w:tc>
              <w:tc>
                <w:tcPr>
                  <w:tcW w:w="634" w:type="pct"/>
                  <w:tcBorders>
                    <w:tl2br w:val="nil"/>
                    <w:tr2bl w:val="nil"/>
                  </w:tcBorders>
                  <w:vAlign w:val="center"/>
                </w:tcPr>
                <w:p w14:paraId="1702CCD7">
                  <w:pPr>
                    <w:snapToGrid w:val="0"/>
                    <w:spacing w:line="320" w:lineRule="exact"/>
                    <w:jc w:val="center"/>
                    <w:rPr>
                      <w:szCs w:val="21"/>
                    </w:rPr>
                  </w:pPr>
                  <w:r>
                    <w:rPr>
                      <w:szCs w:val="21"/>
                    </w:rPr>
                    <w:t>达标</w:t>
                  </w:r>
                </w:p>
              </w:tc>
            </w:tr>
            <w:tr w14:paraId="27F3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349" w:type="pct"/>
                  <w:vMerge w:val="continue"/>
                  <w:tcBorders>
                    <w:tl2br w:val="nil"/>
                    <w:tr2bl w:val="nil"/>
                  </w:tcBorders>
                  <w:vAlign w:val="center"/>
                </w:tcPr>
                <w:p w14:paraId="7BC159C0">
                  <w:pPr>
                    <w:widowControl/>
                    <w:snapToGrid w:val="0"/>
                    <w:spacing w:line="320" w:lineRule="exact"/>
                    <w:jc w:val="center"/>
                    <w:rPr>
                      <w:szCs w:val="21"/>
                    </w:rPr>
                  </w:pPr>
                </w:p>
              </w:tc>
              <w:tc>
                <w:tcPr>
                  <w:tcW w:w="1129" w:type="pct"/>
                  <w:tcBorders>
                    <w:tl2br w:val="nil"/>
                    <w:tr2bl w:val="nil"/>
                  </w:tcBorders>
                  <w:vAlign w:val="center"/>
                </w:tcPr>
                <w:p w14:paraId="439D0CF1">
                  <w:pPr>
                    <w:snapToGrid w:val="0"/>
                    <w:spacing w:line="320" w:lineRule="exact"/>
                    <w:jc w:val="center"/>
                    <w:rPr>
                      <w:szCs w:val="21"/>
                    </w:rPr>
                  </w:pPr>
                  <w:r>
                    <w:rPr>
                      <w:szCs w:val="21"/>
                    </w:rPr>
                    <w:t>硫化物</w:t>
                  </w:r>
                </w:p>
              </w:tc>
              <w:tc>
                <w:tcPr>
                  <w:tcW w:w="647" w:type="pct"/>
                  <w:tcBorders>
                    <w:tl2br w:val="nil"/>
                    <w:tr2bl w:val="nil"/>
                  </w:tcBorders>
                  <w:vAlign w:val="center"/>
                </w:tcPr>
                <w:p w14:paraId="7B064C7E">
                  <w:pPr>
                    <w:snapToGrid w:val="0"/>
                    <w:spacing w:line="320" w:lineRule="exact"/>
                    <w:jc w:val="center"/>
                    <w:rPr>
                      <w:szCs w:val="21"/>
                    </w:rPr>
                  </w:pPr>
                  <w:r>
                    <w:rPr>
                      <w:szCs w:val="21"/>
                    </w:rPr>
                    <w:t>0.005</w:t>
                  </w:r>
                </w:p>
              </w:tc>
              <w:tc>
                <w:tcPr>
                  <w:tcW w:w="647" w:type="pct"/>
                  <w:tcBorders>
                    <w:tl2br w:val="nil"/>
                    <w:tr2bl w:val="nil"/>
                  </w:tcBorders>
                  <w:vAlign w:val="center"/>
                </w:tcPr>
                <w:p w14:paraId="3BB180E6">
                  <w:pPr>
                    <w:snapToGrid w:val="0"/>
                    <w:spacing w:line="320" w:lineRule="exact"/>
                    <w:jc w:val="center"/>
                    <w:rPr>
                      <w:szCs w:val="21"/>
                    </w:rPr>
                  </w:pPr>
                  <w:r>
                    <w:rPr>
                      <w:szCs w:val="21"/>
                    </w:rPr>
                    <w:t>0.2</w:t>
                  </w:r>
                </w:p>
              </w:tc>
              <w:tc>
                <w:tcPr>
                  <w:tcW w:w="576" w:type="pct"/>
                  <w:tcBorders>
                    <w:tl2br w:val="nil"/>
                    <w:tr2bl w:val="nil"/>
                  </w:tcBorders>
                </w:tcPr>
                <w:p w14:paraId="23AACC9A">
                  <w:pPr>
                    <w:snapToGrid w:val="0"/>
                    <w:spacing w:line="320" w:lineRule="exact"/>
                    <w:jc w:val="center"/>
                    <w:rPr>
                      <w:szCs w:val="21"/>
                    </w:rPr>
                  </w:pPr>
                  <w:r>
                    <w:rPr>
                      <w:szCs w:val="21"/>
                    </w:rPr>
                    <w:t>0.025</w:t>
                  </w:r>
                </w:p>
              </w:tc>
              <w:tc>
                <w:tcPr>
                  <w:tcW w:w="519" w:type="pct"/>
                  <w:tcBorders>
                    <w:tl2br w:val="nil"/>
                    <w:tr2bl w:val="nil"/>
                  </w:tcBorders>
                  <w:vAlign w:val="center"/>
                </w:tcPr>
                <w:p w14:paraId="6A77E9A3">
                  <w:pPr>
                    <w:snapToGrid w:val="0"/>
                    <w:spacing w:line="320" w:lineRule="exact"/>
                    <w:jc w:val="center"/>
                    <w:rPr>
                      <w:szCs w:val="21"/>
                    </w:rPr>
                  </w:pPr>
                  <w:r>
                    <w:rPr>
                      <w:szCs w:val="21"/>
                    </w:rPr>
                    <w:t>0</w:t>
                  </w:r>
                </w:p>
              </w:tc>
              <w:tc>
                <w:tcPr>
                  <w:tcW w:w="498" w:type="pct"/>
                  <w:tcBorders>
                    <w:tl2br w:val="nil"/>
                    <w:tr2bl w:val="nil"/>
                  </w:tcBorders>
                  <w:vAlign w:val="center"/>
                </w:tcPr>
                <w:p w14:paraId="154B0D2D">
                  <w:pPr>
                    <w:snapToGrid w:val="0"/>
                    <w:spacing w:line="320" w:lineRule="exact"/>
                    <w:jc w:val="center"/>
                    <w:rPr>
                      <w:szCs w:val="21"/>
                    </w:rPr>
                  </w:pPr>
                  <w:r>
                    <w:rPr>
                      <w:szCs w:val="21"/>
                    </w:rPr>
                    <w:t>0</w:t>
                  </w:r>
                </w:p>
              </w:tc>
              <w:tc>
                <w:tcPr>
                  <w:tcW w:w="634" w:type="pct"/>
                  <w:tcBorders>
                    <w:tl2br w:val="nil"/>
                    <w:tr2bl w:val="nil"/>
                  </w:tcBorders>
                  <w:vAlign w:val="center"/>
                </w:tcPr>
                <w:p w14:paraId="7B452D98">
                  <w:pPr>
                    <w:snapToGrid w:val="0"/>
                    <w:spacing w:line="320" w:lineRule="exact"/>
                    <w:jc w:val="center"/>
                    <w:rPr>
                      <w:szCs w:val="21"/>
                    </w:rPr>
                  </w:pPr>
                  <w:r>
                    <w:rPr>
                      <w:szCs w:val="21"/>
                    </w:rPr>
                    <w:t>达标</w:t>
                  </w:r>
                </w:p>
              </w:tc>
            </w:tr>
          </w:tbl>
          <w:p w14:paraId="03A70A38">
            <w:pPr>
              <w:adjustRightInd w:val="0"/>
              <w:snapToGrid w:val="0"/>
              <w:spacing w:line="520" w:lineRule="exact"/>
              <w:ind w:firstLine="480" w:firstLineChars="200"/>
              <w:rPr>
                <w:b/>
                <w:sz w:val="24"/>
                <w:szCs w:val="20"/>
                <w:u w:val="single"/>
              </w:rPr>
            </w:pPr>
            <w:r>
              <w:rPr>
                <w:kern w:val="0"/>
                <w:sz w:val="24"/>
                <w:szCs w:val="21"/>
              </w:rPr>
              <w:t>由上表可以看出，监测断面各监测因子均能满足《地表水环境质量标准》（GB3838-2002）</w:t>
            </w:r>
            <w:r>
              <w:rPr>
                <w:kern w:val="0"/>
                <w:sz w:val="24"/>
                <w:szCs w:val="21"/>
              </w:rPr>
              <w:fldChar w:fldCharType="begin"/>
            </w:r>
            <w:r>
              <w:rPr>
                <w:kern w:val="0"/>
                <w:sz w:val="24"/>
                <w:szCs w:val="21"/>
              </w:rPr>
              <w:instrText xml:space="preserve"> = 3 \* ROMAN </w:instrText>
            </w:r>
            <w:r>
              <w:rPr>
                <w:kern w:val="0"/>
                <w:sz w:val="24"/>
                <w:szCs w:val="21"/>
              </w:rPr>
              <w:fldChar w:fldCharType="separate"/>
            </w:r>
            <w:r>
              <w:rPr>
                <w:kern w:val="0"/>
                <w:sz w:val="24"/>
                <w:szCs w:val="21"/>
              </w:rPr>
              <w:t>III</w:t>
            </w:r>
            <w:r>
              <w:rPr>
                <w:kern w:val="0"/>
                <w:sz w:val="24"/>
                <w:szCs w:val="21"/>
              </w:rPr>
              <w:fldChar w:fldCharType="end"/>
            </w:r>
            <w:r>
              <w:rPr>
                <w:kern w:val="0"/>
                <w:sz w:val="24"/>
                <w:szCs w:val="21"/>
              </w:rPr>
              <w:t>类标准，区域地表水环境质量现状较好。</w:t>
            </w:r>
          </w:p>
          <w:p w14:paraId="501573C2">
            <w:pPr>
              <w:pStyle w:val="24"/>
              <w:spacing w:after="0" w:line="500" w:lineRule="exact"/>
              <w:ind w:left="0" w:leftChars="0"/>
              <w:rPr>
                <w:rFonts w:eastAsia="黑体"/>
                <w:sz w:val="24"/>
              </w:rPr>
            </w:pPr>
            <w:r>
              <w:rPr>
                <w:rFonts w:eastAsia="黑体"/>
                <w:sz w:val="24"/>
              </w:rPr>
              <w:t>3、地下水环境质量现状</w:t>
            </w:r>
          </w:p>
          <w:p w14:paraId="6206C36C">
            <w:pPr>
              <w:pStyle w:val="17"/>
              <w:kinsoku w:val="0"/>
              <w:overflowPunct w:val="0"/>
              <w:spacing w:after="0" w:line="500" w:lineRule="exact"/>
              <w:ind w:firstLine="480" w:firstLineChars="200"/>
              <w:rPr>
                <w:bCs/>
                <w:sz w:val="24"/>
                <w:szCs w:val="24"/>
              </w:rPr>
            </w:pPr>
            <w:r>
              <w:rPr>
                <w:bCs/>
                <w:sz w:val="24"/>
                <w:szCs w:val="24"/>
              </w:rPr>
              <w:t>评价引用河南贝纳检测技术服务有限公司于2023年7月19日至20日对项目厂区水井的检测结果。</w:t>
            </w:r>
          </w:p>
          <w:p w14:paraId="3884004B">
            <w:pPr>
              <w:pStyle w:val="17"/>
              <w:kinsoku w:val="0"/>
              <w:overflowPunct w:val="0"/>
              <w:spacing w:after="0" w:line="500" w:lineRule="exact"/>
              <w:ind w:firstLine="480" w:firstLineChars="200"/>
              <w:rPr>
                <w:bCs/>
                <w:sz w:val="24"/>
                <w:szCs w:val="24"/>
              </w:rPr>
            </w:pPr>
            <w:r>
              <w:rPr>
                <w:bCs/>
                <w:sz w:val="24"/>
                <w:szCs w:val="24"/>
              </w:rPr>
              <w:t>（1）监测内容</w:t>
            </w:r>
          </w:p>
          <w:p w14:paraId="3B0C12F7">
            <w:pPr>
              <w:spacing w:line="520" w:lineRule="exact"/>
              <w:jc w:val="center"/>
              <w:rPr>
                <w:rFonts w:eastAsia="黑体"/>
                <w:sz w:val="24"/>
              </w:rPr>
            </w:pPr>
            <w:r>
              <w:rPr>
                <w:rFonts w:eastAsia="黑体"/>
                <w:sz w:val="24"/>
              </w:rPr>
              <w:t>表3-4       地下水监测内容情况一览表</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1303"/>
              <w:gridCol w:w="5065"/>
              <w:gridCol w:w="1167"/>
            </w:tblGrid>
            <w:tr w14:paraId="217D1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397" w:type="pct"/>
                  <w:vAlign w:val="center"/>
                </w:tcPr>
                <w:p w14:paraId="59405FC7">
                  <w:pPr>
                    <w:pStyle w:val="82"/>
                    <w:kinsoku w:val="0"/>
                    <w:overflowPunct w:val="0"/>
                    <w:spacing w:line="360" w:lineRule="exact"/>
                    <w:jc w:val="center"/>
                    <w:rPr>
                      <w:bCs/>
                      <w:kern w:val="2"/>
                      <w:sz w:val="21"/>
                      <w:szCs w:val="21"/>
                    </w:rPr>
                  </w:pPr>
                  <w:r>
                    <w:rPr>
                      <w:bCs/>
                      <w:kern w:val="2"/>
                      <w:sz w:val="21"/>
                      <w:szCs w:val="21"/>
                    </w:rPr>
                    <w:t>序号</w:t>
                  </w:r>
                </w:p>
              </w:tc>
              <w:tc>
                <w:tcPr>
                  <w:tcW w:w="796" w:type="pct"/>
                  <w:vAlign w:val="center"/>
                </w:tcPr>
                <w:p w14:paraId="15A72B2A">
                  <w:pPr>
                    <w:pStyle w:val="82"/>
                    <w:kinsoku w:val="0"/>
                    <w:overflowPunct w:val="0"/>
                    <w:spacing w:line="360" w:lineRule="exact"/>
                    <w:jc w:val="center"/>
                    <w:rPr>
                      <w:bCs/>
                      <w:kern w:val="2"/>
                      <w:sz w:val="21"/>
                      <w:szCs w:val="21"/>
                    </w:rPr>
                  </w:pPr>
                  <w:r>
                    <w:rPr>
                      <w:bCs/>
                      <w:kern w:val="2"/>
                      <w:sz w:val="21"/>
                      <w:szCs w:val="21"/>
                    </w:rPr>
                    <w:t>监测点位置</w:t>
                  </w:r>
                </w:p>
              </w:tc>
              <w:tc>
                <w:tcPr>
                  <w:tcW w:w="3094" w:type="pct"/>
                  <w:vAlign w:val="center"/>
                </w:tcPr>
                <w:p w14:paraId="492FA3E1">
                  <w:pPr>
                    <w:pStyle w:val="82"/>
                    <w:kinsoku w:val="0"/>
                    <w:overflowPunct w:val="0"/>
                    <w:spacing w:line="360" w:lineRule="exact"/>
                    <w:jc w:val="center"/>
                    <w:rPr>
                      <w:bCs/>
                      <w:kern w:val="2"/>
                      <w:sz w:val="21"/>
                      <w:szCs w:val="21"/>
                    </w:rPr>
                  </w:pPr>
                  <w:r>
                    <w:rPr>
                      <w:bCs/>
                      <w:kern w:val="2"/>
                      <w:sz w:val="21"/>
                      <w:szCs w:val="21"/>
                    </w:rPr>
                    <w:t>检测项目</w:t>
                  </w:r>
                </w:p>
              </w:tc>
              <w:tc>
                <w:tcPr>
                  <w:tcW w:w="713" w:type="pct"/>
                  <w:vAlign w:val="center"/>
                </w:tcPr>
                <w:p w14:paraId="43AEBC5D">
                  <w:pPr>
                    <w:pStyle w:val="82"/>
                    <w:kinsoku w:val="0"/>
                    <w:overflowPunct w:val="0"/>
                    <w:spacing w:line="360" w:lineRule="exact"/>
                    <w:jc w:val="center"/>
                    <w:rPr>
                      <w:bCs/>
                      <w:kern w:val="2"/>
                      <w:sz w:val="21"/>
                      <w:szCs w:val="21"/>
                    </w:rPr>
                  </w:pPr>
                  <w:r>
                    <w:rPr>
                      <w:bCs/>
                      <w:kern w:val="2"/>
                      <w:sz w:val="21"/>
                      <w:szCs w:val="21"/>
                    </w:rPr>
                    <w:t>监测频率</w:t>
                  </w:r>
                </w:p>
              </w:tc>
            </w:tr>
            <w:tr w14:paraId="118A8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397" w:type="pct"/>
                  <w:vAlign w:val="center"/>
                </w:tcPr>
                <w:p w14:paraId="57BBE0E6">
                  <w:pPr>
                    <w:pStyle w:val="82"/>
                    <w:kinsoku w:val="0"/>
                    <w:overflowPunct w:val="0"/>
                    <w:spacing w:line="360" w:lineRule="exact"/>
                    <w:jc w:val="center"/>
                    <w:rPr>
                      <w:bCs/>
                      <w:kern w:val="2"/>
                      <w:sz w:val="21"/>
                      <w:szCs w:val="21"/>
                    </w:rPr>
                  </w:pPr>
                  <w:r>
                    <w:rPr>
                      <w:bCs/>
                      <w:kern w:val="2"/>
                      <w:sz w:val="21"/>
                      <w:szCs w:val="21"/>
                    </w:rPr>
                    <w:t>1</w:t>
                  </w:r>
                </w:p>
              </w:tc>
              <w:tc>
                <w:tcPr>
                  <w:tcW w:w="796" w:type="pct"/>
                  <w:vAlign w:val="center"/>
                </w:tcPr>
                <w:p w14:paraId="5DAFB570">
                  <w:pPr>
                    <w:pStyle w:val="82"/>
                    <w:kinsoku w:val="0"/>
                    <w:overflowPunct w:val="0"/>
                    <w:spacing w:line="360" w:lineRule="exact"/>
                    <w:jc w:val="center"/>
                    <w:rPr>
                      <w:bCs/>
                      <w:kern w:val="2"/>
                      <w:sz w:val="21"/>
                      <w:szCs w:val="21"/>
                    </w:rPr>
                  </w:pPr>
                  <w:r>
                    <w:rPr>
                      <w:bCs/>
                      <w:kern w:val="2"/>
                      <w:sz w:val="21"/>
                      <w:szCs w:val="21"/>
                    </w:rPr>
                    <w:t>厂区内水井</w:t>
                  </w:r>
                </w:p>
              </w:tc>
              <w:tc>
                <w:tcPr>
                  <w:tcW w:w="3094" w:type="pct"/>
                  <w:vAlign w:val="center"/>
                </w:tcPr>
                <w:p w14:paraId="38D07A61">
                  <w:pPr>
                    <w:spacing w:line="360" w:lineRule="exact"/>
                    <w:jc w:val="center"/>
                    <w:rPr>
                      <w:bCs/>
                      <w:szCs w:val="21"/>
                    </w:rPr>
                  </w:pPr>
                  <w:r>
                    <w:rPr>
                      <w:bCs/>
                      <w:szCs w:val="21"/>
                    </w:rPr>
                    <w:t>K</w:t>
                  </w:r>
                  <w:r>
                    <w:rPr>
                      <w:bCs/>
                      <w:szCs w:val="21"/>
                      <w:vertAlign w:val="superscript"/>
                    </w:rPr>
                    <w:t>+</w:t>
                  </w:r>
                  <w:r>
                    <w:rPr>
                      <w:bCs/>
                      <w:szCs w:val="21"/>
                    </w:rPr>
                    <w:t>、Na</w:t>
                  </w:r>
                  <w:r>
                    <w:rPr>
                      <w:bCs/>
                      <w:szCs w:val="21"/>
                      <w:vertAlign w:val="superscript"/>
                    </w:rPr>
                    <w:t>+</w:t>
                  </w:r>
                  <w:r>
                    <w:rPr>
                      <w:bCs/>
                      <w:szCs w:val="21"/>
                    </w:rPr>
                    <w:t>、Ca</w:t>
                  </w:r>
                  <w:r>
                    <w:rPr>
                      <w:bCs/>
                      <w:szCs w:val="21"/>
                      <w:vertAlign w:val="superscript"/>
                    </w:rPr>
                    <w:t>2+</w:t>
                  </w:r>
                  <w:r>
                    <w:rPr>
                      <w:bCs/>
                      <w:szCs w:val="21"/>
                    </w:rPr>
                    <w:t>、Mg</w:t>
                  </w:r>
                  <w:r>
                    <w:rPr>
                      <w:bCs/>
                      <w:szCs w:val="21"/>
                      <w:vertAlign w:val="superscript"/>
                    </w:rPr>
                    <w:t>2+</w:t>
                  </w:r>
                  <w:r>
                    <w:rPr>
                      <w:bCs/>
                      <w:szCs w:val="21"/>
                    </w:rPr>
                    <w:t>、CO</w:t>
                  </w:r>
                  <w:r>
                    <w:rPr>
                      <w:bCs/>
                      <w:szCs w:val="21"/>
                      <w:vertAlign w:val="subscript"/>
                    </w:rPr>
                    <w:t>3</w:t>
                  </w:r>
                  <w:r>
                    <w:rPr>
                      <w:bCs/>
                      <w:szCs w:val="21"/>
                      <w:vertAlign w:val="superscript"/>
                    </w:rPr>
                    <w:t>2-</w:t>
                  </w:r>
                  <w:r>
                    <w:rPr>
                      <w:bCs/>
                      <w:szCs w:val="21"/>
                    </w:rPr>
                    <w:t>、HCO</w:t>
                  </w:r>
                  <w:r>
                    <w:rPr>
                      <w:bCs/>
                      <w:szCs w:val="21"/>
                      <w:vertAlign w:val="subscript"/>
                    </w:rPr>
                    <w:t>3</w:t>
                  </w:r>
                  <w:r>
                    <w:rPr>
                      <w:bCs/>
                      <w:szCs w:val="21"/>
                      <w:vertAlign w:val="superscript"/>
                    </w:rPr>
                    <w:t>-</w:t>
                  </w:r>
                  <w:r>
                    <w:rPr>
                      <w:bCs/>
                      <w:szCs w:val="21"/>
                    </w:rPr>
                    <w:t>、Cl</w:t>
                  </w:r>
                  <w:r>
                    <w:rPr>
                      <w:bCs/>
                      <w:szCs w:val="21"/>
                      <w:vertAlign w:val="superscript"/>
                    </w:rPr>
                    <w:t>-</w:t>
                  </w:r>
                  <w:r>
                    <w:rPr>
                      <w:bCs/>
                      <w:szCs w:val="21"/>
                    </w:rPr>
                    <w:t>、SO</w:t>
                  </w:r>
                  <w:r>
                    <w:rPr>
                      <w:bCs/>
                      <w:szCs w:val="21"/>
                      <w:vertAlign w:val="subscript"/>
                    </w:rPr>
                    <w:t>4</w:t>
                  </w:r>
                  <w:r>
                    <w:rPr>
                      <w:bCs/>
                      <w:szCs w:val="21"/>
                      <w:vertAlign w:val="superscript"/>
                    </w:rPr>
                    <w:t>2-</w:t>
                  </w:r>
                  <w:r>
                    <w:rPr>
                      <w:bCs/>
                      <w:szCs w:val="21"/>
                    </w:rPr>
                    <w:t>、pH、氨氮、硝酸盐、亚硝酸盐、挥发性酚类、氰化物、砷、汞、铬（六价）、总硬度、铅、氟、镉、铁、锰、溶解性总固体、耗氧量、硫酸盐、氯化物、总大肠菌群、细菌总数，监测井功能：井深、水温、水位</w:t>
                  </w:r>
                </w:p>
              </w:tc>
              <w:tc>
                <w:tcPr>
                  <w:tcW w:w="713" w:type="pct"/>
                  <w:vAlign w:val="center"/>
                </w:tcPr>
                <w:p w14:paraId="30F3BC46">
                  <w:pPr>
                    <w:pStyle w:val="82"/>
                    <w:kinsoku w:val="0"/>
                    <w:overflowPunct w:val="0"/>
                    <w:spacing w:line="360" w:lineRule="exact"/>
                    <w:jc w:val="center"/>
                    <w:rPr>
                      <w:bCs/>
                      <w:kern w:val="2"/>
                      <w:sz w:val="21"/>
                      <w:szCs w:val="21"/>
                    </w:rPr>
                  </w:pPr>
                  <w:r>
                    <w:rPr>
                      <w:bCs/>
                      <w:kern w:val="2"/>
                      <w:sz w:val="21"/>
                      <w:szCs w:val="21"/>
                    </w:rPr>
                    <w:t>连续监测2天，每天1次</w:t>
                  </w:r>
                </w:p>
              </w:tc>
            </w:tr>
          </w:tbl>
          <w:p w14:paraId="0A313316">
            <w:pPr>
              <w:pStyle w:val="17"/>
              <w:kinsoku w:val="0"/>
              <w:overflowPunct w:val="0"/>
              <w:spacing w:after="0" w:line="500" w:lineRule="exact"/>
              <w:ind w:firstLine="480" w:firstLineChars="200"/>
              <w:rPr>
                <w:bCs/>
                <w:sz w:val="24"/>
                <w:szCs w:val="24"/>
              </w:rPr>
            </w:pPr>
            <w:r>
              <w:rPr>
                <w:bCs/>
                <w:sz w:val="24"/>
                <w:szCs w:val="24"/>
              </w:rPr>
              <w:t>（2）监测结果</w:t>
            </w:r>
          </w:p>
          <w:p w14:paraId="2981F080">
            <w:pPr>
              <w:spacing w:line="500" w:lineRule="exact"/>
              <w:ind w:firstLine="480" w:firstLineChars="200"/>
              <w:rPr>
                <w:bCs/>
                <w:sz w:val="24"/>
              </w:rPr>
            </w:pPr>
            <w:r>
              <w:rPr>
                <w:bCs/>
                <w:sz w:val="24"/>
              </w:rPr>
              <w:t>项目厂区水井地下水水质监测结果见下表3-5。</w:t>
            </w:r>
          </w:p>
          <w:p w14:paraId="78F42CB9">
            <w:pPr>
              <w:spacing w:line="520" w:lineRule="exact"/>
              <w:jc w:val="center"/>
              <w:rPr>
                <w:rFonts w:eastAsia="黑体"/>
                <w:sz w:val="24"/>
              </w:rPr>
            </w:pPr>
            <w:r>
              <w:rPr>
                <w:rFonts w:eastAsia="黑体"/>
                <w:sz w:val="24"/>
              </w:rPr>
              <w:t>表3-5         地下水现状监测结果一览表</w:t>
            </w:r>
          </w:p>
          <w:tbl>
            <w:tblPr>
              <w:tblStyle w:val="37"/>
              <w:tblW w:w="8193" w:type="dxa"/>
              <w:jc w:val="center"/>
              <w:tblLayout w:type="autofit"/>
              <w:tblCellMar>
                <w:top w:w="0" w:type="dxa"/>
                <w:left w:w="108" w:type="dxa"/>
                <w:bottom w:w="0" w:type="dxa"/>
                <w:right w:w="108" w:type="dxa"/>
              </w:tblCellMar>
            </w:tblPr>
            <w:tblGrid>
              <w:gridCol w:w="1783"/>
              <w:gridCol w:w="2160"/>
              <w:gridCol w:w="1888"/>
              <w:gridCol w:w="1131"/>
              <w:gridCol w:w="1231"/>
            </w:tblGrid>
            <w:tr w14:paraId="4057CF41">
              <w:tblPrEx>
                <w:tblCellMar>
                  <w:top w:w="0" w:type="dxa"/>
                  <w:left w:w="108" w:type="dxa"/>
                  <w:bottom w:w="0" w:type="dxa"/>
                  <w:right w:w="108" w:type="dxa"/>
                </w:tblCellMar>
              </w:tblPrEx>
              <w:trPr>
                <w:trHeight w:val="343"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4A64A753">
                  <w:pPr>
                    <w:pStyle w:val="82"/>
                    <w:kinsoku w:val="0"/>
                    <w:overflowPunct w:val="0"/>
                    <w:jc w:val="center"/>
                    <w:rPr>
                      <w:bCs/>
                      <w:kern w:val="2"/>
                      <w:sz w:val="21"/>
                      <w:szCs w:val="21"/>
                    </w:rPr>
                  </w:pPr>
                  <w:r>
                    <w:rPr>
                      <w:bCs/>
                      <w:kern w:val="2"/>
                      <w:sz w:val="21"/>
                      <w:szCs w:val="21"/>
                    </w:rPr>
                    <w:t>监测因子</w:t>
                  </w:r>
                </w:p>
              </w:tc>
              <w:tc>
                <w:tcPr>
                  <w:tcW w:w="1318" w:type="pct"/>
                  <w:tcBorders>
                    <w:top w:val="single" w:color="000000" w:sz="4" w:space="0"/>
                    <w:left w:val="nil"/>
                    <w:bottom w:val="single" w:color="000000" w:sz="4" w:space="0"/>
                    <w:right w:val="single" w:color="000000" w:sz="4" w:space="0"/>
                  </w:tcBorders>
                  <w:vAlign w:val="center"/>
                </w:tcPr>
                <w:p w14:paraId="1273E735">
                  <w:pPr>
                    <w:pStyle w:val="82"/>
                    <w:kinsoku w:val="0"/>
                    <w:overflowPunct w:val="0"/>
                    <w:jc w:val="center"/>
                    <w:rPr>
                      <w:bCs/>
                      <w:kern w:val="2"/>
                      <w:sz w:val="21"/>
                      <w:szCs w:val="21"/>
                    </w:rPr>
                  </w:pPr>
                  <w:r>
                    <w:rPr>
                      <w:bCs/>
                      <w:kern w:val="2"/>
                      <w:sz w:val="21"/>
                      <w:szCs w:val="21"/>
                    </w:rPr>
                    <w:t>单位</w:t>
                  </w:r>
                </w:p>
              </w:tc>
              <w:tc>
                <w:tcPr>
                  <w:tcW w:w="1152" w:type="pct"/>
                  <w:tcBorders>
                    <w:top w:val="single" w:color="000000" w:sz="4" w:space="0"/>
                    <w:left w:val="nil"/>
                    <w:bottom w:val="single" w:color="000000" w:sz="4" w:space="0"/>
                    <w:right w:val="single" w:color="000000" w:sz="4" w:space="0"/>
                  </w:tcBorders>
                  <w:vAlign w:val="center"/>
                </w:tcPr>
                <w:p w14:paraId="03799DBF">
                  <w:pPr>
                    <w:pStyle w:val="271"/>
                    <w:widowControl/>
                    <w:rPr>
                      <w:bCs/>
                      <w:color w:val="auto"/>
                      <w:kern w:val="2"/>
                    </w:rPr>
                  </w:pPr>
                  <w:r>
                    <w:rPr>
                      <w:bCs/>
                      <w:color w:val="auto"/>
                      <w:kern w:val="2"/>
                    </w:rPr>
                    <w:t>厂区内水井</w:t>
                  </w:r>
                </w:p>
              </w:tc>
              <w:tc>
                <w:tcPr>
                  <w:tcW w:w="690" w:type="pct"/>
                  <w:tcBorders>
                    <w:top w:val="single" w:color="000000" w:sz="4" w:space="0"/>
                    <w:left w:val="nil"/>
                    <w:bottom w:val="single" w:color="000000" w:sz="4" w:space="0"/>
                    <w:right w:val="single" w:color="000000" w:sz="4" w:space="0"/>
                  </w:tcBorders>
                  <w:vAlign w:val="center"/>
                </w:tcPr>
                <w:p w14:paraId="6BA5526B">
                  <w:pPr>
                    <w:pStyle w:val="82"/>
                    <w:kinsoku w:val="0"/>
                    <w:overflowPunct w:val="0"/>
                    <w:jc w:val="center"/>
                    <w:rPr>
                      <w:bCs/>
                      <w:kern w:val="2"/>
                      <w:sz w:val="21"/>
                      <w:szCs w:val="21"/>
                    </w:rPr>
                  </w:pPr>
                  <w:r>
                    <w:rPr>
                      <w:bCs/>
                      <w:kern w:val="2"/>
                      <w:sz w:val="21"/>
                      <w:szCs w:val="21"/>
                    </w:rPr>
                    <w:t>标准限值</w:t>
                  </w:r>
                </w:p>
              </w:tc>
              <w:tc>
                <w:tcPr>
                  <w:tcW w:w="752" w:type="pct"/>
                  <w:tcBorders>
                    <w:top w:val="single" w:color="000000" w:sz="4" w:space="0"/>
                    <w:left w:val="nil"/>
                    <w:bottom w:val="single" w:color="000000" w:sz="4" w:space="0"/>
                    <w:right w:val="single" w:color="000000" w:sz="4" w:space="0"/>
                  </w:tcBorders>
                  <w:vAlign w:val="center"/>
                </w:tcPr>
                <w:p w14:paraId="27D0E221">
                  <w:pPr>
                    <w:pStyle w:val="82"/>
                    <w:kinsoku w:val="0"/>
                    <w:overflowPunct w:val="0"/>
                    <w:jc w:val="center"/>
                    <w:rPr>
                      <w:bCs/>
                      <w:kern w:val="2"/>
                      <w:sz w:val="21"/>
                      <w:szCs w:val="21"/>
                    </w:rPr>
                  </w:pPr>
                  <w:r>
                    <w:rPr>
                      <w:bCs/>
                      <w:kern w:val="2"/>
                      <w:sz w:val="21"/>
                      <w:szCs w:val="21"/>
                    </w:rPr>
                    <w:t>评价结果</w:t>
                  </w:r>
                </w:p>
              </w:tc>
            </w:tr>
            <w:tr w14:paraId="4B36FD5E">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03B6B82C">
                  <w:pPr>
                    <w:jc w:val="center"/>
                    <w:textAlignment w:val="center"/>
                    <w:rPr>
                      <w:bCs/>
                      <w:szCs w:val="21"/>
                    </w:rPr>
                  </w:pPr>
                  <w:r>
                    <w:rPr>
                      <w:rStyle w:val="266"/>
                      <w:bCs/>
                      <w:lang w:bidi="ar"/>
                    </w:rPr>
                    <w:t>K</w:t>
                  </w:r>
                  <w:r>
                    <w:rPr>
                      <w:rStyle w:val="269"/>
                      <w:bCs/>
                      <w:szCs w:val="21"/>
                      <w:lang w:bidi="ar"/>
                    </w:rPr>
                    <w:t>+</w:t>
                  </w:r>
                </w:p>
              </w:tc>
              <w:tc>
                <w:tcPr>
                  <w:tcW w:w="1318" w:type="pct"/>
                  <w:tcBorders>
                    <w:top w:val="single" w:color="000000" w:sz="4" w:space="0"/>
                    <w:left w:val="nil"/>
                    <w:bottom w:val="single" w:color="000000" w:sz="4" w:space="0"/>
                    <w:right w:val="single" w:color="000000" w:sz="4" w:space="0"/>
                  </w:tcBorders>
                  <w:vAlign w:val="center"/>
                </w:tcPr>
                <w:p w14:paraId="13C4355F">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694038A1">
                  <w:pPr>
                    <w:autoSpaceDE w:val="0"/>
                    <w:jc w:val="center"/>
                    <w:rPr>
                      <w:bCs/>
                      <w:szCs w:val="21"/>
                    </w:rPr>
                  </w:pPr>
                  <w:r>
                    <w:rPr>
                      <w:bCs/>
                      <w:szCs w:val="21"/>
                      <w:lang w:bidi="ar"/>
                    </w:rPr>
                    <w:t>0.64-0.65</w:t>
                  </w:r>
                </w:p>
              </w:tc>
              <w:tc>
                <w:tcPr>
                  <w:tcW w:w="690" w:type="pct"/>
                  <w:tcBorders>
                    <w:top w:val="single" w:color="000000" w:sz="4" w:space="0"/>
                    <w:left w:val="nil"/>
                    <w:bottom w:val="single" w:color="000000" w:sz="4" w:space="0"/>
                    <w:right w:val="single" w:color="000000" w:sz="4" w:space="0"/>
                  </w:tcBorders>
                  <w:vAlign w:val="center"/>
                </w:tcPr>
                <w:p w14:paraId="5FC95E64">
                  <w:pPr>
                    <w:pStyle w:val="82"/>
                    <w:kinsoku w:val="0"/>
                    <w:overflowPunct w:val="0"/>
                    <w:jc w:val="center"/>
                    <w:rPr>
                      <w:bCs/>
                      <w:kern w:val="2"/>
                      <w:sz w:val="21"/>
                      <w:szCs w:val="21"/>
                    </w:rPr>
                  </w:pPr>
                  <w:r>
                    <w:rPr>
                      <w:bCs/>
                      <w:kern w:val="2"/>
                      <w:sz w:val="21"/>
                      <w:szCs w:val="21"/>
                    </w:rPr>
                    <w:t>/</w:t>
                  </w:r>
                </w:p>
              </w:tc>
              <w:tc>
                <w:tcPr>
                  <w:tcW w:w="752" w:type="pct"/>
                  <w:tcBorders>
                    <w:top w:val="single" w:color="000000" w:sz="4" w:space="0"/>
                    <w:left w:val="nil"/>
                    <w:bottom w:val="single" w:color="000000" w:sz="4" w:space="0"/>
                    <w:right w:val="single" w:color="000000" w:sz="4" w:space="0"/>
                  </w:tcBorders>
                  <w:vAlign w:val="center"/>
                </w:tcPr>
                <w:p w14:paraId="2CAC472C">
                  <w:pPr>
                    <w:pStyle w:val="82"/>
                    <w:kinsoku w:val="0"/>
                    <w:overflowPunct w:val="0"/>
                    <w:jc w:val="center"/>
                    <w:rPr>
                      <w:bCs/>
                      <w:kern w:val="2"/>
                      <w:sz w:val="21"/>
                      <w:szCs w:val="21"/>
                    </w:rPr>
                  </w:pPr>
                  <w:r>
                    <w:rPr>
                      <w:bCs/>
                      <w:kern w:val="2"/>
                      <w:sz w:val="21"/>
                      <w:szCs w:val="21"/>
                    </w:rPr>
                    <w:t>达标</w:t>
                  </w:r>
                </w:p>
              </w:tc>
            </w:tr>
            <w:tr w14:paraId="37112B51">
              <w:tblPrEx>
                <w:tblCellMar>
                  <w:top w:w="0" w:type="dxa"/>
                  <w:left w:w="108" w:type="dxa"/>
                  <w:bottom w:w="0" w:type="dxa"/>
                  <w:right w:w="108" w:type="dxa"/>
                </w:tblCellMar>
              </w:tblPrEx>
              <w:trPr>
                <w:trHeight w:val="408"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17A2CD3A">
                  <w:pPr>
                    <w:jc w:val="center"/>
                    <w:textAlignment w:val="center"/>
                    <w:rPr>
                      <w:bCs/>
                      <w:szCs w:val="21"/>
                    </w:rPr>
                  </w:pPr>
                  <w:r>
                    <w:rPr>
                      <w:rStyle w:val="266"/>
                      <w:bCs/>
                      <w:lang w:bidi="ar"/>
                    </w:rPr>
                    <w:t>Na</w:t>
                  </w:r>
                  <w:r>
                    <w:rPr>
                      <w:rStyle w:val="269"/>
                      <w:bCs/>
                      <w:szCs w:val="21"/>
                      <w:lang w:bidi="ar"/>
                    </w:rPr>
                    <w:t>+</w:t>
                  </w:r>
                </w:p>
              </w:tc>
              <w:tc>
                <w:tcPr>
                  <w:tcW w:w="1318" w:type="pct"/>
                  <w:tcBorders>
                    <w:top w:val="single" w:color="000000" w:sz="4" w:space="0"/>
                    <w:left w:val="nil"/>
                    <w:bottom w:val="single" w:color="000000" w:sz="4" w:space="0"/>
                    <w:right w:val="single" w:color="000000" w:sz="4" w:space="0"/>
                  </w:tcBorders>
                  <w:vAlign w:val="center"/>
                </w:tcPr>
                <w:p w14:paraId="5BA7E7E3">
                  <w:pPr>
                    <w:jc w:val="center"/>
                    <w:rPr>
                      <w:bCs/>
                      <w:szCs w:val="21"/>
                      <w:lang w:bidi="ar"/>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5377C3AF">
                  <w:pPr>
                    <w:autoSpaceDE w:val="0"/>
                    <w:jc w:val="center"/>
                    <w:rPr>
                      <w:bCs/>
                      <w:szCs w:val="21"/>
                    </w:rPr>
                  </w:pPr>
                  <w:r>
                    <w:rPr>
                      <w:bCs/>
                      <w:szCs w:val="21"/>
                    </w:rPr>
                    <w:t>17.9-20.1</w:t>
                  </w:r>
                </w:p>
              </w:tc>
              <w:tc>
                <w:tcPr>
                  <w:tcW w:w="690" w:type="pct"/>
                  <w:tcBorders>
                    <w:top w:val="single" w:color="000000" w:sz="4" w:space="0"/>
                    <w:left w:val="nil"/>
                    <w:bottom w:val="single" w:color="000000" w:sz="4" w:space="0"/>
                    <w:right w:val="single" w:color="000000" w:sz="4" w:space="0"/>
                  </w:tcBorders>
                  <w:vAlign w:val="center"/>
                </w:tcPr>
                <w:p w14:paraId="349AF0B5">
                  <w:pPr>
                    <w:pStyle w:val="82"/>
                    <w:kinsoku w:val="0"/>
                    <w:overflowPunct w:val="0"/>
                    <w:jc w:val="center"/>
                    <w:rPr>
                      <w:bCs/>
                      <w:kern w:val="2"/>
                      <w:sz w:val="21"/>
                      <w:szCs w:val="21"/>
                    </w:rPr>
                  </w:pPr>
                  <w:r>
                    <w:rPr>
                      <w:bCs/>
                      <w:kern w:val="2"/>
                      <w:sz w:val="21"/>
                      <w:szCs w:val="21"/>
                    </w:rPr>
                    <w:t>/</w:t>
                  </w:r>
                </w:p>
              </w:tc>
              <w:tc>
                <w:tcPr>
                  <w:tcW w:w="752" w:type="pct"/>
                  <w:tcBorders>
                    <w:top w:val="single" w:color="000000" w:sz="4" w:space="0"/>
                    <w:left w:val="nil"/>
                    <w:bottom w:val="single" w:color="000000" w:sz="4" w:space="0"/>
                    <w:right w:val="single" w:color="000000" w:sz="4" w:space="0"/>
                  </w:tcBorders>
                  <w:vAlign w:val="center"/>
                </w:tcPr>
                <w:p w14:paraId="0E27998E">
                  <w:pPr>
                    <w:pStyle w:val="82"/>
                    <w:kinsoku w:val="0"/>
                    <w:overflowPunct w:val="0"/>
                    <w:jc w:val="center"/>
                    <w:rPr>
                      <w:bCs/>
                      <w:kern w:val="2"/>
                      <w:sz w:val="21"/>
                      <w:szCs w:val="21"/>
                    </w:rPr>
                  </w:pPr>
                  <w:r>
                    <w:rPr>
                      <w:bCs/>
                      <w:kern w:val="2"/>
                      <w:sz w:val="21"/>
                      <w:szCs w:val="21"/>
                    </w:rPr>
                    <w:t>达标</w:t>
                  </w:r>
                </w:p>
              </w:tc>
            </w:tr>
            <w:tr w14:paraId="514B1992">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28B79AEB">
                  <w:pPr>
                    <w:jc w:val="center"/>
                    <w:textAlignment w:val="center"/>
                    <w:rPr>
                      <w:bCs/>
                      <w:szCs w:val="21"/>
                    </w:rPr>
                  </w:pPr>
                  <w:r>
                    <w:rPr>
                      <w:rStyle w:val="266"/>
                      <w:bCs/>
                      <w:lang w:bidi="ar"/>
                    </w:rPr>
                    <w:t>Ca</w:t>
                  </w:r>
                  <w:r>
                    <w:rPr>
                      <w:rStyle w:val="269"/>
                      <w:bCs/>
                      <w:szCs w:val="21"/>
                      <w:lang w:bidi="ar"/>
                    </w:rPr>
                    <w:t>2+</w:t>
                  </w:r>
                </w:p>
              </w:tc>
              <w:tc>
                <w:tcPr>
                  <w:tcW w:w="1318" w:type="pct"/>
                  <w:tcBorders>
                    <w:top w:val="single" w:color="000000" w:sz="4" w:space="0"/>
                    <w:left w:val="nil"/>
                    <w:bottom w:val="single" w:color="000000" w:sz="4" w:space="0"/>
                    <w:right w:val="single" w:color="000000" w:sz="4" w:space="0"/>
                  </w:tcBorders>
                  <w:vAlign w:val="center"/>
                </w:tcPr>
                <w:p w14:paraId="26BEF0B4">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0625003D">
                  <w:pPr>
                    <w:jc w:val="center"/>
                    <w:textAlignment w:val="center"/>
                    <w:rPr>
                      <w:bCs/>
                      <w:szCs w:val="21"/>
                      <w:lang w:bidi="ar"/>
                    </w:rPr>
                  </w:pPr>
                  <w:r>
                    <w:rPr>
                      <w:bCs/>
                      <w:szCs w:val="21"/>
                      <w:lang w:bidi="ar"/>
                    </w:rPr>
                    <w:t>70.6-71.6</w:t>
                  </w:r>
                </w:p>
              </w:tc>
              <w:tc>
                <w:tcPr>
                  <w:tcW w:w="690" w:type="pct"/>
                  <w:tcBorders>
                    <w:top w:val="single" w:color="000000" w:sz="4" w:space="0"/>
                    <w:left w:val="nil"/>
                    <w:bottom w:val="single" w:color="000000" w:sz="4" w:space="0"/>
                    <w:right w:val="single" w:color="000000" w:sz="4" w:space="0"/>
                  </w:tcBorders>
                  <w:vAlign w:val="center"/>
                </w:tcPr>
                <w:p w14:paraId="5486C547">
                  <w:pPr>
                    <w:pStyle w:val="82"/>
                    <w:kinsoku w:val="0"/>
                    <w:overflowPunct w:val="0"/>
                    <w:jc w:val="center"/>
                    <w:rPr>
                      <w:bCs/>
                      <w:kern w:val="2"/>
                      <w:sz w:val="21"/>
                      <w:szCs w:val="21"/>
                    </w:rPr>
                  </w:pPr>
                  <w:r>
                    <w:rPr>
                      <w:bCs/>
                      <w:kern w:val="2"/>
                      <w:sz w:val="21"/>
                      <w:szCs w:val="21"/>
                    </w:rPr>
                    <w:t>/</w:t>
                  </w:r>
                </w:p>
              </w:tc>
              <w:tc>
                <w:tcPr>
                  <w:tcW w:w="752" w:type="pct"/>
                  <w:tcBorders>
                    <w:top w:val="single" w:color="000000" w:sz="4" w:space="0"/>
                    <w:left w:val="nil"/>
                    <w:bottom w:val="single" w:color="000000" w:sz="4" w:space="0"/>
                    <w:right w:val="single" w:color="000000" w:sz="4" w:space="0"/>
                  </w:tcBorders>
                  <w:vAlign w:val="center"/>
                </w:tcPr>
                <w:p w14:paraId="033C75E6">
                  <w:pPr>
                    <w:pStyle w:val="82"/>
                    <w:kinsoku w:val="0"/>
                    <w:overflowPunct w:val="0"/>
                    <w:jc w:val="center"/>
                    <w:rPr>
                      <w:bCs/>
                      <w:kern w:val="2"/>
                      <w:sz w:val="21"/>
                      <w:szCs w:val="21"/>
                    </w:rPr>
                  </w:pPr>
                  <w:r>
                    <w:rPr>
                      <w:bCs/>
                      <w:kern w:val="2"/>
                      <w:sz w:val="21"/>
                      <w:szCs w:val="21"/>
                    </w:rPr>
                    <w:t>达标</w:t>
                  </w:r>
                </w:p>
              </w:tc>
            </w:tr>
            <w:tr w14:paraId="1D05A153">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4920DBA4">
                  <w:pPr>
                    <w:jc w:val="center"/>
                    <w:textAlignment w:val="center"/>
                    <w:rPr>
                      <w:bCs/>
                      <w:szCs w:val="21"/>
                    </w:rPr>
                  </w:pPr>
                  <w:r>
                    <w:rPr>
                      <w:rStyle w:val="266"/>
                      <w:bCs/>
                      <w:lang w:bidi="ar"/>
                    </w:rPr>
                    <w:t>Mg</w:t>
                  </w:r>
                  <w:r>
                    <w:rPr>
                      <w:rStyle w:val="269"/>
                      <w:bCs/>
                      <w:szCs w:val="21"/>
                      <w:lang w:bidi="ar"/>
                    </w:rPr>
                    <w:t>2+</w:t>
                  </w:r>
                </w:p>
              </w:tc>
              <w:tc>
                <w:tcPr>
                  <w:tcW w:w="1318" w:type="pct"/>
                  <w:tcBorders>
                    <w:top w:val="single" w:color="000000" w:sz="4" w:space="0"/>
                    <w:left w:val="nil"/>
                    <w:bottom w:val="single" w:color="000000" w:sz="4" w:space="0"/>
                    <w:right w:val="single" w:color="000000" w:sz="4" w:space="0"/>
                  </w:tcBorders>
                  <w:vAlign w:val="center"/>
                </w:tcPr>
                <w:p w14:paraId="0C97081C">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191ED25F">
                  <w:pPr>
                    <w:jc w:val="center"/>
                    <w:textAlignment w:val="center"/>
                    <w:rPr>
                      <w:bCs/>
                      <w:szCs w:val="21"/>
                      <w:lang w:bidi="ar"/>
                    </w:rPr>
                  </w:pPr>
                  <w:r>
                    <w:rPr>
                      <w:bCs/>
                      <w:szCs w:val="21"/>
                      <w:lang w:bidi="ar"/>
                    </w:rPr>
                    <w:t>18.2-20.6</w:t>
                  </w:r>
                </w:p>
              </w:tc>
              <w:tc>
                <w:tcPr>
                  <w:tcW w:w="690" w:type="pct"/>
                  <w:tcBorders>
                    <w:top w:val="single" w:color="000000" w:sz="4" w:space="0"/>
                    <w:left w:val="nil"/>
                    <w:bottom w:val="single" w:color="000000" w:sz="4" w:space="0"/>
                    <w:right w:val="single" w:color="000000" w:sz="4" w:space="0"/>
                  </w:tcBorders>
                  <w:vAlign w:val="center"/>
                </w:tcPr>
                <w:p w14:paraId="4E7942D4">
                  <w:pPr>
                    <w:pStyle w:val="82"/>
                    <w:kinsoku w:val="0"/>
                    <w:overflowPunct w:val="0"/>
                    <w:jc w:val="center"/>
                    <w:rPr>
                      <w:bCs/>
                      <w:kern w:val="2"/>
                      <w:sz w:val="21"/>
                      <w:szCs w:val="21"/>
                    </w:rPr>
                  </w:pPr>
                  <w:r>
                    <w:rPr>
                      <w:bCs/>
                      <w:kern w:val="2"/>
                      <w:sz w:val="21"/>
                      <w:szCs w:val="21"/>
                    </w:rPr>
                    <w:t>/</w:t>
                  </w:r>
                </w:p>
              </w:tc>
              <w:tc>
                <w:tcPr>
                  <w:tcW w:w="752" w:type="pct"/>
                  <w:tcBorders>
                    <w:top w:val="single" w:color="000000" w:sz="4" w:space="0"/>
                    <w:left w:val="nil"/>
                    <w:bottom w:val="single" w:color="000000" w:sz="4" w:space="0"/>
                    <w:right w:val="single" w:color="000000" w:sz="4" w:space="0"/>
                  </w:tcBorders>
                  <w:vAlign w:val="center"/>
                </w:tcPr>
                <w:p w14:paraId="7599277D">
                  <w:pPr>
                    <w:pStyle w:val="82"/>
                    <w:kinsoku w:val="0"/>
                    <w:overflowPunct w:val="0"/>
                    <w:jc w:val="center"/>
                    <w:rPr>
                      <w:bCs/>
                      <w:kern w:val="2"/>
                      <w:sz w:val="21"/>
                      <w:szCs w:val="21"/>
                    </w:rPr>
                  </w:pPr>
                  <w:r>
                    <w:rPr>
                      <w:bCs/>
                      <w:kern w:val="2"/>
                      <w:sz w:val="21"/>
                      <w:szCs w:val="21"/>
                    </w:rPr>
                    <w:t>达标</w:t>
                  </w:r>
                </w:p>
              </w:tc>
            </w:tr>
            <w:tr w14:paraId="2955A81D">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7C0AAC9D">
                  <w:pPr>
                    <w:jc w:val="center"/>
                    <w:rPr>
                      <w:bCs/>
                      <w:szCs w:val="21"/>
                      <w:lang w:bidi="ar"/>
                    </w:rPr>
                  </w:pPr>
                  <w:r>
                    <w:rPr>
                      <w:bCs/>
                      <w:szCs w:val="21"/>
                    </w:rPr>
                    <w:t>CO</w:t>
                  </w:r>
                  <w:r>
                    <w:rPr>
                      <w:bCs/>
                      <w:szCs w:val="21"/>
                      <w:vertAlign w:val="subscript"/>
                    </w:rPr>
                    <w:t>3</w:t>
                  </w:r>
                  <w:r>
                    <w:rPr>
                      <w:bCs/>
                      <w:szCs w:val="21"/>
                      <w:vertAlign w:val="superscript"/>
                    </w:rPr>
                    <w:t>2-</w:t>
                  </w:r>
                </w:p>
              </w:tc>
              <w:tc>
                <w:tcPr>
                  <w:tcW w:w="1318" w:type="pct"/>
                  <w:tcBorders>
                    <w:top w:val="single" w:color="000000" w:sz="4" w:space="0"/>
                    <w:left w:val="nil"/>
                    <w:bottom w:val="single" w:color="000000" w:sz="4" w:space="0"/>
                    <w:right w:val="single" w:color="000000" w:sz="4" w:space="0"/>
                  </w:tcBorders>
                  <w:vAlign w:val="center"/>
                </w:tcPr>
                <w:p w14:paraId="408CFD78">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7BE4B6F0">
                  <w:pPr>
                    <w:jc w:val="center"/>
                    <w:textAlignment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104B06EF">
                  <w:pPr>
                    <w:pStyle w:val="82"/>
                    <w:kinsoku w:val="0"/>
                    <w:overflowPunct w:val="0"/>
                    <w:jc w:val="center"/>
                    <w:rPr>
                      <w:bCs/>
                      <w:kern w:val="2"/>
                      <w:sz w:val="21"/>
                      <w:szCs w:val="21"/>
                    </w:rPr>
                  </w:pPr>
                  <w:r>
                    <w:rPr>
                      <w:bCs/>
                      <w:kern w:val="2"/>
                      <w:sz w:val="21"/>
                      <w:szCs w:val="21"/>
                    </w:rPr>
                    <w:t>/</w:t>
                  </w:r>
                </w:p>
              </w:tc>
              <w:tc>
                <w:tcPr>
                  <w:tcW w:w="752" w:type="pct"/>
                  <w:tcBorders>
                    <w:top w:val="single" w:color="000000" w:sz="4" w:space="0"/>
                    <w:left w:val="nil"/>
                    <w:bottom w:val="single" w:color="000000" w:sz="4" w:space="0"/>
                    <w:right w:val="single" w:color="000000" w:sz="4" w:space="0"/>
                  </w:tcBorders>
                  <w:vAlign w:val="center"/>
                </w:tcPr>
                <w:p w14:paraId="2A05178B">
                  <w:pPr>
                    <w:pStyle w:val="82"/>
                    <w:kinsoku w:val="0"/>
                    <w:overflowPunct w:val="0"/>
                    <w:jc w:val="center"/>
                    <w:rPr>
                      <w:bCs/>
                      <w:kern w:val="2"/>
                      <w:sz w:val="21"/>
                      <w:szCs w:val="21"/>
                    </w:rPr>
                  </w:pPr>
                  <w:r>
                    <w:rPr>
                      <w:bCs/>
                      <w:kern w:val="2"/>
                      <w:sz w:val="21"/>
                      <w:szCs w:val="21"/>
                    </w:rPr>
                    <w:t>达标</w:t>
                  </w:r>
                </w:p>
              </w:tc>
            </w:tr>
            <w:tr w14:paraId="57A51E04">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561F173B">
                  <w:pPr>
                    <w:jc w:val="center"/>
                    <w:rPr>
                      <w:bCs/>
                      <w:szCs w:val="21"/>
                      <w:lang w:bidi="ar"/>
                    </w:rPr>
                  </w:pPr>
                  <w:r>
                    <w:rPr>
                      <w:bCs/>
                      <w:szCs w:val="21"/>
                    </w:rPr>
                    <w:t>HCO</w:t>
                  </w:r>
                  <w:r>
                    <w:rPr>
                      <w:bCs/>
                      <w:szCs w:val="21"/>
                      <w:vertAlign w:val="subscript"/>
                    </w:rPr>
                    <w:t>3</w:t>
                  </w:r>
                  <w:r>
                    <w:rPr>
                      <w:bCs/>
                      <w:szCs w:val="21"/>
                      <w:vertAlign w:val="superscript"/>
                    </w:rPr>
                    <w:t>-</w:t>
                  </w:r>
                </w:p>
              </w:tc>
              <w:tc>
                <w:tcPr>
                  <w:tcW w:w="1318" w:type="pct"/>
                  <w:tcBorders>
                    <w:top w:val="single" w:color="000000" w:sz="4" w:space="0"/>
                    <w:left w:val="nil"/>
                    <w:bottom w:val="single" w:color="000000" w:sz="4" w:space="0"/>
                    <w:right w:val="single" w:color="000000" w:sz="4" w:space="0"/>
                  </w:tcBorders>
                  <w:vAlign w:val="center"/>
                </w:tcPr>
                <w:p w14:paraId="01CB2334">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69124387">
                  <w:pPr>
                    <w:jc w:val="center"/>
                    <w:textAlignment w:val="center"/>
                    <w:rPr>
                      <w:bCs/>
                      <w:szCs w:val="21"/>
                    </w:rPr>
                  </w:pPr>
                  <w:r>
                    <w:rPr>
                      <w:bCs/>
                      <w:szCs w:val="21"/>
                    </w:rPr>
                    <w:t>285-287</w:t>
                  </w:r>
                </w:p>
              </w:tc>
              <w:tc>
                <w:tcPr>
                  <w:tcW w:w="690" w:type="pct"/>
                  <w:tcBorders>
                    <w:top w:val="single" w:color="000000" w:sz="4" w:space="0"/>
                    <w:left w:val="nil"/>
                    <w:bottom w:val="single" w:color="000000" w:sz="4" w:space="0"/>
                    <w:right w:val="single" w:color="000000" w:sz="4" w:space="0"/>
                  </w:tcBorders>
                  <w:vAlign w:val="center"/>
                </w:tcPr>
                <w:p w14:paraId="7CB57060">
                  <w:pPr>
                    <w:pStyle w:val="82"/>
                    <w:kinsoku w:val="0"/>
                    <w:overflowPunct w:val="0"/>
                    <w:jc w:val="center"/>
                    <w:rPr>
                      <w:bCs/>
                      <w:kern w:val="2"/>
                      <w:sz w:val="21"/>
                      <w:szCs w:val="21"/>
                    </w:rPr>
                  </w:pPr>
                  <w:r>
                    <w:rPr>
                      <w:bCs/>
                      <w:kern w:val="2"/>
                      <w:sz w:val="21"/>
                      <w:szCs w:val="21"/>
                    </w:rPr>
                    <w:t>/</w:t>
                  </w:r>
                </w:p>
              </w:tc>
              <w:tc>
                <w:tcPr>
                  <w:tcW w:w="752" w:type="pct"/>
                  <w:tcBorders>
                    <w:top w:val="single" w:color="000000" w:sz="4" w:space="0"/>
                    <w:left w:val="nil"/>
                    <w:bottom w:val="single" w:color="000000" w:sz="4" w:space="0"/>
                    <w:right w:val="single" w:color="000000" w:sz="4" w:space="0"/>
                  </w:tcBorders>
                  <w:vAlign w:val="center"/>
                </w:tcPr>
                <w:p w14:paraId="5A97CE4A">
                  <w:pPr>
                    <w:pStyle w:val="82"/>
                    <w:kinsoku w:val="0"/>
                    <w:overflowPunct w:val="0"/>
                    <w:jc w:val="center"/>
                    <w:rPr>
                      <w:bCs/>
                      <w:kern w:val="2"/>
                      <w:sz w:val="21"/>
                      <w:szCs w:val="21"/>
                    </w:rPr>
                  </w:pPr>
                  <w:r>
                    <w:rPr>
                      <w:bCs/>
                      <w:kern w:val="2"/>
                      <w:sz w:val="21"/>
                      <w:szCs w:val="21"/>
                    </w:rPr>
                    <w:t>达标</w:t>
                  </w:r>
                </w:p>
              </w:tc>
            </w:tr>
            <w:tr w14:paraId="17BC4E62">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747D6521">
                  <w:pPr>
                    <w:autoSpaceDE w:val="0"/>
                    <w:jc w:val="center"/>
                    <w:rPr>
                      <w:bCs/>
                      <w:szCs w:val="21"/>
                      <w:lang w:bidi="ar"/>
                    </w:rPr>
                  </w:pPr>
                  <w:r>
                    <w:rPr>
                      <w:rStyle w:val="270"/>
                      <w:rFonts w:hint="default" w:ascii="Times New Roman" w:hAnsi="Times New Roman" w:cs="Times New Roman"/>
                      <w:bCs/>
                      <w:szCs w:val="21"/>
                      <w:lang w:bidi="ar"/>
                    </w:rPr>
                    <w:t>pH值</w:t>
                  </w:r>
                </w:p>
              </w:tc>
              <w:tc>
                <w:tcPr>
                  <w:tcW w:w="1318" w:type="pct"/>
                  <w:tcBorders>
                    <w:top w:val="single" w:color="000000" w:sz="4" w:space="0"/>
                    <w:left w:val="nil"/>
                    <w:bottom w:val="single" w:color="000000" w:sz="4" w:space="0"/>
                    <w:right w:val="single" w:color="000000" w:sz="4" w:space="0"/>
                  </w:tcBorders>
                  <w:vAlign w:val="center"/>
                </w:tcPr>
                <w:p w14:paraId="099D8F7D">
                  <w:pPr>
                    <w:jc w:val="center"/>
                    <w:textAlignment w:val="center"/>
                    <w:rPr>
                      <w:bCs/>
                      <w:szCs w:val="21"/>
                    </w:rPr>
                  </w:pPr>
                  <w:r>
                    <w:rPr>
                      <w:bCs/>
                      <w:szCs w:val="21"/>
                      <w:lang w:bidi="ar"/>
                    </w:rPr>
                    <w:t>/</w:t>
                  </w:r>
                </w:p>
              </w:tc>
              <w:tc>
                <w:tcPr>
                  <w:tcW w:w="1152" w:type="pct"/>
                  <w:tcBorders>
                    <w:top w:val="single" w:color="000000" w:sz="4" w:space="0"/>
                    <w:left w:val="nil"/>
                    <w:bottom w:val="single" w:color="000000" w:sz="4" w:space="0"/>
                    <w:right w:val="single" w:color="000000" w:sz="4" w:space="0"/>
                  </w:tcBorders>
                  <w:vAlign w:val="center"/>
                </w:tcPr>
                <w:p w14:paraId="7C96627B">
                  <w:pPr>
                    <w:autoSpaceDE w:val="0"/>
                    <w:jc w:val="center"/>
                    <w:textAlignment w:val="center"/>
                    <w:rPr>
                      <w:bCs/>
                      <w:szCs w:val="21"/>
                      <w:lang w:bidi="ar"/>
                    </w:rPr>
                  </w:pPr>
                  <w:r>
                    <w:rPr>
                      <w:bCs/>
                      <w:szCs w:val="21"/>
                      <w:lang w:bidi="ar"/>
                    </w:rPr>
                    <w:t>7.4-7.5</w:t>
                  </w:r>
                </w:p>
              </w:tc>
              <w:tc>
                <w:tcPr>
                  <w:tcW w:w="690" w:type="pct"/>
                  <w:tcBorders>
                    <w:top w:val="single" w:color="000000" w:sz="4" w:space="0"/>
                    <w:left w:val="nil"/>
                    <w:bottom w:val="single" w:color="000000" w:sz="4" w:space="0"/>
                    <w:right w:val="single" w:color="000000" w:sz="4" w:space="0"/>
                  </w:tcBorders>
                  <w:vAlign w:val="center"/>
                </w:tcPr>
                <w:p w14:paraId="304D121A">
                  <w:pPr>
                    <w:pStyle w:val="82"/>
                    <w:kinsoku w:val="0"/>
                    <w:overflowPunct w:val="0"/>
                    <w:jc w:val="center"/>
                    <w:rPr>
                      <w:bCs/>
                      <w:kern w:val="2"/>
                      <w:sz w:val="21"/>
                      <w:szCs w:val="21"/>
                    </w:rPr>
                  </w:pPr>
                  <w:r>
                    <w:rPr>
                      <w:bCs/>
                      <w:kern w:val="2"/>
                      <w:sz w:val="21"/>
                      <w:szCs w:val="21"/>
                    </w:rPr>
                    <w:t>6.5~8.5</w:t>
                  </w:r>
                </w:p>
              </w:tc>
              <w:tc>
                <w:tcPr>
                  <w:tcW w:w="752" w:type="pct"/>
                  <w:tcBorders>
                    <w:top w:val="single" w:color="000000" w:sz="4" w:space="0"/>
                    <w:left w:val="nil"/>
                    <w:bottom w:val="single" w:color="000000" w:sz="4" w:space="0"/>
                    <w:right w:val="single" w:color="000000" w:sz="4" w:space="0"/>
                  </w:tcBorders>
                  <w:vAlign w:val="center"/>
                </w:tcPr>
                <w:p w14:paraId="6998B828">
                  <w:pPr>
                    <w:pStyle w:val="82"/>
                    <w:kinsoku w:val="0"/>
                    <w:overflowPunct w:val="0"/>
                    <w:jc w:val="center"/>
                    <w:rPr>
                      <w:bCs/>
                      <w:kern w:val="2"/>
                      <w:sz w:val="21"/>
                      <w:szCs w:val="21"/>
                    </w:rPr>
                  </w:pPr>
                  <w:r>
                    <w:rPr>
                      <w:bCs/>
                      <w:kern w:val="2"/>
                      <w:sz w:val="21"/>
                      <w:szCs w:val="21"/>
                    </w:rPr>
                    <w:t>达标</w:t>
                  </w:r>
                </w:p>
              </w:tc>
            </w:tr>
            <w:tr w14:paraId="30452F3A">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2E17BE66">
                  <w:pPr>
                    <w:jc w:val="center"/>
                    <w:textAlignment w:val="center"/>
                    <w:rPr>
                      <w:bCs/>
                      <w:szCs w:val="21"/>
                      <w:lang w:bidi="ar"/>
                    </w:rPr>
                  </w:pPr>
                  <w:r>
                    <w:rPr>
                      <w:bCs/>
                      <w:szCs w:val="21"/>
                      <w:lang w:bidi="ar"/>
                    </w:rPr>
                    <w:t>氨氮</w:t>
                  </w:r>
                </w:p>
              </w:tc>
              <w:tc>
                <w:tcPr>
                  <w:tcW w:w="1318" w:type="pct"/>
                  <w:tcBorders>
                    <w:top w:val="single" w:color="000000" w:sz="4" w:space="0"/>
                    <w:left w:val="nil"/>
                    <w:bottom w:val="single" w:color="000000" w:sz="4" w:space="0"/>
                    <w:right w:val="single" w:color="000000" w:sz="4" w:space="0"/>
                  </w:tcBorders>
                  <w:vAlign w:val="center"/>
                </w:tcPr>
                <w:p w14:paraId="5FF01CC1">
                  <w:pPr>
                    <w:jc w:val="center"/>
                    <w:textAlignment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198BFFD1">
                  <w:pPr>
                    <w:jc w:val="center"/>
                    <w:textAlignment w:val="center"/>
                    <w:rPr>
                      <w:bCs/>
                      <w:szCs w:val="21"/>
                    </w:rPr>
                  </w:pPr>
                  <w:r>
                    <w:rPr>
                      <w:bCs/>
                      <w:szCs w:val="21"/>
                    </w:rPr>
                    <w:t>0.042-0.054</w:t>
                  </w:r>
                </w:p>
              </w:tc>
              <w:tc>
                <w:tcPr>
                  <w:tcW w:w="690" w:type="pct"/>
                  <w:tcBorders>
                    <w:top w:val="single" w:color="000000" w:sz="4" w:space="0"/>
                    <w:left w:val="nil"/>
                    <w:bottom w:val="single" w:color="000000" w:sz="4" w:space="0"/>
                    <w:right w:val="single" w:color="000000" w:sz="4" w:space="0"/>
                  </w:tcBorders>
                  <w:vAlign w:val="center"/>
                </w:tcPr>
                <w:p w14:paraId="2AE1B764">
                  <w:pPr>
                    <w:pStyle w:val="82"/>
                    <w:kinsoku w:val="0"/>
                    <w:overflowPunct w:val="0"/>
                    <w:jc w:val="center"/>
                    <w:rPr>
                      <w:bCs/>
                      <w:kern w:val="2"/>
                      <w:sz w:val="21"/>
                      <w:szCs w:val="21"/>
                    </w:rPr>
                  </w:pPr>
                  <w:r>
                    <w:rPr>
                      <w:bCs/>
                      <w:kern w:val="2"/>
                      <w:sz w:val="21"/>
                      <w:szCs w:val="21"/>
                    </w:rPr>
                    <w:t>≤0.2</w:t>
                  </w:r>
                </w:p>
              </w:tc>
              <w:tc>
                <w:tcPr>
                  <w:tcW w:w="752" w:type="pct"/>
                  <w:tcBorders>
                    <w:top w:val="single" w:color="000000" w:sz="4" w:space="0"/>
                    <w:left w:val="nil"/>
                    <w:bottom w:val="single" w:color="000000" w:sz="4" w:space="0"/>
                    <w:right w:val="single" w:color="000000" w:sz="4" w:space="0"/>
                  </w:tcBorders>
                  <w:vAlign w:val="center"/>
                </w:tcPr>
                <w:p w14:paraId="326CE884">
                  <w:pPr>
                    <w:pStyle w:val="82"/>
                    <w:kinsoku w:val="0"/>
                    <w:overflowPunct w:val="0"/>
                    <w:jc w:val="center"/>
                    <w:rPr>
                      <w:bCs/>
                      <w:kern w:val="2"/>
                      <w:sz w:val="21"/>
                      <w:szCs w:val="21"/>
                    </w:rPr>
                  </w:pPr>
                  <w:r>
                    <w:rPr>
                      <w:bCs/>
                      <w:kern w:val="2"/>
                      <w:sz w:val="21"/>
                      <w:szCs w:val="21"/>
                    </w:rPr>
                    <w:t>达标</w:t>
                  </w:r>
                </w:p>
              </w:tc>
            </w:tr>
            <w:tr w14:paraId="6E694931">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69318AE0">
                  <w:pPr>
                    <w:jc w:val="center"/>
                    <w:textAlignment w:val="center"/>
                    <w:rPr>
                      <w:bCs/>
                      <w:szCs w:val="21"/>
                      <w:lang w:bidi="ar"/>
                    </w:rPr>
                  </w:pPr>
                  <w:r>
                    <w:rPr>
                      <w:bCs/>
                      <w:szCs w:val="21"/>
                    </w:rPr>
                    <w:t>硝酸盐</w:t>
                  </w:r>
                </w:p>
              </w:tc>
              <w:tc>
                <w:tcPr>
                  <w:tcW w:w="1318" w:type="pct"/>
                  <w:tcBorders>
                    <w:top w:val="single" w:color="000000" w:sz="4" w:space="0"/>
                    <w:left w:val="nil"/>
                    <w:bottom w:val="single" w:color="000000" w:sz="4" w:space="0"/>
                    <w:right w:val="single" w:color="000000" w:sz="4" w:space="0"/>
                  </w:tcBorders>
                  <w:vAlign w:val="center"/>
                </w:tcPr>
                <w:p w14:paraId="2CA9A62B">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03587D97">
                  <w:pPr>
                    <w:jc w:val="center"/>
                    <w:textAlignment w:val="center"/>
                    <w:rPr>
                      <w:bCs/>
                      <w:szCs w:val="21"/>
                    </w:rPr>
                  </w:pPr>
                  <w:r>
                    <w:rPr>
                      <w:bCs/>
                      <w:szCs w:val="21"/>
                    </w:rPr>
                    <w:t>0.13-0.14</w:t>
                  </w:r>
                </w:p>
              </w:tc>
              <w:tc>
                <w:tcPr>
                  <w:tcW w:w="690" w:type="pct"/>
                  <w:tcBorders>
                    <w:top w:val="single" w:color="000000" w:sz="4" w:space="0"/>
                    <w:left w:val="nil"/>
                    <w:bottom w:val="single" w:color="000000" w:sz="4" w:space="0"/>
                    <w:right w:val="single" w:color="000000" w:sz="4" w:space="0"/>
                  </w:tcBorders>
                  <w:vAlign w:val="center"/>
                </w:tcPr>
                <w:p w14:paraId="74D6C5A5">
                  <w:pPr>
                    <w:pStyle w:val="82"/>
                    <w:kinsoku w:val="0"/>
                    <w:overflowPunct w:val="0"/>
                    <w:jc w:val="center"/>
                    <w:rPr>
                      <w:bCs/>
                      <w:kern w:val="2"/>
                      <w:sz w:val="21"/>
                      <w:szCs w:val="21"/>
                    </w:rPr>
                  </w:pPr>
                  <w:r>
                    <w:rPr>
                      <w:bCs/>
                      <w:kern w:val="2"/>
                      <w:sz w:val="21"/>
                      <w:szCs w:val="21"/>
                    </w:rPr>
                    <w:t>≤20</w:t>
                  </w:r>
                </w:p>
              </w:tc>
              <w:tc>
                <w:tcPr>
                  <w:tcW w:w="752" w:type="pct"/>
                  <w:tcBorders>
                    <w:top w:val="single" w:color="000000" w:sz="4" w:space="0"/>
                    <w:left w:val="nil"/>
                    <w:bottom w:val="single" w:color="000000" w:sz="4" w:space="0"/>
                    <w:right w:val="single" w:color="000000" w:sz="4" w:space="0"/>
                  </w:tcBorders>
                  <w:vAlign w:val="center"/>
                </w:tcPr>
                <w:p w14:paraId="614EE99A">
                  <w:pPr>
                    <w:pStyle w:val="82"/>
                    <w:kinsoku w:val="0"/>
                    <w:overflowPunct w:val="0"/>
                    <w:jc w:val="center"/>
                    <w:rPr>
                      <w:bCs/>
                      <w:kern w:val="2"/>
                      <w:sz w:val="21"/>
                      <w:szCs w:val="21"/>
                    </w:rPr>
                  </w:pPr>
                  <w:r>
                    <w:rPr>
                      <w:bCs/>
                      <w:kern w:val="2"/>
                      <w:sz w:val="21"/>
                      <w:szCs w:val="21"/>
                    </w:rPr>
                    <w:t>达标</w:t>
                  </w:r>
                </w:p>
              </w:tc>
            </w:tr>
            <w:tr w14:paraId="0FB60E44">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5829DF8D">
                  <w:pPr>
                    <w:jc w:val="center"/>
                    <w:textAlignment w:val="center"/>
                    <w:rPr>
                      <w:bCs/>
                      <w:szCs w:val="21"/>
                      <w:lang w:bidi="ar"/>
                    </w:rPr>
                  </w:pPr>
                  <w:r>
                    <w:rPr>
                      <w:bCs/>
                      <w:szCs w:val="21"/>
                    </w:rPr>
                    <w:t>亚硝酸盐</w:t>
                  </w:r>
                </w:p>
              </w:tc>
              <w:tc>
                <w:tcPr>
                  <w:tcW w:w="1318" w:type="pct"/>
                  <w:tcBorders>
                    <w:top w:val="single" w:color="000000" w:sz="4" w:space="0"/>
                    <w:left w:val="nil"/>
                    <w:bottom w:val="single" w:color="000000" w:sz="4" w:space="0"/>
                    <w:right w:val="single" w:color="000000" w:sz="4" w:space="0"/>
                  </w:tcBorders>
                  <w:vAlign w:val="center"/>
                </w:tcPr>
                <w:p w14:paraId="5971FCB6">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04F8BFD1">
                  <w:pPr>
                    <w:jc w:val="center"/>
                    <w:textAlignment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55E36567">
                  <w:pPr>
                    <w:pStyle w:val="82"/>
                    <w:kinsoku w:val="0"/>
                    <w:overflowPunct w:val="0"/>
                    <w:jc w:val="center"/>
                    <w:rPr>
                      <w:bCs/>
                      <w:kern w:val="2"/>
                      <w:sz w:val="21"/>
                      <w:szCs w:val="21"/>
                    </w:rPr>
                  </w:pPr>
                  <w:r>
                    <w:rPr>
                      <w:bCs/>
                      <w:kern w:val="2"/>
                      <w:sz w:val="21"/>
                      <w:szCs w:val="21"/>
                    </w:rPr>
                    <w:t>≤0.02</w:t>
                  </w:r>
                </w:p>
              </w:tc>
              <w:tc>
                <w:tcPr>
                  <w:tcW w:w="752" w:type="pct"/>
                  <w:tcBorders>
                    <w:top w:val="single" w:color="000000" w:sz="4" w:space="0"/>
                    <w:left w:val="nil"/>
                    <w:bottom w:val="single" w:color="000000" w:sz="4" w:space="0"/>
                    <w:right w:val="single" w:color="000000" w:sz="4" w:space="0"/>
                  </w:tcBorders>
                  <w:vAlign w:val="center"/>
                </w:tcPr>
                <w:p w14:paraId="4F767720">
                  <w:pPr>
                    <w:pStyle w:val="82"/>
                    <w:kinsoku w:val="0"/>
                    <w:overflowPunct w:val="0"/>
                    <w:jc w:val="center"/>
                    <w:rPr>
                      <w:bCs/>
                      <w:kern w:val="2"/>
                      <w:sz w:val="21"/>
                      <w:szCs w:val="21"/>
                    </w:rPr>
                  </w:pPr>
                  <w:r>
                    <w:rPr>
                      <w:bCs/>
                      <w:kern w:val="2"/>
                      <w:sz w:val="21"/>
                      <w:szCs w:val="21"/>
                    </w:rPr>
                    <w:t>达标</w:t>
                  </w:r>
                </w:p>
              </w:tc>
            </w:tr>
            <w:tr w14:paraId="6A20E420">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564E051E">
                  <w:pPr>
                    <w:jc w:val="center"/>
                    <w:textAlignment w:val="center"/>
                    <w:rPr>
                      <w:bCs/>
                      <w:szCs w:val="21"/>
                      <w:lang w:bidi="ar"/>
                    </w:rPr>
                  </w:pPr>
                  <w:r>
                    <w:rPr>
                      <w:bCs/>
                      <w:szCs w:val="21"/>
                    </w:rPr>
                    <w:t>挥发性酚类</w:t>
                  </w:r>
                </w:p>
              </w:tc>
              <w:tc>
                <w:tcPr>
                  <w:tcW w:w="1318" w:type="pct"/>
                  <w:tcBorders>
                    <w:top w:val="single" w:color="000000" w:sz="4" w:space="0"/>
                    <w:left w:val="nil"/>
                    <w:bottom w:val="single" w:color="000000" w:sz="4" w:space="0"/>
                    <w:right w:val="single" w:color="000000" w:sz="4" w:space="0"/>
                  </w:tcBorders>
                  <w:vAlign w:val="center"/>
                </w:tcPr>
                <w:p w14:paraId="0A273581">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1D3C5508">
                  <w:pPr>
                    <w:jc w:val="center"/>
                    <w:textAlignment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2E96CC1B">
                  <w:pPr>
                    <w:pStyle w:val="82"/>
                    <w:kinsoku w:val="0"/>
                    <w:overflowPunct w:val="0"/>
                    <w:jc w:val="center"/>
                    <w:rPr>
                      <w:bCs/>
                      <w:kern w:val="2"/>
                      <w:sz w:val="21"/>
                      <w:szCs w:val="21"/>
                    </w:rPr>
                  </w:pPr>
                  <w:r>
                    <w:rPr>
                      <w:bCs/>
                      <w:kern w:val="2"/>
                      <w:sz w:val="21"/>
                      <w:szCs w:val="21"/>
                    </w:rPr>
                    <w:t>≤0.002</w:t>
                  </w:r>
                </w:p>
              </w:tc>
              <w:tc>
                <w:tcPr>
                  <w:tcW w:w="752" w:type="pct"/>
                  <w:tcBorders>
                    <w:top w:val="single" w:color="000000" w:sz="4" w:space="0"/>
                    <w:left w:val="nil"/>
                    <w:bottom w:val="single" w:color="000000" w:sz="4" w:space="0"/>
                    <w:right w:val="single" w:color="000000" w:sz="4" w:space="0"/>
                  </w:tcBorders>
                  <w:vAlign w:val="center"/>
                </w:tcPr>
                <w:p w14:paraId="3476494A">
                  <w:pPr>
                    <w:pStyle w:val="82"/>
                    <w:kinsoku w:val="0"/>
                    <w:overflowPunct w:val="0"/>
                    <w:jc w:val="center"/>
                    <w:rPr>
                      <w:bCs/>
                      <w:kern w:val="2"/>
                      <w:sz w:val="21"/>
                      <w:szCs w:val="21"/>
                    </w:rPr>
                  </w:pPr>
                  <w:r>
                    <w:rPr>
                      <w:bCs/>
                      <w:kern w:val="2"/>
                      <w:sz w:val="21"/>
                      <w:szCs w:val="21"/>
                    </w:rPr>
                    <w:t>达标</w:t>
                  </w:r>
                </w:p>
              </w:tc>
            </w:tr>
            <w:tr w14:paraId="32916A8C">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0ADC81EF">
                  <w:pPr>
                    <w:jc w:val="center"/>
                    <w:textAlignment w:val="center"/>
                    <w:rPr>
                      <w:bCs/>
                      <w:szCs w:val="21"/>
                      <w:lang w:bidi="ar"/>
                    </w:rPr>
                  </w:pPr>
                  <w:r>
                    <w:rPr>
                      <w:bCs/>
                      <w:szCs w:val="21"/>
                      <w:lang w:bidi="ar"/>
                    </w:rPr>
                    <w:t>氰化物</w:t>
                  </w:r>
                </w:p>
              </w:tc>
              <w:tc>
                <w:tcPr>
                  <w:tcW w:w="1318" w:type="pct"/>
                  <w:tcBorders>
                    <w:top w:val="single" w:color="000000" w:sz="4" w:space="0"/>
                    <w:left w:val="nil"/>
                    <w:bottom w:val="single" w:color="000000" w:sz="4" w:space="0"/>
                    <w:right w:val="single" w:color="000000" w:sz="4" w:space="0"/>
                  </w:tcBorders>
                  <w:vAlign w:val="center"/>
                </w:tcPr>
                <w:p w14:paraId="48716D4A">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427A83F4">
                  <w:pPr>
                    <w:jc w:val="center"/>
                    <w:textAlignment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7124F9D6">
                  <w:pPr>
                    <w:pStyle w:val="82"/>
                    <w:kinsoku w:val="0"/>
                    <w:overflowPunct w:val="0"/>
                    <w:jc w:val="center"/>
                    <w:rPr>
                      <w:bCs/>
                      <w:kern w:val="2"/>
                      <w:sz w:val="21"/>
                      <w:szCs w:val="21"/>
                    </w:rPr>
                  </w:pPr>
                  <w:r>
                    <w:rPr>
                      <w:bCs/>
                      <w:kern w:val="2"/>
                      <w:sz w:val="21"/>
                      <w:szCs w:val="21"/>
                    </w:rPr>
                    <w:t>≤0.05</w:t>
                  </w:r>
                </w:p>
              </w:tc>
              <w:tc>
                <w:tcPr>
                  <w:tcW w:w="752" w:type="pct"/>
                  <w:tcBorders>
                    <w:top w:val="single" w:color="000000" w:sz="4" w:space="0"/>
                    <w:left w:val="nil"/>
                    <w:bottom w:val="single" w:color="000000" w:sz="4" w:space="0"/>
                    <w:right w:val="single" w:color="000000" w:sz="4" w:space="0"/>
                  </w:tcBorders>
                  <w:vAlign w:val="center"/>
                </w:tcPr>
                <w:p w14:paraId="78BB545B">
                  <w:pPr>
                    <w:pStyle w:val="82"/>
                    <w:kinsoku w:val="0"/>
                    <w:overflowPunct w:val="0"/>
                    <w:jc w:val="center"/>
                    <w:rPr>
                      <w:bCs/>
                      <w:kern w:val="2"/>
                      <w:sz w:val="21"/>
                      <w:szCs w:val="21"/>
                    </w:rPr>
                  </w:pPr>
                  <w:r>
                    <w:rPr>
                      <w:bCs/>
                      <w:kern w:val="2"/>
                      <w:sz w:val="21"/>
                      <w:szCs w:val="21"/>
                    </w:rPr>
                    <w:t>达标</w:t>
                  </w:r>
                </w:p>
              </w:tc>
            </w:tr>
            <w:tr w14:paraId="08468D82">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0FB1549B">
                  <w:pPr>
                    <w:jc w:val="center"/>
                    <w:textAlignment w:val="center"/>
                    <w:rPr>
                      <w:bCs/>
                      <w:szCs w:val="21"/>
                      <w:lang w:bidi="ar"/>
                    </w:rPr>
                  </w:pPr>
                  <w:r>
                    <w:rPr>
                      <w:bCs/>
                      <w:szCs w:val="21"/>
                      <w:lang w:bidi="ar"/>
                    </w:rPr>
                    <w:t>汞</w:t>
                  </w:r>
                </w:p>
              </w:tc>
              <w:tc>
                <w:tcPr>
                  <w:tcW w:w="1318" w:type="pct"/>
                  <w:tcBorders>
                    <w:top w:val="single" w:color="000000" w:sz="4" w:space="0"/>
                    <w:left w:val="nil"/>
                    <w:bottom w:val="single" w:color="000000" w:sz="4" w:space="0"/>
                    <w:right w:val="single" w:color="000000" w:sz="4" w:space="0"/>
                  </w:tcBorders>
                  <w:vAlign w:val="center"/>
                </w:tcPr>
                <w:p w14:paraId="21076653">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33ED317B">
                  <w:pPr>
                    <w:autoSpaceDE w:val="0"/>
                    <w:jc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2D8FFF6C">
                  <w:pPr>
                    <w:pStyle w:val="82"/>
                    <w:kinsoku w:val="0"/>
                    <w:overflowPunct w:val="0"/>
                    <w:jc w:val="center"/>
                    <w:rPr>
                      <w:bCs/>
                      <w:kern w:val="2"/>
                      <w:sz w:val="21"/>
                      <w:szCs w:val="21"/>
                    </w:rPr>
                  </w:pPr>
                  <w:r>
                    <w:rPr>
                      <w:bCs/>
                      <w:kern w:val="2"/>
                      <w:sz w:val="21"/>
                      <w:szCs w:val="21"/>
                    </w:rPr>
                    <w:t>≤0.001</w:t>
                  </w:r>
                </w:p>
              </w:tc>
              <w:tc>
                <w:tcPr>
                  <w:tcW w:w="752" w:type="pct"/>
                  <w:tcBorders>
                    <w:top w:val="single" w:color="000000" w:sz="4" w:space="0"/>
                    <w:left w:val="nil"/>
                    <w:bottom w:val="single" w:color="000000" w:sz="4" w:space="0"/>
                    <w:right w:val="single" w:color="000000" w:sz="4" w:space="0"/>
                  </w:tcBorders>
                  <w:vAlign w:val="center"/>
                </w:tcPr>
                <w:p w14:paraId="29D300C0">
                  <w:pPr>
                    <w:pStyle w:val="82"/>
                    <w:kinsoku w:val="0"/>
                    <w:overflowPunct w:val="0"/>
                    <w:jc w:val="center"/>
                    <w:rPr>
                      <w:bCs/>
                      <w:kern w:val="2"/>
                      <w:sz w:val="21"/>
                      <w:szCs w:val="21"/>
                    </w:rPr>
                  </w:pPr>
                  <w:r>
                    <w:rPr>
                      <w:bCs/>
                      <w:kern w:val="2"/>
                      <w:sz w:val="21"/>
                      <w:szCs w:val="21"/>
                    </w:rPr>
                    <w:t>达标</w:t>
                  </w:r>
                </w:p>
              </w:tc>
            </w:tr>
            <w:tr w14:paraId="5216ABC5">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15AF5B58">
                  <w:pPr>
                    <w:jc w:val="center"/>
                    <w:textAlignment w:val="center"/>
                    <w:rPr>
                      <w:bCs/>
                      <w:szCs w:val="21"/>
                      <w:lang w:bidi="ar"/>
                    </w:rPr>
                  </w:pPr>
                  <w:r>
                    <w:rPr>
                      <w:bCs/>
                      <w:szCs w:val="21"/>
                      <w:lang w:bidi="ar"/>
                    </w:rPr>
                    <w:t>砷</w:t>
                  </w:r>
                </w:p>
              </w:tc>
              <w:tc>
                <w:tcPr>
                  <w:tcW w:w="1318" w:type="pct"/>
                  <w:tcBorders>
                    <w:top w:val="single" w:color="000000" w:sz="4" w:space="0"/>
                    <w:left w:val="nil"/>
                    <w:bottom w:val="single" w:color="000000" w:sz="4" w:space="0"/>
                    <w:right w:val="single" w:color="000000" w:sz="4" w:space="0"/>
                  </w:tcBorders>
                  <w:vAlign w:val="center"/>
                </w:tcPr>
                <w:p w14:paraId="034FEB68">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2C069D3E">
                  <w:pPr>
                    <w:jc w:val="center"/>
                    <w:textAlignment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14CB30AA">
                  <w:pPr>
                    <w:pStyle w:val="82"/>
                    <w:kinsoku w:val="0"/>
                    <w:overflowPunct w:val="0"/>
                    <w:jc w:val="center"/>
                    <w:rPr>
                      <w:bCs/>
                      <w:kern w:val="2"/>
                      <w:sz w:val="21"/>
                      <w:szCs w:val="21"/>
                    </w:rPr>
                  </w:pPr>
                  <w:r>
                    <w:rPr>
                      <w:bCs/>
                      <w:kern w:val="2"/>
                      <w:sz w:val="21"/>
                      <w:szCs w:val="21"/>
                    </w:rPr>
                    <w:t>≤0.05</w:t>
                  </w:r>
                </w:p>
              </w:tc>
              <w:tc>
                <w:tcPr>
                  <w:tcW w:w="752" w:type="pct"/>
                  <w:tcBorders>
                    <w:top w:val="single" w:color="000000" w:sz="4" w:space="0"/>
                    <w:left w:val="nil"/>
                    <w:bottom w:val="single" w:color="000000" w:sz="4" w:space="0"/>
                    <w:right w:val="single" w:color="000000" w:sz="4" w:space="0"/>
                  </w:tcBorders>
                  <w:vAlign w:val="center"/>
                </w:tcPr>
                <w:p w14:paraId="40E0FF8F">
                  <w:pPr>
                    <w:pStyle w:val="82"/>
                    <w:kinsoku w:val="0"/>
                    <w:overflowPunct w:val="0"/>
                    <w:jc w:val="center"/>
                    <w:rPr>
                      <w:bCs/>
                      <w:kern w:val="2"/>
                      <w:sz w:val="21"/>
                      <w:szCs w:val="21"/>
                    </w:rPr>
                  </w:pPr>
                  <w:r>
                    <w:rPr>
                      <w:bCs/>
                      <w:kern w:val="2"/>
                      <w:sz w:val="21"/>
                      <w:szCs w:val="21"/>
                    </w:rPr>
                    <w:t>达标</w:t>
                  </w:r>
                </w:p>
              </w:tc>
            </w:tr>
            <w:tr w14:paraId="700A4966">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4AC87F61">
                  <w:pPr>
                    <w:jc w:val="center"/>
                    <w:textAlignment w:val="center"/>
                    <w:rPr>
                      <w:bCs/>
                      <w:szCs w:val="21"/>
                      <w:lang w:bidi="ar"/>
                    </w:rPr>
                  </w:pPr>
                  <w:r>
                    <w:rPr>
                      <w:rStyle w:val="268"/>
                      <w:rFonts w:hint="default" w:ascii="Times New Roman" w:hAnsi="Times New Roman" w:cs="Times New Roman"/>
                      <w:bCs/>
                      <w:szCs w:val="21"/>
                      <w:lang w:bidi="ar"/>
                    </w:rPr>
                    <w:t>铬（六价）</w:t>
                  </w:r>
                </w:p>
              </w:tc>
              <w:tc>
                <w:tcPr>
                  <w:tcW w:w="1318" w:type="pct"/>
                  <w:tcBorders>
                    <w:top w:val="single" w:color="000000" w:sz="4" w:space="0"/>
                    <w:left w:val="nil"/>
                    <w:bottom w:val="single" w:color="000000" w:sz="4" w:space="0"/>
                    <w:right w:val="single" w:color="000000" w:sz="4" w:space="0"/>
                  </w:tcBorders>
                  <w:vAlign w:val="center"/>
                </w:tcPr>
                <w:p w14:paraId="08CB8BC7">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03BDF51D">
                  <w:pPr>
                    <w:jc w:val="center"/>
                    <w:textAlignment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29710645">
                  <w:pPr>
                    <w:pStyle w:val="82"/>
                    <w:kinsoku w:val="0"/>
                    <w:overflowPunct w:val="0"/>
                    <w:jc w:val="center"/>
                    <w:rPr>
                      <w:bCs/>
                      <w:kern w:val="2"/>
                      <w:sz w:val="21"/>
                      <w:szCs w:val="21"/>
                    </w:rPr>
                  </w:pPr>
                  <w:r>
                    <w:rPr>
                      <w:bCs/>
                      <w:kern w:val="2"/>
                      <w:sz w:val="21"/>
                      <w:szCs w:val="21"/>
                    </w:rPr>
                    <w:t>≤0.005</w:t>
                  </w:r>
                </w:p>
              </w:tc>
              <w:tc>
                <w:tcPr>
                  <w:tcW w:w="752" w:type="pct"/>
                  <w:tcBorders>
                    <w:top w:val="single" w:color="000000" w:sz="4" w:space="0"/>
                    <w:left w:val="nil"/>
                    <w:bottom w:val="single" w:color="000000" w:sz="4" w:space="0"/>
                    <w:right w:val="single" w:color="000000" w:sz="4" w:space="0"/>
                  </w:tcBorders>
                  <w:vAlign w:val="center"/>
                </w:tcPr>
                <w:p w14:paraId="5A817FA6">
                  <w:pPr>
                    <w:pStyle w:val="82"/>
                    <w:kinsoku w:val="0"/>
                    <w:overflowPunct w:val="0"/>
                    <w:jc w:val="center"/>
                    <w:rPr>
                      <w:bCs/>
                      <w:kern w:val="2"/>
                      <w:sz w:val="21"/>
                      <w:szCs w:val="21"/>
                    </w:rPr>
                  </w:pPr>
                  <w:r>
                    <w:rPr>
                      <w:bCs/>
                      <w:kern w:val="2"/>
                      <w:sz w:val="21"/>
                      <w:szCs w:val="21"/>
                    </w:rPr>
                    <w:t>达标</w:t>
                  </w:r>
                </w:p>
              </w:tc>
            </w:tr>
            <w:tr w14:paraId="76FF7FD6">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55AEC112">
                  <w:pPr>
                    <w:jc w:val="center"/>
                    <w:textAlignment w:val="center"/>
                    <w:rPr>
                      <w:bCs/>
                      <w:szCs w:val="21"/>
                      <w:lang w:bidi="ar"/>
                    </w:rPr>
                  </w:pPr>
                  <w:r>
                    <w:rPr>
                      <w:bCs/>
                      <w:szCs w:val="21"/>
                      <w:lang w:bidi="ar"/>
                    </w:rPr>
                    <w:t>总硬度</w:t>
                  </w:r>
                </w:p>
              </w:tc>
              <w:tc>
                <w:tcPr>
                  <w:tcW w:w="1318" w:type="pct"/>
                  <w:tcBorders>
                    <w:top w:val="single" w:color="000000" w:sz="4" w:space="0"/>
                    <w:left w:val="nil"/>
                    <w:bottom w:val="single" w:color="000000" w:sz="4" w:space="0"/>
                    <w:right w:val="single" w:color="000000" w:sz="4" w:space="0"/>
                  </w:tcBorders>
                  <w:vAlign w:val="center"/>
                </w:tcPr>
                <w:p w14:paraId="2C31A27C">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07334BD0">
                  <w:pPr>
                    <w:jc w:val="center"/>
                    <w:textAlignment w:val="center"/>
                    <w:rPr>
                      <w:bCs/>
                      <w:szCs w:val="21"/>
                    </w:rPr>
                  </w:pPr>
                  <w:r>
                    <w:rPr>
                      <w:bCs/>
                      <w:szCs w:val="21"/>
                    </w:rPr>
                    <w:t>212-232</w:t>
                  </w:r>
                </w:p>
              </w:tc>
              <w:tc>
                <w:tcPr>
                  <w:tcW w:w="690" w:type="pct"/>
                  <w:tcBorders>
                    <w:top w:val="single" w:color="000000" w:sz="4" w:space="0"/>
                    <w:left w:val="nil"/>
                    <w:bottom w:val="single" w:color="000000" w:sz="4" w:space="0"/>
                    <w:right w:val="single" w:color="000000" w:sz="4" w:space="0"/>
                  </w:tcBorders>
                  <w:vAlign w:val="center"/>
                </w:tcPr>
                <w:p w14:paraId="55F01918">
                  <w:pPr>
                    <w:pStyle w:val="82"/>
                    <w:kinsoku w:val="0"/>
                    <w:overflowPunct w:val="0"/>
                    <w:jc w:val="center"/>
                    <w:rPr>
                      <w:bCs/>
                      <w:kern w:val="2"/>
                      <w:sz w:val="21"/>
                      <w:szCs w:val="21"/>
                    </w:rPr>
                  </w:pPr>
                  <w:r>
                    <w:rPr>
                      <w:bCs/>
                      <w:kern w:val="2"/>
                      <w:sz w:val="21"/>
                      <w:szCs w:val="21"/>
                    </w:rPr>
                    <w:t>≤450</w:t>
                  </w:r>
                </w:p>
              </w:tc>
              <w:tc>
                <w:tcPr>
                  <w:tcW w:w="752" w:type="pct"/>
                  <w:tcBorders>
                    <w:top w:val="single" w:color="000000" w:sz="4" w:space="0"/>
                    <w:left w:val="nil"/>
                    <w:bottom w:val="single" w:color="000000" w:sz="4" w:space="0"/>
                    <w:right w:val="single" w:color="000000" w:sz="4" w:space="0"/>
                  </w:tcBorders>
                  <w:vAlign w:val="center"/>
                </w:tcPr>
                <w:p w14:paraId="7F81A733">
                  <w:pPr>
                    <w:pStyle w:val="82"/>
                    <w:kinsoku w:val="0"/>
                    <w:overflowPunct w:val="0"/>
                    <w:jc w:val="center"/>
                    <w:rPr>
                      <w:bCs/>
                      <w:kern w:val="2"/>
                      <w:sz w:val="21"/>
                      <w:szCs w:val="21"/>
                    </w:rPr>
                  </w:pPr>
                  <w:r>
                    <w:rPr>
                      <w:bCs/>
                      <w:kern w:val="2"/>
                      <w:sz w:val="21"/>
                      <w:szCs w:val="21"/>
                    </w:rPr>
                    <w:t>达标</w:t>
                  </w:r>
                </w:p>
              </w:tc>
            </w:tr>
            <w:tr w14:paraId="03D89CFA">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42D837F1">
                  <w:pPr>
                    <w:jc w:val="center"/>
                    <w:textAlignment w:val="center"/>
                    <w:rPr>
                      <w:bCs/>
                      <w:szCs w:val="21"/>
                      <w:lang w:bidi="ar"/>
                    </w:rPr>
                  </w:pPr>
                  <w:r>
                    <w:rPr>
                      <w:bCs/>
                      <w:szCs w:val="21"/>
                      <w:lang w:bidi="ar"/>
                    </w:rPr>
                    <w:t>铅</w:t>
                  </w:r>
                </w:p>
              </w:tc>
              <w:tc>
                <w:tcPr>
                  <w:tcW w:w="1318" w:type="pct"/>
                  <w:tcBorders>
                    <w:top w:val="single" w:color="000000" w:sz="4" w:space="0"/>
                    <w:left w:val="nil"/>
                    <w:bottom w:val="single" w:color="000000" w:sz="4" w:space="0"/>
                    <w:right w:val="single" w:color="000000" w:sz="4" w:space="0"/>
                  </w:tcBorders>
                  <w:vAlign w:val="center"/>
                </w:tcPr>
                <w:p w14:paraId="7BE6F47C">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663E3460">
                  <w:pPr>
                    <w:jc w:val="center"/>
                    <w:textAlignment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7B6C4679">
                  <w:pPr>
                    <w:pStyle w:val="82"/>
                    <w:kinsoku w:val="0"/>
                    <w:overflowPunct w:val="0"/>
                    <w:jc w:val="center"/>
                    <w:rPr>
                      <w:bCs/>
                      <w:kern w:val="2"/>
                      <w:sz w:val="21"/>
                      <w:szCs w:val="21"/>
                    </w:rPr>
                  </w:pPr>
                  <w:r>
                    <w:rPr>
                      <w:bCs/>
                      <w:kern w:val="2"/>
                      <w:sz w:val="21"/>
                      <w:szCs w:val="21"/>
                    </w:rPr>
                    <w:t>≤0.05</w:t>
                  </w:r>
                </w:p>
              </w:tc>
              <w:tc>
                <w:tcPr>
                  <w:tcW w:w="752" w:type="pct"/>
                  <w:tcBorders>
                    <w:top w:val="single" w:color="000000" w:sz="4" w:space="0"/>
                    <w:left w:val="nil"/>
                    <w:bottom w:val="single" w:color="000000" w:sz="4" w:space="0"/>
                    <w:right w:val="single" w:color="000000" w:sz="4" w:space="0"/>
                  </w:tcBorders>
                  <w:vAlign w:val="center"/>
                </w:tcPr>
                <w:p w14:paraId="71E655C8">
                  <w:pPr>
                    <w:pStyle w:val="82"/>
                    <w:kinsoku w:val="0"/>
                    <w:overflowPunct w:val="0"/>
                    <w:jc w:val="center"/>
                    <w:rPr>
                      <w:bCs/>
                      <w:kern w:val="2"/>
                      <w:sz w:val="21"/>
                      <w:szCs w:val="21"/>
                    </w:rPr>
                  </w:pPr>
                  <w:r>
                    <w:rPr>
                      <w:bCs/>
                      <w:kern w:val="2"/>
                      <w:sz w:val="21"/>
                      <w:szCs w:val="21"/>
                    </w:rPr>
                    <w:t>达标</w:t>
                  </w:r>
                </w:p>
              </w:tc>
            </w:tr>
            <w:tr w14:paraId="4525E6B3">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280AD09A">
                  <w:pPr>
                    <w:jc w:val="center"/>
                    <w:textAlignment w:val="center"/>
                    <w:rPr>
                      <w:bCs/>
                      <w:szCs w:val="21"/>
                      <w:lang w:bidi="ar"/>
                    </w:rPr>
                  </w:pPr>
                  <w:r>
                    <w:rPr>
                      <w:bCs/>
                      <w:szCs w:val="21"/>
                      <w:lang w:bidi="ar"/>
                    </w:rPr>
                    <w:t>氟化物</w:t>
                  </w:r>
                </w:p>
              </w:tc>
              <w:tc>
                <w:tcPr>
                  <w:tcW w:w="1318" w:type="pct"/>
                  <w:tcBorders>
                    <w:top w:val="single" w:color="000000" w:sz="4" w:space="0"/>
                    <w:left w:val="nil"/>
                    <w:bottom w:val="single" w:color="000000" w:sz="4" w:space="0"/>
                    <w:right w:val="single" w:color="000000" w:sz="4" w:space="0"/>
                  </w:tcBorders>
                  <w:vAlign w:val="center"/>
                </w:tcPr>
                <w:p w14:paraId="41F17D1C">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68597ADA">
                  <w:pPr>
                    <w:jc w:val="center"/>
                    <w:textAlignment w:val="center"/>
                    <w:rPr>
                      <w:bCs/>
                      <w:szCs w:val="21"/>
                    </w:rPr>
                  </w:pPr>
                  <w:r>
                    <w:rPr>
                      <w:bCs/>
                      <w:szCs w:val="21"/>
                    </w:rPr>
                    <w:t>0.36-0.43</w:t>
                  </w:r>
                </w:p>
              </w:tc>
              <w:tc>
                <w:tcPr>
                  <w:tcW w:w="690" w:type="pct"/>
                  <w:tcBorders>
                    <w:top w:val="single" w:color="000000" w:sz="4" w:space="0"/>
                    <w:left w:val="nil"/>
                    <w:bottom w:val="single" w:color="000000" w:sz="4" w:space="0"/>
                    <w:right w:val="single" w:color="000000" w:sz="4" w:space="0"/>
                  </w:tcBorders>
                  <w:vAlign w:val="center"/>
                </w:tcPr>
                <w:p w14:paraId="4BCAFBAD">
                  <w:pPr>
                    <w:pStyle w:val="82"/>
                    <w:kinsoku w:val="0"/>
                    <w:overflowPunct w:val="0"/>
                    <w:jc w:val="center"/>
                    <w:rPr>
                      <w:bCs/>
                      <w:kern w:val="2"/>
                      <w:sz w:val="21"/>
                      <w:szCs w:val="21"/>
                    </w:rPr>
                  </w:pPr>
                  <w:r>
                    <w:rPr>
                      <w:bCs/>
                      <w:kern w:val="2"/>
                      <w:sz w:val="21"/>
                      <w:szCs w:val="21"/>
                    </w:rPr>
                    <w:t>≤1.0</w:t>
                  </w:r>
                </w:p>
              </w:tc>
              <w:tc>
                <w:tcPr>
                  <w:tcW w:w="752" w:type="pct"/>
                  <w:tcBorders>
                    <w:top w:val="single" w:color="000000" w:sz="4" w:space="0"/>
                    <w:left w:val="nil"/>
                    <w:bottom w:val="single" w:color="000000" w:sz="4" w:space="0"/>
                    <w:right w:val="single" w:color="000000" w:sz="4" w:space="0"/>
                  </w:tcBorders>
                  <w:vAlign w:val="center"/>
                </w:tcPr>
                <w:p w14:paraId="3E70530C">
                  <w:pPr>
                    <w:pStyle w:val="82"/>
                    <w:kinsoku w:val="0"/>
                    <w:overflowPunct w:val="0"/>
                    <w:jc w:val="center"/>
                    <w:rPr>
                      <w:bCs/>
                      <w:kern w:val="2"/>
                      <w:sz w:val="21"/>
                      <w:szCs w:val="21"/>
                    </w:rPr>
                  </w:pPr>
                  <w:r>
                    <w:rPr>
                      <w:bCs/>
                      <w:kern w:val="2"/>
                      <w:sz w:val="21"/>
                      <w:szCs w:val="21"/>
                    </w:rPr>
                    <w:t>达标</w:t>
                  </w:r>
                </w:p>
              </w:tc>
            </w:tr>
            <w:tr w14:paraId="5FA963A7">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5A104C79">
                  <w:pPr>
                    <w:jc w:val="center"/>
                    <w:textAlignment w:val="center"/>
                    <w:rPr>
                      <w:bCs/>
                      <w:szCs w:val="21"/>
                      <w:lang w:bidi="ar"/>
                    </w:rPr>
                  </w:pPr>
                  <w:r>
                    <w:rPr>
                      <w:bCs/>
                      <w:szCs w:val="21"/>
                      <w:lang w:bidi="ar"/>
                    </w:rPr>
                    <w:t>镉</w:t>
                  </w:r>
                </w:p>
              </w:tc>
              <w:tc>
                <w:tcPr>
                  <w:tcW w:w="1318" w:type="pct"/>
                  <w:tcBorders>
                    <w:top w:val="single" w:color="000000" w:sz="4" w:space="0"/>
                    <w:left w:val="nil"/>
                    <w:bottom w:val="single" w:color="000000" w:sz="4" w:space="0"/>
                    <w:right w:val="single" w:color="000000" w:sz="4" w:space="0"/>
                  </w:tcBorders>
                  <w:vAlign w:val="center"/>
                </w:tcPr>
                <w:p w14:paraId="3E52A9EE">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044DDF7D">
                  <w:pPr>
                    <w:jc w:val="center"/>
                    <w:textAlignment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3A837196">
                  <w:pPr>
                    <w:pStyle w:val="82"/>
                    <w:kinsoku w:val="0"/>
                    <w:overflowPunct w:val="0"/>
                    <w:jc w:val="center"/>
                    <w:rPr>
                      <w:bCs/>
                      <w:kern w:val="2"/>
                      <w:sz w:val="21"/>
                      <w:szCs w:val="21"/>
                    </w:rPr>
                  </w:pPr>
                  <w:r>
                    <w:rPr>
                      <w:bCs/>
                      <w:kern w:val="2"/>
                      <w:sz w:val="21"/>
                      <w:szCs w:val="21"/>
                    </w:rPr>
                    <w:t>≤0.01</w:t>
                  </w:r>
                </w:p>
              </w:tc>
              <w:tc>
                <w:tcPr>
                  <w:tcW w:w="752" w:type="pct"/>
                  <w:tcBorders>
                    <w:top w:val="single" w:color="000000" w:sz="4" w:space="0"/>
                    <w:left w:val="nil"/>
                    <w:bottom w:val="single" w:color="000000" w:sz="4" w:space="0"/>
                    <w:right w:val="single" w:color="000000" w:sz="4" w:space="0"/>
                  </w:tcBorders>
                  <w:vAlign w:val="center"/>
                </w:tcPr>
                <w:p w14:paraId="7DC200D7">
                  <w:pPr>
                    <w:pStyle w:val="82"/>
                    <w:kinsoku w:val="0"/>
                    <w:overflowPunct w:val="0"/>
                    <w:jc w:val="center"/>
                    <w:rPr>
                      <w:bCs/>
                      <w:kern w:val="2"/>
                      <w:sz w:val="21"/>
                      <w:szCs w:val="21"/>
                    </w:rPr>
                  </w:pPr>
                  <w:r>
                    <w:rPr>
                      <w:bCs/>
                      <w:kern w:val="2"/>
                      <w:sz w:val="21"/>
                      <w:szCs w:val="21"/>
                    </w:rPr>
                    <w:t>达标</w:t>
                  </w:r>
                </w:p>
              </w:tc>
            </w:tr>
            <w:tr w14:paraId="53F57DF7">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0060E78C">
                  <w:pPr>
                    <w:jc w:val="center"/>
                    <w:textAlignment w:val="center"/>
                    <w:rPr>
                      <w:bCs/>
                      <w:szCs w:val="21"/>
                      <w:lang w:bidi="ar"/>
                    </w:rPr>
                  </w:pPr>
                  <w:r>
                    <w:rPr>
                      <w:bCs/>
                      <w:szCs w:val="21"/>
                      <w:lang w:bidi="ar"/>
                    </w:rPr>
                    <w:t>铁</w:t>
                  </w:r>
                </w:p>
              </w:tc>
              <w:tc>
                <w:tcPr>
                  <w:tcW w:w="1318" w:type="pct"/>
                  <w:tcBorders>
                    <w:top w:val="single" w:color="000000" w:sz="4" w:space="0"/>
                    <w:left w:val="nil"/>
                    <w:bottom w:val="single" w:color="000000" w:sz="4" w:space="0"/>
                    <w:right w:val="single" w:color="000000" w:sz="4" w:space="0"/>
                  </w:tcBorders>
                  <w:vAlign w:val="center"/>
                </w:tcPr>
                <w:p w14:paraId="209F8C3A">
                  <w:pPr>
                    <w:jc w:val="center"/>
                    <w:rPr>
                      <w:bCs/>
                      <w:szCs w:val="21"/>
                      <w:lang w:bidi="ar"/>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23D3408D">
                  <w:pPr>
                    <w:jc w:val="center"/>
                    <w:textAlignment w:val="center"/>
                    <w:rPr>
                      <w:bCs/>
                      <w:szCs w:val="21"/>
                    </w:rPr>
                  </w:pPr>
                  <w:r>
                    <w:rPr>
                      <w:bCs/>
                      <w:szCs w:val="21"/>
                    </w:rPr>
                    <w:t>0.0193-0.0211</w:t>
                  </w:r>
                </w:p>
              </w:tc>
              <w:tc>
                <w:tcPr>
                  <w:tcW w:w="690" w:type="pct"/>
                  <w:tcBorders>
                    <w:top w:val="single" w:color="000000" w:sz="4" w:space="0"/>
                    <w:left w:val="nil"/>
                    <w:bottom w:val="single" w:color="000000" w:sz="4" w:space="0"/>
                    <w:right w:val="single" w:color="000000" w:sz="4" w:space="0"/>
                  </w:tcBorders>
                  <w:vAlign w:val="center"/>
                </w:tcPr>
                <w:p w14:paraId="7A601AEA">
                  <w:pPr>
                    <w:pStyle w:val="82"/>
                    <w:kinsoku w:val="0"/>
                    <w:overflowPunct w:val="0"/>
                    <w:jc w:val="center"/>
                    <w:rPr>
                      <w:bCs/>
                      <w:kern w:val="2"/>
                      <w:sz w:val="21"/>
                      <w:szCs w:val="21"/>
                    </w:rPr>
                  </w:pPr>
                  <w:r>
                    <w:rPr>
                      <w:bCs/>
                      <w:kern w:val="2"/>
                      <w:sz w:val="21"/>
                      <w:szCs w:val="21"/>
                    </w:rPr>
                    <w:t>≤0.3</w:t>
                  </w:r>
                </w:p>
              </w:tc>
              <w:tc>
                <w:tcPr>
                  <w:tcW w:w="752" w:type="pct"/>
                  <w:tcBorders>
                    <w:top w:val="single" w:color="000000" w:sz="4" w:space="0"/>
                    <w:left w:val="nil"/>
                    <w:bottom w:val="single" w:color="000000" w:sz="4" w:space="0"/>
                    <w:right w:val="single" w:color="000000" w:sz="4" w:space="0"/>
                  </w:tcBorders>
                  <w:vAlign w:val="center"/>
                </w:tcPr>
                <w:p w14:paraId="2889BC0D">
                  <w:pPr>
                    <w:pStyle w:val="82"/>
                    <w:kinsoku w:val="0"/>
                    <w:overflowPunct w:val="0"/>
                    <w:jc w:val="center"/>
                    <w:rPr>
                      <w:bCs/>
                      <w:kern w:val="2"/>
                      <w:sz w:val="21"/>
                      <w:szCs w:val="21"/>
                    </w:rPr>
                  </w:pPr>
                  <w:r>
                    <w:rPr>
                      <w:bCs/>
                      <w:kern w:val="2"/>
                      <w:sz w:val="21"/>
                      <w:szCs w:val="21"/>
                    </w:rPr>
                    <w:t>达标</w:t>
                  </w:r>
                </w:p>
              </w:tc>
            </w:tr>
            <w:tr w14:paraId="0360A212">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0BEE496C">
                  <w:pPr>
                    <w:jc w:val="center"/>
                    <w:textAlignment w:val="center"/>
                    <w:rPr>
                      <w:bCs/>
                      <w:szCs w:val="21"/>
                      <w:lang w:bidi="ar"/>
                    </w:rPr>
                  </w:pPr>
                  <w:r>
                    <w:rPr>
                      <w:bCs/>
                      <w:szCs w:val="21"/>
                    </w:rPr>
                    <w:t>锰</w:t>
                  </w:r>
                </w:p>
              </w:tc>
              <w:tc>
                <w:tcPr>
                  <w:tcW w:w="1318" w:type="pct"/>
                  <w:tcBorders>
                    <w:top w:val="single" w:color="000000" w:sz="4" w:space="0"/>
                    <w:left w:val="nil"/>
                    <w:bottom w:val="single" w:color="000000" w:sz="4" w:space="0"/>
                    <w:right w:val="single" w:color="000000" w:sz="4" w:space="0"/>
                  </w:tcBorders>
                  <w:vAlign w:val="center"/>
                </w:tcPr>
                <w:p w14:paraId="4F835BCC">
                  <w:pPr>
                    <w:jc w:val="center"/>
                    <w:rPr>
                      <w:bCs/>
                      <w:szCs w:val="21"/>
                      <w:lang w:bidi="ar"/>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7D657759">
                  <w:pPr>
                    <w:autoSpaceDE w:val="0"/>
                    <w:jc w:val="center"/>
                    <w:textAlignment w:val="center"/>
                    <w:rPr>
                      <w:bCs/>
                      <w:szCs w:val="21"/>
                    </w:rPr>
                  </w:pPr>
                  <w:r>
                    <w:rPr>
                      <w:bCs/>
                      <w:szCs w:val="21"/>
                    </w:rPr>
                    <w:t>0.0019</w:t>
                  </w:r>
                </w:p>
              </w:tc>
              <w:tc>
                <w:tcPr>
                  <w:tcW w:w="690" w:type="pct"/>
                  <w:tcBorders>
                    <w:top w:val="single" w:color="000000" w:sz="4" w:space="0"/>
                    <w:left w:val="nil"/>
                    <w:bottom w:val="single" w:color="000000" w:sz="4" w:space="0"/>
                    <w:right w:val="single" w:color="000000" w:sz="4" w:space="0"/>
                  </w:tcBorders>
                  <w:vAlign w:val="center"/>
                </w:tcPr>
                <w:p w14:paraId="38A09428">
                  <w:pPr>
                    <w:pStyle w:val="82"/>
                    <w:kinsoku w:val="0"/>
                    <w:overflowPunct w:val="0"/>
                    <w:jc w:val="center"/>
                    <w:rPr>
                      <w:bCs/>
                      <w:kern w:val="2"/>
                      <w:sz w:val="21"/>
                      <w:szCs w:val="21"/>
                    </w:rPr>
                  </w:pPr>
                  <w:r>
                    <w:rPr>
                      <w:bCs/>
                      <w:kern w:val="2"/>
                      <w:sz w:val="21"/>
                      <w:szCs w:val="21"/>
                    </w:rPr>
                    <w:t>≤0.1</w:t>
                  </w:r>
                </w:p>
              </w:tc>
              <w:tc>
                <w:tcPr>
                  <w:tcW w:w="752" w:type="pct"/>
                  <w:tcBorders>
                    <w:top w:val="single" w:color="000000" w:sz="4" w:space="0"/>
                    <w:left w:val="nil"/>
                    <w:bottom w:val="single" w:color="000000" w:sz="4" w:space="0"/>
                    <w:right w:val="single" w:color="000000" w:sz="4" w:space="0"/>
                  </w:tcBorders>
                  <w:vAlign w:val="center"/>
                </w:tcPr>
                <w:p w14:paraId="66F51DED">
                  <w:pPr>
                    <w:pStyle w:val="82"/>
                    <w:kinsoku w:val="0"/>
                    <w:overflowPunct w:val="0"/>
                    <w:jc w:val="center"/>
                    <w:rPr>
                      <w:bCs/>
                      <w:kern w:val="2"/>
                      <w:sz w:val="21"/>
                      <w:szCs w:val="21"/>
                    </w:rPr>
                  </w:pPr>
                  <w:r>
                    <w:rPr>
                      <w:bCs/>
                      <w:kern w:val="2"/>
                      <w:sz w:val="21"/>
                      <w:szCs w:val="21"/>
                    </w:rPr>
                    <w:t>达标</w:t>
                  </w:r>
                </w:p>
              </w:tc>
            </w:tr>
            <w:tr w14:paraId="569059D8">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2D36305B">
                  <w:pPr>
                    <w:jc w:val="center"/>
                    <w:textAlignment w:val="center"/>
                    <w:rPr>
                      <w:bCs/>
                      <w:szCs w:val="21"/>
                      <w:lang w:bidi="ar"/>
                    </w:rPr>
                  </w:pPr>
                  <w:r>
                    <w:rPr>
                      <w:bCs/>
                      <w:szCs w:val="21"/>
                      <w:lang w:bidi="ar"/>
                    </w:rPr>
                    <w:t>溶解性总固体</w:t>
                  </w:r>
                </w:p>
              </w:tc>
              <w:tc>
                <w:tcPr>
                  <w:tcW w:w="1318" w:type="pct"/>
                  <w:tcBorders>
                    <w:top w:val="single" w:color="000000" w:sz="4" w:space="0"/>
                    <w:left w:val="nil"/>
                    <w:bottom w:val="single" w:color="000000" w:sz="4" w:space="0"/>
                    <w:right w:val="single" w:color="000000" w:sz="4" w:space="0"/>
                  </w:tcBorders>
                  <w:vAlign w:val="center"/>
                </w:tcPr>
                <w:p w14:paraId="12E9E628">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322F50DE">
                  <w:pPr>
                    <w:jc w:val="center"/>
                    <w:textAlignment w:val="center"/>
                    <w:rPr>
                      <w:bCs/>
                      <w:szCs w:val="21"/>
                    </w:rPr>
                  </w:pPr>
                  <w:r>
                    <w:rPr>
                      <w:bCs/>
                      <w:szCs w:val="21"/>
                    </w:rPr>
                    <w:t>396-400</w:t>
                  </w:r>
                </w:p>
              </w:tc>
              <w:tc>
                <w:tcPr>
                  <w:tcW w:w="690" w:type="pct"/>
                  <w:tcBorders>
                    <w:top w:val="single" w:color="000000" w:sz="4" w:space="0"/>
                    <w:left w:val="nil"/>
                    <w:bottom w:val="single" w:color="000000" w:sz="4" w:space="0"/>
                    <w:right w:val="single" w:color="000000" w:sz="4" w:space="0"/>
                  </w:tcBorders>
                  <w:vAlign w:val="center"/>
                </w:tcPr>
                <w:p w14:paraId="5C3E214C">
                  <w:pPr>
                    <w:pStyle w:val="82"/>
                    <w:kinsoku w:val="0"/>
                    <w:overflowPunct w:val="0"/>
                    <w:jc w:val="center"/>
                    <w:rPr>
                      <w:bCs/>
                      <w:kern w:val="2"/>
                      <w:sz w:val="21"/>
                      <w:szCs w:val="21"/>
                    </w:rPr>
                  </w:pPr>
                  <w:r>
                    <w:rPr>
                      <w:bCs/>
                      <w:kern w:val="2"/>
                      <w:sz w:val="21"/>
                      <w:szCs w:val="21"/>
                    </w:rPr>
                    <w:t>≤1000</w:t>
                  </w:r>
                </w:p>
              </w:tc>
              <w:tc>
                <w:tcPr>
                  <w:tcW w:w="752" w:type="pct"/>
                  <w:tcBorders>
                    <w:top w:val="single" w:color="000000" w:sz="4" w:space="0"/>
                    <w:left w:val="nil"/>
                    <w:bottom w:val="single" w:color="000000" w:sz="4" w:space="0"/>
                    <w:right w:val="single" w:color="000000" w:sz="4" w:space="0"/>
                  </w:tcBorders>
                  <w:vAlign w:val="center"/>
                </w:tcPr>
                <w:p w14:paraId="1C6CD455">
                  <w:pPr>
                    <w:pStyle w:val="82"/>
                    <w:kinsoku w:val="0"/>
                    <w:overflowPunct w:val="0"/>
                    <w:jc w:val="center"/>
                    <w:rPr>
                      <w:bCs/>
                      <w:kern w:val="2"/>
                      <w:sz w:val="21"/>
                      <w:szCs w:val="21"/>
                    </w:rPr>
                  </w:pPr>
                  <w:r>
                    <w:rPr>
                      <w:bCs/>
                      <w:kern w:val="2"/>
                      <w:sz w:val="21"/>
                      <w:szCs w:val="21"/>
                    </w:rPr>
                    <w:t>达标</w:t>
                  </w:r>
                </w:p>
              </w:tc>
            </w:tr>
            <w:tr w14:paraId="58580744">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7AD38942">
                  <w:pPr>
                    <w:jc w:val="center"/>
                    <w:textAlignment w:val="center"/>
                    <w:rPr>
                      <w:bCs/>
                      <w:szCs w:val="21"/>
                      <w:lang w:bidi="ar"/>
                    </w:rPr>
                  </w:pPr>
                  <w:r>
                    <w:rPr>
                      <w:bCs/>
                      <w:szCs w:val="21"/>
                      <w:lang w:bidi="ar"/>
                    </w:rPr>
                    <w:t>耗氧量</w:t>
                  </w:r>
                </w:p>
              </w:tc>
              <w:tc>
                <w:tcPr>
                  <w:tcW w:w="1318" w:type="pct"/>
                  <w:tcBorders>
                    <w:top w:val="single" w:color="000000" w:sz="4" w:space="0"/>
                    <w:left w:val="nil"/>
                    <w:bottom w:val="single" w:color="000000" w:sz="4" w:space="0"/>
                    <w:right w:val="single" w:color="000000" w:sz="4" w:space="0"/>
                  </w:tcBorders>
                  <w:vAlign w:val="center"/>
                </w:tcPr>
                <w:p w14:paraId="2045A85B">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2B587CCF">
                  <w:pPr>
                    <w:jc w:val="center"/>
                    <w:textAlignment w:val="center"/>
                    <w:rPr>
                      <w:bCs/>
                      <w:szCs w:val="21"/>
                    </w:rPr>
                  </w:pPr>
                  <w:r>
                    <w:rPr>
                      <w:bCs/>
                      <w:szCs w:val="21"/>
                    </w:rPr>
                    <w:t>1.71-1.74</w:t>
                  </w:r>
                </w:p>
              </w:tc>
              <w:tc>
                <w:tcPr>
                  <w:tcW w:w="690" w:type="pct"/>
                  <w:tcBorders>
                    <w:top w:val="single" w:color="000000" w:sz="4" w:space="0"/>
                    <w:left w:val="nil"/>
                    <w:bottom w:val="single" w:color="000000" w:sz="4" w:space="0"/>
                    <w:right w:val="single" w:color="000000" w:sz="4" w:space="0"/>
                  </w:tcBorders>
                  <w:vAlign w:val="center"/>
                </w:tcPr>
                <w:p w14:paraId="7CB8CB31">
                  <w:pPr>
                    <w:pStyle w:val="82"/>
                    <w:kinsoku w:val="0"/>
                    <w:overflowPunct w:val="0"/>
                    <w:jc w:val="center"/>
                    <w:rPr>
                      <w:bCs/>
                      <w:kern w:val="2"/>
                      <w:sz w:val="21"/>
                      <w:szCs w:val="21"/>
                    </w:rPr>
                  </w:pPr>
                  <w:r>
                    <w:rPr>
                      <w:bCs/>
                      <w:kern w:val="2"/>
                      <w:sz w:val="21"/>
                      <w:szCs w:val="21"/>
                    </w:rPr>
                    <w:t>≤3.0</w:t>
                  </w:r>
                </w:p>
              </w:tc>
              <w:tc>
                <w:tcPr>
                  <w:tcW w:w="752" w:type="pct"/>
                  <w:tcBorders>
                    <w:top w:val="single" w:color="000000" w:sz="4" w:space="0"/>
                    <w:left w:val="nil"/>
                    <w:bottom w:val="single" w:color="000000" w:sz="4" w:space="0"/>
                    <w:right w:val="single" w:color="000000" w:sz="4" w:space="0"/>
                  </w:tcBorders>
                  <w:vAlign w:val="center"/>
                </w:tcPr>
                <w:p w14:paraId="11B1E46E">
                  <w:pPr>
                    <w:pStyle w:val="82"/>
                    <w:kinsoku w:val="0"/>
                    <w:overflowPunct w:val="0"/>
                    <w:jc w:val="center"/>
                    <w:rPr>
                      <w:bCs/>
                      <w:kern w:val="2"/>
                      <w:sz w:val="21"/>
                      <w:szCs w:val="21"/>
                    </w:rPr>
                  </w:pPr>
                  <w:r>
                    <w:rPr>
                      <w:bCs/>
                      <w:kern w:val="2"/>
                      <w:sz w:val="21"/>
                      <w:szCs w:val="21"/>
                    </w:rPr>
                    <w:t>达标</w:t>
                  </w:r>
                </w:p>
              </w:tc>
            </w:tr>
            <w:tr w14:paraId="5E3CD1D1">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441BAE45">
                  <w:pPr>
                    <w:jc w:val="center"/>
                    <w:textAlignment w:val="center"/>
                    <w:rPr>
                      <w:bCs/>
                      <w:szCs w:val="21"/>
                      <w:lang w:bidi="ar"/>
                    </w:rPr>
                  </w:pPr>
                  <w:r>
                    <w:rPr>
                      <w:bCs/>
                      <w:szCs w:val="21"/>
                    </w:rPr>
                    <w:t>硫酸盐</w:t>
                  </w:r>
                </w:p>
              </w:tc>
              <w:tc>
                <w:tcPr>
                  <w:tcW w:w="1318" w:type="pct"/>
                  <w:tcBorders>
                    <w:top w:val="single" w:color="000000" w:sz="4" w:space="0"/>
                    <w:left w:val="nil"/>
                    <w:bottom w:val="single" w:color="000000" w:sz="4" w:space="0"/>
                    <w:right w:val="single" w:color="000000" w:sz="4" w:space="0"/>
                  </w:tcBorders>
                  <w:vAlign w:val="center"/>
                </w:tcPr>
                <w:p w14:paraId="74F95C7D">
                  <w:pPr>
                    <w:jc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1D5E15EF">
                  <w:pPr>
                    <w:jc w:val="center"/>
                    <w:textAlignment w:val="center"/>
                    <w:rPr>
                      <w:bCs/>
                      <w:szCs w:val="21"/>
                    </w:rPr>
                  </w:pPr>
                  <w:r>
                    <w:rPr>
                      <w:bCs/>
                      <w:szCs w:val="21"/>
                    </w:rPr>
                    <w:t>100-105</w:t>
                  </w:r>
                </w:p>
              </w:tc>
              <w:tc>
                <w:tcPr>
                  <w:tcW w:w="690" w:type="pct"/>
                  <w:tcBorders>
                    <w:top w:val="single" w:color="000000" w:sz="4" w:space="0"/>
                    <w:left w:val="nil"/>
                    <w:bottom w:val="single" w:color="000000" w:sz="4" w:space="0"/>
                    <w:right w:val="single" w:color="000000" w:sz="4" w:space="0"/>
                  </w:tcBorders>
                  <w:vAlign w:val="center"/>
                </w:tcPr>
                <w:p w14:paraId="3D7C224E">
                  <w:pPr>
                    <w:pStyle w:val="82"/>
                    <w:kinsoku w:val="0"/>
                    <w:overflowPunct w:val="0"/>
                    <w:jc w:val="center"/>
                    <w:rPr>
                      <w:bCs/>
                      <w:kern w:val="2"/>
                      <w:sz w:val="21"/>
                      <w:szCs w:val="21"/>
                    </w:rPr>
                  </w:pPr>
                  <w:r>
                    <w:rPr>
                      <w:bCs/>
                      <w:kern w:val="2"/>
                      <w:sz w:val="21"/>
                      <w:szCs w:val="21"/>
                    </w:rPr>
                    <w:t>≤250</w:t>
                  </w:r>
                </w:p>
              </w:tc>
              <w:tc>
                <w:tcPr>
                  <w:tcW w:w="752" w:type="pct"/>
                  <w:tcBorders>
                    <w:top w:val="single" w:color="000000" w:sz="4" w:space="0"/>
                    <w:left w:val="nil"/>
                    <w:bottom w:val="single" w:color="000000" w:sz="4" w:space="0"/>
                    <w:right w:val="single" w:color="000000" w:sz="4" w:space="0"/>
                  </w:tcBorders>
                  <w:vAlign w:val="center"/>
                </w:tcPr>
                <w:p w14:paraId="2066C937">
                  <w:pPr>
                    <w:pStyle w:val="82"/>
                    <w:kinsoku w:val="0"/>
                    <w:overflowPunct w:val="0"/>
                    <w:jc w:val="center"/>
                    <w:rPr>
                      <w:bCs/>
                      <w:kern w:val="2"/>
                      <w:sz w:val="21"/>
                      <w:szCs w:val="21"/>
                    </w:rPr>
                  </w:pPr>
                  <w:r>
                    <w:rPr>
                      <w:bCs/>
                      <w:kern w:val="2"/>
                      <w:sz w:val="21"/>
                      <w:szCs w:val="21"/>
                    </w:rPr>
                    <w:t>达标</w:t>
                  </w:r>
                </w:p>
              </w:tc>
            </w:tr>
            <w:tr w14:paraId="0D043697">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5E4A23B4">
                  <w:pPr>
                    <w:jc w:val="center"/>
                    <w:textAlignment w:val="center"/>
                    <w:rPr>
                      <w:bCs/>
                      <w:szCs w:val="21"/>
                      <w:lang w:bidi="ar"/>
                    </w:rPr>
                  </w:pPr>
                  <w:r>
                    <w:rPr>
                      <w:bCs/>
                      <w:szCs w:val="21"/>
                      <w:lang w:bidi="ar"/>
                    </w:rPr>
                    <w:t>氯化物</w:t>
                  </w:r>
                </w:p>
              </w:tc>
              <w:tc>
                <w:tcPr>
                  <w:tcW w:w="1318" w:type="pct"/>
                  <w:tcBorders>
                    <w:top w:val="single" w:color="000000" w:sz="4" w:space="0"/>
                    <w:left w:val="nil"/>
                    <w:bottom w:val="single" w:color="000000" w:sz="4" w:space="0"/>
                    <w:right w:val="single" w:color="000000" w:sz="4" w:space="0"/>
                  </w:tcBorders>
                  <w:vAlign w:val="center"/>
                </w:tcPr>
                <w:p w14:paraId="5D4895FE">
                  <w:pPr>
                    <w:jc w:val="center"/>
                    <w:textAlignment w:val="center"/>
                    <w:rPr>
                      <w:bCs/>
                      <w:szCs w:val="21"/>
                    </w:rPr>
                  </w:pPr>
                  <w:r>
                    <w:rPr>
                      <w:bCs/>
                      <w:szCs w:val="21"/>
                      <w:lang w:bidi="ar"/>
                    </w:rPr>
                    <w:t>mg/L</w:t>
                  </w:r>
                </w:p>
              </w:tc>
              <w:tc>
                <w:tcPr>
                  <w:tcW w:w="1152" w:type="pct"/>
                  <w:tcBorders>
                    <w:top w:val="single" w:color="000000" w:sz="4" w:space="0"/>
                    <w:left w:val="nil"/>
                    <w:bottom w:val="single" w:color="000000" w:sz="4" w:space="0"/>
                    <w:right w:val="single" w:color="000000" w:sz="4" w:space="0"/>
                  </w:tcBorders>
                  <w:vAlign w:val="center"/>
                </w:tcPr>
                <w:p w14:paraId="44AF16CD">
                  <w:pPr>
                    <w:jc w:val="center"/>
                    <w:textAlignment w:val="center"/>
                    <w:rPr>
                      <w:bCs/>
                      <w:szCs w:val="21"/>
                    </w:rPr>
                  </w:pPr>
                  <w:r>
                    <w:rPr>
                      <w:bCs/>
                      <w:szCs w:val="21"/>
                    </w:rPr>
                    <w:t>26.0-26.5</w:t>
                  </w:r>
                </w:p>
              </w:tc>
              <w:tc>
                <w:tcPr>
                  <w:tcW w:w="690" w:type="pct"/>
                  <w:tcBorders>
                    <w:top w:val="single" w:color="000000" w:sz="4" w:space="0"/>
                    <w:left w:val="nil"/>
                    <w:bottom w:val="single" w:color="000000" w:sz="4" w:space="0"/>
                    <w:right w:val="single" w:color="000000" w:sz="4" w:space="0"/>
                  </w:tcBorders>
                  <w:vAlign w:val="center"/>
                </w:tcPr>
                <w:p w14:paraId="0C0A9509">
                  <w:pPr>
                    <w:pStyle w:val="82"/>
                    <w:kinsoku w:val="0"/>
                    <w:overflowPunct w:val="0"/>
                    <w:jc w:val="center"/>
                    <w:rPr>
                      <w:bCs/>
                      <w:kern w:val="2"/>
                      <w:sz w:val="21"/>
                      <w:szCs w:val="21"/>
                    </w:rPr>
                  </w:pPr>
                  <w:r>
                    <w:rPr>
                      <w:bCs/>
                      <w:kern w:val="2"/>
                      <w:sz w:val="21"/>
                      <w:szCs w:val="21"/>
                    </w:rPr>
                    <w:t>≤250</w:t>
                  </w:r>
                </w:p>
              </w:tc>
              <w:tc>
                <w:tcPr>
                  <w:tcW w:w="752" w:type="pct"/>
                  <w:tcBorders>
                    <w:top w:val="single" w:color="000000" w:sz="4" w:space="0"/>
                    <w:left w:val="nil"/>
                    <w:bottom w:val="single" w:color="000000" w:sz="4" w:space="0"/>
                    <w:right w:val="single" w:color="000000" w:sz="4" w:space="0"/>
                  </w:tcBorders>
                  <w:vAlign w:val="center"/>
                </w:tcPr>
                <w:p w14:paraId="58E0696E">
                  <w:pPr>
                    <w:pStyle w:val="82"/>
                    <w:kinsoku w:val="0"/>
                    <w:overflowPunct w:val="0"/>
                    <w:jc w:val="center"/>
                    <w:rPr>
                      <w:bCs/>
                      <w:kern w:val="2"/>
                      <w:sz w:val="21"/>
                      <w:szCs w:val="21"/>
                    </w:rPr>
                  </w:pPr>
                  <w:r>
                    <w:rPr>
                      <w:bCs/>
                      <w:kern w:val="2"/>
                      <w:sz w:val="21"/>
                      <w:szCs w:val="21"/>
                    </w:rPr>
                    <w:t>达标</w:t>
                  </w:r>
                </w:p>
              </w:tc>
            </w:tr>
            <w:tr w14:paraId="600DD3AE">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75AEFACC">
                  <w:pPr>
                    <w:jc w:val="center"/>
                    <w:textAlignment w:val="center"/>
                    <w:rPr>
                      <w:bCs/>
                      <w:szCs w:val="21"/>
                      <w:lang w:bidi="ar"/>
                    </w:rPr>
                  </w:pPr>
                  <w:r>
                    <w:rPr>
                      <w:bCs/>
                      <w:szCs w:val="21"/>
                      <w:lang w:bidi="ar"/>
                    </w:rPr>
                    <w:t>菌落总数</w:t>
                  </w:r>
                </w:p>
              </w:tc>
              <w:tc>
                <w:tcPr>
                  <w:tcW w:w="1318" w:type="pct"/>
                  <w:tcBorders>
                    <w:top w:val="single" w:color="000000" w:sz="4" w:space="0"/>
                    <w:left w:val="nil"/>
                    <w:bottom w:val="single" w:color="000000" w:sz="4" w:space="0"/>
                    <w:right w:val="single" w:color="000000" w:sz="4" w:space="0"/>
                  </w:tcBorders>
                  <w:vAlign w:val="center"/>
                </w:tcPr>
                <w:p w14:paraId="54D849F0">
                  <w:pPr>
                    <w:jc w:val="center"/>
                    <w:textAlignment w:val="center"/>
                    <w:rPr>
                      <w:bCs/>
                      <w:szCs w:val="21"/>
                    </w:rPr>
                  </w:pPr>
                  <w:r>
                    <w:rPr>
                      <w:bCs/>
                      <w:szCs w:val="21"/>
                      <w:lang w:bidi="ar"/>
                    </w:rPr>
                    <w:t>CFU/mL</w:t>
                  </w:r>
                </w:p>
              </w:tc>
              <w:tc>
                <w:tcPr>
                  <w:tcW w:w="1152" w:type="pct"/>
                  <w:tcBorders>
                    <w:top w:val="single" w:color="000000" w:sz="4" w:space="0"/>
                    <w:left w:val="nil"/>
                    <w:bottom w:val="single" w:color="000000" w:sz="4" w:space="0"/>
                    <w:right w:val="single" w:color="000000" w:sz="4" w:space="0"/>
                  </w:tcBorders>
                  <w:vAlign w:val="center"/>
                </w:tcPr>
                <w:p w14:paraId="08995056">
                  <w:pPr>
                    <w:jc w:val="center"/>
                    <w:textAlignment w:val="center"/>
                    <w:rPr>
                      <w:bCs/>
                      <w:szCs w:val="21"/>
                    </w:rPr>
                  </w:pPr>
                  <w:r>
                    <w:rPr>
                      <w:bCs/>
                      <w:szCs w:val="21"/>
                    </w:rPr>
                    <w:t>63-65</w:t>
                  </w:r>
                </w:p>
              </w:tc>
              <w:tc>
                <w:tcPr>
                  <w:tcW w:w="690" w:type="pct"/>
                  <w:tcBorders>
                    <w:top w:val="single" w:color="000000" w:sz="4" w:space="0"/>
                    <w:left w:val="nil"/>
                    <w:bottom w:val="single" w:color="000000" w:sz="4" w:space="0"/>
                    <w:right w:val="single" w:color="000000" w:sz="4" w:space="0"/>
                  </w:tcBorders>
                  <w:vAlign w:val="center"/>
                </w:tcPr>
                <w:p w14:paraId="7CABA60A">
                  <w:pPr>
                    <w:pStyle w:val="82"/>
                    <w:kinsoku w:val="0"/>
                    <w:overflowPunct w:val="0"/>
                    <w:jc w:val="center"/>
                    <w:rPr>
                      <w:bCs/>
                      <w:kern w:val="2"/>
                      <w:sz w:val="21"/>
                      <w:szCs w:val="21"/>
                    </w:rPr>
                  </w:pPr>
                  <w:r>
                    <w:rPr>
                      <w:bCs/>
                      <w:kern w:val="2"/>
                      <w:sz w:val="21"/>
                      <w:szCs w:val="21"/>
                    </w:rPr>
                    <w:t>≤100</w:t>
                  </w:r>
                </w:p>
              </w:tc>
              <w:tc>
                <w:tcPr>
                  <w:tcW w:w="752" w:type="pct"/>
                  <w:tcBorders>
                    <w:top w:val="single" w:color="000000" w:sz="4" w:space="0"/>
                    <w:left w:val="nil"/>
                    <w:bottom w:val="single" w:color="000000" w:sz="4" w:space="0"/>
                    <w:right w:val="single" w:color="000000" w:sz="4" w:space="0"/>
                  </w:tcBorders>
                  <w:vAlign w:val="center"/>
                </w:tcPr>
                <w:p w14:paraId="206D2B01">
                  <w:pPr>
                    <w:pStyle w:val="82"/>
                    <w:kinsoku w:val="0"/>
                    <w:overflowPunct w:val="0"/>
                    <w:jc w:val="center"/>
                    <w:rPr>
                      <w:bCs/>
                      <w:kern w:val="2"/>
                      <w:sz w:val="21"/>
                      <w:szCs w:val="21"/>
                    </w:rPr>
                  </w:pPr>
                  <w:r>
                    <w:rPr>
                      <w:bCs/>
                      <w:kern w:val="2"/>
                      <w:sz w:val="21"/>
                      <w:szCs w:val="21"/>
                    </w:rPr>
                    <w:t>达标</w:t>
                  </w:r>
                </w:p>
              </w:tc>
            </w:tr>
            <w:tr w14:paraId="4089E632">
              <w:tblPrEx>
                <w:tblCellMar>
                  <w:top w:w="0" w:type="dxa"/>
                  <w:left w:w="108" w:type="dxa"/>
                  <w:bottom w:w="0" w:type="dxa"/>
                  <w:right w:w="108" w:type="dxa"/>
                </w:tblCellMar>
              </w:tblPrEx>
              <w:trPr>
                <w:trHeight w:val="407" w:hRule="atLeast"/>
                <w:jc w:val="center"/>
              </w:trPr>
              <w:tc>
                <w:tcPr>
                  <w:tcW w:w="1089" w:type="pct"/>
                  <w:tcBorders>
                    <w:top w:val="single" w:color="000000" w:sz="4" w:space="0"/>
                    <w:left w:val="single" w:color="000000" w:sz="4" w:space="0"/>
                    <w:bottom w:val="single" w:color="000000" w:sz="4" w:space="0"/>
                    <w:right w:val="single" w:color="000000" w:sz="4" w:space="0"/>
                  </w:tcBorders>
                  <w:vAlign w:val="center"/>
                </w:tcPr>
                <w:p w14:paraId="0D7E9268">
                  <w:pPr>
                    <w:jc w:val="center"/>
                    <w:rPr>
                      <w:bCs/>
                      <w:szCs w:val="21"/>
                      <w:lang w:bidi="ar"/>
                    </w:rPr>
                  </w:pPr>
                  <w:r>
                    <w:rPr>
                      <w:rStyle w:val="267"/>
                      <w:rFonts w:hint="default" w:ascii="Times New Roman" w:hAnsi="Times New Roman" w:cs="Times New Roman"/>
                      <w:bCs/>
                      <w:szCs w:val="21"/>
                      <w:lang w:bidi="ar"/>
                    </w:rPr>
                    <w:t>总大肠菌群</w:t>
                  </w:r>
                </w:p>
              </w:tc>
              <w:tc>
                <w:tcPr>
                  <w:tcW w:w="1318" w:type="pct"/>
                  <w:tcBorders>
                    <w:top w:val="single" w:color="000000" w:sz="4" w:space="0"/>
                    <w:left w:val="nil"/>
                    <w:bottom w:val="single" w:color="000000" w:sz="4" w:space="0"/>
                    <w:right w:val="single" w:color="000000" w:sz="4" w:space="0"/>
                  </w:tcBorders>
                  <w:vAlign w:val="center"/>
                </w:tcPr>
                <w:p w14:paraId="4BC34B3D">
                  <w:pPr>
                    <w:jc w:val="center"/>
                    <w:textAlignment w:val="center"/>
                    <w:rPr>
                      <w:bCs/>
                      <w:szCs w:val="21"/>
                    </w:rPr>
                  </w:pPr>
                  <w:r>
                    <w:rPr>
                      <w:bCs/>
                      <w:szCs w:val="21"/>
                      <w:lang w:bidi="ar"/>
                    </w:rPr>
                    <w:t>MPN/100mL</w:t>
                  </w:r>
                </w:p>
              </w:tc>
              <w:tc>
                <w:tcPr>
                  <w:tcW w:w="1152" w:type="pct"/>
                  <w:tcBorders>
                    <w:top w:val="single" w:color="000000" w:sz="4" w:space="0"/>
                    <w:left w:val="nil"/>
                    <w:bottom w:val="single" w:color="000000" w:sz="4" w:space="0"/>
                    <w:right w:val="single" w:color="000000" w:sz="4" w:space="0"/>
                  </w:tcBorders>
                  <w:vAlign w:val="center"/>
                </w:tcPr>
                <w:p w14:paraId="1E2A4A7D">
                  <w:pPr>
                    <w:jc w:val="center"/>
                    <w:textAlignment w:val="center"/>
                    <w:rPr>
                      <w:bCs/>
                      <w:szCs w:val="21"/>
                    </w:rPr>
                  </w:pPr>
                  <w:r>
                    <w:rPr>
                      <w:bCs/>
                      <w:szCs w:val="21"/>
                    </w:rPr>
                    <w:t>ND</w:t>
                  </w:r>
                </w:p>
              </w:tc>
              <w:tc>
                <w:tcPr>
                  <w:tcW w:w="690" w:type="pct"/>
                  <w:tcBorders>
                    <w:top w:val="single" w:color="000000" w:sz="4" w:space="0"/>
                    <w:left w:val="nil"/>
                    <w:bottom w:val="single" w:color="000000" w:sz="4" w:space="0"/>
                    <w:right w:val="single" w:color="000000" w:sz="4" w:space="0"/>
                  </w:tcBorders>
                  <w:vAlign w:val="center"/>
                </w:tcPr>
                <w:p w14:paraId="57786364">
                  <w:pPr>
                    <w:pStyle w:val="82"/>
                    <w:kinsoku w:val="0"/>
                    <w:overflowPunct w:val="0"/>
                    <w:jc w:val="center"/>
                    <w:rPr>
                      <w:bCs/>
                      <w:kern w:val="2"/>
                      <w:sz w:val="21"/>
                      <w:szCs w:val="21"/>
                    </w:rPr>
                  </w:pPr>
                  <w:r>
                    <w:rPr>
                      <w:bCs/>
                      <w:kern w:val="2"/>
                      <w:sz w:val="21"/>
                      <w:szCs w:val="21"/>
                    </w:rPr>
                    <w:t>≤3.0</w:t>
                  </w:r>
                </w:p>
              </w:tc>
              <w:tc>
                <w:tcPr>
                  <w:tcW w:w="752" w:type="pct"/>
                  <w:tcBorders>
                    <w:top w:val="single" w:color="000000" w:sz="4" w:space="0"/>
                    <w:left w:val="nil"/>
                    <w:bottom w:val="single" w:color="000000" w:sz="4" w:space="0"/>
                    <w:right w:val="single" w:color="000000" w:sz="4" w:space="0"/>
                  </w:tcBorders>
                  <w:vAlign w:val="center"/>
                </w:tcPr>
                <w:p w14:paraId="7B7AD6A7">
                  <w:pPr>
                    <w:pStyle w:val="82"/>
                    <w:kinsoku w:val="0"/>
                    <w:overflowPunct w:val="0"/>
                    <w:jc w:val="center"/>
                    <w:rPr>
                      <w:bCs/>
                      <w:kern w:val="2"/>
                      <w:sz w:val="21"/>
                      <w:szCs w:val="21"/>
                    </w:rPr>
                  </w:pPr>
                  <w:r>
                    <w:rPr>
                      <w:bCs/>
                      <w:kern w:val="2"/>
                      <w:sz w:val="21"/>
                      <w:szCs w:val="21"/>
                    </w:rPr>
                    <w:t>达标</w:t>
                  </w:r>
                </w:p>
              </w:tc>
            </w:tr>
          </w:tbl>
          <w:p w14:paraId="27BB1B5D">
            <w:pPr>
              <w:spacing w:line="500" w:lineRule="exact"/>
              <w:ind w:firstLine="480" w:firstLineChars="200"/>
              <w:rPr>
                <w:sz w:val="24"/>
              </w:rPr>
            </w:pPr>
            <w:r>
              <w:rPr>
                <w:sz w:val="24"/>
              </w:rPr>
              <w:t>根据监测结果，项目厂区水井中各检测因子均满足《地下水环境质量标准》（GB/T14848-2017）Ⅲ类标准要求，地下水环境质量较好。</w:t>
            </w:r>
          </w:p>
          <w:p w14:paraId="0B0C05EC">
            <w:pPr>
              <w:pStyle w:val="24"/>
              <w:spacing w:after="0" w:line="500" w:lineRule="exact"/>
              <w:ind w:left="0" w:leftChars="0"/>
              <w:rPr>
                <w:rFonts w:eastAsia="黑体"/>
                <w:sz w:val="24"/>
              </w:rPr>
            </w:pPr>
            <w:r>
              <w:rPr>
                <w:rFonts w:eastAsia="黑体"/>
                <w:sz w:val="24"/>
              </w:rPr>
              <w:t>4、声环境质量现状</w:t>
            </w:r>
          </w:p>
          <w:p w14:paraId="674BEB93">
            <w:pPr>
              <w:pStyle w:val="24"/>
              <w:adjustRightInd w:val="0"/>
              <w:snapToGrid w:val="0"/>
              <w:spacing w:after="0" w:line="520" w:lineRule="exact"/>
              <w:ind w:left="0" w:leftChars="0" w:firstLine="480" w:firstLineChars="200"/>
              <w:rPr>
                <w:color w:val="EE0000"/>
                <w:sz w:val="24"/>
              </w:rPr>
            </w:pPr>
            <w:r>
              <w:rPr>
                <w:sz w:val="24"/>
              </w:rPr>
              <w:t>根据声环境功能区域划分规定，本项目所在区域属于2类区，应执行《声环境质量标准》（GB3096-2008）2类标准。根据《建设项目环境影响报告表编制技术指南污染影响类》（试行），厂界外周边50m范围内存在声环境保护目标的建设项目，应监测保护目标声环境质量现状并评价达标情况。根据现场踏勘，本项目厂界外周边50m范围内的声环境保护目标为东南侧相邻的闹店人民法庭，另外项目西南侧约70m的闹店敬老院与本项目距离较近，</w:t>
            </w:r>
            <w:r>
              <w:rPr>
                <w:bCs/>
                <w:sz w:val="24"/>
              </w:rPr>
              <w:t>建设单位委托河南绿绕环境科技有限公司于2025年12月23日~12月24日对敏感点声环境进行检测，</w:t>
            </w:r>
            <w:r>
              <w:rPr>
                <w:sz w:val="24"/>
              </w:rPr>
              <w:t>检测结果见表3-6。</w:t>
            </w:r>
          </w:p>
          <w:p w14:paraId="25D4C98F">
            <w:pPr>
              <w:adjustRightInd w:val="0"/>
              <w:snapToGrid w:val="0"/>
              <w:spacing w:line="520" w:lineRule="exact"/>
              <w:jc w:val="center"/>
              <w:rPr>
                <w:rFonts w:eastAsia="黑体"/>
                <w:bCs/>
                <w:sz w:val="24"/>
              </w:rPr>
            </w:pPr>
          </w:p>
          <w:p w14:paraId="4B3071A6">
            <w:pPr>
              <w:adjustRightInd w:val="0"/>
              <w:snapToGrid w:val="0"/>
              <w:spacing w:line="520" w:lineRule="exact"/>
              <w:jc w:val="center"/>
              <w:rPr>
                <w:rFonts w:eastAsia="黑体"/>
                <w:bCs/>
                <w:sz w:val="24"/>
              </w:rPr>
            </w:pPr>
          </w:p>
          <w:p w14:paraId="3546EAC7">
            <w:pPr>
              <w:adjustRightInd w:val="0"/>
              <w:snapToGrid w:val="0"/>
              <w:spacing w:line="520" w:lineRule="exact"/>
              <w:jc w:val="center"/>
              <w:rPr>
                <w:rFonts w:eastAsia="黑体"/>
                <w:bCs/>
                <w:sz w:val="24"/>
              </w:rPr>
            </w:pPr>
            <w:r>
              <w:rPr>
                <w:rFonts w:eastAsia="黑体"/>
                <w:bCs/>
                <w:sz w:val="24"/>
              </w:rPr>
              <w:t>表3-6         环境噪声检测结果                单位：dB(A)</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522"/>
              <w:gridCol w:w="1246"/>
              <w:gridCol w:w="1246"/>
              <w:gridCol w:w="1385"/>
              <w:gridCol w:w="1291"/>
            </w:tblGrid>
            <w:tr w14:paraId="4E56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12" w:type="pct"/>
                  <w:vAlign w:val="center"/>
                </w:tcPr>
                <w:p w14:paraId="24490130">
                  <w:pPr>
                    <w:jc w:val="center"/>
                    <w:textAlignment w:val="center"/>
                    <w:rPr>
                      <w:szCs w:val="21"/>
                      <w:lang w:bidi="ar"/>
                    </w:rPr>
                  </w:pPr>
                  <w:r>
                    <w:rPr>
                      <w:szCs w:val="21"/>
                      <w:lang w:bidi="ar"/>
                    </w:rPr>
                    <w:t>检测日期</w:t>
                  </w:r>
                </w:p>
              </w:tc>
              <w:tc>
                <w:tcPr>
                  <w:tcW w:w="930" w:type="pct"/>
                  <w:vAlign w:val="center"/>
                </w:tcPr>
                <w:p w14:paraId="1FBF570C">
                  <w:pPr>
                    <w:jc w:val="center"/>
                    <w:textAlignment w:val="center"/>
                    <w:rPr>
                      <w:szCs w:val="21"/>
                      <w:lang w:bidi="ar"/>
                    </w:rPr>
                  </w:pPr>
                  <w:r>
                    <w:rPr>
                      <w:szCs w:val="21"/>
                      <w:lang w:bidi="ar"/>
                    </w:rPr>
                    <w:t>检测时段</w:t>
                  </w:r>
                </w:p>
              </w:tc>
              <w:tc>
                <w:tcPr>
                  <w:tcW w:w="761" w:type="pct"/>
                  <w:vAlign w:val="center"/>
                </w:tcPr>
                <w:p w14:paraId="0A7B1B37">
                  <w:pPr>
                    <w:jc w:val="center"/>
                    <w:textAlignment w:val="center"/>
                    <w:rPr>
                      <w:szCs w:val="21"/>
                      <w:lang w:bidi="ar"/>
                    </w:rPr>
                  </w:pPr>
                  <w:r>
                    <w:rPr>
                      <w:szCs w:val="21"/>
                      <w:lang w:bidi="ar"/>
                    </w:rPr>
                    <w:t>闹店人民法庭</w:t>
                  </w:r>
                </w:p>
              </w:tc>
              <w:tc>
                <w:tcPr>
                  <w:tcW w:w="761" w:type="pct"/>
                  <w:vAlign w:val="center"/>
                </w:tcPr>
                <w:p w14:paraId="2FCFB4C5">
                  <w:pPr>
                    <w:jc w:val="center"/>
                    <w:textAlignment w:val="center"/>
                    <w:rPr>
                      <w:szCs w:val="21"/>
                      <w:lang w:bidi="ar"/>
                    </w:rPr>
                  </w:pPr>
                  <w:r>
                    <w:rPr>
                      <w:szCs w:val="21"/>
                      <w:lang w:bidi="ar"/>
                    </w:rPr>
                    <w:t>闹店敬老院</w:t>
                  </w:r>
                </w:p>
              </w:tc>
              <w:tc>
                <w:tcPr>
                  <w:tcW w:w="846" w:type="pct"/>
                  <w:vAlign w:val="center"/>
                </w:tcPr>
                <w:p w14:paraId="0EAF3C1A">
                  <w:pPr>
                    <w:jc w:val="center"/>
                    <w:textAlignment w:val="center"/>
                    <w:rPr>
                      <w:szCs w:val="21"/>
                      <w:lang w:bidi="ar"/>
                    </w:rPr>
                  </w:pPr>
                  <w:r>
                    <w:rPr>
                      <w:szCs w:val="21"/>
                      <w:lang w:bidi="ar"/>
                    </w:rPr>
                    <w:t>标准限值</w:t>
                  </w:r>
                </w:p>
              </w:tc>
              <w:tc>
                <w:tcPr>
                  <w:tcW w:w="789" w:type="pct"/>
                  <w:vAlign w:val="center"/>
                </w:tcPr>
                <w:p w14:paraId="4C77FD8D">
                  <w:pPr>
                    <w:jc w:val="center"/>
                    <w:textAlignment w:val="center"/>
                    <w:rPr>
                      <w:szCs w:val="21"/>
                      <w:lang w:bidi="ar"/>
                    </w:rPr>
                  </w:pPr>
                  <w:r>
                    <w:rPr>
                      <w:szCs w:val="21"/>
                      <w:lang w:bidi="ar"/>
                    </w:rPr>
                    <w:t>是否达标</w:t>
                  </w:r>
                </w:p>
              </w:tc>
            </w:tr>
            <w:tr w14:paraId="5B9F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12" w:type="pct"/>
                  <w:vMerge w:val="restart"/>
                  <w:vAlign w:val="center"/>
                </w:tcPr>
                <w:p w14:paraId="6E6B82CB">
                  <w:pPr>
                    <w:widowControl/>
                    <w:jc w:val="center"/>
                    <w:rPr>
                      <w:szCs w:val="21"/>
                    </w:rPr>
                  </w:pPr>
                  <w:r>
                    <w:rPr>
                      <w:szCs w:val="21"/>
                    </w:rPr>
                    <w:t>2025.12.23</w:t>
                  </w:r>
                </w:p>
              </w:tc>
              <w:tc>
                <w:tcPr>
                  <w:tcW w:w="930" w:type="pct"/>
                  <w:vAlign w:val="center"/>
                </w:tcPr>
                <w:p w14:paraId="2D858641">
                  <w:pPr>
                    <w:widowControl/>
                    <w:jc w:val="center"/>
                    <w:rPr>
                      <w:szCs w:val="21"/>
                    </w:rPr>
                  </w:pPr>
                  <w:r>
                    <w:rPr>
                      <w:szCs w:val="21"/>
                    </w:rPr>
                    <w:t>昼间</w:t>
                  </w:r>
                </w:p>
              </w:tc>
              <w:tc>
                <w:tcPr>
                  <w:tcW w:w="761" w:type="pct"/>
                  <w:vAlign w:val="center"/>
                </w:tcPr>
                <w:p w14:paraId="767C43A7">
                  <w:pPr>
                    <w:jc w:val="center"/>
                    <w:textAlignment w:val="center"/>
                    <w:rPr>
                      <w:szCs w:val="21"/>
                      <w:lang w:bidi="ar"/>
                    </w:rPr>
                  </w:pPr>
                  <w:r>
                    <w:rPr>
                      <w:szCs w:val="21"/>
                      <w:lang w:bidi="ar"/>
                    </w:rPr>
                    <w:t>55</w:t>
                  </w:r>
                </w:p>
              </w:tc>
              <w:tc>
                <w:tcPr>
                  <w:tcW w:w="761" w:type="pct"/>
                  <w:vAlign w:val="center"/>
                </w:tcPr>
                <w:p w14:paraId="183C47EB">
                  <w:pPr>
                    <w:jc w:val="center"/>
                    <w:textAlignment w:val="center"/>
                    <w:rPr>
                      <w:szCs w:val="21"/>
                    </w:rPr>
                  </w:pPr>
                  <w:r>
                    <w:rPr>
                      <w:szCs w:val="21"/>
                    </w:rPr>
                    <w:t>54</w:t>
                  </w:r>
                </w:p>
              </w:tc>
              <w:tc>
                <w:tcPr>
                  <w:tcW w:w="846" w:type="pct"/>
                  <w:vAlign w:val="center"/>
                </w:tcPr>
                <w:p w14:paraId="69DD94E8">
                  <w:pPr>
                    <w:jc w:val="center"/>
                    <w:textAlignment w:val="center"/>
                    <w:rPr>
                      <w:szCs w:val="21"/>
                    </w:rPr>
                  </w:pPr>
                  <w:r>
                    <w:rPr>
                      <w:szCs w:val="21"/>
                    </w:rPr>
                    <w:t>60</w:t>
                  </w:r>
                </w:p>
              </w:tc>
              <w:tc>
                <w:tcPr>
                  <w:tcW w:w="789" w:type="pct"/>
                  <w:vAlign w:val="center"/>
                </w:tcPr>
                <w:p w14:paraId="50D9B014">
                  <w:pPr>
                    <w:jc w:val="center"/>
                    <w:textAlignment w:val="center"/>
                    <w:rPr>
                      <w:szCs w:val="21"/>
                    </w:rPr>
                  </w:pPr>
                  <w:r>
                    <w:rPr>
                      <w:szCs w:val="21"/>
                      <w:lang w:bidi="ar"/>
                    </w:rPr>
                    <w:t>达标</w:t>
                  </w:r>
                </w:p>
              </w:tc>
            </w:tr>
            <w:tr w14:paraId="40E4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2" w:type="pct"/>
                  <w:vMerge w:val="continue"/>
                  <w:vAlign w:val="center"/>
                </w:tcPr>
                <w:p w14:paraId="1C5771BE">
                  <w:pPr>
                    <w:widowControl/>
                    <w:jc w:val="center"/>
                    <w:rPr>
                      <w:szCs w:val="21"/>
                    </w:rPr>
                  </w:pPr>
                </w:p>
              </w:tc>
              <w:tc>
                <w:tcPr>
                  <w:tcW w:w="930" w:type="pct"/>
                  <w:vAlign w:val="center"/>
                </w:tcPr>
                <w:p w14:paraId="61B35153">
                  <w:pPr>
                    <w:widowControl/>
                    <w:jc w:val="center"/>
                    <w:rPr>
                      <w:szCs w:val="21"/>
                    </w:rPr>
                  </w:pPr>
                  <w:r>
                    <w:rPr>
                      <w:szCs w:val="21"/>
                    </w:rPr>
                    <w:t>夜间</w:t>
                  </w:r>
                </w:p>
              </w:tc>
              <w:tc>
                <w:tcPr>
                  <w:tcW w:w="761" w:type="pct"/>
                  <w:vAlign w:val="center"/>
                </w:tcPr>
                <w:p w14:paraId="3743CC0C">
                  <w:pPr>
                    <w:jc w:val="center"/>
                    <w:textAlignment w:val="center"/>
                    <w:rPr>
                      <w:szCs w:val="21"/>
                      <w:lang w:bidi="ar"/>
                    </w:rPr>
                  </w:pPr>
                  <w:r>
                    <w:rPr>
                      <w:szCs w:val="21"/>
                      <w:lang w:bidi="ar"/>
                    </w:rPr>
                    <w:t>43</w:t>
                  </w:r>
                </w:p>
              </w:tc>
              <w:tc>
                <w:tcPr>
                  <w:tcW w:w="761" w:type="pct"/>
                  <w:vAlign w:val="center"/>
                </w:tcPr>
                <w:p w14:paraId="3EF7BB9B">
                  <w:pPr>
                    <w:jc w:val="center"/>
                    <w:textAlignment w:val="center"/>
                    <w:rPr>
                      <w:szCs w:val="21"/>
                    </w:rPr>
                  </w:pPr>
                  <w:r>
                    <w:rPr>
                      <w:szCs w:val="21"/>
                    </w:rPr>
                    <w:t>42</w:t>
                  </w:r>
                </w:p>
              </w:tc>
              <w:tc>
                <w:tcPr>
                  <w:tcW w:w="846" w:type="pct"/>
                  <w:vAlign w:val="center"/>
                </w:tcPr>
                <w:p w14:paraId="254A4201">
                  <w:pPr>
                    <w:jc w:val="center"/>
                    <w:textAlignment w:val="center"/>
                    <w:rPr>
                      <w:szCs w:val="21"/>
                    </w:rPr>
                  </w:pPr>
                  <w:r>
                    <w:rPr>
                      <w:szCs w:val="21"/>
                    </w:rPr>
                    <w:t>50</w:t>
                  </w:r>
                </w:p>
              </w:tc>
              <w:tc>
                <w:tcPr>
                  <w:tcW w:w="789" w:type="pct"/>
                  <w:vAlign w:val="center"/>
                </w:tcPr>
                <w:p w14:paraId="06AFDFBA">
                  <w:pPr>
                    <w:jc w:val="center"/>
                    <w:textAlignment w:val="center"/>
                    <w:rPr>
                      <w:szCs w:val="21"/>
                    </w:rPr>
                  </w:pPr>
                  <w:r>
                    <w:rPr>
                      <w:szCs w:val="21"/>
                      <w:lang w:bidi="ar"/>
                    </w:rPr>
                    <w:t>达标</w:t>
                  </w:r>
                </w:p>
              </w:tc>
            </w:tr>
            <w:tr w14:paraId="592E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2" w:type="pct"/>
                  <w:vMerge w:val="restart"/>
                  <w:vAlign w:val="center"/>
                </w:tcPr>
                <w:p w14:paraId="2B94478A">
                  <w:pPr>
                    <w:widowControl/>
                    <w:jc w:val="center"/>
                    <w:rPr>
                      <w:szCs w:val="21"/>
                    </w:rPr>
                  </w:pPr>
                  <w:r>
                    <w:rPr>
                      <w:szCs w:val="21"/>
                    </w:rPr>
                    <w:t>2025.12.24</w:t>
                  </w:r>
                </w:p>
              </w:tc>
              <w:tc>
                <w:tcPr>
                  <w:tcW w:w="930" w:type="pct"/>
                  <w:vAlign w:val="center"/>
                </w:tcPr>
                <w:p w14:paraId="72894CC0">
                  <w:pPr>
                    <w:widowControl/>
                    <w:jc w:val="center"/>
                    <w:rPr>
                      <w:szCs w:val="21"/>
                      <w:lang w:bidi="ar"/>
                    </w:rPr>
                  </w:pPr>
                  <w:r>
                    <w:rPr>
                      <w:szCs w:val="21"/>
                    </w:rPr>
                    <w:t>昼间</w:t>
                  </w:r>
                </w:p>
              </w:tc>
              <w:tc>
                <w:tcPr>
                  <w:tcW w:w="761" w:type="pct"/>
                  <w:vAlign w:val="center"/>
                </w:tcPr>
                <w:p w14:paraId="185256DE">
                  <w:pPr>
                    <w:jc w:val="center"/>
                    <w:textAlignment w:val="center"/>
                    <w:rPr>
                      <w:szCs w:val="21"/>
                      <w:lang w:bidi="ar"/>
                    </w:rPr>
                  </w:pPr>
                  <w:r>
                    <w:rPr>
                      <w:szCs w:val="21"/>
                      <w:lang w:bidi="ar"/>
                    </w:rPr>
                    <w:t>54</w:t>
                  </w:r>
                </w:p>
              </w:tc>
              <w:tc>
                <w:tcPr>
                  <w:tcW w:w="761" w:type="pct"/>
                  <w:vAlign w:val="center"/>
                </w:tcPr>
                <w:p w14:paraId="29DB3288">
                  <w:pPr>
                    <w:jc w:val="center"/>
                    <w:textAlignment w:val="center"/>
                    <w:rPr>
                      <w:szCs w:val="21"/>
                    </w:rPr>
                  </w:pPr>
                  <w:r>
                    <w:rPr>
                      <w:szCs w:val="21"/>
                    </w:rPr>
                    <w:t>53</w:t>
                  </w:r>
                </w:p>
              </w:tc>
              <w:tc>
                <w:tcPr>
                  <w:tcW w:w="846" w:type="pct"/>
                  <w:vAlign w:val="center"/>
                </w:tcPr>
                <w:p w14:paraId="692FDE6D">
                  <w:pPr>
                    <w:jc w:val="center"/>
                    <w:textAlignment w:val="center"/>
                    <w:rPr>
                      <w:szCs w:val="21"/>
                    </w:rPr>
                  </w:pPr>
                  <w:r>
                    <w:rPr>
                      <w:szCs w:val="21"/>
                    </w:rPr>
                    <w:t>60</w:t>
                  </w:r>
                </w:p>
              </w:tc>
              <w:tc>
                <w:tcPr>
                  <w:tcW w:w="789" w:type="pct"/>
                  <w:vAlign w:val="center"/>
                </w:tcPr>
                <w:p w14:paraId="5E651E1E">
                  <w:pPr>
                    <w:jc w:val="center"/>
                    <w:textAlignment w:val="center"/>
                    <w:rPr>
                      <w:szCs w:val="21"/>
                    </w:rPr>
                  </w:pPr>
                  <w:r>
                    <w:rPr>
                      <w:szCs w:val="21"/>
                      <w:lang w:bidi="ar"/>
                    </w:rPr>
                    <w:t>达标</w:t>
                  </w:r>
                </w:p>
              </w:tc>
            </w:tr>
            <w:tr w14:paraId="68F1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2" w:type="pct"/>
                  <w:vMerge w:val="continue"/>
                  <w:vAlign w:val="center"/>
                </w:tcPr>
                <w:p w14:paraId="5E93D13F">
                  <w:pPr>
                    <w:widowControl/>
                    <w:jc w:val="center"/>
                    <w:rPr>
                      <w:szCs w:val="21"/>
                    </w:rPr>
                  </w:pPr>
                </w:p>
              </w:tc>
              <w:tc>
                <w:tcPr>
                  <w:tcW w:w="930" w:type="pct"/>
                  <w:vAlign w:val="center"/>
                </w:tcPr>
                <w:p w14:paraId="67CF407E">
                  <w:pPr>
                    <w:widowControl/>
                    <w:jc w:val="center"/>
                    <w:rPr>
                      <w:szCs w:val="21"/>
                      <w:lang w:bidi="ar"/>
                    </w:rPr>
                  </w:pPr>
                  <w:r>
                    <w:rPr>
                      <w:szCs w:val="21"/>
                    </w:rPr>
                    <w:t>夜间</w:t>
                  </w:r>
                </w:p>
              </w:tc>
              <w:tc>
                <w:tcPr>
                  <w:tcW w:w="761" w:type="pct"/>
                  <w:vAlign w:val="center"/>
                </w:tcPr>
                <w:p w14:paraId="14E9FD1D">
                  <w:pPr>
                    <w:jc w:val="center"/>
                    <w:textAlignment w:val="center"/>
                    <w:rPr>
                      <w:szCs w:val="21"/>
                      <w:lang w:bidi="ar"/>
                    </w:rPr>
                  </w:pPr>
                  <w:r>
                    <w:rPr>
                      <w:szCs w:val="21"/>
                      <w:lang w:bidi="ar"/>
                    </w:rPr>
                    <w:t>43</w:t>
                  </w:r>
                </w:p>
              </w:tc>
              <w:tc>
                <w:tcPr>
                  <w:tcW w:w="761" w:type="pct"/>
                  <w:vAlign w:val="center"/>
                </w:tcPr>
                <w:p w14:paraId="6FA0051E">
                  <w:pPr>
                    <w:jc w:val="center"/>
                    <w:textAlignment w:val="center"/>
                    <w:rPr>
                      <w:szCs w:val="21"/>
                    </w:rPr>
                  </w:pPr>
                  <w:r>
                    <w:rPr>
                      <w:szCs w:val="21"/>
                    </w:rPr>
                    <w:t>42</w:t>
                  </w:r>
                </w:p>
              </w:tc>
              <w:tc>
                <w:tcPr>
                  <w:tcW w:w="846" w:type="pct"/>
                  <w:vAlign w:val="center"/>
                </w:tcPr>
                <w:p w14:paraId="55A28AAD">
                  <w:pPr>
                    <w:jc w:val="center"/>
                    <w:textAlignment w:val="center"/>
                    <w:rPr>
                      <w:szCs w:val="21"/>
                    </w:rPr>
                  </w:pPr>
                  <w:r>
                    <w:rPr>
                      <w:szCs w:val="21"/>
                    </w:rPr>
                    <w:t>50</w:t>
                  </w:r>
                </w:p>
              </w:tc>
              <w:tc>
                <w:tcPr>
                  <w:tcW w:w="789" w:type="pct"/>
                  <w:vAlign w:val="center"/>
                </w:tcPr>
                <w:p w14:paraId="54A93E86">
                  <w:pPr>
                    <w:jc w:val="center"/>
                    <w:textAlignment w:val="center"/>
                    <w:rPr>
                      <w:szCs w:val="21"/>
                    </w:rPr>
                  </w:pPr>
                  <w:r>
                    <w:rPr>
                      <w:szCs w:val="21"/>
                      <w:lang w:bidi="ar"/>
                    </w:rPr>
                    <w:t>达标</w:t>
                  </w:r>
                </w:p>
              </w:tc>
            </w:tr>
          </w:tbl>
          <w:p w14:paraId="618FF408">
            <w:pPr>
              <w:adjustRightInd w:val="0"/>
              <w:snapToGrid w:val="0"/>
              <w:spacing w:line="500" w:lineRule="exact"/>
              <w:ind w:firstLine="480" w:firstLineChars="200"/>
              <w:rPr>
                <w:bCs/>
                <w:sz w:val="24"/>
              </w:rPr>
            </w:pPr>
            <w:r>
              <w:rPr>
                <w:bCs/>
                <w:sz w:val="24"/>
              </w:rPr>
              <w:t>由上表可知，项目区域敏感点声环境现状能够满足</w:t>
            </w:r>
            <w:r>
              <w:rPr>
                <w:sz w:val="24"/>
              </w:rPr>
              <w:t>《声环境质量标准》（GB3096-2008）2类标准限值要求</w:t>
            </w:r>
            <w:r>
              <w:rPr>
                <w:bCs/>
                <w:sz w:val="24"/>
              </w:rPr>
              <w:t>。</w:t>
            </w:r>
          </w:p>
          <w:p w14:paraId="6699531F">
            <w:pPr>
              <w:pStyle w:val="24"/>
              <w:spacing w:after="0" w:line="500" w:lineRule="exact"/>
              <w:ind w:left="0" w:leftChars="0"/>
              <w:rPr>
                <w:rFonts w:eastAsia="黑体"/>
                <w:sz w:val="24"/>
              </w:rPr>
            </w:pPr>
            <w:r>
              <w:rPr>
                <w:rFonts w:eastAsia="黑体"/>
                <w:sz w:val="24"/>
              </w:rPr>
              <w:t>5、土壤环境质量现状</w:t>
            </w:r>
          </w:p>
          <w:p w14:paraId="692363D6">
            <w:pPr>
              <w:spacing w:line="500" w:lineRule="exact"/>
              <w:ind w:firstLine="480" w:firstLineChars="200"/>
              <w:rPr>
                <w:bCs/>
                <w:sz w:val="24"/>
              </w:rPr>
            </w:pPr>
            <w:r>
              <w:rPr>
                <w:bCs/>
                <w:sz w:val="24"/>
              </w:rPr>
              <w:t>为了解区域地下声环境质量现状，评价引用河南贝纳检测技术服务有限公司于2023年7月19日对项目厂区内的土壤监测结果。</w:t>
            </w:r>
          </w:p>
          <w:p w14:paraId="0DBA099F">
            <w:pPr>
              <w:spacing w:line="500" w:lineRule="exact"/>
              <w:ind w:firstLine="480" w:firstLineChars="200"/>
              <w:rPr>
                <w:bCs/>
                <w:sz w:val="24"/>
              </w:rPr>
            </w:pPr>
            <w:r>
              <w:rPr>
                <w:bCs/>
                <w:sz w:val="24"/>
              </w:rPr>
              <w:t>（1）监测内容</w:t>
            </w:r>
          </w:p>
          <w:p w14:paraId="350FDC6C">
            <w:pPr>
              <w:adjustRightInd w:val="0"/>
              <w:snapToGrid w:val="0"/>
              <w:spacing w:line="520" w:lineRule="exact"/>
              <w:jc w:val="center"/>
              <w:rPr>
                <w:rFonts w:eastAsia="黑体"/>
                <w:bCs/>
                <w:sz w:val="24"/>
              </w:rPr>
            </w:pPr>
            <w:r>
              <w:rPr>
                <w:rFonts w:eastAsia="黑体"/>
                <w:bCs/>
                <w:sz w:val="24"/>
              </w:rPr>
              <w:t>表3-7          土壤环境监测内容情况一览表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5"/>
              <w:gridCol w:w="2096"/>
              <w:gridCol w:w="1702"/>
              <w:gridCol w:w="2268"/>
              <w:gridCol w:w="1138"/>
            </w:tblGrid>
            <w:tr w14:paraId="4182A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915" w:type="dxa"/>
                  <w:vAlign w:val="center"/>
                </w:tcPr>
                <w:p w14:paraId="3C87F5E6">
                  <w:pPr>
                    <w:pStyle w:val="82"/>
                    <w:kinsoku w:val="0"/>
                    <w:overflowPunct w:val="0"/>
                    <w:jc w:val="center"/>
                    <w:rPr>
                      <w:bCs/>
                      <w:kern w:val="2"/>
                      <w:sz w:val="21"/>
                      <w:szCs w:val="21"/>
                    </w:rPr>
                  </w:pPr>
                  <w:r>
                    <w:rPr>
                      <w:bCs/>
                      <w:kern w:val="2"/>
                      <w:sz w:val="21"/>
                      <w:szCs w:val="21"/>
                    </w:rPr>
                    <w:t>监测点位编号</w:t>
                  </w:r>
                </w:p>
              </w:tc>
              <w:tc>
                <w:tcPr>
                  <w:tcW w:w="2096" w:type="dxa"/>
                  <w:vAlign w:val="center"/>
                </w:tcPr>
                <w:p w14:paraId="46F14A27">
                  <w:pPr>
                    <w:pStyle w:val="82"/>
                    <w:kinsoku w:val="0"/>
                    <w:overflowPunct w:val="0"/>
                    <w:jc w:val="center"/>
                    <w:rPr>
                      <w:bCs/>
                      <w:kern w:val="2"/>
                      <w:sz w:val="21"/>
                      <w:szCs w:val="21"/>
                    </w:rPr>
                  </w:pPr>
                  <w:r>
                    <w:rPr>
                      <w:bCs/>
                      <w:kern w:val="2"/>
                      <w:sz w:val="21"/>
                      <w:szCs w:val="21"/>
                    </w:rPr>
                    <w:t>监测点位</w:t>
                  </w:r>
                </w:p>
              </w:tc>
              <w:tc>
                <w:tcPr>
                  <w:tcW w:w="1702" w:type="dxa"/>
                  <w:vAlign w:val="center"/>
                </w:tcPr>
                <w:p w14:paraId="31B68C97">
                  <w:pPr>
                    <w:pStyle w:val="82"/>
                    <w:kinsoku w:val="0"/>
                    <w:overflowPunct w:val="0"/>
                    <w:jc w:val="center"/>
                    <w:rPr>
                      <w:bCs/>
                      <w:kern w:val="2"/>
                      <w:sz w:val="21"/>
                      <w:szCs w:val="21"/>
                    </w:rPr>
                  </w:pPr>
                  <w:r>
                    <w:rPr>
                      <w:bCs/>
                      <w:kern w:val="2"/>
                      <w:sz w:val="21"/>
                      <w:szCs w:val="21"/>
                    </w:rPr>
                    <w:t>采样形式</w:t>
                  </w:r>
                </w:p>
              </w:tc>
              <w:tc>
                <w:tcPr>
                  <w:tcW w:w="2268" w:type="dxa"/>
                  <w:vAlign w:val="center"/>
                </w:tcPr>
                <w:p w14:paraId="433C4F34">
                  <w:pPr>
                    <w:pStyle w:val="82"/>
                    <w:kinsoku w:val="0"/>
                    <w:overflowPunct w:val="0"/>
                    <w:jc w:val="center"/>
                    <w:rPr>
                      <w:bCs/>
                      <w:kern w:val="2"/>
                      <w:sz w:val="21"/>
                      <w:szCs w:val="21"/>
                    </w:rPr>
                  </w:pPr>
                  <w:r>
                    <w:rPr>
                      <w:bCs/>
                      <w:sz w:val="21"/>
                      <w:szCs w:val="21"/>
                    </w:rPr>
                    <w:t>监测项目</w:t>
                  </w:r>
                </w:p>
              </w:tc>
              <w:tc>
                <w:tcPr>
                  <w:tcW w:w="1138" w:type="dxa"/>
                  <w:vAlign w:val="center"/>
                </w:tcPr>
                <w:p w14:paraId="7BB74944">
                  <w:pPr>
                    <w:pStyle w:val="82"/>
                    <w:kinsoku w:val="0"/>
                    <w:overflowPunct w:val="0"/>
                    <w:jc w:val="center"/>
                    <w:rPr>
                      <w:bCs/>
                      <w:kern w:val="2"/>
                      <w:sz w:val="21"/>
                      <w:szCs w:val="21"/>
                    </w:rPr>
                  </w:pPr>
                  <w:r>
                    <w:rPr>
                      <w:bCs/>
                      <w:sz w:val="21"/>
                      <w:szCs w:val="21"/>
                    </w:rPr>
                    <w:t>监测频次</w:t>
                  </w:r>
                </w:p>
              </w:tc>
            </w:tr>
            <w:tr w14:paraId="1621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915" w:type="dxa"/>
                  <w:vAlign w:val="center"/>
                </w:tcPr>
                <w:p w14:paraId="4CFCA8E0">
                  <w:pPr>
                    <w:pStyle w:val="82"/>
                    <w:kinsoku w:val="0"/>
                    <w:overflowPunct w:val="0"/>
                    <w:jc w:val="center"/>
                    <w:rPr>
                      <w:bCs/>
                      <w:kern w:val="2"/>
                      <w:sz w:val="21"/>
                      <w:szCs w:val="21"/>
                    </w:rPr>
                  </w:pPr>
                  <w:r>
                    <w:rPr>
                      <w:bCs/>
                      <w:kern w:val="2"/>
                      <w:sz w:val="21"/>
                      <w:szCs w:val="21"/>
                    </w:rPr>
                    <w:t>1</w:t>
                  </w:r>
                </w:p>
              </w:tc>
              <w:tc>
                <w:tcPr>
                  <w:tcW w:w="2096" w:type="dxa"/>
                  <w:vAlign w:val="center"/>
                </w:tcPr>
                <w:p w14:paraId="13E772FE">
                  <w:pPr>
                    <w:pStyle w:val="82"/>
                    <w:kinsoku w:val="0"/>
                    <w:overflowPunct w:val="0"/>
                    <w:jc w:val="center"/>
                    <w:rPr>
                      <w:bCs/>
                      <w:kern w:val="2"/>
                      <w:sz w:val="21"/>
                      <w:szCs w:val="21"/>
                    </w:rPr>
                  </w:pPr>
                  <w:r>
                    <w:rPr>
                      <w:bCs/>
                      <w:kern w:val="2"/>
                      <w:sz w:val="21"/>
                      <w:szCs w:val="21"/>
                    </w:rPr>
                    <w:t>原料库</w:t>
                  </w:r>
                </w:p>
              </w:tc>
              <w:tc>
                <w:tcPr>
                  <w:tcW w:w="1702" w:type="dxa"/>
                  <w:vAlign w:val="center"/>
                </w:tcPr>
                <w:p w14:paraId="3133370B">
                  <w:pPr>
                    <w:pStyle w:val="82"/>
                    <w:kinsoku w:val="0"/>
                    <w:overflowPunct w:val="0"/>
                    <w:jc w:val="center"/>
                    <w:rPr>
                      <w:bCs/>
                      <w:kern w:val="2"/>
                      <w:sz w:val="21"/>
                      <w:szCs w:val="21"/>
                    </w:rPr>
                  </w:pPr>
                  <w:r>
                    <w:rPr>
                      <w:bCs/>
                      <w:kern w:val="2"/>
                      <w:sz w:val="21"/>
                      <w:szCs w:val="21"/>
                    </w:rPr>
                    <w:t>表层样</w:t>
                  </w:r>
                </w:p>
              </w:tc>
              <w:tc>
                <w:tcPr>
                  <w:tcW w:w="2268" w:type="dxa"/>
                  <w:vMerge w:val="restart"/>
                  <w:vAlign w:val="center"/>
                </w:tcPr>
                <w:p w14:paraId="14D36063">
                  <w:pPr>
                    <w:pStyle w:val="82"/>
                    <w:kinsoku w:val="0"/>
                    <w:overflowPunct w:val="0"/>
                    <w:jc w:val="center"/>
                    <w:rPr>
                      <w:bCs/>
                      <w:kern w:val="2"/>
                      <w:sz w:val="21"/>
                      <w:szCs w:val="21"/>
                    </w:rPr>
                  </w:pPr>
                  <w:r>
                    <w:rPr>
                      <w:bCs/>
                      <w:sz w:val="21"/>
                      <w:szCs w:val="21"/>
                    </w:rPr>
                    <w:t>《土壤环境质量建设用地土壤污染风险管控标准（试行）》（GB36600-2018）表1中45项</w:t>
                  </w:r>
                </w:p>
              </w:tc>
              <w:tc>
                <w:tcPr>
                  <w:tcW w:w="1138" w:type="dxa"/>
                  <w:vMerge w:val="restart"/>
                  <w:vAlign w:val="center"/>
                </w:tcPr>
                <w:p w14:paraId="0C258312">
                  <w:pPr>
                    <w:pStyle w:val="82"/>
                    <w:kinsoku w:val="0"/>
                    <w:overflowPunct w:val="0"/>
                    <w:jc w:val="center"/>
                    <w:rPr>
                      <w:bCs/>
                      <w:kern w:val="2"/>
                      <w:sz w:val="21"/>
                      <w:szCs w:val="21"/>
                    </w:rPr>
                  </w:pPr>
                  <w:r>
                    <w:rPr>
                      <w:bCs/>
                      <w:kern w:val="2"/>
                      <w:sz w:val="21"/>
                      <w:szCs w:val="21"/>
                    </w:rPr>
                    <w:t>采样1次</w:t>
                  </w:r>
                </w:p>
              </w:tc>
            </w:tr>
            <w:tr w14:paraId="7CFCB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915" w:type="dxa"/>
                  <w:vAlign w:val="center"/>
                </w:tcPr>
                <w:p w14:paraId="306D3A34">
                  <w:pPr>
                    <w:pStyle w:val="82"/>
                    <w:kinsoku w:val="0"/>
                    <w:overflowPunct w:val="0"/>
                    <w:jc w:val="center"/>
                    <w:rPr>
                      <w:bCs/>
                      <w:kern w:val="2"/>
                      <w:sz w:val="21"/>
                      <w:szCs w:val="21"/>
                    </w:rPr>
                  </w:pPr>
                  <w:r>
                    <w:rPr>
                      <w:bCs/>
                      <w:kern w:val="2"/>
                      <w:sz w:val="21"/>
                      <w:szCs w:val="21"/>
                    </w:rPr>
                    <w:t>2</w:t>
                  </w:r>
                </w:p>
              </w:tc>
              <w:tc>
                <w:tcPr>
                  <w:tcW w:w="2096" w:type="dxa"/>
                  <w:vAlign w:val="center"/>
                </w:tcPr>
                <w:p w14:paraId="695EB827">
                  <w:pPr>
                    <w:pStyle w:val="82"/>
                    <w:kinsoku w:val="0"/>
                    <w:overflowPunct w:val="0"/>
                    <w:jc w:val="center"/>
                    <w:rPr>
                      <w:bCs/>
                      <w:kern w:val="2"/>
                      <w:sz w:val="21"/>
                      <w:szCs w:val="21"/>
                    </w:rPr>
                  </w:pPr>
                  <w:r>
                    <w:rPr>
                      <w:bCs/>
                      <w:kern w:val="2"/>
                      <w:sz w:val="21"/>
                      <w:szCs w:val="21"/>
                    </w:rPr>
                    <w:t>产品堆场</w:t>
                  </w:r>
                </w:p>
              </w:tc>
              <w:tc>
                <w:tcPr>
                  <w:tcW w:w="1702" w:type="dxa"/>
                  <w:vAlign w:val="center"/>
                </w:tcPr>
                <w:p w14:paraId="71CB9325">
                  <w:pPr>
                    <w:pStyle w:val="82"/>
                    <w:kinsoku w:val="0"/>
                    <w:overflowPunct w:val="0"/>
                    <w:jc w:val="center"/>
                    <w:rPr>
                      <w:bCs/>
                      <w:kern w:val="2"/>
                      <w:sz w:val="21"/>
                      <w:szCs w:val="21"/>
                    </w:rPr>
                  </w:pPr>
                  <w:r>
                    <w:rPr>
                      <w:bCs/>
                      <w:kern w:val="2"/>
                      <w:sz w:val="21"/>
                      <w:szCs w:val="21"/>
                    </w:rPr>
                    <w:t>表层样</w:t>
                  </w:r>
                </w:p>
              </w:tc>
              <w:tc>
                <w:tcPr>
                  <w:tcW w:w="2268" w:type="dxa"/>
                  <w:vMerge w:val="continue"/>
                  <w:vAlign w:val="center"/>
                </w:tcPr>
                <w:p w14:paraId="29D8F09F">
                  <w:pPr>
                    <w:pStyle w:val="82"/>
                    <w:kinsoku w:val="0"/>
                    <w:overflowPunct w:val="0"/>
                    <w:jc w:val="center"/>
                    <w:rPr>
                      <w:bCs/>
                      <w:kern w:val="2"/>
                      <w:sz w:val="21"/>
                      <w:szCs w:val="21"/>
                    </w:rPr>
                  </w:pPr>
                </w:p>
              </w:tc>
              <w:tc>
                <w:tcPr>
                  <w:tcW w:w="1138" w:type="dxa"/>
                  <w:vMerge w:val="continue"/>
                  <w:vAlign w:val="center"/>
                </w:tcPr>
                <w:p w14:paraId="0293D91C">
                  <w:pPr>
                    <w:pStyle w:val="82"/>
                    <w:kinsoku w:val="0"/>
                    <w:overflowPunct w:val="0"/>
                    <w:jc w:val="center"/>
                    <w:rPr>
                      <w:bCs/>
                      <w:kern w:val="2"/>
                      <w:sz w:val="21"/>
                      <w:szCs w:val="21"/>
                    </w:rPr>
                  </w:pPr>
                </w:p>
              </w:tc>
            </w:tr>
            <w:tr w14:paraId="05D18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915" w:type="dxa"/>
                  <w:vAlign w:val="center"/>
                </w:tcPr>
                <w:p w14:paraId="05ED6B5B">
                  <w:pPr>
                    <w:pStyle w:val="82"/>
                    <w:kinsoku w:val="0"/>
                    <w:overflowPunct w:val="0"/>
                    <w:jc w:val="center"/>
                    <w:rPr>
                      <w:bCs/>
                      <w:kern w:val="2"/>
                      <w:sz w:val="21"/>
                      <w:szCs w:val="21"/>
                    </w:rPr>
                  </w:pPr>
                  <w:r>
                    <w:rPr>
                      <w:bCs/>
                      <w:kern w:val="2"/>
                      <w:sz w:val="21"/>
                      <w:szCs w:val="21"/>
                    </w:rPr>
                    <w:t>3</w:t>
                  </w:r>
                </w:p>
              </w:tc>
              <w:tc>
                <w:tcPr>
                  <w:tcW w:w="2096" w:type="dxa"/>
                  <w:vAlign w:val="center"/>
                </w:tcPr>
                <w:p w14:paraId="003C2A73">
                  <w:pPr>
                    <w:pStyle w:val="82"/>
                    <w:kinsoku w:val="0"/>
                    <w:overflowPunct w:val="0"/>
                    <w:jc w:val="center"/>
                    <w:rPr>
                      <w:bCs/>
                      <w:kern w:val="2"/>
                      <w:sz w:val="21"/>
                      <w:szCs w:val="21"/>
                    </w:rPr>
                  </w:pPr>
                  <w:r>
                    <w:rPr>
                      <w:bCs/>
                      <w:kern w:val="2"/>
                      <w:sz w:val="21"/>
                      <w:szCs w:val="21"/>
                    </w:rPr>
                    <w:t>烧结车间</w:t>
                  </w:r>
                </w:p>
              </w:tc>
              <w:tc>
                <w:tcPr>
                  <w:tcW w:w="1702" w:type="dxa"/>
                  <w:vAlign w:val="center"/>
                </w:tcPr>
                <w:p w14:paraId="1F352D95">
                  <w:pPr>
                    <w:pStyle w:val="82"/>
                    <w:kinsoku w:val="0"/>
                    <w:overflowPunct w:val="0"/>
                    <w:jc w:val="center"/>
                    <w:rPr>
                      <w:bCs/>
                      <w:kern w:val="2"/>
                      <w:sz w:val="21"/>
                      <w:szCs w:val="21"/>
                    </w:rPr>
                  </w:pPr>
                  <w:r>
                    <w:rPr>
                      <w:bCs/>
                      <w:kern w:val="2"/>
                      <w:sz w:val="21"/>
                      <w:szCs w:val="21"/>
                    </w:rPr>
                    <w:t>表层样</w:t>
                  </w:r>
                </w:p>
              </w:tc>
              <w:tc>
                <w:tcPr>
                  <w:tcW w:w="2268" w:type="dxa"/>
                  <w:vMerge w:val="continue"/>
                  <w:vAlign w:val="center"/>
                </w:tcPr>
                <w:p w14:paraId="5622829F">
                  <w:pPr>
                    <w:pStyle w:val="82"/>
                    <w:kinsoku w:val="0"/>
                    <w:overflowPunct w:val="0"/>
                    <w:jc w:val="center"/>
                    <w:rPr>
                      <w:bCs/>
                      <w:kern w:val="2"/>
                      <w:sz w:val="21"/>
                      <w:szCs w:val="21"/>
                    </w:rPr>
                  </w:pPr>
                </w:p>
              </w:tc>
              <w:tc>
                <w:tcPr>
                  <w:tcW w:w="1138" w:type="dxa"/>
                  <w:vMerge w:val="continue"/>
                  <w:vAlign w:val="center"/>
                </w:tcPr>
                <w:p w14:paraId="04F9FFA8">
                  <w:pPr>
                    <w:pStyle w:val="82"/>
                    <w:kinsoku w:val="0"/>
                    <w:overflowPunct w:val="0"/>
                    <w:jc w:val="center"/>
                    <w:rPr>
                      <w:bCs/>
                      <w:kern w:val="2"/>
                      <w:sz w:val="21"/>
                      <w:szCs w:val="21"/>
                    </w:rPr>
                  </w:pPr>
                </w:p>
              </w:tc>
            </w:tr>
          </w:tbl>
          <w:p w14:paraId="5238DDB1">
            <w:pPr>
              <w:spacing w:line="500" w:lineRule="exact"/>
              <w:ind w:firstLine="480" w:firstLineChars="200"/>
              <w:jc w:val="left"/>
              <w:rPr>
                <w:bCs/>
                <w:sz w:val="24"/>
              </w:rPr>
            </w:pPr>
            <w:r>
              <w:rPr>
                <w:bCs/>
                <w:sz w:val="24"/>
              </w:rPr>
              <w:t>（2）检测结果</w:t>
            </w:r>
          </w:p>
          <w:p w14:paraId="6A9DA2B2">
            <w:pPr>
              <w:spacing w:line="500" w:lineRule="exact"/>
              <w:ind w:firstLine="480" w:firstLineChars="200"/>
              <w:rPr>
                <w:bCs/>
                <w:sz w:val="24"/>
              </w:rPr>
            </w:pPr>
            <w:r>
              <w:rPr>
                <w:bCs/>
                <w:sz w:val="24"/>
              </w:rPr>
              <w:t>具体监测结果见下表3-8。</w:t>
            </w:r>
          </w:p>
          <w:p w14:paraId="3C7766DF">
            <w:pPr>
              <w:adjustRightInd w:val="0"/>
              <w:snapToGrid w:val="0"/>
              <w:spacing w:line="520" w:lineRule="exact"/>
              <w:jc w:val="center"/>
              <w:rPr>
                <w:rFonts w:eastAsia="黑体"/>
                <w:bCs/>
                <w:sz w:val="24"/>
              </w:rPr>
            </w:pPr>
            <w:r>
              <w:rPr>
                <w:rFonts w:eastAsia="黑体"/>
                <w:bCs/>
                <w:sz w:val="24"/>
              </w:rPr>
              <w:t>表3-8       土壤环境监测结果一览表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78"/>
              <w:gridCol w:w="971"/>
              <w:gridCol w:w="1246"/>
              <w:gridCol w:w="1108"/>
              <w:gridCol w:w="1247"/>
              <w:gridCol w:w="967"/>
              <w:gridCol w:w="968"/>
            </w:tblGrid>
            <w:tr w14:paraId="7C3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 w:hRule="atLeast"/>
                <w:jc w:val="center"/>
              </w:trPr>
              <w:tc>
                <w:tcPr>
                  <w:tcW w:w="1025" w:type="pct"/>
                  <w:vMerge w:val="restart"/>
                  <w:vAlign w:val="center"/>
                </w:tcPr>
                <w:p w14:paraId="4BB25B8B">
                  <w:pPr>
                    <w:tabs>
                      <w:tab w:val="center" w:pos="1440"/>
                    </w:tabs>
                    <w:jc w:val="center"/>
                    <w:rPr>
                      <w:bCs/>
                      <w:szCs w:val="21"/>
                    </w:rPr>
                  </w:pPr>
                  <w:r>
                    <w:rPr>
                      <w:bCs/>
                      <w:szCs w:val="21"/>
                    </w:rPr>
                    <w:t>检测因子</w:t>
                  </w:r>
                </w:p>
              </w:tc>
              <w:tc>
                <w:tcPr>
                  <w:tcW w:w="593" w:type="pct"/>
                  <w:vMerge w:val="restart"/>
                  <w:vAlign w:val="center"/>
                </w:tcPr>
                <w:p w14:paraId="146EB7DE">
                  <w:pPr>
                    <w:tabs>
                      <w:tab w:val="center" w:pos="1440"/>
                    </w:tabs>
                    <w:jc w:val="center"/>
                    <w:rPr>
                      <w:bCs/>
                      <w:szCs w:val="21"/>
                    </w:rPr>
                  </w:pPr>
                  <w:r>
                    <w:rPr>
                      <w:bCs/>
                      <w:szCs w:val="21"/>
                    </w:rPr>
                    <w:t>单位</w:t>
                  </w:r>
                </w:p>
              </w:tc>
              <w:tc>
                <w:tcPr>
                  <w:tcW w:w="761" w:type="pct"/>
                  <w:vAlign w:val="center"/>
                </w:tcPr>
                <w:p w14:paraId="7690875A">
                  <w:pPr>
                    <w:adjustRightInd w:val="0"/>
                    <w:snapToGrid w:val="0"/>
                    <w:jc w:val="center"/>
                    <w:rPr>
                      <w:bCs/>
                      <w:szCs w:val="21"/>
                    </w:rPr>
                  </w:pPr>
                  <w:r>
                    <w:rPr>
                      <w:bCs/>
                      <w:szCs w:val="21"/>
                    </w:rPr>
                    <w:t>原料库</w:t>
                  </w:r>
                </w:p>
              </w:tc>
              <w:tc>
                <w:tcPr>
                  <w:tcW w:w="677" w:type="pct"/>
                  <w:vAlign w:val="center"/>
                </w:tcPr>
                <w:p w14:paraId="21A58162">
                  <w:pPr>
                    <w:adjustRightInd w:val="0"/>
                    <w:snapToGrid w:val="0"/>
                    <w:jc w:val="center"/>
                    <w:rPr>
                      <w:bCs/>
                      <w:szCs w:val="21"/>
                    </w:rPr>
                  </w:pPr>
                  <w:r>
                    <w:rPr>
                      <w:bCs/>
                      <w:szCs w:val="21"/>
                    </w:rPr>
                    <w:t>产品堆场</w:t>
                  </w:r>
                </w:p>
              </w:tc>
              <w:tc>
                <w:tcPr>
                  <w:tcW w:w="762" w:type="pct"/>
                  <w:vAlign w:val="center"/>
                </w:tcPr>
                <w:p w14:paraId="65613F7A">
                  <w:pPr>
                    <w:adjustRightInd w:val="0"/>
                    <w:snapToGrid w:val="0"/>
                    <w:jc w:val="center"/>
                    <w:rPr>
                      <w:bCs/>
                      <w:szCs w:val="21"/>
                    </w:rPr>
                  </w:pPr>
                  <w:r>
                    <w:rPr>
                      <w:bCs/>
                      <w:szCs w:val="21"/>
                    </w:rPr>
                    <w:t>烧结车间</w:t>
                  </w:r>
                </w:p>
              </w:tc>
              <w:tc>
                <w:tcPr>
                  <w:tcW w:w="591" w:type="pct"/>
                  <w:vMerge w:val="restart"/>
                  <w:vAlign w:val="center"/>
                </w:tcPr>
                <w:p w14:paraId="5ECD11F8">
                  <w:pPr>
                    <w:adjustRightInd w:val="0"/>
                    <w:snapToGrid w:val="0"/>
                    <w:jc w:val="center"/>
                    <w:rPr>
                      <w:bCs/>
                      <w:szCs w:val="21"/>
                    </w:rPr>
                  </w:pPr>
                  <w:r>
                    <w:rPr>
                      <w:bCs/>
                      <w:szCs w:val="21"/>
                    </w:rPr>
                    <w:t>第二类用地风险筛选值</w:t>
                  </w:r>
                </w:p>
              </w:tc>
              <w:tc>
                <w:tcPr>
                  <w:tcW w:w="591" w:type="pct"/>
                  <w:vMerge w:val="restart"/>
                  <w:vAlign w:val="center"/>
                </w:tcPr>
                <w:p w14:paraId="1FFF15DF">
                  <w:pPr>
                    <w:adjustRightInd w:val="0"/>
                    <w:snapToGrid w:val="0"/>
                    <w:jc w:val="center"/>
                    <w:rPr>
                      <w:bCs/>
                      <w:szCs w:val="21"/>
                    </w:rPr>
                  </w:pPr>
                  <w:r>
                    <w:rPr>
                      <w:bCs/>
                      <w:szCs w:val="21"/>
                    </w:rPr>
                    <w:t>是否达标</w:t>
                  </w:r>
                </w:p>
              </w:tc>
            </w:tr>
            <w:tr w14:paraId="1BB7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025" w:type="pct"/>
                  <w:vMerge w:val="continue"/>
                  <w:vAlign w:val="center"/>
                </w:tcPr>
                <w:p w14:paraId="713C9A5E">
                  <w:pPr>
                    <w:tabs>
                      <w:tab w:val="center" w:pos="1440"/>
                    </w:tabs>
                    <w:jc w:val="center"/>
                    <w:rPr>
                      <w:bCs/>
                      <w:szCs w:val="21"/>
                    </w:rPr>
                  </w:pPr>
                </w:p>
              </w:tc>
              <w:tc>
                <w:tcPr>
                  <w:tcW w:w="593" w:type="pct"/>
                  <w:vMerge w:val="continue"/>
                  <w:vAlign w:val="center"/>
                </w:tcPr>
                <w:p w14:paraId="3CFAF013">
                  <w:pPr>
                    <w:tabs>
                      <w:tab w:val="center" w:pos="1440"/>
                    </w:tabs>
                    <w:jc w:val="center"/>
                    <w:rPr>
                      <w:bCs/>
                      <w:szCs w:val="21"/>
                    </w:rPr>
                  </w:pPr>
                </w:p>
              </w:tc>
              <w:tc>
                <w:tcPr>
                  <w:tcW w:w="761" w:type="pct"/>
                  <w:vAlign w:val="center"/>
                </w:tcPr>
                <w:p w14:paraId="01D8E059">
                  <w:pPr>
                    <w:jc w:val="center"/>
                    <w:rPr>
                      <w:bCs/>
                      <w:szCs w:val="21"/>
                    </w:rPr>
                  </w:pPr>
                  <w:r>
                    <w:rPr>
                      <w:bCs/>
                      <w:szCs w:val="21"/>
                    </w:rPr>
                    <w:t>0-0.2m</w:t>
                  </w:r>
                </w:p>
              </w:tc>
              <w:tc>
                <w:tcPr>
                  <w:tcW w:w="677" w:type="pct"/>
                  <w:vAlign w:val="center"/>
                </w:tcPr>
                <w:p w14:paraId="782368D5">
                  <w:pPr>
                    <w:jc w:val="center"/>
                    <w:rPr>
                      <w:bCs/>
                      <w:szCs w:val="21"/>
                    </w:rPr>
                  </w:pPr>
                  <w:r>
                    <w:rPr>
                      <w:bCs/>
                      <w:szCs w:val="21"/>
                    </w:rPr>
                    <w:t>0-0.2m</w:t>
                  </w:r>
                </w:p>
              </w:tc>
              <w:tc>
                <w:tcPr>
                  <w:tcW w:w="762" w:type="pct"/>
                  <w:vAlign w:val="center"/>
                </w:tcPr>
                <w:p w14:paraId="01799D8F">
                  <w:pPr>
                    <w:jc w:val="center"/>
                    <w:rPr>
                      <w:bCs/>
                      <w:szCs w:val="21"/>
                    </w:rPr>
                  </w:pPr>
                  <w:r>
                    <w:rPr>
                      <w:bCs/>
                      <w:szCs w:val="21"/>
                    </w:rPr>
                    <w:t>0-0.2m</w:t>
                  </w:r>
                </w:p>
              </w:tc>
              <w:tc>
                <w:tcPr>
                  <w:tcW w:w="591" w:type="pct"/>
                  <w:vMerge w:val="continue"/>
                  <w:vAlign w:val="center"/>
                </w:tcPr>
                <w:p w14:paraId="319E29D4">
                  <w:pPr>
                    <w:jc w:val="center"/>
                    <w:rPr>
                      <w:bCs/>
                      <w:szCs w:val="21"/>
                    </w:rPr>
                  </w:pPr>
                </w:p>
              </w:tc>
              <w:tc>
                <w:tcPr>
                  <w:tcW w:w="591" w:type="pct"/>
                  <w:vMerge w:val="continue"/>
                  <w:vAlign w:val="center"/>
                </w:tcPr>
                <w:p w14:paraId="7213F972">
                  <w:pPr>
                    <w:jc w:val="center"/>
                    <w:rPr>
                      <w:bCs/>
                      <w:szCs w:val="21"/>
                    </w:rPr>
                  </w:pPr>
                </w:p>
              </w:tc>
            </w:tr>
            <w:tr w14:paraId="7E37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667611D4">
                  <w:pPr>
                    <w:jc w:val="center"/>
                    <w:textAlignment w:val="center"/>
                    <w:rPr>
                      <w:bCs/>
                      <w:szCs w:val="21"/>
                    </w:rPr>
                  </w:pPr>
                  <w:r>
                    <w:rPr>
                      <w:bCs/>
                      <w:szCs w:val="21"/>
                      <w:lang w:bidi="ar"/>
                    </w:rPr>
                    <w:t>砷</w:t>
                  </w:r>
                </w:p>
              </w:tc>
              <w:tc>
                <w:tcPr>
                  <w:tcW w:w="593" w:type="pct"/>
                  <w:vAlign w:val="center"/>
                </w:tcPr>
                <w:p w14:paraId="5A96F241">
                  <w:pPr>
                    <w:jc w:val="center"/>
                    <w:rPr>
                      <w:bCs/>
                      <w:szCs w:val="21"/>
                      <w:lang w:bidi="ar"/>
                    </w:rPr>
                  </w:pPr>
                  <w:r>
                    <w:rPr>
                      <w:bCs/>
                      <w:szCs w:val="21"/>
                      <w:lang w:bidi="ar"/>
                    </w:rPr>
                    <w:t>mg/kg</w:t>
                  </w:r>
                </w:p>
              </w:tc>
              <w:tc>
                <w:tcPr>
                  <w:tcW w:w="761" w:type="pct"/>
                  <w:vAlign w:val="center"/>
                </w:tcPr>
                <w:p w14:paraId="6BD88FE9">
                  <w:pPr>
                    <w:adjustRightInd w:val="0"/>
                    <w:snapToGrid w:val="0"/>
                    <w:jc w:val="center"/>
                    <w:rPr>
                      <w:bCs/>
                      <w:szCs w:val="21"/>
                    </w:rPr>
                  </w:pPr>
                  <w:r>
                    <w:rPr>
                      <w:bCs/>
                      <w:szCs w:val="21"/>
                    </w:rPr>
                    <w:t>4.39</w:t>
                  </w:r>
                </w:p>
              </w:tc>
              <w:tc>
                <w:tcPr>
                  <w:tcW w:w="677" w:type="pct"/>
                  <w:vAlign w:val="center"/>
                </w:tcPr>
                <w:p w14:paraId="6E15D7DA">
                  <w:pPr>
                    <w:adjustRightInd w:val="0"/>
                    <w:snapToGrid w:val="0"/>
                    <w:jc w:val="center"/>
                    <w:rPr>
                      <w:bCs/>
                      <w:szCs w:val="21"/>
                    </w:rPr>
                  </w:pPr>
                  <w:r>
                    <w:rPr>
                      <w:bCs/>
                      <w:szCs w:val="21"/>
                    </w:rPr>
                    <w:t>4.61</w:t>
                  </w:r>
                </w:p>
              </w:tc>
              <w:tc>
                <w:tcPr>
                  <w:tcW w:w="762" w:type="pct"/>
                  <w:vAlign w:val="center"/>
                </w:tcPr>
                <w:p w14:paraId="5706A9EC">
                  <w:pPr>
                    <w:adjustRightInd w:val="0"/>
                    <w:snapToGrid w:val="0"/>
                    <w:jc w:val="center"/>
                    <w:rPr>
                      <w:bCs/>
                      <w:szCs w:val="21"/>
                    </w:rPr>
                  </w:pPr>
                  <w:r>
                    <w:rPr>
                      <w:bCs/>
                      <w:szCs w:val="21"/>
                    </w:rPr>
                    <w:t>13.6</w:t>
                  </w:r>
                </w:p>
              </w:tc>
              <w:tc>
                <w:tcPr>
                  <w:tcW w:w="591" w:type="pct"/>
                  <w:vAlign w:val="center"/>
                </w:tcPr>
                <w:p w14:paraId="35B1B9F2">
                  <w:pPr>
                    <w:adjustRightInd w:val="0"/>
                    <w:snapToGrid w:val="0"/>
                    <w:jc w:val="center"/>
                    <w:rPr>
                      <w:bCs/>
                      <w:szCs w:val="21"/>
                    </w:rPr>
                  </w:pPr>
                  <w:r>
                    <w:rPr>
                      <w:bCs/>
                      <w:szCs w:val="21"/>
                    </w:rPr>
                    <w:t>60</w:t>
                  </w:r>
                </w:p>
              </w:tc>
              <w:tc>
                <w:tcPr>
                  <w:tcW w:w="591" w:type="pct"/>
                  <w:vAlign w:val="center"/>
                </w:tcPr>
                <w:p w14:paraId="04CA7488">
                  <w:pPr>
                    <w:adjustRightInd w:val="0"/>
                    <w:snapToGrid w:val="0"/>
                    <w:jc w:val="center"/>
                    <w:rPr>
                      <w:bCs/>
                      <w:szCs w:val="21"/>
                    </w:rPr>
                  </w:pPr>
                  <w:r>
                    <w:rPr>
                      <w:bCs/>
                      <w:szCs w:val="21"/>
                    </w:rPr>
                    <w:t>达标</w:t>
                  </w:r>
                </w:p>
              </w:tc>
            </w:tr>
            <w:tr w14:paraId="619B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2B60286F">
                  <w:pPr>
                    <w:jc w:val="center"/>
                    <w:textAlignment w:val="center"/>
                    <w:rPr>
                      <w:bCs/>
                      <w:szCs w:val="21"/>
                      <w:lang w:bidi="ar"/>
                    </w:rPr>
                  </w:pPr>
                  <w:r>
                    <w:rPr>
                      <w:bCs/>
                      <w:szCs w:val="21"/>
                      <w:lang w:bidi="ar"/>
                    </w:rPr>
                    <w:t>镉</w:t>
                  </w:r>
                </w:p>
              </w:tc>
              <w:tc>
                <w:tcPr>
                  <w:tcW w:w="593" w:type="pct"/>
                  <w:vAlign w:val="center"/>
                </w:tcPr>
                <w:p w14:paraId="22FBF208">
                  <w:pPr>
                    <w:jc w:val="center"/>
                    <w:rPr>
                      <w:bCs/>
                      <w:szCs w:val="21"/>
                    </w:rPr>
                  </w:pPr>
                  <w:r>
                    <w:rPr>
                      <w:bCs/>
                      <w:szCs w:val="21"/>
                      <w:lang w:bidi="ar"/>
                    </w:rPr>
                    <w:t>mg/kg</w:t>
                  </w:r>
                </w:p>
              </w:tc>
              <w:tc>
                <w:tcPr>
                  <w:tcW w:w="761" w:type="pct"/>
                  <w:vAlign w:val="center"/>
                </w:tcPr>
                <w:p w14:paraId="3680F03A">
                  <w:pPr>
                    <w:adjustRightInd w:val="0"/>
                    <w:snapToGrid w:val="0"/>
                    <w:jc w:val="center"/>
                    <w:rPr>
                      <w:bCs/>
                      <w:szCs w:val="21"/>
                    </w:rPr>
                  </w:pPr>
                  <w:r>
                    <w:rPr>
                      <w:bCs/>
                      <w:szCs w:val="21"/>
                    </w:rPr>
                    <w:t>0.24</w:t>
                  </w:r>
                </w:p>
              </w:tc>
              <w:tc>
                <w:tcPr>
                  <w:tcW w:w="677" w:type="pct"/>
                  <w:vAlign w:val="center"/>
                </w:tcPr>
                <w:p w14:paraId="0B8CBA50">
                  <w:pPr>
                    <w:adjustRightInd w:val="0"/>
                    <w:snapToGrid w:val="0"/>
                    <w:jc w:val="center"/>
                    <w:rPr>
                      <w:bCs/>
                      <w:szCs w:val="21"/>
                    </w:rPr>
                  </w:pPr>
                  <w:r>
                    <w:rPr>
                      <w:bCs/>
                      <w:szCs w:val="21"/>
                    </w:rPr>
                    <w:t>0.23</w:t>
                  </w:r>
                </w:p>
              </w:tc>
              <w:tc>
                <w:tcPr>
                  <w:tcW w:w="762" w:type="pct"/>
                  <w:vAlign w:val="center"/>
                </w:tcPr>
                <w:p w14:paraId="30D44F5A">
                  <w:pPr>
                    <w:adjustRightInd w:val="0"/>
                    <w:snapToGrid w:val="0"/>
                    <w:jc w:val="center"/>
                    <w:rPr>
                      <w:bCs/>
                      <w:szCs w:val="21"/>
                    </w:rPr>
                  </w:pPr>
                  <w:r>
                    <w:rPr>
                      <w:bCs/>
                      <w:szCs w:val="21"/>
                    </w:rPr>
                    <w:t>0.28</w:t>
                  </w:r>
                </w:p>
              </w:tc>
              <w:tc>
                <w:tcPr>
                  <w:tcW w:w="591" w:type="pct"/>
                  <w:vAlign w:val="center"/>
                </w:tcPr>
                <w:p w14:paraId="5BF503B0">
                  <w:pPr>
                    <w:adjustRightInd w:val="0"/>
                    <w:snapToGrid w:val="0"/>
                    <w:jc w:val="center"/>
                    <w:rPr>
                      <w:bCs/>
                      <w:szCs w:val="21"/>
                    </w:rPr>
                  </w:pPr>
                  <w:r>
                    <w:rPr>
                      <w:bCs/>
                      <w:szCs w:val="21"/>
                    </w:rPr>
                    <w:t>65</w:t>
                  </w:r>
                </w:p>
              </w:tc>
              <w:tc>
                <w:tcPr>
                  <w:tcW w:w="591" w:type="pct"/>
                  <w:vAlign w:val="center"/>
                </w:tcPr>
                <w:p w14:paraId="2348C45B">
                  <w:pPr>
                    <w:adjustRightInd w:val="0"/>
                    <w:snapToGrid w:val="0"/>
                    <w:jc w:val="center"/>
                    <w:rPr>
                      <w:bCs/>
                      <w:szCs w:val="21"/>
                    </w:rPr>
                  </w:pPr>
                  <w:r>
                    <w:rPr>
                      <w:bCs/>
                      <w:szCs w:val="21"/>
                    </w:rPr>
                    <w:t>达标</w:t>
                  </w:r>
                </w:p>
              </w:tc>
            </w:tr>
            <w:tr w14:paraId="7E84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2205EAF8">
                  <w:pPr>
                    <w:autoSpaceDE w:val="0"/>
                    <w:jc w:val="center"/>
                    <w:textAlignment w:val="center"/>
                    <w:rPr>
                      <w:bCs/>
                      <w:szCs w:val="21"/>
                    </w:rPr>
                  </w:pPr>
                  <w:r>
                    <w:rPr>
                      <w:bCs/>
                      <w:szCs w:val="21"/>
                      <w:lang w:bidi="ar"/>
                    </w:rPr>
                    <w:t>铬（六价）</w:t>
                  </w:r>
                </w:p>
              </w:tc>
              <w:tc>
                <w:tcPr>
                  <w:tcW w:w="593" w:type="pct"/>
                  <w:vAlign w:val="center"/>
                </w:tcPr>
                <w:p w14:paraId="58140376">
                  <w:pPr>
                    <w:jc w:val="center"/>
                    <w:rPr>
                      <w:bCs/>
                      <w:szCs w:val="21"/>
                      <w:lang w:bidi="ar"/>
                    </w:rPr>
                  </w:pPr>
                  <w:r>
                    <w:rPr>
                      <w:bCs/>
                      <w:szCs w:val="21"/>
                      <w:lang w:bidi="ar"/>
                    </w:rPr>
                    <w:t>mg/kg</w:t>
                  </w:r>
                </w:p>
              </w:tc>
              <w:tc>
                <w:tcPr>
                  <w:tcW w:w="761" w:type="pct"/>
                  <w:vAlign w:val="center"/>
                </w:tcPr>
                <w:p w14:paraId="12D597C4">
                  <w:pPr>
                    <w:jc w:val="center"/>
                    <w:rPr>
                      <w:bCs/>
                      <w:szCs w:val="21"/>
                      <w:lang w:bidi="ar"/>
                    </w:rPr>
                  </w:pPr>
                  <w:r>
                    <w:rPr>
                      <w:bCs/>
                      <w:szCs w:val="21"/>
                      <w:lang w:bidi="ar"/>
                    </w:rPr>
                    <w:t>ND</w:t>
                  </w:r>
                </w:p>
              </w:tc>
              <w:tc>
                <w:tcPr>
                  <w:tcW w:w="677" w:type="pct"/>
                  <w:vAlign w:val="center"/>
                </w:tcPr>
                <w:p w14:paraId="272C0223">
                  <w:pPr>
                    <w:jc w:val="center"/>
                    <w:rPr>
                      <w:bCs/>
                      <w:szCs w:val="21"/>
                      <w:lang w:bidi="ar"/>
                    </w:rPr>
                  </w:pPr>
                  <w:r>
                    <w:rPr>
                      <w:bCs/>
                      <w:szCs w:val="21"/>
                      <w:lang w:bidi="ar"/>
                    </w:rPr>
                    <w:t>ND</w:t>
                  </w:r>
                </w:p>
              </w:tc>
              <w:tc>
                <w:tcPr>
                  <w:tcW w:w="762" w:type="pct"/>
                  <w:vAlign w:val="center"/>
                </w:tcPr>
                <w:p w14:paraId="5E5ABA93">
                  <w:pPr>
                    <w:jc w:val="center"/>
                    <w:rPr>
                      <w:bCs/>
                      <w:szCs w:val="21"/>
                      <w:lang w:bidi="ar"/>
                    </w:rPr>
                  </w:pPr>
                  <w:r>
                    <w:rPr>
                      <w:bCs/>
                      <w:szCs w:val="21"/>
                      <w:lang w:bidi="ar"/>
                    </w:rPr>
                    <w:t>ND</w:t>
                  </w:r>
                </w:p>
              </w:tc>
              <w:tc>
                <w:tcPr>
                  <w:tcW w:w="591" w:type="pct"/>
                  <w:vAlign w:val="center"/>
                </w:tcPr>
                <w:p w14:paraId="59B48CA4">
                  <w:pPr>
                    <w:jc w:val="center"/>
                    <w:rPr>
                      <w:bCs/>
                      <w:szCs w:val="21"/>
                      <w:lang w:bidi="ar"/>
                    </w:rPr>
                  </w:pPr>
                  <w:r>
                    <w:rPr>
                      <w:bCs/>
                      <w:szCs w:val="21"/>
                      <w:lang w:bidi="ar"/>
                    </w:rPr>
                    <w:t>5.7</w:t>
                  </w:r>
                </w:p>
              </w:tc>
              <w:tc>
                <w:tcPr>
                  <w:tcW w:w="591" w:type="pct"/>
                  <w:vAlign w:val="center"/>
                </w:tcPr>
                <w:p w14:paraId="097CAB35">
                  <w:pPr>
                    <w:jc w:val="center"/>
                    <w:rPr>
                      <w:bCs/>
                      <w:szCs w:val="21"/>
                      <w:lang w:bidi="ar"/>
                    </w:rPr>
                  </w:pPr>
                  <w:r>
                    <w:rPr>
                      <w:bCs/>
                      <w:szCs w:val="21"/>
                    </w:rPr>
                    <w:t>达标</w:t>
                  </w:r>
                </w:p>
              </w:tc>
            </w:tr>
            <w:tr w14:paraId="6F55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3618077D">
                  <w:pPr>
                    <w:jc w:val="center"/>
                    <w:textAlignment w:val="center"/>
                    <w:rPr>
                      <w:bCs/>
                      <w:szCs w:val="21"/>
                    </w:rPr>
                  </w:pPr>
                  <w:r>
                    <w:rPr>
                      <w:bCs/>
                      <w:szCs w:val="21"/>
                      <w:lang w:bidi="ar"/>
                    </w:rPr>
                    <w:t>铜</w:t>
                  </w:r>
                </w:p>
              </w:tc>
              <w:tc>
                <w:tcPr>
                  <w:tcW w:w="593" w:type="pct"/>
                  <w:vAlign w:val="center"/>
                </w:tcPr>
                <w:p w14:paraId="52E4208C">
                  <w:pPr>
                    <w:jc w:val="center"/>
                    <w:rPr>
                      <w:bCs/>
                      <w:szCs w:val="21"/>
                      <w:lang w:bidi="ar"/>
                    </w:rPr>
                  </w:pPr>
                  <w:r>
                    <w:rPr>
                      <w:bCs/>
                      <w:szCs w:val="21"/>
                      <w:lang w:bidi="ar"/>
                    </w:rPr>
                    <w:t>mg/kg</w:t>
                  </w:r>
                </w:p>
              </w:tc>
              <w:tc>
                <w:tcPr>
                  <w:tcW w:w="761" w:type="pct"/>
                  <w:vAlign w:val="center"/>
                </w:tcPr>
                <w:p w14:paraId="14C18868">
                  <w:pPr>
                    <w:jc w:val="center"/>
                    <w:rPr>
                      <w:bCs/>
                      <w:szCs w:val="21"/>
                      <w:lang w:bidi="ar"/>
                    </w:rPr>
                  </w:pPr>
                  <w:r>
                    <w:rPr>
                      <w:bCs/>
                      <w:szCs w:val="21"/>
                      <w:lang w:bidi="ar"/>
                    </w:rPr>
                    <w:t>36</w:t>
                  </w:r>
                </w:p>
              </w:tc>
              <w:tc>
                <w:tcPr>
                  <w:tcW w:w="677" w:type="pct"/>
                  <w:vAlign w:val="center"/>
                </w:tcPr>
                <w:p w14:paraId="5F9AC6AF">
                  <w:pPr>
                    <w:jc w:val="center"/>
                    <w:rPr>
                      <w:bCs/>
                      <w:szCs w:val="21"/>
                      <w:lang w:bidi="ar"/>
                    </w:rPr>
                  </w:pPr>
                  <w:r>
                    <w:rPr>
                      <w:bCs/>
                      <w:szCs w:val="21"/>
                      <w:lang w:bidi="ar"/>
                    </w:rPr>
                    <w:t>39</w:t>
                  </w:r>
                </w:p>
              </w:tc>
              <w:tc>
                <w:tcPr>
                  <w:tcW w:w="762" w:type="pct"/>
                  <w:vAlign w:val="center"/>
                </w:tcPr>
                <w:p w14:paraId="4FC51DA9">
                  <w:pPr>
                    <w:jc w:val="center"/>
                    <w:rPr>
                      <w:bCs/>
                      <w:szCs w:val="21"/>
                      <w:lang w:bidi="ar"/>
                    </w:rPr>
                  </w:pPr>
                  <w:r>
                    <w:rPr>
                      <w:bCs/>
                      <w:szCs w:val="21"/>
                      <w:lang w:bidi="ar"/>
                    </w:rPr>
                    <w:t>42</w:t>
                  </w:r>
                </w:p>
              </w:tc>
              <w:tc>
                <w:tcPr>
                  <w:tcW w:w="591" w:type="pct"/>
                  <w:vAlign w:val="center"/>
                </w:tcPr>
                <w:p w14:paraId="580FC06C">
                  <w:pPr>
                    <w:jc w:val="center"/>
                    <w:rPr>
                      <w:bCs/>
                      <w:szCs w:val="21"/>
                      <w:lang w:bidi="ar"/>
                    </w:rPr>
                  </w:pPr>
                  <w:r>
                    <w:rPr>
                      <w:bCs/>
                      <w:szCs w:val="21"/>
                      <w:lang w:bidi="ar"/>
                    </w:rPr>
                    <w:t>18000</w:t>
                  </w:r>
                </w:p>
              </w:tc>
              <w:tc>
                <w:tcPr>
                  <w:tcW w:w="591" w:type="pct"/>
                  <w:vAlign w:val="center"/>
                </w:tcPr>
                <w:p w14:paraId="13ABD3E9">
                  <w:pPr>
                    <w:jc w:val="center"/>
                    <w:rPr>
                      <w:bCs/>
                      <w:szCs w:val="21"/>
                      <w:lang w:bidi="ar"/>
                    </w:rPr>
                  </w:pPr>
                  <w:r>
                    <w:rPr>
                      <w:bCs/>
                      <w:szCs w:val="21"/>
                    </w:rPr>
                    <w:t>达标</w:t>
                  </w:r>
                </w:p>
              </w:tc>
            </w:tr>
            <w:tr w14:paraId="6A51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4BE12F1D">
                  <w:pPr>
                    <w:jc w:val="center"/>
                    <w:textAlignment w:val="center"/>
                    <w:rPr>
                      <w:bCs/>
                      <w:szCs w:val="21"/>
                      <w:lang w:bidi="ar"/>
                    </w:rPr>
                  </w:pPr>
                  <w:r>
                    <w:rPr>
                      <w:bCs/>
                      <w:szCs w:val="21"/>
                      <w:lang w:bidi="ar"/>
                    </w:rPr>
                    <w:t>铅</w:t>
                  </w:r>
                </w:p>
              </w:tc>
              <w:tc>
                <w:tcPr>
                  <w:tcW w:w="593" w:type="pct"/>
                  <w:vAlign w:val="center"/>
                </w:tcPr>
                <w:p w14:paraId="18D9466D">
                  <w:pPr>
                    <w:jc w:val="center"/>
                    <w:rPr>
                      <w:bCs/>
                      <w:szCs w:val="21"/>
                      <w:lang w:bidi="ar"/>
                    </w:rPr>
                  </w:pPr>
                  <w:r>
                    <w:rPr>
                      <w:bCs/>
                      <w:szCs w:val="21"/>
                      <w:lang w:bidi="ar"/>
                    </w:rPr>
                    <w:t>mg/kg</w:t>
                  </w:r>
                </w:p>
              </w:tc>
              <w:tc>
                <w:tcPr>
                  <w:tcW w:w="761" w:type="pct"/>
                  <w:vAlign w:val="center"/>
                </w:tcPr>
                <w:p w14:paraId="626F83BC">
                  <w:pPr>
                    <w:jc w:val="center"/>
                    <w:rPr>
                      <w:bCs/>
                      <w:szCs w:val="21"/>
                      <w:lang w:bidi="ar"/>
                    </w:rPr>
                  </w:pPr>
                  <w:r>
                    <w:rPr>
                      <w:bCs/>
                      <w:szCs w:val="21"/>
                      <w:lang w:bidi="ar"/>
                    </w:rPr>
                    <w:t>27</w:t>
                  </w:r>
                </w:p>
              </w:tc>
              <w:tc>
                <w:tcPr>
                  <w:tcW w:w="677" w:type="pct"/>
                  <w:vAlign w:val="center"/>
                </w:tcPr>
                <w:p w14:paraId="6B1DAFB7">
                  <w:pPr>
                    <w:jc w:val="center"/>
                    <w:rPr>
                      <w:bCs/>
                      <w:szCs w:val="21"/>
                      <w:lang w:bidi="ar"/>
                    </w:rPr>
                  </w:pPr>
                  <w:r>
                    <w:rPr>
                      <w:bCs/>
                      <w:szCs w:val="21"/>
                      <w:lang w:bidi="ar"/>
                    </w:rPr>
                    <w:t>51</w:t>
                  </w:r>
                </w:p>
              </w:tc>
              <w:tc>
                <w:tcPr>
                  <w:tcW w:w="762" w:type="pct"/>
                  <w:vAlign w:val="center"/>
                </w:tcPr>
                <w:p w14:paraId="6CEAF950">
                  <w:pPr>
                    <w:jc w:val="center"/>
                    <w:rPr>
                      <w:bCs/>
                      <w:szCs w:val="21"/>
                      <w:lang w:bidi="ar"/>
                    </w:rPr>
                  </w:pPr>
                  <w:r>
                    <w:rPr>
                      <w:bCs/>
                      <w:szCs w:val="21"/>
                      <w:lang w:bidi="ar"/>
                    </w:rPr>
                    <w:t>29</w:t>
                  </w:r>
                </w:p>
              </w:tc>
              <w:tc>
                <w:tcPr>
                  <w:tcW w:w="591" w:type="pct"/>
                  <w:vAlign w:val="center"/>
                </w:tcPr>
                <w:p w14:paraId="0D6B5964">
                  <w:pPr>
                    <w:jc w:val="center"/>
                    <w:rPr>
                      <w:bCs/>
                      <w:szCs w:val="21"/>
                      <w:lang w:bidi="ar"/>
                    </w:rPr>
                  </w:pPr>
                  <w:r>
                    <w:rPr>
                      <w:bCs/>
                      <w:szCs w:val="21"/>
                      <w:lang w:bidi="ar"/>
                    </w:rPr>
                    <w:t>800</w:t>
                  </w:r>
                </w:p>
              </w:tc>
              <w:tc>
                <w:tcPr>
                  <w:tcW w:w="591" w:type="pct"/>
                  <w:vAlign w:val="center"/>
                </w:tcPr>
                <w:p w14:paraId="48C34DF0">
                  <w:pPr>
                    <w:jc w:val="center"/>
                    <w:rPr>
                      <w:bCs/>
                      <w:szCs w:val="21"/>
                      <w:lang w:bidi="ar"/>
                    </w:rPr>
                  </w:pPr>
                  <w:r>
                    <w:rPr>
                      <w:bCs/>
                      <w:szCs w:val="21"/>
                    </w:rPr>
                    <w:t>达标</w:t>
                  </w:r>
                </w:p>
              </w:tc>
            </w:tr>
            <w:tr w14:paraId="2F40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43FB046F">
                  <w:pPr>
                    <w:jc w:val="center"/>
                    <w:textAlignment w:val="center"/>
                    <w:rPr>
                      <w:bCs/>
                      <w:szCs w:val="21"/>
                      <w:lang w:bidi="ar"/>
                    </w:rPr>
                  </w:pPr>
                  <w:r>
                    <w:rPr>
                      <w:bCs/>
                      <w:szCs w:val="21"/>
                      <w:lang w:bidi="ar"/>
                    </w:rPr>
                    <w:t>汞</w:t>
                  </w:r>
                </w:p>
              </w:tc>
              <w:tc>
                <w:tcPr>
                  <w:tcW w:w="593" w:type="pct"/>
                  <w:vAlign w:val="center"/>
                </w:tcPr>
                <w:p w14:paraId="0FE5FD81">
                  <w:pPr>
                    <w:jc w:val="center"/>
                    <w:rPr>
                      <w:bCs/>
                      <w:szCs w:val="21"/>
                      <w:lang w:bidi="ar"/>
                    </w:rPr>
                  </w:pPr>
                  <w:r>
                    <w:rPr>
                      <w:bCs/>
                      <w:szCs w:val="21"/>
                      <w:lang w:bidi="ar"/>
                    </w:rPr>
                    <w:t>mg/kg</w:t>
                  </w:r>
                </w:p>
              </w:tc>
              <w:tc>
                <w:tcPr>
                  <w:tcW w:w="761" w:type="pct"/>
                  <w:vAlign w:val="center"/>
                </w:tcPr>
                <w:p w14:paraId="053AF5EA">
                  <w:pPr>
                    <w:jc w:val="center"/>
                    <w:rPr>
                      <w:bCs/>
                      <w:szCs w:val="21"/>
                      <w:lang w:bidi="ar"/>
                    </w:rPr>
                  </w:pPr>
                  <w:r>
                    <w:rPr>
                      <w:bCs/>
                      <w:szCs w:val="21"/>
                      <w:lang w:bidi="ar"/>
                    </w:rPr>
                    <w:t>0.068</w:t>
                  </w:r>
                </w:p>
              </w:tc>
              <w:tc>
                <w:tcPr>
                  <w:tcW w:w="677" w:type="pct"/>
                  <w:vAlign w:val="center"/>
                </w:tcPr>
                <w:p w14:paraId="41F8C063">
                  <w:pPr>
                    <w:jc w:val="center"/>
                    <w:rPr>
                      <w:bCs/>
                      <w:szCs w:val="21"/>
                      <w:lang w:bidi="ar"/>
                    </w:rPr>
                  </w:pPr>
                  <w:r>
                    <w:rPr>
                      <w:bCs/>
                      <w:szCs w:val="21"/>
                      <w:lang w:bidi="ar"/>
                    </w:rPr>
                    <w:t>0.084</w:t>
                  </w:r>
                </w:p>
              </w:tc>
              <w:tc>
                <w:tcPr>
                  <w:tcW w:w="762" w:type="pct"/>
                  <w:vAlign w:val="center"/>
                </w:tcPr>
                <w:p w14:paraId="7EF98082">
                  <w:pPr>
                    <w:jc w:val="center"/>
                    <w:rPr>
                      <w:bCs/>
                      <w:szCs w:val="21"/>
                      <w:lang w:bidi="ar"/>
                    </w:rPr>
                  </w:pPr>
                  <w:r>
                    <w:rPr>
                      <w:bCs/>
                      <w:szCs w:val="21"/>
                      <w:lang w:bidi="ar"/>
                    </w:rPr>
                    <w:t>0.201</w:t>
                  </w:r>
                </w:p>
              </w:tc>
              <w:tc>
                <w:tcPr>
                  <w:tcW w:w="591" w:type="pct"/>
                  <w:vAlign w:val="center"/>
                </w:tcPr>
                <w:p w14:paraId="44C406AB">
                  <w:pPr>
                    <w:jc w:val="center"/>
                    <w:rPr>
                      <w:bCs/>
                      <w:szCs w:val="21"/>
                      <w:lang w:bidi="ar"/>
                    </w:rPr>
                  </w:pPr>
                  <w:r>
                    <w:rPr>
                      <w:bCs/>
                      <w:szCs w:val="21"/>
                      <w:lang w:bidi="ar"/>
                    </w:rPr>
                    <w:t>38</w:t>
                  </w:r>
                </w:p>
              </w:tc>
              <w:tc>
                <w:tcPr>
                  <w:tcW w:w="591" w:type="pct"/>
                  <w:vAlign w:val="center"/>
                </w:tcPr>
                <w:p w14:paraId="0147C5F7">
                  <w:pPr>
                    <w:jc w:val="center"/>
                    <w:rPr>
                      <w:bCs/>
                      <w:szCs w:val="21"/>
                      <w:lang w:bidi="ar"/>
                    </w:rPr>
                  </w:pPr>
                  <w:r>
                    <w:rPr>
                      <w:bCs/>
                      <w:szCs w:val="21"/>
                    </w:rPr>
                    <w:t>达标</w:t>
                  </w:r>
                </w:p>
              </w:tc>
            </w:tr>
            <w:tr w14:paraId="4473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5EAC17B6">
                  <w:pPr>
                    <w:jc w:val="center"/>
                    <w:textAlignment w:val="center"/>
                    <w:rPr>
                      <w:bCs/>
                      <w:szCs w:val="21"/>
                      <w:lang w:bidi="ar"/>
                    </w:rPr>
                  </w:pPr>
                  <w:r>
                    <w:rPr>
                      <w:bCs/>
                      <w:szCs w:val="21"/>
                      <w:lang w:bidi="ar"/>
                    </w:rPr>
                    <w:t>镍</w:t>
                  </w:r>
                </w:p>
              </w:tc>
              <w:tc>
                <w:tcPr>
                  <w:tcW w:w="593" w:type="pct"/>
                  <w:vAlign w:val="center"/>
                </w:tcPr>
                <w:p w14:paraId="0B167D0F">
                  <w:pPr>
                    <w:jc w:val="center"/>
                    <w:rPr>
                      <w:bCs/>
                      <w:szCs w:val="21"/>
                      <w:lang w:bidi="ar"/>
                    </w:rPr>
                  </w:pPr>
                  <w:r>
                    <w:rPr>
                      <w:bCs/>
                      <w:szCs w:val="21"/>
                      <w:lang w:bidi="ar"/>
                    </w:rPr>
                    <w:t>mg/kg</w:t>
                  </w:r>
                </w:p>
              </w:tc>
              <w:tc>
                <w:tcPr>
                  <w:tcW w:w="761" w:type="pct"/>
                  <w:vAlign w:val="center"/>
                </w:tcPr>
                <w:p w14:paraId="78C8570D">
                  <w:pPr>
                    <w:jc w:val="center"/>
                    <w:rPr>
                      <w:bCs/>
                      <w:szCs w:val="21"/>
                      <w:lang w:bidi="ar"/>
                    </w:rPr>
                  </w:pPr>
                  <w:r>
                    <w:rPr>
                      <w:bCs/>
                      <w:szCs w:val="21"/>
                      <w:lang w:bidi="ar"/>
                    </w:rPr>
                    <w:t>29</w:t>
                  </w:r>
                </w:p>
              </w:tc>
              <w:tc>
                <w:tcPr>
                  <w:tcW w:w="677" w:type="pct"/>
                  <w:vAlign w:val="center"/>
                </w:tcPr>
                <w:p w14:paraId="38C08D2D">
                  <w:pPr>
                    <w:jc w:val="center"/>
                    <w:rPr>
                      <w:bCs/>
                      <w:szCs w:val="21"/>
                      <w:lang w:bidi="ar"/>
                    </w:rPr>
                  </w:pPr>
                  <w:r>
                    <w:rPr>
                      <w:bCs/>
                      <w:szCs w:val="21"/>
                      <w:lang w:bidi="ar"/>
                    </w:rPr>
                    <w:t>23</w:t>
                  </w:r>
                </w:p>
              </w:tc>
              <w:tc>
                <w:tcPr>
                  <w:tcW w:w="762" w:type="pct"/>
                  <w:vAlign w:val="center"/>
                </w:tcPr>
                <w:p w14:paraId="4DF4D023">
                  <w:pPr>
                    <w:jc w:val="center"/>
                    <w:rPr>
                      <w:bCs/>
                      <w:szCs w:val="21"/>
                      <w:lang w:bidi="ar"/>
                    </w:rPr>
                  </w:pPr>
                  <w:r>
                    <w:rPr>
                      <w:bCs/>
                      <w:szCs w:val="21"/>
                      <w:lang w:bidi="ar"/>
                    </w:rPr>
                    <w:t>36</w:t>
                  </w:r>
                </w:p>
              </w:tc>
              <w:tc>
                <w:tcPr>
                  <w:tcW w:w="591" w:type="pct"/>
                  <w:vAlign w:val="center"/>
                </w:tcPr>
                <w:p w14:paraId="43E1B1EC">
                  <w:pPr>
                    <w:jc w:val="center"/>
                    <w:rPr>
                      <w:bCs/>
                      <w:szCs w:val="21"/>
                      <w:lang w:bidi="ar"/>
                    </w:rPr>
                  </w:pPr>
                  <w:r>
                    <w:rPr>
                      <w:bCs/>
                      <w:szCs w:val="21"/>
                      <w:lang w:bidi="ar"/>
                    </w:rPr>
                    <w:t>900</w:t>
                  </w:r>
                </w:p>
              </w:tc>
              <w:tc>
                <w:tcPr>
                  <w:tcW w:w="591" w:type="pct"/>
                  <w:vAlign w:val="center"/>
                </w:tcPr>
                <w:p w14:paraId="57243EE6">
                  <w:pPr>
                    <w:jc w:val="center"/>
                    <w:rPr>
                      <w:bCs/>
                      <w:szCs w:val="21"/>
                      <w:lang w:bidi="ar"/>
                    </w:rPr>
                  </w:pPr>
                  <w:r>
                    <w:rPr>
                      <w:bCs/>
                      <w:szCs w:val="21"/>
                    </w:rPr>
                    <w:t>达标</w:t>
                  </w:r>
                </w:p>
              </w:tc>
            </w:tr>
            <w:tr w14:paraId="35E7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1BC66EB4">
                  <w:pPr>
                    <w:jc w:val="center"/>
                    <w:textAlignment w:val="center"/>
                    <w:rPr>
                      <w:bCs/>
                      <w:szCs w:val="21"/>
                    </w:rPr>
                  </w:pPr>
                  <w:r>
                    <w:rPr>
                      <w:bCs/>
                      <w:szCs w:val="21"/>
                      <w:lang w:bidi="ar"/>
                    </w:rPr>
                    <w:t>四氯化碳</w:t>
                  </w:r>
                </w:p>
              </w:tc>
              <w:tc>
                <w:tcPr>
                  <w:tcW w:w="593" w:type="pct"/>
                  <w:vAlign w:val="center"/>
                </w:tcPr>
                <w:p w14:paraId="26919FB9">
                  <w:pPr>
                    <w:jc w:val="center"/>
                    <w:rPr>
                      <w:bCs/>
                      <w:szCs w:val="21"/>
                      <w:lang w:bidi="ar"/>
                    </w:rPr>
                  </w:pPr>
                  <w:r>
                    <w:rPr>
                      <w:bCs/>
                      <w:szCs w:val="21"/>
                      <w:lang w:bidi="ar"/>
                    </w:rPr>
                    <w:t>mg/kg</w:t>
                  </w:r>
                </w:p>
              </w:tc>
              <w:tc>
                <w:tcPr>
                  <w:tcW w:w="761" w:type="pct"/>
                  <w:vAlign w:val="center"/>
                </w:tcPr>
                <w:p w14:paraId="3BA935C1">
                  <w:pPr>
                    <w:jc w:val="center"/>
                    <w:rPr>
                      <w:bCs/>
                      <w:szCs w:val="21"/>
                    </w:rPr>
                  </w:pPr>
                  <w:r>
                    <w:rPr>
                      <w:bCs/>
                      <w:szCs w:val="21"/>
                    </w:rPr>
                    <w:t>ND</w:t>
                  </w:r>
                </w:p>
              </w:tc>
              <w:tc>
                <w:tcPr>
                  <w:tcW w:w="677" w:type="pct"/>
                  <w:vAlign w:val="center"/>
                </w:tcPr>
                <w:p w14:paraId="657FF3C5">
                  <w:pPr>
                    <w:jc w:val="center"/>
                    <w:rPr>
                      <w:bCs/>
                      <w:szCs w:val="21"/>
                    </w:rPr>
                  </w:pPr>
                  <w:r>
                    <w:rPr>
                      <w:bCs/>
                      <w:szCs w:val="21"/>
                    </w:rPr>
                    <w:t>ND</w:t>
                  </w:r>
                </w:p>
              </w:tc>
              <w:tc>
                <w:tcPr>
                  <w:tcW w:w="762" w:type="pct"/>
                  <w:vAlign w:val="center"/>
                </w:tcPr>
                <w:p w14:paraId="78B7B16B">
                  <w:pPr>
                    <w:jc w:val="center"/>
                    <w:rPr>
                      <w:bCs/>
                      <w:szCs w:val="21"/>
                    </w:rPr>
                  </w:pPr>
                  <w:r>
                    <w:rPr>
                      <w:bCs/>
                      <w:szCs w:val="21"/>
                    </w:rPr>
                    <w:t>ND</w:t>
                  </w:r>
                </w:p>
              </w:tc>
              <w:tc>
                <w:tcPr>
                  <w:tcW w:w="591" w:type="pct"/>
                  <w:vAlign w:val="center"/>
                </w:tcPr>
                <w:p w14:paraId="3A1E4271">
                  <w:pPr>
                    <w:jc w:val="center"/>
                    <w:rPr>
                      <w:bCs/>
                      <w:szCs w:val="21"/>
                    </w:rPr>
                  </w:pPr>
                  <w:r>
                    <w:rPr>
                      <w:bCs/>
                      <w:szCs w:val="21"/>
                    </w:rPr>
                    <w:t>2.8</w:t>
                  </w:r>
                </w:p>
              </w:tc>
              <w:tc>
                <w:tcPr>
                  <w:tcW w:w="591" w:type="pct"/>
                  <w:vAlign w:val="center"/>
                </w:tcPr>
                <w:p w14:paraId="7241FBB4">
                  <w:pPr>
                    <w:jc w:val="center"/>
                    <w:rPr>
                      <w:bCs/>
                      <w:szCs w:val="21"/>
                    </w:rPr>
                  </w:pPr>
                  <w:r>
                    <w:rPr>
                      <w:bCs/>
                      <w:szCs w:val="21"/>
                    </w:rPr>
                    <w:t>达标</w:t>
                  </w:r>
                </w:p>
              </w:tc>
            </w:tr>
            <w:tr w14:paraId="2956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1851A950">
                  <w:pPr>
                    <w:jc w:val="center"/>
                    <w:rPr>
                      <w:bCs/>
                      <w:szCs w:val="21"/>
                    </w:rPr>
                  </w:pPr>
                  <w:r>
                    <w:rPr>
                      <w:bCs/>
                      <w:szCs w:val="21"/>
                      <w:lang w:bidi="ar"/>
                    </w:rPr>
                    <w:t>氯仿</w:t>
                  </w:r>
                </w:p>
              </w:tc>
              <w:tc>
                <w:tcPr>
                  <w:tcW w:w="593" w:type="pct"/>
                  <w:vAlign w:val="center"/>
                </w:tcPr>
                <w:p w14:paraId="0FD916BE">
                  <w:pPr>
                    <w:jc w:val="center"/>
                    <w:rPr>
                      <w:bCs/>
                      <w:szCs w:val="21"/>
                      <w:lang w:bidi="ar"/>
                    </w:rPr>
                  </w:pPr>
                  <w:r>
                    <w:rPr>
                      <w:bCs/>
                      <w:szCs w:val="21"/>
                      <w:lang w:bidi="ar"/>
                    </w:rPr>
                    <w:t>mg/kg</w:t>
                  </w:r>
                </w:p>
              </w:tc>
              <w:tc>
                <w:tcPr>
                  <w:tcW w:w="761" w:type="pct"/>
                  <w:vAlign w:val="center"/>
                </w:tcPr>
                <w:p w14:paraId="164A1EBD">
                  <w:pPr>
                    <w:jc w:val="center"/>
                    <w:rPr>
                      <w:bCs/>
                      <w:szCs w:val="21"/>
                    </w:rPr>
                  </w:pPr>
                  <w:r>
                    <w:rPr>
                      <w:bCs/>
                      <w:szCs w:val="21"/>
                    </w:rPr>
                    <w:t>ND</w:t>
                  </w:r>
                </w:p>
              </w:tc>
              <w:tc>
                <w:tcPr>
                  <w:tcW w:w="677" w:type="pct"/>
                  <w:vAlign w:val="center"/>
                </w:tcPr>
                <w:p w14:paraId="3489F67A">
                  <w:pPr>
                    <w:jc w:val="center"/>
                    <w:rPr>
                      <w:bCs/>
                      <w:szCs w:val="21"/>
                    </w:rPr>
                  </w:pPr>
                  <w:r>
                    <w:rPr>
                      <w:bCs/>
                      <w:szCs w:val="21"/>
                    </w:rPr>
                    <w:t>ND</w:t>
                  </w:r>
                </w:p>
              </w:tc>
              <w:tc>
                <w:tcPr>
                  <w:tcW w:w="762" w:type="pct"/>
                  <w:vAlign w:val="center"/>
                </w:tcPr>
                <w:p w14:paraId="2BC17A8B">
                  <w:pPr>
                    <w:jc w:val="center"/>
                    <w:rPr>
                      <w:bCs/>
                      <w:szCs w:val="21"/>
                    </w:rPr>
                  </w:pPr>
                  <w:r>
                    <w:rPr>
                      <w:bCs/>
                      <w:szCs w:val="21"/>
                    </w:rPr>
                    <w:t>ND</w:t>
                  </w:r>
                </w:p>
              </w:tc>
              <w:tc>
                <w:tcPr>
                  <w:tcW w:w="591" w:type="pct"/>
                  <w:vAlign w:val="center"/>
                </w:tcPr>
                <w:p w14:paraId="3886E044">
                  <w:pPr>
                    <w:jc w:val="center"/>
                    <w:rPr>
                      <w:bCs/>
                      <w:szCs w:val="21"/>
                    </w:rPr>
                  </w:pPr>
                  <w:r>
                    <w:rPr>
                      <w:bCs/>
                      <w:szCs w:val="21"/>
                    </w:rPr>
                    <w:t>0.9</w:t>
                  </w:r>
                </w:p>
              </w:tc>
              <w:tc>
                <w:tcPr>
                  <w:tcW w:w="591" w:type="pct"/>
                  <w:vAlign w:val="center"/>
                </w:tcPr>
                <w:p w14:paraId="16C7F779">
                  <w:pPr>
                    <w:jc w:val="center"/>
                    <w:rPr>
                      <w:bCs/>
                      <w:szCs w:val="21"/>
                    </w:rPr>
                  </w:pPr>
                  <w:r>
                    <w:rPr>
                      <w:bCs/>
                      <w:szCs w:val="21"/>
                    </w:rPr>
                    <w:t>达标</w:t>
                  </w:r>
                </w:p>
              </w:tc>
            </w:tr>
            <w:tr w14:paraId="2FD0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73844531">
                  <w:pPr>
                    <w:jc w:val="center"/>
                    <w:rPr>
                      <w:bCs/>
                      <w:szCs w:val="21"/>
                    </w:rPr>
                  </w:pPr>
                  <w:r>
                    <w:rPr>
                      <w:bCs/>
                      <w:szCs w:val="21"/>
                      <w:lang w:bidi="ar"/>
                    </w:rPr>
                    <w:t>氯甲烷</w:t>
                  </w:r>
                </w:p>
              </w:tc>
              <w:tc>
                <w:tcPr>
                  <w:tcW w:w="593" w:type="pct"/>
                  <w:vAlign w:val="center"/>
                </w:tcPr>
                <w:p w14:paraId="345F567F">
                  <w:pPr>
                    <w:jc w:val="center"/>
                    <w:rPr>
                      <w:bCs/>
                      <w:szCs w:val="21"/>
                      <w:lang w:bidi="ar"/>
                    </w:rPr>
                  </w:pPr>
                  <w:r>
                    <w:rPr>
                      <w:bCs/>
                      <w:szCs w:val="21"/>
                      <w:lang w:bidi="ar"/>
                    </w:rPr>
                    <w:t>mg/kg</w:t>
                  </w:r>
                </w:p>
              </w:tc>
              <w:tc>
                <w:tcPr>
                  <w:tcW w:w="761" w:type="pct"/>
                  <w:vAlign w:val="center"/>
                </w:tcPr>
                <w:p w14:paraId="48861CFA">
                  <w:pPr>
                    <w:jc w:val="center"/>
                    <w:rPr>
                      <w:bCs/>
                      <w:szCs w:val="21"/>
                    </w:rPr>
                  </w:pPr>
                  <w:r>
                    <w:rPr>
                      <w:bCs/>
                      <w:szCs w:val="21"/>
                    </w:rPr>
                    <w:t>ND</w:t>
                  </w:r>
                </w:p>
              </w:tc>
              <w:tc>
                <w:tcPr>
                  <w:tcW w:w="677" w:type="pct"/>
                  <w:vAlign w:val="center"/>
                </w:tcPr>
                <w:p w14:paraId="5C1290AA">
                  <w:pPr>
                    <w:jc w:val="center"/>
                    <w:rPr>
                      <w:bCs/>
                      <w:szCs w:val="21"/>
                    </w:rPr>
                  </w:pPr>
                  <w:r>
                    <w:rPr>
                      <w:bCs/>
                      <w:szCs w:val="21"/>
                    </w:rPr>
                    <w:t>ND</w:t>
                  </w:r>
                </w:p>
              </w:tc>
              <w:tc>
                <w:tcPr>
                  <w:tcW w:w="762" w:type="pct"/>
                  <w:vAlign w:val="center"/>
                </w:tcPr>
                <w:p w14:paraId="4F44AE89">
                  <w:pPr>
                    <w:jc w:val="center"/>
                    <w:rPr>
                      <w:bCs/>
                      <w:szCs w:val="21"/>
                    </w:rPr>
                  </w:pPr>
                  <w:r>
                    <w:rPr>
                      <w:bCs/>
                      <w:szCs w:val="21"/>
                    </w:rPr>
                    <w:t>ND</w:t>
                  </w:r>
                </w:p>
              </w:tc>
              <w:tc>
                <w:tcPr>
                  <w:tcW w:w="591" w:type="pct"/>
                  <w:vAlign w:val="center"/>
                </w:tcPr>
                <w:p w14:paraId="18E8A360">
                  <w:pPr>
                    <w:jc w:val="center"/>
                    <w:rPr>
                      <w:bCs/>
                      <w:szCs w:val="21"/>
                    </w:rPr>
                  </w:pPr>
                  <w:r>
                    <w:rPr>
                      <w:bCs/>
                      <w:szCs w:val="21"/>
                    </w:rPr>
                    <w:t>37</w:t>
                  </w:r>
                </w:p>
              </w:tc>
              <w:tc>
                <w:tcPr>
                  <w:tcW w:w="591" w:type="pct"/>
                  <w:vAlign w:val="center"/>
                </w:tcPr>
                <w:p w14:paraId="557EAD2D">
                  <w:pPr>
                    <w:jc w:val="center"/>
                    <w:rPr>
                      <w:bCs/>
                      <w:szCs w:val="21"/>
                    </w:rPr>
                  </w:pPr>
                  <w:r>
                    <w:rPr>
                      <w:bCs/>
                      <w:szCs w:val="21"/>
                    </w:rPr>
                    <w:t>达标</w:t>
                  </w:r>
                </w:p>
              </w:tc>
            </w:tr>
            <w:tr w14:paraId="50B9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66F4B331">
                  <w:pPr>
                    <w:jc w:val="center"/>
                    <w:rPr>
                      <w:bCs/>
                      <w:szCs w:val="21"/>
                    </w:rPr>
                  </w:pPr>
                  <w:r>
                    <w:rPr>
                      <w:bCs/>
                      <w:szCs w:val="21"/>
                      <w:lang w:bidi="ar"/>
                    </w:rPr>
                    <w:t>1,1-二氯乙烷</w:t>
                  </w:r>
                </w:p>
              </w:tc>
              <w:tc>
                <w:tcPr>
                  <w:tcW w:w="593" w:type="pct"/>
                  <w:vAlign w:val="center"/>
                </w:tcPr>
                <w:p w14:paraId="548B417B">
                  <w:pPr>
                    <w:jc w:val="center"/>
                    <w:rPr>
                      <w:bCs/>
                      <w:szCs w:val="21"/>
                      <w:lang w:bidi="ar"/>
                    </w:rPr>
                  </w:pPr>
                  <w:r>
                    <w:rPr>
                      <w:bCs/>
                      <w:szCs w:val="21"/>
                      <w:lang w:bidi="ar"/>
                    </w:rPr>
                    <w:t>mg/kg</w:t>
                  </w:r>
                </w:p>
              </w:tc>
              <w:tc>
                <w:tcPr>
                  <w:tcW w:w="761" w:type="pct"/>
                  <w:vAlign w:val="center"/>
                </w:tcPr>
                <w:p w14:paraId="7D5BEDFC">
                  <w:pPr>
                    <w:jc w:val="center"/>
                    <w:rPr>
                      <w:bCs/>
                      <w:szCs w:val="21"/>
                    </w:rPr>
                  </w:pPr>
                  <w:r>
                    <w:rPr>
                      <w:bCs/>
                      <w:szCs w:val="21"/>
                    </w:rPr>
                    <w:t>ND</w:t>
                  </w:r>
                </w:p>
              </w:tc>
              <w:tc>
                <w:tcPr>
                  <w:tcW w:w="677" w:type="pct"/>
                  <w:vAlign w:val="center"/>
                </w:tcPr>
                <w:p w14:paraId="4AC5E8BD">
                  <w:pPr>
                    <w:jc w:val="center"/>
                    <w:rPr>
                      <w:bCs/>
                      <w:szCs w:val="21"/>
                    </w:rPr>
                  </w:pPr>
                  <w:r>
                    <w:rPr>
                      <w:bCs/>
                      <w:szCs w:val="21"/>
                    </w:rPr>
                    <w:t>ND</w:t>
                  </w:r>
                </w:p>
              </w:tc>
              <w:tc>
                <w:tcPr>
                  <w:tcW w:w="762" w:type="pct"/>
                  <w:vAlign w:val="center"/>
                </w:tcPr>
                <w:p w14:paraId="257E6ECE">
                  <w:pPr>
                    <w:jc w:val="center"/>
                    <w:rPr>
                      <w:bCs/>
                      <w:szCs w:val="21"/>
                    </w:rPr>
                  </w:pPr>
                  <w:r>
                    <w:rPr>
                      <w:bCs/>
                      <w:szCs w:val="21"/>
                    </w:rPr>
                    <w:t>ND</w:t>
                  </w:r>
                </w:p>
              </w:tc>
              <w:tc>
                <w:tcPr>
                  <w:tcW w:w="591" w:type="pct"/>
                  <w:vAlign w:val="center"/>
                </w:tcPr>
                <w:p w14:paraId="7E6DADFF">
                  <w:pPr>
                    <w:jc w:val="center"/>
                    <w:rPr>
                      <w:bCs/>
                      <w:szCs w:val="21"/>
                    </w:rPr>
                  </w:pPr>
                  <w:r>
                    <w:rPr>
                      <w:bCs/>
                      <w:szCs w:val="21"/>
                    </w:rPr>
                    <w:t>9</w:t>
                  </w:r>
                </w:p>
              </w:tc>
              <w:tc>
                <w:tcPr>
                  <w:tcW w:w="591" w:type="pct"/>
                  <w:vAlign w:val="center"/>
                </w:tcPr>
                <w:p w14:paraId="167A8760">
                  <w:pPr>
                    <w:jc w:val="center"/>
                    <w:rPr>
                      <w:bCs/>
                      <w:szCs w:val="21"/>
                    </w:rPr>
                  </w:pPr>
                  <w:r>
                    <w:rPr>
                      <w:bCs/>
                      <w:szCs w:val="21"/>
                    </w:rPr>
                    <w:t>达标</w:t>
                  </w:r>
                </w:p>
              </w:tc>
            </w:tr>
            <w:tr w14:paraId="4CA9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6781B2C3">
                  <w:pPr>
                    <w:jc w:val="center"/>
                    <w:rPr>
                      <w:bCs/>
                      <w:szCs w:val="21"/>
                      <w:lang w:bidi="ar"/>
                    </w:rPr>
                  </w:pPr>
                  <w:r>
                    <w:rPr>
                      <w:bCs/>
                      <w:szCs w:val="21"/>
                      <w:lang w:bidi="ar"/>
                    </w:rPr>
                    <w:t>1,2-二氯乙烷</w:t>
                  </w:r>
                </w:p>
              </w:tc>
              <w:tc>
                <w:tcPr>
                  <w:tcW w:w="593" w:type="pct"/>
                  <w:vAlign w:val="center"/>
                </w:tcPr>
                <w:p w14:paraId="75B3DB06">
                  <w:pPr>
                    <w:jc w:val="center"/>
                    <w:rPr>
                      <w:bCs/>
                      <w:szCs w:val="21"/>
                      <w:lang w:bidi="ar"/>
                    </w:rPr>
                  </w:pPr>
                  <w:r>
                    <w:rPr>
                      <w:bCs/>
                      <w:szCs w:val="21"/>
                      <w:lang w:bidi="ar"/>
                    </w:rPr>
                    <w:t>mg/kg</w:t>
                  </w:r>
                </w:p>
              </w:tc>
              <w:tc>
                <w:tcPr>
                  <w:tcW w:w="761" w:type="pct"/>
                  <w:vAlign w:val="center"/>
                </w:tcPr>
                <w:p w14:paraId="0FE65C82">
                  <w:pPr>
                    <w:jc w:val="center"/>
                    <w:rPr>
                      <w:bCs/>
                      <w:szCs w:val="21"/>
                    </w:rPr>
                  </w:pPr>
                  <w:r>
                    <w:rPr>
                      <w:bCs/>
                      <w:szCs w:val="21"/>
                    </w:rPr>
                    <w:t>ND</w:t>
                  </w:r>
                </w:p>
              </w:tc>
              <w:tc>
                <w:tcPr>
                  <w:tcW w:w="677" w:type="pct"/>
                  <w:vAlign w:val="center"/>
                </w:tcPr>
                <w:p w14:paraId="1377AD4A">
                  <w:pPr>
                    <w:jc w:val="center"/>
                    <w:rPr>
                      <w:bCs/>
                      <w:szCs w:val="21"/>
                    </w:rPr>
                  </w:pPr>
                  <w:r>
                    <w:rPr>
                      <w:bCs/>
                      <w:szCs w:val="21"/>
                    </w:rPr>
                    <w:t>ND</w:t>
                  </w:r>
                </w:p>
              </w:tc>
              <w:tc>
                <w:tcPr>
                  <w:tcW w:w="762" w:type="pct"/>
                  <w:vAlign w:val="center"/>
                </w:tcPr>
                <w:p w14:paraId="713F9CFD">
                  <w:pPr>
                    <w:jc w:val="center"/>
                    <w:rPr>
                      <w:bCs/>
                      <w:szCs w:val="21"/>
                    </w:rPr>
                  </w:pPr>
                  <w:r>
                    <w:rPr>
                      <w:bCs/>
                      <w:szCs w:val="21"/>
                    </w:rPr>
                    <w:t>ND</w:t>
                  </w:r>
                </w:p>
              </w:tc>
              <w:tc>
                <w:tcPr>
                  <w:tcW w:w="591" w:type="pct"/>
                  <w:vAlign w:val="center"/>
                </w:tcPr>
                <w:p w14:paraId="30767D16">
                  <w:pPr>
                    <w:jc w:val="center"/>
                    <w:rPr>
                      <w:bCs/>
                      <w:szCs w:val="21"/>
                    </w:rPr>
                  </w:pPr>
                  <w:r>
                    <w:rPr>
                      <w:bCs/>
                      <w:szCs w:val="21"/>
                    </w:rPr>
                    <w:t>5</w:t>
                  </w:r>
                </w:p>
              </w:tc>
              <w:tc>
                <w:tcPr>
                  <w:tcW w:w="591" w:type="pct"/>
                  <w:vAlign w:val="center"/>
                </w:tcPr>
                <w:p w14:paraId="4EF48147">
                  <w:pPr>
                    <w:jc w:val="center"/>
                    <w:rPr>
                      <w:bCs/>
                      <w:szCs w:val="21"/>
                    </w:rPr>
                  </w:pPr>
                  <w:r>
                    <w:rPr>
                      <w:bCs/>
                      <w:szCs w:val="21"/>
                    </w:rPr>
                    <w:t>达标</w:t>
                  </w:r>
                </w:p>
              </w:tc>
            </w:tr>
            <w:tr w14:paraId="2C38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208B8B09">
                  <w:pPr>
                    <w:jc w:val="center"/>
                    <w:textAlignment w:val="center"/>
                    <w:rPr>
                      <w:bCs/>
                      <w:szCs w:val="21"/>
                    </w:rPr>
                  </w:pPr>
                  <w:r>
                    <w:rPr>
                      <w:bCs/>
                      <w:szCs w:val="21"/>
                      <w:lang w:bidi="ar"/>
                    </w:rPr>
                    <w:t>1,1-二氯乙烯</w:t>
                  </w:r>
                </w:p>
              </w:tc>
              <w:tc>
                <w:tcPr>
                  <w:tcW w:w="593" w:type="pct"/>
                  <w:vAlign w:val="center"/>
                </w:tcPr>
                <w:p w14:paraId="24619856">
                  <w:pPr>
                    <w:jc w:val="center"/>
                    <w:rPr>
                      <w:bCs/>
                      <w:szCs w:val="21"/>
                      <w:lang w:bidi="ar"/>
                    </w:rPr>
                  </w:pPr>
                  <w:r>
                    <w:rPr>
                      <w:bCs/>
                      <w:szCs w:val="21"/>
                      <w:lang w:bidi="ar"/>
                    </w:rPr>
                    <w:t>mg/kg</w:t>
                  </w:r>
                </w:p>
              </w:tc>
              <w:tc>
                <w:tcPr>
                  <w:tcW w:w="761" w:type="pct"/>
                  <w:vAlign w:val="center"/>
                </w:tcPr>
                <w:p w14:paraId="4F1DDA55">
                  <w:pPr>
                    <w:jc w:val="center"/>
                    <w:rPr>
                      <w:bCs/>
                      <w:szCs w:val="21"/>
                    </w:rPr>
                  </w:pPr>
                  <w:r>
                    <w:rPr>
                      <w:bCs/>
                      <w:szCs w:val="21"/>
                    </w:rPr>
                    <w:t>ND</w:t>
                  </w:r>
                </w:p>
              </w:tc>
              <w:tc>
                <w:tcPr>
                  <w:tcW w:w="677" w:type="pct"/>
                  <w:vAlign w:val="center"/>
                </w:tcPr>
                <w:p w14:paraId="474DC678">
                  <w:pPr>
                    <w:jc w:val="center"/>
                    <w:rPr>
                      <w:bCs/>
                      <w:szCs w:val="21"/>
                    </w:rPr>
                  </w:pPr>
                  <w:r>
                    <w:rPr>
                      <w:bCs/>
                      <w:szCs w:val="21"/>
                    </w:rPr>
                    <w:t>ND</w:t>
                  </w:r>
                </w:p>
              </w:tc>
              <w:tc>
                <w:tcPr>
                  <w:tcW w:w="762" w:type="pct"/>
                  <w:vAlign w:val="center"/>
                </w:tcPr>
                <w:p w14:paraId="0DC3D066">
                  <w:pPr>
                    <w:jc w:val="center"/>
                    <w:rPr>
                      <w:bCs/>
                      <w:szCs w:val="21"/>
                    </w:rPr>
                  </w:pPr>
                  <w:r>
                    <w:rPr>
                      <w:bCs/>
                      <w:szCs w:val="21"/>
                    </w:rPr>
                    <w:t>ND</w:t>
                  </w:r>
                </w:p>
              </w:tc>
              <w:tc>
                <w:tcPr>
                  <w:tcW w:w="591" w:type="pct"/>
                  <w:vAlign w:val="center"/>
                </w:tcPr>
                <w:p w14:paraId="2C1E94A0">
                  <w:pPr>
                    <w:jc w:val="center"/>
                    <w:rPr>
                      <w:bCs/>
                      <w:szCs w:val="21"/>
                    </w:rPr>
                  </w:pPr>
                  <w:r>
                    <w:rPr>
                      <w:bCs/>
                      <w:szCs w:val="21"/>
                    </w:rPr>
                    <w:t>66</w:t>
                  </w:r>
                </w:p>
              </w:tc>
              <w:tc>
                <w:tcPr>
                  <w:tcW w:w="591" w:type="pct"/>
                  <w:vAlign w:val="center"/>
                </w:tcPr>
                <w:p w14:paraId="32F2A22D">
                  <w:pPr>
                    <w:jc w:val="center"/>
                    <w:rPr>
                      <w:bCs/>
                      <w:szCs w:val="21"/>
                    </w:rPr>
                  </w:pPr>
                  <w:r>
                    <w:rPr>
                      <w:bCs/>
                      <w:szCs w:val="21"/>
                    </w:rPr>
                    <w:t>达标</w:t>
                  </w:r>
                </w:p>
              </w:tc>
            </w:tr>
            <w:tr w14:paraId="0E4C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0EBDF7DA">
                  <w:pPr>
                    <w:jc w:val="center"/>
                    <w:textAlignment w:val="center"/>
                    <w:rPr>
                      <w:bCs/>
                      <w:szCs w:val="21"/>
                    </w:rPr>
                  </w:pPr>
                  <w:r>
                    <w:rPr>
                      <w:bCs/>
                      <w:szCs w:val="21"/>
                      <w:lang w:bidi="ar"/>
                    </w:rPr>
                    <w:t>顺-1,2-二氯乙烯</w:t>
                  </w:r>
                </w:p>
              </w:tc>
              <w:tc>
                <w:tcPr>
                  <w:tcW w:w="593" w:type="pct"/>
                  <w:vAlign w:val="center"/>
                </w:tcPr>
                <w:p w14:paraId="28DA1028">
                  <w:pPr>
                    <w:jc w:val="center"/>
                    <w:rPr>
                      <w:bCs/>
                      <w:szCs w:val="21"/>
                      <w:lang w:bidi="ar"/>
                    </w:rPr>
                  </w:pPr>
                  <w:r>
                    <w:rPr>
                      <w:bCs/>
                      <w:szCs w:val="21"/>
                      <w:lang w:bidi="ar"/>
                    </w:rPr>
                    <w:t>mg/kg</w:t>
                  </w:r>
                </w:p>
              </w:tc>
              <w:tc>
                <w:tcPr>
                  <w:tcW w:w="761" w:type="pct"/>
                  <w:vAlign w:val="center"/>
                </w:tcPr>
                <w:p w14:paraId="50AA9D94">
                  <w:pPr>
                    <w:jc w:val="center"/>
                    <w:rPr>
                      <w:bCs/>
                      <w:szCs w:val="21"/>
                    </w:rPr>
                  </w:pPr>
                  <w:r>
                    <w:rPr>
                      <w:bCs/>
                      <w:szCs w:val="21"/>
                    </w:rPr>
                    <w:t>ND</w:t>
                  </w:r>
                </w:p>
              </w:tc>
              <w:tc>
                <w:tcPr>
                  <w:tcW w:w="677" w:type="pct"/>
                  <w:vAlign w:val="center"/>
                </w:tcPr>
                <w:p w14:paraId="3C6C28CF">
                  <w:pPr>
                    <w:jc w:val="center"/>
                    <w:rPr>
                      <w:bCs/>
                      <w:szCs w:val="21"/>
                    </w:rPr>
                  </w:pPr>
                  <w:r>
                    <w:rPr>
                      <w:bCs/>
                      <w:szCs w:val="21"/>
                    </w:rPr>
                    <w:t>ND</w:t>
                  </w:r>
                </w:p>
              </w:tc>
              <w:tc>
                <w:tcPr>
                  <w:tcW w:w="762" w:type="pct"/>
                  <w:vAlign w:val="center"/>
                </w:tcPr>
                <w:p w14:paraId="1C665236">
                  <w:pPr>
                    <w:jc w:val="center"/>
                    <w:rPr>
                      <w:bCs/>
                      <w:szCs w:val="21"/>
                    </w:rPr>
                  </w:pPr>
                  <w:r>
                    <w:rPr>
                      <w:bCs/>
                      <w:szCs w:val="21"/>
                    </w:rPr>
                    <w:t>ND</w:t>
                  </w:r>
                </w:p>
              </w:tc>
              <w:tc>
                <w:tcPr>
                  <w:tcW w:w="591" w:type="pct"/>
                  <w:vAlign w:val="center"/>
                </w:tcPr>
                <w:p w14:paraId="1C6CA042">
                  <w:pPr>
                    <w:jc w:val="center"/>
                    <w:rPr>
                      <w:bCs/>
                      <w:szCs w:val="21"/>
                    </w:rPr>
                  </w:pPr>
                  <w:r>
                    <w:rPr>
                      <w:bCs/>
                      <w:szCs w:val="21"/>
                    </w:rPr>
                    <w:t>596</w:t>
                  </w:r>
                </w:p>
              </w:tc>
              <w:tc>
                <w:tcPr>
                  <w:tcW w:w="591" w:type="pct"/>
                  <w:vAlign w:val="center"/>
                </w:tcPr>
                <w:p w14:paraId="56D55007">
                  <w:pPr>
                    <w:jc w:val="center"/>
                    <w:rPr>
                      <w:bCs/>
                      <w:szCs w:val="21"/>
                    </w:rPr>
                  </w:pPr>
                  <w:r>
                    <w:rPr>
                      <w:bCs/>
                      <w:szCs w:val="21"/>
                    </w:rPr>
                    <w:t>达标</w:t>
                  </w:r>
                </w:p>
              </w:tc>
            </w:tr>
            <w:tr w14:paraId="5790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350BF66D">
                  <w:pPr>
                    <w:jc w:val="center"/>
                    <w:textAlignment w:val="center"/>
                    <w:rPr>
                      <w:bCs/>
                      <w:szCs w:val="21"/>
                    </w:rPr>
                  </w:pPr>
                  <w:r>
                    <w:rPr>
                      <w:bCs/>
                      <w:szCs w:val="21"/>
                      <w:lang w:bidi="ar"/>
                    </w:rPr>
                    <w:t>反-1,2-二氯乙烯</w:t>
                  </w:r>
                </w:p>
              </w:tc>
              <w:tc>
                <w:tcPr>
                  <w:tcW w:w="593" w:type="pct"/>
                  <w:vAlign w:val="center"/>
                </w:tcPr>
                <w:p w14:paraId="26F99348">
                  <w:pPr>
                    <w:jc w:val="center"/>
                    <w:rPr>
                      <w:bCs/>
                      <w:szCs w:val="21"/>
                      <w:lang w:bidi="ar"/>
                    </w:rPr>
                  </w:pPr>
                  <w:r>
                    <w:rPr>
                      <w:bCs/>
                      <w:szCs w:val="21"/>
                      <w:lang w:bidi="ar"/>
                    </w:rPr>
                    <w:t>mg/kg</w:t>
                  </w:r>
                </w:p>
              </w:tc>
              <w:tc>
                <w:tcPr>
                  <w:tcW w:w="761" w:type="pct"/>
                  <w:vAlign w:val="center"/>
                </w:tcPr>
                <w:p w14:paraId="4F940945">
                  <w:pPr>
                    <w:jc w:val="center"/>
                    <w:rPr>
                      <w:bCs/>
                      <w:szCs w:val="21"/>
                    </w:rPr>
                  </w:pPr>
                  <w:r>
                    <w:rPr>
                      <w:bCs/>
                      <w:szCs w:val="21"/>
                    </w:rPr>
                    <w:t>ND</w:t>
                  </w:r>
                </w:p>
              </w:tc>
              <w:tc>
                <w:tcPr>
                  <w:tcW w:w="677" w:type="pct"/>
                  <w:vAlign w:val="center"/>
                </w:tcPr>
                <w:p w14:paraId="7D348D48">
                  <w:pPr>
                    <w:jc w:val="center"/>
                    <w:rPr>
                      <w:bCs/>
                      <w:szCs w:val="21"/>
                    </w:rPr>
                  </w:pPr>
                  <w:r>
                    <w:rPr>
                      <w:bCs/>
                      <w:szCs w:val="21"/>
                    </w:rPr>
                    <w:t>ND</w:t>
                  </w:r>
                </w:p>
              </w:tc>
              <w:tc>
                <w:tcPr>
                  <w:tcW w:w="762" w:type="pct"/>
                  <w:vAlign w:val="center"/>
                </w:tcPr>
                <w:p w14:paraId="641CEE9A">
                  <w:pPr>
                    <w:jc w:val="center"/>
                    <w:rPr>
                      <w:bCs/>
                      <w:szCs w:val="21"/>
                    </w:rPr>
                  </w:pPr>
                  <w:r>
                    <w:rPr>
                      <w:bCs/>
                      <w:szCs w:val="21"/>
                    </w:rPr>
                    <w:t>ND</w:t>
                  </w:r>
                </w:p>
              </w:tc>
              <w:tc>
                <w:tcPr>
                  <w:tcW w:w="591" w:type="pct"/>
                  <w:vAlign w:val="center"/>
                </w:tcPr>
                <w:p w14:paraId="44FA7611">
                  <w:pPr>
                    <w:jc w:val="center"/>
                    <w:rPr>
                      <w:bCs/>
                      <w:szCs w:val="21"/>
                    </w:rPr>
                  </w:pPr>
                  <w:r>
                    <w:rPr>
                      <w:bCs/>
                      <w:szCs w:val="21"/>
                    </w:rPr>
                    <w:t>54</w:t>
                  </w:r>
                </w:p>
              </w:tc>
              <w:tc>
                <w:tcPr>
                  <w:tcW w:w="591" w:type="pct"/>
                  <w:vAlign w:val="center"/>
                </w:tcPr>
                <w:p w14:paraId="58CC5FCA">
                  <w:pPr>
                    <w:jc w:val="center"/>
                    <w:rPr>
                      <w:bCs/>
                      <w:szCs w:val="21"/>
                    </w:rPr>
                  </w:pPr>
                  <w:r>
                    <w:rPr>
                      <w:bCs/>
                      <w:szCs w:val="21"/>
                    </w:rPr>
                    <w:t>达标</w:t>
                  </w:r>
                </w:p>
              </w:tc>
            </w:tr>
            <w:tr w14:paraId="5424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552C3803">
                  <w:pPr>
                    <w:jc w:val="center"/>
                    <w:rPr>
                      <w:bCs/>
                      <w:szCs w:val="21"/>
                    </w:rPr>
                  </w:pPr>
                  <w:r>
                    <w:rPr>
                      <w:bCs/>
                      <w:szCs w:val="21"/>
                      <w:lang w:bidi="ar"/>
                    </w:rPr>
                    <w:t>二氯甲烷</w:t>
                  </w:r>
                </w:p>
              </w:tc>
              <w:tc>
                <w:tcPr>
                  <w:tcW w:w="593" w:type="pct"/>
                  <w:vAlign w:val="center"/>
                </w:tcPr>
                <w:p w14:paraId="1C6DA801">
                  <w:pPr>
                    <w:jc w:val="center"/>
                    <w:rPr>
                      <w:bCs/>
                      <w:szCs w:val="21"/>
                      <w:lang w:bidi="ar"/>
                    </w:rPr>
                  </w:pPr>
                  <w:r>
                    <w:rPr>
                      <w:bCs/>
                      <w:szCs w:val="21"/>
                      <w:lang w:bidi="ar"/>
                    </w:rPr>
                    <w:t>mg/kg</w:t>
                  </w:r>
                </w:p>
              </w:tc>
              <w:tc>
                <w:tcPr>
                  <w:tcW w:w="761" w:type="pct"/>
                  <w:vAlign w:val="center"/>
                </w:tcPr>
                <w:p w14:paraId="35D2EAD5">
                  <w:pPr>
                    <w:jc w:val="center"/>
                    <w:rPr>
                      <w:bCs/>
                      <w:szCs w:val="21"/>
                    </w:rPr>
                  </w:pPr>
                  <w:r>
                    <w:rPr>
                      <w:bCs/>
                      <w:szCs w:val="21"/>
                    </w:rPr>
                    <w:t>ND</w:t>
                  </w:r>
                </w:p>
              </w:tc>
              <w:tc>
                <w:tcPr>
                  <w:tcW w:w="677" w:type="pct"/>
                  <w:vAlign w:val="center"/>
                </w:tcPr>
                <w:p w14:paraId="7787B741">
                  <w:pPr>
                    <w:jc w:val="center"/>
                    <w:rPr>
                      <w:bCs/>
                      <w:szCs w:val="21"/>
                    </w:rPr>
                  </w:pPr>
                  <w:r>
                    <w:rPr>
                      <w:bCs/>
                      <w:szCs w:val="21"/>
                    </w:rPr>
                    <w:t>ND</w:t>
                  </w:r>
                </w:p>
              </w:tc>
              <w:tc>
                <w:tcPr>
                  <w:tcW w:w="762" w:type="pct"/>
                  <w:vAlign w:val="center"/>
                </w:tcPr>
                <w:p w14:paraId="2C8E3C90">
                  <w:pPr>
                    <w:jc w:val="center"/>
                    <w:rPr>
                      <w:bCs/>
                      <w:szCs w:val="21"/>
                    </w:rPr>
                  </w:pPr>
                  <w:r>
                    <w:rPr>
                      <w:bCs/>
                      <w:szCs w:val="21"/>
                    </w:rPr>
                    <w:t>ND</w:t>
                  </w:r>
                </w:p>
              </w:tc>
              <w:tc>
                <w:tcPr>
                  <w:tcW w:w="591" w:type="pct"/>
                  <w:vAlign w:val="center"/>
                </w:tcPr>
                <w:p w14:paraId="67B63534">
                  <w:pPr>
                    <w:jc w:val="center"/>
                    <w:rPr>
                      <w:bCs/>
                      <w:szCs w:val="21"/>
                    </w:rPr>
                  </w:pPr>
                  <w:r>
                    <w:rPr>
                      <w:bCs/>
                      <w:szCs w:val="21"/>
                    </w:rPr>
                    <w:t>616</w:t>
                  </w:r>
                </w:p>
              </w:tc>
              <w:tc>
                <w:tcPr>
                  <w:tcW w:w="591" w:type="pct"/>
                  <w:vAlign w:val="center"/>
                </w:tcPr>
                <w:p w14:paraId="5E5A5AB4">
                  <w:pPr>
                    <w:jc w:val="center"/>
                    <w:rPr>
                      <w:bCs/>
                      <w:szCs w:val="21"/>
                    </w:rPr>
                  </w:pPr>
                  <w:r>
                    <w:rPr>
                      <w:bCs/>
                      <w:szCs w:val="21"/>
                    </w:rPr>
                    <w:t>达标</w:t>
                  </w:r>
                </w:p>
              </w:tc>
            </w:tr>
            <w:tr w14:paraId="1154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04C8B3B7">
                  <w:pPr>
                    <w:jc w:val="center"/>
                    <w:textAlignment w:val="center"/>
                    <w:rPr>
                      <w:bCs/>
                      <w:szCs w:val="21"/>
                    </w:rPr>
                  </w:pPr>
                  <w:r>
                    <w:rPr>
                      <w:bCs/>
                      <w:szCs w:val="21"/>
                      <w:lang w:bidi="ar"/>
                    </w:rPr>
                    <w:t>1,2-二氯丙烷</w:t>
                  </w:r>
                </w:p>
              </w:tc>
              <w:tc>
                <w:tcPr>
                  <w:tcW w:w="593" w:type="pct"/>
                  <w:vAlign w:val="center"/>
                </w:tcPr>
                <w:p w14:paraId="22A328FB">
                  <w:pPr>
                    <w:jc w:val="center"/>
                    <w:rPr>
                      <w:bCs/>
                      <w:szCs w:val="21"/>
                      <w:lang w:bidi="ar"/>
                    </w:rPr>
                  </w:pPr>
                  <w:r>
                    <w:rPr>
                      <w:bCs/>
                      <w:szCs w:val="21"/>
                      <w:lang w:bidi="ar"/>
                    </w:rPr>
                    <w:t>mg/kg</w:t>
                  </w:r>
                </w:p>
              </w:tc>
              <w:tc>
                <w:tcPr>
                  <w:tcW w:w="761" w:type="pct"/>
                  <w:vAlign w:val="center"/>
                </w:tcPr>
                <w:p w14:paraId="6867F32F">
                  <w:pPr>
                    <w:jc w:val="center"/>
                    <w:rPr>
                      <w:bCs/>
                      <w:szCs w:val="21"/>
                    </w:rPr>
                  </w:pPr>
                  <w:r>
                    <w:rPr>
                      <w:bCs/>
                      <w:szCs w:val="21"/>
                    </w:rPr>
                    <w:t>ND</w:t>
                  </w:r>
                </w:p>
              </w:tc>
              <w:tc>
                <w:tcPr>
                  <w:tcW w:w="677" w:type="pct"/>
                  <w:vAlign w:val="center"/>
                </w:tcPr>
                <w:p w14:paraId="76E92F48">
                  <w:pPr>
                    <w:jc w:val="center"/>
                    <w:rPr>
                      <w:bCs/>
                      <w:szCs w:val="21"/>
                    </w:rPr>
                  </w:pPr>
                  <w:r>
                    <w:rPr>
                      <w:bCs/>
                      <w:szCs w:val="21"/>
                    </w:rPr>
                    <w:t>ND</w:t>
                  </w:r>
                </w:p>
              </w:tc>
              <w:tc>
                <w:tcPr>
                  <w:tcW w:w="762" w:type="pct"/>
                  <w:vAlign w:val="center"/>
                </w:tcPr>
                <w:p w14:paraId="6AC7DBDC">
                  <w:pPr>
                    <w:jc w:val="center"/>
                    <w:rPr>
                      <w:bCs/>
                      <w:szCs w:val="21"/>
                    </w:rPr>
                  </w:pPr>
                  <w:r>
                    <w:rPr>
                      <w:bCs/>
                      <w:szCs w:val="21"/>
                    </w:rPr>
                    <w:t>ND</w:t>
                  </w:r>
                </w:p>
              </w:tc>
              <w:tc>
                <w:tcPr>
                  <w:tcW w:w="591" w:type="pct"/>
                  <w:vAlign w:val="center"/>
                </w:tcPr>
                <w:p w14:paraId="104A66C2">
                  <w:pPr>
                    <w:jc w:val="center"/>
                    <w:rPr>
                      <w:bCs/>
                      <w:szCs w:val="21"/>
                    </w:rPr>
                  </w:pPr>
                  <w:r>
                    <w:rPr>
                      <w:bCs/>
                      <w:szCs w:val="21"/>
                    </w:rPr>
                    <w:t>5</w:t>
                  </w:r>
                </w:p>
              </w:tc>
              <w:tc>
                <w:tcPr>
                  <w:tcW w:w="591" w:type="pct"/>
                  <w:vAlign w:val="center"/>
                </w:tcPr>
                <w:p w14:paraId="5141FA1B">
                  <w:pPr>
                    <w:jc w:val="center"/>
                    <w:rPr>
                      <w:bCs/>
                      <w:szCs w:val="21"/>
                    </w:rPr>
                  </w:pPr>
                  <w:r>
                    <w:rPr>
                      <w:bCs/>
                      <w:szCs w:val="21"/>
                    </w:rPr>
                    <w:t>达标</w:t>
                  </w:r>
                </w:p>
              </w:tc>
            </w:tr>
            <w:tr w14:paraId="109A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002B741B">
                  <w:pPr>
                    <w:jc w:val="center"/>
                    <w:textAlignment w:val="center"/>
                    <w:rPr>
                      <w:bCs/>
                      <w:szCs w:val="21"/>
                    </w:rPr>
                  </w:pPr>
                  <w:r>
                    <w:rPr>
                      <w:bCs/>
                      <w:szCs w:val="21"/>
                      <w:lang w:bidi="ar"/>
                    </w:rPr>
                    <w:t>1,1,1,2-四氯乙烷</w:t>
                  </w:r>
                </w:p>
              </w:tc>
              <w:tc>
                <w:tcPr>
                  <w:tcW w:w="593" w:type="pct"/>
                  <w:vAlign w:val="center"/>
                </w:tcPr>
                <w:p w14:paraId="1E11F186">
                  <w:pPr>
                    <w:jc w:val="center"/>
                    <w:rPr>
                      <w:bCs/>
                      <w:szCs w:val="21"/>
                      <w:lang w:bidi="ar"/>
                    </w:rPr>
                  </w:pPr>
                  <w:r>
                    <w:rPr>
                      <w:bCs/>
                      <w:szCs w:val="21"/>
                      <w:lang w:bidi="ar"/>
                    </w:rPr>
                    <w:t>mg/kg</w:t>
                  </w:r>
                </w:p>
              </w:tc>
              <w:tc>
                <w:tcPr>
                  <w:tcW w:w="761" w:type="pct"/>
                  <w:vAlign w:val="center"/>
                </w:tcPr>
                <w:p w14:paraId="316B609F">
                  <w:pPr>
                    <w:jc w:val="center"/>
                    <w:rPr>
                      <w:bCs/>
                      <w:szCs w:val="21"/>
                    </w:rPr>
                  </w:pPr>
                  <w:r>
                    <w:rPr>
                      <w:bCs/>
                      <w:szCs w:val="21"/>
                    </w:rPr>
                    <w:t>ND</w:t>
                  </w:r>
                </w:p>
              </w:tc>
              <w:tc>
                <w:tcPr>
                  <w:tcW w:w="677" w:type="pct"/>
                  <w:vAlign w:val="center"/>
                </w:tcPr>
                <w:p w14:paraId="7F668BCD">
                  <w:pPr>
                    <w:jc w:val="center"/>
                    <w:rPr>
                      <w:bCs/>
                      <w:szCs w:val="21"/>
                    </w:rPr>
                  </w:pPr>
                  <w:r>
                    <w:rPr>
                      <w:bCs/>
                      <w:szCs w:val="21"/>
                    </w:rPr>
                    <w:t>ND</w:t>
                  </w:r>
                </w:p>
              </w:tc>
              <w:tc>
                <w:tcPr>
                  <w:tcW w:w="762" w:type="pct"/>
                  <w:vAlign w:val="center"/>
                </w:tcPr>
                <w:p w14:paraId="1C0E21B9">
                  <w:pPr>
                    <w:jc w:val="center"/>
                    <w:rPr>
                      <w:bCs/>
                      <w:szCs w:val="21"/>
                    </w:rPr>
                  </w:pPr>
                  <w:r>
                    <w:rPr>
                      <w:bCs/>
                      <w:szCs w:val="21"/>
                    </w:rPr>
                    <w:t>ND</w:t>
                  </w:r>
                </w:p>
              </w:tc>
              <w:tc>
                <w:tcPr>
                  <w:tcW w:w="591" w:type="pct"/>
                  <w:vAlign w:val="center"/>
                </w:tcPr>
                <w:p w14:paraId="65307F8F">
                  <w:pPr>
                    <w:jc w:val="center"/>
                    <w:rPr>
                      <w:bCs/>
                      <w:szCs w:val="21"/>
                    </w:rPr>
                  </w:pPr>
                  <w:r>
                    <w:rPr>
                      <w:bCs/>
                      <w:szCs w:val="21"/>
                    </w:rPr>
                    <w:t>10</w:t>
                  </w:r>
                </w:p>
              </w:tc>
              <w:tc>
                <w:tcPr>
                  <w:tcW w:w="591" w:type="pct"/>
                  <w:vAlign w:val="center"/>
                </w:tcPr>
                <w:p w14:paraId="7A94EDC0">
                  <w:pPr>
                    <w:jc w:val="center"/>
                    <w:rPr>
                      <w:bCs/>
                      <w:szCs w:val="21"/>
                    </w:rPr>
                  </w:pPr>
                  <w:r>
                    <w:rPr>
                      <w:bCs/>
                      <w:szCs w:val="21"/>
                    </w:rPr>
                    <w:t>达标</w:t>
                  </w:r>
                </w:p>
              </w:tc>
            </w:tr>
            <w:tr w14:paraId="2378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1025" w:type="pct"/>
                  <w:vAlign w:val="center"/>
                </w:tcPr>
                <w:p w14:paraId="13BF825A">
                  <w:pPr>
                    <w:jc w:val="center"/>
                    <w:textAlignment w:val="center"/>
                    <w:rPr>
                      <w:bCs/>
                      <w:szCs w:val="21"/>
                    </w:rPr>
                  </w:pPr>
                  <w:r>
                    <w:rPr>
                      <w:bCs/>
                      <w:szCs w:val="21"/>
                      <w:lang w:bidi="ar"/>
                    </w:rPr>
                    <w:t>1,1,2,2-四氯乙烷</w:t>
                  </w:r>
                </w:p>
              </w:tc>
              <w:tc>
                <w:tcPr>
                  <w:tcW w:w="593" w:type="pct"/>
                  <w:vAlign w:val="center"/>
                </w:tcPr>
                <w:p w14:paraId="34F87F3A">
                  <w:pPr>
                    <w:jc w:val="center"/>
                    <w:rPr>
                      <w:bCs/>
                      <w:szCs w:val="21"/>
                      <w:lang w:bidi="ar"/>
                    </w:rPr>
                  </w:pPr>
                  <w:r>
                    <w:rPr>
                      <w:bCs/>
                      <w:szCs w:val="21"/>
                      <w:lang w:bidi="ar"/>
                    </w:rPr>
                    <w:t>mg/kg</w:t>
                  </w:r>
                </w:p>
              </w:tc>
              <w:tc>
                <w:tcPr>
                  <w:tcW w:w="761" w:type="pct"/>
                  <w:vAlign w:val="center"/>
                </w:tcPr>
                <w:p w14:paraId="3C35A751">
                  <w:pPr>
                    <w:jc w:val="center"/>
                    <w:rPr>
                      <w:bCs/>
                      <w:szCs w:val="21"/>
                    </w:rPr>
                  </w:pPr>
                  <w:r>
                    <w:rPr>
                      <w:bCs/>
                      <w:szCs w:val="21"/>
                    </w:rPr>
                    <w:t>ND</w:t>
                  </w:r>
                </w:p>
              </w:tc>
              <w:tc>
                <w:tcPr>
                  <w:tcW w:w="677" w:type="pct"/>
                  <w:vAlign w:val="center"/>
                </w:tcPr>
                <w:p w14:paraId="7160A0B2">
                  <w:pPr>
                    <w:jc w:val="center"/>
                    <w:rPr>
                      <w:bCs/>
                      <w:szCs w:val="21"/>
                    </w:rPr>
                  </w:pPr>
                  <w:r>
                    <w:rPr>
                      <w:bCs/>
                      <w:szCs w:val="21"/>
                    </w:rPr>
                    <w:t>ND</w:t>
                  </w:r>
                </w:p>
              </w:tc>
              <w:tc>
                <w:tcPr>
                  <w:tcW w:w="762" w:type="pct"/>
                  <w:vAlign w:val="center"/>
                </w:tcPr>
                <w:p w14:paraId="2301B770">
                  <w:pPr>
                    <w:jc w:val="center"/>
                    <w:rPr>
                      <w:bCs/>
                      <w:szCs w:val="21"/>
                    </w:rPr>
                  </w:pPr>
                  <w:r>
                    <w:rPr>
                      <w:bCs/>
                      <w:szCs w:val="21"/>
                    </w:rPr>
                    <w:t>ND</w:t>
                  </w:r>
                </w:p>
              </w:tc>
              <w:tc>
                <w:tcPr>
                  <w:tcW w:w="591" w:type="pct"/>
                  <w:vAlign w:val="center"/>
                </w:tcPr>
                <w:p w14:paraId="13E71763">
                  <w:pPr>
                    <w:jc w:val="center"/>
                    <w:rPr>
                      <w:bCs/>
                      <w:szCs w:val="21"/>
                    </w:rPr>
                  </w:pPr>
                  <w:r>
                    <w:rPr>
                      <w:bCs/>
                      <w:szCs w:val="21"/>
                    </w:rPr>
                    <w:t>6.8</w:t>
                  </w:r>
                </w:p>
              </w:tc>
              <w:tc>
                <w:tcPr>
                  <w:tcW w:w="591" w:type="pct"/>
                  <w:vAlign w:val="center"/>
                </w:tcPr>
                <w:p w14:paraId="2F66A0B4">
                  <w:pPr>
                    <w:jc w:val="center"/>
                    <w:rPr>
                      <w:bCs/>
                      <w:szCs w:val="21"/>
                    </w:rPr>
                  </w:pPr>
                  <w:r>
                    <w:rPr>
                      <w:bCs/>
                      <w:szCs w:val="21"/>
                    </w:rPr>
                    <w:t>达标</w:t>
                  </w:r>
                </w:p>
              </w:tc>
            </w:tr>
            <w:tr w14:paraId="4FBD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6F427BD5">
                  <w:pPr>
                    <w:jc w:val="center"/>
                    <w:textAlignment w:val="center"/>
                    <w:rPr>
                      <w:bCs/>
                      <w:szCs w:val="21"/>
                    </w:rPr>
                  </w:pPr>
                  <w:r>
                    <w:rPr>
                      <w:bCs/>
                      <w:szCs w:val="21"/>
                      <w:lang w:bidi="ar"/>
                    </w:rPr>
                    <w:t>四氯乙烯</w:t>
                  </w:r>
                </w:p>
              </w:tc>
              <w:tc>
                <w:tcPr>
                  <w:tcW w:w="593" w:type="pct"/>
                  <w:vAlign w:val="center"/>
                </w:tcPr>
                <w:p w14:paraId="6495969C">
                  <w:pPr>
                    <w:jc w:val="center"/>
                    <w:rPr>
                      <w:bCs/>
                      <w:szCs w:val="21"/>
                      <w:lang w:bidi="ar"/>
                    </w:rPr>
                  </w:pPr>
                  <w:r>
                    <w:rPr>
                      <w:bCs/>
                      <w:szCs w:val="21"/>
                      <w:lang w:bidi="ar"/>
                    </w:rPr>
                    <w:t>mg/kg</w:t>
                  </w:r>
                </w:p>
              </w:tc>
              <w:tc>
                <w:tcPr>
                  <w:tcW w:w="761" w:type="pct"/>
                  <w:vAlign w:val="center"/>
                </w:tcPr>
                <w:p w14:paraId="59BFBECE">
                  <w:pPr>
                    <w:jc w:val="center"/>
                    <w:rPr>
                      <w:bCs/>
                      <w:szCs w:val="21"/>
                    </w:rPr>
                  </w:pPr>
                  <w:r>
                    <w:rPr>
                      <w:bCs/>
                      <w:szCs w:val="21"/>
                    </w:rPr>
                    <w:t>ND</w:t>
                  </w:r>
                </w:p>
              </w:tc>
              <w:tc>
                <w:tcPr>
                  <w:tcW w:w="677" w:type="pct"/>
                  <w:vAlign w:val="center"/>
                </w:tcPr>
                <w:p w14:paraId="2C07C066">
                  <w:pPr>
                    <w:jc w:val="center"/>
                    <w:rPr>
                      <w:bCs/>
                      <w:szCs w:val="21"/>
                    </w:rPr>
                  </w:pPr>
                  <w:r>
                    <w:rPr>
                      <w:bCs/>
                      <w:szCs w:val="21"/>
                    </w:rPr>
                    <w:t>ND</w:t>
                  </w:r>
                </w:p>
              </w:tc>
              <w:tc>
                <w:tcPr>
                  <w:tcW w:w="762" w:type="pct"/>
                  <w:vAlign w:val="center"/>
                </w:tcPr>
                <w:p w14:paraId="406CE18C">
                  <w:pPr>
                    <w:jc w:val="center"/>
                    <w:rPr>
                      <w:bCs/>
                      <w:szCs w:val="21"/>
                    </w:rPr>
                  </w:pPr>
                  <w:r>
                    <w:rPr>
                      <w:bCs/>
                      <w:szCs w:val="21"/>
                    </w:rPr>
                    <w:t>ND</w:t>
                  </w:r>
                </w:p>
              </w:tc>
              <w:tc>
                <w:tcPr>
                  <w:tcW w:w="591" w:type="pct"/>
                  <w:vAlign w:val="center"/>
                </w:tcPr>
                <w:p w14:paraId="2C157F31">
                  <w:pPr>
                    <w:jc w:val="center"/>
                    <w:rPr>
                      <w:bCs/>
                      <w:szCs w:val="21"/>
                    </w:rPr>
                  </w:pPr>
                  <w:r>
                    <w:rPr>
                      <w:bCs/>
                      <w:szCs w:val="21"/>
                    </w:rPr>
                    <w:t>53</w:t>
                  </w:r>
                </w:p>
              </w:tc>
              <w:tc>
                <w:tcPr>
                  <w:tcW w:w="591" w:type="pct"/>
                  <w:vAlign w:val="center"/>
                </w:tcPr>
                <w:p w14:paraId="39ECBA23">
                  <w:pPr>
                    <w:jc w:val="center"/>
                    <w:rPr>
                      <w:bCs/>
                      <w:szCs w:val="21"/>
                    </w:rPr>
                  </w:pPr>
                  <w:r>
                    <w:rPr>
                      <w:bCs/>
                      <w:szCs w:val="21"/>
                    </w:rPr>
                    <w:t>达标</w:t>
                  </w:r>
                </w:p>
              </w:tc>
            </w:tr>
            <w:tr w14:paraId="2D23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2CF1EE6D">
                  <w:pPr>
                    <w:jc w:val="center"/>
                    <w:textAlignment w:val="center"/>
                    <w:rPr>
                      <w:bCs/>
                      <w:szCs w:val="21"/>
                    </w:rPr>
                  </w:pPr>
                  <w:r>
                    <w:rPr>
                      <w:bCs/>
                      <w:szCs w:val="21"/>
                      <w:lang w:bidi="ar"/>
                    </w:rPr>
                    <w:t>1,1,1-三氯乙烷</w:t>
                  </w:r>
                </w:p>
              </w:tc>
              <w:tc>
                <w:tcPr>
                  <w:tcW w:w="593" w:type="pct"/>
                  <w:vAlign w:val="center"/>
                </w:tcPr>
                <w:p w14:paraId="58548A03">
                  <w:pPr>
                    <w:jc w:val="center"/>
                    <w:rPr>
                      <w:bCs/>
                      <w:szCs w:val="21"/>
                      <w:lang w:bidi="ar"/>
                    </w:rPr>
                  </w:pPr>
                  <w:r>
                    <w:rPr>
                      <w:bCs/>
                      <w:szCs w:val="21"/>
                      <w:lang w:bidi="ar"/>
                    </w:rPr>
                    <w:t>mg/kg</w:t>
                  </w:r>
                </w:p>
              </w:tc>
              <w:tc>
                <w:tcPr>
                  <w:tcW w:w="761" w:type="pct"/>
                  <w:vAlign w:val="center"/>
                </w:tcPr>
                <w:p w14:paraId="3E3F7AB1">
                  <w:pPr>
                    <w:jc w:val="center"/>
                    <w:rPr>
                      <w:bCs/>
                      <w:szCs w:val="21"/>
                    </w:rPr>
                  </w:pPr>
                  <w:r>
                    <w:rPr>
                      <w:bCs/>
                      <w:szCs w:val="21"/>
                    </w:rPr>
                    <w:t>ND</w:t>
                  </w:r>
                </w:p>
              </w:tc>
              <w:tc>
                <w:tcPr>
                  <w:tcW w:w="677" w:type="pct"/>
                  <w:vAlign w:val="center"/>
                </w:tcPr>
                <w:p w14:paraId="2452BDD5">
                  <w:pPr>
                    <w:jc w:val="center"/>
                    <w:rPr>
                      <w:bCs/>
                      <w:szCs w:val="21"/>
                    </w:rPr>
                  </w:pPr>
                  <w:r>
                    <w:rPr>
                      <w:bCs/>
                      <w:szCs w:val="21"/>
                    </w:rPr>
                    <w:t>ND</w:t>
                  </w:r>
                </w:p>
              </w:tc>
              <w:tc>
                <w:tcPr>
                  <w:tcW w:w="762" w:type="pct"/>
                  <w:vAlign w:val="center"/>
                </w:tcPr>
                <w:p w14:paraId="15494C94">
                  <w:pPr>
                    <w:jc w:val="center"/>
                    <w:rPr>
                      <w:bCs/>
                      <w:szCs w:val="21"/>
                    </w:rPr>
                  </w:pPr>
                  <w:r>
                    <w:rPr>
                      <w:bCs/>
                      <w:szCs w:val="21"/>
                    </w:rPr>
                    <w:t>ND</w:t>
                  </w:r>
                </w:p>
              </w:tc>
              <w:tc>
                <w:tcPr>
                  <w:tcW w:w="591" w:type="pct"/>
                  <w:vAlign w:val="center"/>
                </w:tcPr>
                <w:p w14:paraId="380B8615">
                  <w:pPr>
                    <w:jc w:val="center"/>
                    <w:rPr>
                      <w:bCs/>
                      <w:szCs w:val="21"/>
                    </w:rPr>
                  </w:pPr>
                  <w:r>
                    <w:rPr>
                      <w:bCs/>
                      <w:szCs w:val="21"/>
                    </w:rPr>
                    <w:t>840</w:t>
                  </w:r>
                </w:p>
              </w:tc>
              <w:tc>
                <w:tcPr>
                  <w:tcW w:w="591" w:type="pct"/>
                  <w:vAlign w:val="center"/>
                </w:tcPr>
                <w:p w14:paraId="25E241DB">
                  <w:pPr>
                    <w:jc w:val="center"/>
                    <w:rPr>
                      <w:bCs/>
                      <w:szCs w:val="21"/>
                    </w:rPr>
                  </w:pPr>
                  <w:r>
                    <w:rPr>
                      <w:bCs/>
                      <w:szCs w:val="21"/>
                    </w:rPr>
                    <w:t>达标</w:t>
                  </w:r>
                </w:p>
              </w:tc>
            </w:tr>
            <w:tr w14:paraId="2653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4E0777A7">
                  <w:pPr>
                    <w:jc w:val="center"/>
                    <w:textAlignment w:val="center"/>
                    <w:rPr>
                      <w:bCs/>
                      <w:szCs w:val="21"/>
                    </w:rPr>
                  </w:pPr>
                  <w:r>
                    <w:rPr>
                      <w:bCs/>
                      <w:szCs w:val="21"/>
                      <w:lang w:bidi="ar"/>
                    </w:rPr>
                    <w:t>1,1,2-三氯乙烷</w:t>
                  </w:r>
                </w:p>
              </w:tc>
              <w:tc>
                <w:tcPr>
                  <w:tcW w:w="593" w:type="pct"/>
                  <w:vAlign w:val="center"/>
                </w:tcPr>
                <w:p w14:paraId="0F8615BE">
                  <w:pPr>
                    <w:jc w:val="center"/>
                    <w:rPr>
                      <w:bCs/>
                      <w:szCs w:val="21"/>
                      <w:lang w:bidi="ar"/>
                    </w:rPr>
                  </w:pPr>
                  <w:r>
                    <w:rPr>
                      <w:bCs/>
                      <w:szCs w:val="21"/>
                      <w:lang w:bidi="ar"/>
                    </w:rPr>
                    <w:t>mg/kg</w:t>
                  </w:r>
                </w:p>
              </w:tc>
              <w:tc>
                <w:tcPr>
                  <w:tcW w:w="761" w:type="pct"/>
                  <w:vAlign w:val="center"/>
                </w:tcPr>
                <w:p w14:paraId="25FCC5DC">
                  <w:pPr>
                    <w:jc w:val="center"/>
                    <w:rPr>
                      <w:bCs/>
                      <w:szCs w:val="21"/>
                    </w:rPr>
                  </w:pPr>
                  <w:r>
                    <w:rPr>
                      <w:bCs/>
                      <w:szCs w:val="21"/>
                    </w:rPr>
                    <w:t>ND</w:t>
                  </w:r>
                </w:p>
              </w:tc>
              <w:tc>
                <w:tcPr>
                  <w:tcW w:w="677" w:type="pct"/>
                  <w:vAlign w:val="center"/>
                </w:tcPr>
                <w:p w14:paraId="6D3F465C">
                  <w:pPr>
                    <w:jc w:val="center"/>
                    <w:rPr>
                      <w:bCs/>
                      <w:szCs w:val="21"/>
                    </w:rPr>
                  </w:pPr>
                  <w:r>
                    <w:rPr>
                      <w:bCs/>
                      <w:szCs w:val="21"/>
                    </w:rPr>
                    <w:t>ND</w:t>
                  </w:r>
                </w:p>
              </w:tc>
              <w:tc>
                <w:tcPr>
                  <w:tcW w:w="762" w:type="pct"/>
                  <w:vAlign w:val="center"/>
                </w:tcPr>
                <w:p w14:paraId="2F7B3587">
                  <w:pPr>
                    <w:jc w:val="center"/>
                    <w:rPr>
                      <w:bCs/>
                      <w:szCs w:val="21"/>
                    </w:rPr>
                  </w:pPr>
                  <w:r>
                    <w:rPr>
                      <w:bCs/>
                      <w:szCs w:val="21"/>
                    </w:rPr>
                    <w:t>ND</w:t>
                  </w:r>
                </w:p>
              </w:tc>
              <w:tc>
                <w:tcPr>
                  <w:tcW w:w="591" w:type="pct"/>
                  <w:vAlign w:val="center"/>
                </w:tcPr>
                <w:p w14:paraId="24C14A7F">
                  <w:pPr>
                    <w:jc w:val="center"/>
                    <w:rPr>
                      <w:bCs/>
                      <w:szCs w:val="21"/>
                    </w:rPr>
                  </w:pPr>
                  <w:r>
                    <w:rPr>
                      <w:bCs/>
                      <w:szCs w:val="21"/>
                    </w:rPr>
                    <w:t>2.8</w:t>
                  </w:r>
                </w:p>
              </w:tc>
              <w:tc>
                <w:tcPr>
                  <w:tcW w:w="591" w:type="pct"/>
                  <w:vAlign w:val="center"/>
                </w:tcPr>
                <w:p w14:paraId="06A68609">
                  <w:pPr>
                    <w:jc w:val="center"/>
                    <w:rPr>
                      <w:bCs/>
                      <w:szCs w:val="21"/>
                    </w:rPr>
                  </w:pPr>
                  <w:r>
                    <w:rPr>
                      <w:bCs/>
                      <w:szCs w:val="21"/>
                    </w:rPr>
                    <w:t>达标</w:t>
                  </w:r>
                </w:p>
              </w:tc>
            </w:tr>
            <w:tr w14:paraId="6E82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71D7F5F0">
                  <w:pPr>
                    <w:jc w:val="center"/>
                    <w:textAlignment w:val="center"/>
                    <w:rPr>
                      <w:bCs/>
                      <w:szCs w:val="21"/>
                    </w:rPr>
                  </w:pPr>
                  <w:r>
                    <w:rPr>
                      <w:bCs/>
                      <w:szCs w:val="21"/>
                      <w:lang w:bidi="ar"/>
                    </w:rPr>
                    <w:t>三氯乙烯</w:t>
                  </w:r>
                </w:p>
              </w:tc>
              <w:tc>
                <w:tcPr>
                  <w:tcW w:w="593" w:type="pct"/>
                  <w:vAlign w:val="center"/>
                </w:tcPr>
                <w:p w14:paraId="0502DA33">
                  <w:pPr>
                    <w:jc w:val="center"/>
                    <w:rPr>
                      <w:bCs/>
                      <w:szCs w:val="21"/>
                      <w:lang w:bidi="ar"/>
                    </w:rPr>
                  </w:pPr>
                  <w:r>
                    <w:rPr>
                      <w:bCs/>
                      <w:szCs w:val="21"/>
                      <w:lang w:bidi="ar"/>
                    </w:rPr>
                    <w:t>mg/kg</w:t>
                  </w:r>
                </w:p>
              </w:tc>
              <w:tc>
                <w:tcPr>
                  <w:tcW w:w="761" w:type="pct"/>
                  <w:vAlign w:val="center"/>
                </w:tcPr>
                <w:p w14:paraId="59797A1E">
                  <w:pPr>
                    <w:jc w:val="center"/>
                    <w:rPr>
                      <w:bCs/>
                      <w:szCs w:val="21"/>
                    </w:rPr>
                  </w:pPr>
                  <w:r>
                    <w:rPr>
                      <w:bCs/>
                      <w:szCs w:val="21"/>
                    </w:rPr>
                    <w:t>ND</w:t>
                  </w:r>
                </w:p>
              </w:tc>
              <w:tc>
                <w:tcPr>
                  <w:tcW w:w="677" w:type="pct"/>
                  <w:vAlign w:val="center"/>
                </w:tcPr>
                <w:p w14:paraId="244EB574">
                  <w:pPr>
                    <w:jc w:val="center"/>
                    <w:rPr>
                      <w:bCs/>
                      <w:szCs w:val="21"/>
                    </w:rPr>
                  </w:pPr>
                  <w:r>
                    <w:rPr>
                      <w:bCs/>
                      <w:szCs w:val="21"/>
                    </w:rPr>
                    <w:t>ND</w:t>
                  </w:r>
                </w:p>
              </w:tc>
              <w:tc>
                <w:tcPr>
                  <w:tcW w:w="762" w:type="pct"/>
                  <w:vAlign w:val="center"/>
                </w:tcPr>
                <w:p w14:paraId="7A93F3D6">
                  <w:pPr>
                    <w:jc w:val="center"/>
                    <w:rPr>
                      <w:bCs/>
                      <w:szCs w:val="21"/>
                    </w:rPr>
                  </w:pPr>
                  <w:r>
                    <w:rPr>
                      <w:bCs/>
                      <w:szCs w:val="21"/>
                    </w:rPr>
                    <w:t>ND</w:t>
                  </w:r>
                </w:p>
              </w:tc>
              <w:tc>
                <w:tcPr>
                  <w:tcW w:w="591" w:type="pct"/>
                  <w:vAlign w:val="center"/>
                </w:tcPr>
                <w:p w14:paraId="18FE4AA3">
                  <w:pPr>
                    <w:jc w:val="center"/>
                    <w:rPr>
                      <w:bCs/>
                      <w:szCs w:val="21"/>
                    </w:rPr>
                  </w:pPr>
                  <w:r>
                    <w:rPr>
                      <w:bCs/>
                      <w:szCs w:val="21"/>
                    </w:rPr>
                    <w:t>2.8</w:t>
                  </w:r>
                </w:p>
              </w:tc>
              <w:tc>
                <w:tcPr>
                  <w:tcW w:w="591" w:type="pct"/>
                  <w:vAlign w:val="center"/>
                </w:tcPr>
                <w:p w14:paraId="2A8AAE1C">
                  <w:pPr>
                    <w:jc w:val="center"/>
                    <w:rPr>
                      <w:bCs/>
                      <w:szCs w:val="21"/>
                    </w:rPr>
                  </w:pPr>
                  <w:r>
                    <w:rPr>
                      <w:bCs/>
                      <w:szCs w:val="21"/>
                    </w:rPr>
                    <w:t>达标</w:t>
                  </w:r>
                </w:p>
              </w:tc>
            </w:tr>
            <w:tr w14:paraId="5EAB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0D380BC5">
                  <w:pPr>
                    <w:jc w:val="center"/>
                    <w:textAlignment w:val="center"/>
                    <w:rPr>
                      <w:bCs/>
                      <w:szCs w:val="21"/>
                    </w:rPr>
                  </w:pPr>
                  <w:r>
                    <w:rPr>
                      <w:bCs/>
                      <w:szCs w:val="21"/>
                      <w:lang w:bidi="ar"/>
                    </w:rPr>
                    <w:t>1,2,3-三氯丙烷</w:t>
                  </w:r>
                </w:p>
              </w:tc>
              <w:tc>
                <w:tcPr>
                  <w:tcW w:w="593" w:type="pct"/>
                  <w:vAlign w:val="center"/>
                </w:tcPr>
                <w:p w14:paraId="3A2831C0">
                  <w:pPr>
                    <w:jc w:val="center"/>
                    <w:rPr>
                      <w:bCs/>
                      <w:szCs w:val="21"/>
                      <w:lang w:bidi="ar"/>
                    </w:rPr>
                  </w:pPr>
                  <w:r>
                    <w:rPr>
                      <w:bCs/>
                      <w:szCs w:val="21"/>
                      <w:lang w:bidi="ar"/>
                    </w:rPr>
                    <w:t>mg/kg</w:t>
                  </w:r>
                </w:p>
              </w:tc>
              <w:tc>
                <w:tcPr>
                  <w:tcW w:w="761" w:type="pct"/>
                  <w:vAlign w:val="center"/>
                </w:tcPr>
                <w:p w14:paraId="33095A88">
                  <w:pPr>
                    <w:jc w:val="center"/>
                    <w:rPr>
                      <w:bCs/>
                      <w:szCs w:val="21"/>
                    </w:rPr>
                  </w:pPr>
                  <w:r>
                    <w:rPr>
                      <w:bCs/>
                      <w:szCs w:val="21"/>
                    </w:rPr>
                    <w:t>ND</w:t>
                  </w:r>
                </w:p>
              </w:tc>
              <w:tc>
                <w:tcPr>
                  <w:tcW w:w="677" w:type="pct"/>
                  <w:vAlign w:val="center"/>
                </w:tcPr>
                <w:p w14:paraId="08E2EDB3">
                  <w:pPr>
                    <w:jc w:val="center"/>
                    <w:rPr>
                      <w:bCs/>
                      <w:szCs w:val="21"/>
                    </w:rPr>
                  </w:pPr>
                  <w:r>
                    <w:rPr>
                      <w:bCs/>
                      <w:szCs w:val="21"/>
                    </w:rPr>
                    <w:t>ND</w:t>
                  </w:r>
                </w:p>
              </w:tc>
              <w:tc>
                <w:tcPr>
                  <w:tcW w:w="762" w:type="pct"/>
                  <w:vAlign w:val="center"/>
                </w:tcPr>
                <w:p w14:paraId="04C59AC9">
                  <w:pPr>
                    <w:jc w:val="center"/>
                    <w:rPr>
                      <w:bCs/>
                      <w:szCs w:val="21"/>
                    </w:rPr>
                  </w:pPr>
                  <w:r>
                    <w:rPr>
                      <w:bCs/>
                      <w:szCs w:val="21"/>
                    </w:rPr>
                    <w:t>ND</w:t>
                  </w:r>
                </w:p>
              </w:tc>
              <w:tc>
                <w:tcPr>
                  <w:tcW w:w="591" w:type="pct"/>
                  <w:vAlign w:val="center"/>
                </w:tcPr>
                <w:p w14:paraId="2BCFD1AF">
                  <w:pPr>
                    <w:jc w:val="center"/>
                    <w:rPr>
                      <w:bCs/>
                      <w:szCs w:val="21"/>
                    </w:rPr>
                  </w:pPr>
                  <w:r>
                    <w:rPr>
                      <w:bCs/>
                      <w:szCs w:val="21"/>
                    </w:rPr>
                    <w:t>0.5</w:t>
                  </w:r>
                </w:p>
              </w:tc>
              <w:tc>
                <w:tcPr>
                  <w:tcW w:w="591" w:type="pct"/>
                  <w:vAlign w:val="center"/>
                </w:tcPr>
                <w:p w14:paraId="10FDDA2F">
                  <w:pPr>
                    <w:jc w:val="center"/>
                    <w:rPr>
                      <w:bCs/>
                      <w:szCs w:val="21"/>
                    </w:rPr>
                  </w:pPr>
                  <w:r>
                    <w:rPr>
                      <w:bCs/>
                      <w:szCs w:val="21"/>
                    </w:rPr>
                    <w:t>达标</w:t>
                  </w:r>
                </w:p>
              </w:tc>
            </w:tr>
            <w:tr w14:paraId="3A85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06316459">
                  <w:pPr>
                    <w:jc w:val="center"/>
                    <w:textAlignment w:val="center"/>
                    <w:rPr>
                      <w:bCs/>
                      <w:szCs w:val="21"/>
                    </w:rPr>
                  </w:pPr>
                  <w:r>
                    <w:rPr>
                      <w:bCs/>
                      <w:szCs w:val="21"/>
                      <w:lang w:bidi="ar"/>
                    </w:rPr>
                    <w:t>氯乙烯</w:t>
                  </w:r>
                </w:p>
              </w:tc>
              <w:tc>
                <w:tcPr>
                  <w:tcW w:w="593" w:type="pct"/>
                  <w:vAlign w:val="center"/>
                </w:tcPr>
                <w:p w14:paraId="2FE36DC5">
                  <w:pPr>
                    <w:jc w:val="center"/>
                    <w:rPr>
                      <w:bCs/>
                      <w:szCs w:val="21"/>
                      <w:lang w:bidi="ar"/>
                    </w:rPr>
                  </w:pPr>
                  <w:r>
                    <w:rPr>
                      <w:bCs/>
                      <w:szCs w:val="21"/>
                      <w:lang w:bidi="ar"/>
                    </w:rPr>
                    <w:t>mg/kg</w:t>
                  </w:r>
                </w:p>
              </w:tc>
              <w:tc>
                <w:tcPr>
                  <w:tcW w:w="761" w:type="pct"/>
                  <w:vAlign w:val="center"/>
                </w:tcPr>
                <w:p w14:paraId="42F6E453">
                  <w:pPr>
                    <w:jc w:val="center"/>
                    <w:rPr>
                      <w:bCs/>
                      <w:szCs w:val="21"/>
                    </w:rPr>
                  </w:pPr>
                  <w:r>
                    <w:rPr>
                      <w:bCs/>
                      <w:szCs w:val="21"/>
                    </w:rPr>
                    <w:t>ND</w:t>
                  </w:r>
                </w:p>
              </w:tc>
              <w:tc>
                <w:tcPr>
                  <w:tcW w:w="677" w:type="pct"/>
                  <w:vAlign w:val="center"/>
                </w:tcPr>
                <w:p w14:paraId="14A2221E">
                  <w:pPr>
                    <w:jc w:val="center"/>
                    <w:rPr>
                      <w:bCs/>
                      <w:szCs w:val="21"/>
                    </w:rPr>
                  </w:pPr>
                  <w:r>
                    <w:rPr>
                      <w:bCs/>
                      <w:szCs w:val="21"/>
                    </w:rPr>
                    <w:t>ND</w:t>
                  </w:r>
                </w:p>
              </w:tc>
              <w:tc>
                <w:tcPr>
                  <w:tcW w:w="762" w:type="pct"/>
                  <w:vAlign w:val="center"/>
                </w:tcPr>
                <w:p w14:paraId="2B0383D5">
                  <w:pPr>
                    <w:jc w:val="center"/>
                    <w:rPr>
                      <w:bCs/>
                      <w:szCs w:val="21"/>
                    </w:rPr>
                  </w:pPr>
                  <w:r>
                    <w:rPr>
                      <w:bCs/>
                      <w:szCs w:val="21"/>
                    </w:rPr>
                    <w:t>ND</w:t>
                  </w:r>
                </w:p>
              </w:tc>
              <w:tc>
                <w:tcPr>
                  <w:tcW w:w="591" w:type="pct"/>
                  <w:vAlign w:val="center"/>
                </w:tcPr>
                <w:p w14:paraId="40E55F4A">
                  <w:pPr>
                    <w:jc w:val="center"/>
                    <w:rPr>
                      <w:bCs/>
                      <w:szCs w:val="21"/>
                    </w:rPr>
                  </w:pPr>
                  <w:r>
                    <w:rPr>
                      <w:bCs/>
                      <w:szCs w:val="21"/>
                    </w:rPr>
                    <w:t>0.43</w:t>
                  </w:r>
                </w:p>
              </w:tc>
              <w:tc>
                <w:tcPr>
                  <w:tcW w:w="591" w:type="pct"/>
                  <w:vAlign w:val="center"/>
                </w:tcPr>
                <w:p w14:paraId="456572AC">
                  <w:pPr>
                    <w:jc w:val="center"/>
                    <w:rPr>
                      <w:bCs/>
                      <w:szCs w:val="21"/>
                    </w:rPr>
                  </w:pPr>
                  <w:r>
                    <w:rPr>
                      <w:bCs/>
                      <w:szCs w:val="21"/>
                    </w:rPr>
                    <w:t>达标</w:t>
                  </w:r>
                </w:p>
              </w:tc>
            </w:tr>
            <w:tr w14:paraId="0271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2E0E425C">
                  <w:pPr>
                    <w:jc w:val="center"/>
                    <w:textAlignment w:val="center"/>
                    <w:rPr>
                      <w:bCs/>
                      <w:szCs w:val="21"/>
                    </w:rPr>
                  </w:pPr>
                  <w:r>
                    <w:rPr>
                      <w:bCs/>
                      <w:szCs w:val="21"/>
                      <w:lang w:bidi="ar"/>
                    </w:rPr>
                    <w:t>苯</w:t>
                  </w:r>
                </w:p>
              </w:tc>
              <w:tc>
                <w:tcPr>
                  <w:tcW w:w="593" w:type="pct"/>
                  <w:vAlign w:val="center"/>
                </w:tcPr>
                <w:p w14:paraId="7414A101">
                  <w:pPr>
                    <w:jc w:val="center"/>
                    <w:rPr>
                      <w:bCs/>
                      <w:szCs w:val="21"/>
                      <w:lang w:bidi="ar"/>
                    </w:rPr>
                  </w:pPr>
                  <w:r>
                    <w:rPr>
                      <w:bCs/>
                      <w:szCs w:val="21"/>
                      <w:lang w:bidi="ar"/>
                    </w:rPr>
                    <w:t>mg/kg</w:t>
                  </w:r>
                </w:p>
              </w:tc>
              <w:tc>
                <w:tcPr>
                  <w:tcW w:w="761" w:type="pct"/>
                  <w:vAlign w:val="center"/>
                </w:tcPr>
                <w:p w14:paraId="56719E8B">
                  <w:pPr>
                    <w:jc w:val="center"/>
                    <w:rPr>
                      <w:bCs/>
                      <w:szCs w:val="21"/>
                    </w:rPr>
                  </w:pPr>
                  <w:r>
                    <w:rPr>
                      <w:bCs/>
                      <w:szCs w:val="21"/>
                    </w:rPr>
                    <w:t>ND</w:t>
                  </w:r>
                </w:p>
              </w:tc>
              <w:tc>
                <w:tcPr>
                  <w:tcW w:w="677" w:type="pct"/>
                  <w:vAlign w:val="center"/>
                </w:tcPr>
                <w:p w14:paraId="5FDC2C03">
                  <w:pPr>
                    <w:jc w:val="center"/>
                    <w:rPr>
                      <w:bCs/>
                      <w:szCs w:val="21"/>
                    </w:rPr>
                  </w:pPr>
                  <w:r>
                    <w:rPr>
                      <w:bCs/>
                      <w:szCs w:val="21"/>
                    </w:rPr>
                    <w:t>ND</w:t>
                  </w:r>
                </w:p>
              </w:tc>
              <w:tc>
                <w:tcPr>
                  <w:tcW w:w="762" w:type="pct"/>
                  <w:vAlign w:val="center"/>
                </w:tcPr>
                <w:p w14:paraId="1C91500D">
                  <w:pPr>
                    <w:jc w:val="center"/>
                    <w:rPr>
                      <w:bCs/>
                      <w:szCs w:val="21"/>
                    </w:rPr>
                  </w:pPr>
                  <w:r>
                    <w:rPr>
                      <w:bCs/>
                      <w:szCs w:val="21"/>
                    </w:rPr>
                    <w:t>ND</w:t>
                  </w:r>
                </w:p>
              </w:tc>
              <w:tc>
                <w:tcPr>
                  <w:tcW w:w="591" w:type="pct"/>
                  <w:vAlign w:val="center"/>
                </w:tcPr>
                <w:p w14:paraId="0DB8B7DA">
                  <w:pPr>
                    <w:jc w:val="center"/>
                    <w:rPr>
                      <w:bCs/>
                      <w:szCs w:val="21"/>
                    </w:rPr>
                  </w:pPr>
                  <w:r>
                    <w:rPr>
                      <w:bCs/>
                      <w:szCs w:val="21"/>
                    </w:rPr>
                    <w:t>4</w:t>
                  </w:r>
                </w:p>
              </w:tc>
              <w:tc>
                <w:tcPr>
                  <w:tcW w:w="591" w:type="pct"/>
                  <w:vAlign w:val="center"/>
                </w:tcPr>
                <w:p w14:paraId="243BDD9E">
                  <w:pPr>
                    <w:jc w:val="center"/>
                    <w:rPr>
                      <w:bCs/>
                      <w:szCs w:val="21"/>
                    </w:rPr>
                  </w:pPr>
                  <w:r>
                    <w:rPr>
                      <w:bCs/>
                      <w:szCs w:val="21"/>
                    </w:rPr>
                    <w:t>达标</w:t>
                  </w:r>
                </w:p>
              </w:tc>
            </w:tr>
            <w:tr w14:paraId="7889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63795B82">
                  <w:pPr>
                    <w:jc w:val="center"/>
                    <w:textAlignment w:val="center"/>
                    <w:rPr>
                      <w:bCs/>
                      <w:szCs w:val="21"/>
                    </w:rPr>
                  </w:pPr>
                  <w:r>
                    <w:rPr>
                      <w:bCs/>
                      <w:szCs w:val="21"/>
                      <w:lang w:bidi="ar"/>
                    </w:rPr>
                    <w:t>氯苯</w:t>
                  </w:r>
                </w:p>
              </w:tc>
              <w:tc>
                <w:tcPr>
                  <w:tcW w:w="593" w:type="pct"/>
                  <w:vAlign w:val="center"/>
                </w:tcPr>
                <w:p w14:paraId="41B8870F">
                  <w:pPr>
                    <w:jc w:val="center"/>
                    <w:rPr>
                      <w:bCs/>
                      <w:szCs w:val="21"/>
                      <w:lang w:bidi="ar"/>
                    </w:rPr>
                  </w:pPr>
                  <w:r>
                    <w:rPr>
                      <w:bCs/>
                      <w:szCs w:val="21"/>
                      <w:lang w:bidi="ar"/>
                    </w:rPr>
                    <w:t>mg/kg</w:t>
                  </w:r>
                </w:p>
              </w:tc>
              <w:tc>
                <w:tcPr>
                  <w:tcW w:w="761" w:type="pct"/>
                  <w:vAlign w:val="center"/>
                </w:tcPr>
                <w:p w14:paraId="5F222C74">
                  <w:pPr>
                    <w:jc w:val="center"/>
                    <w:rPr>
                      <w:bCs/>
                      <w:szCs w:val="21"/>
                    </w:rPr>
                  </w:pPr>
                  <w:r>
                    <w:rPr>
                      <w:bCs/>
                      <w:szCs w:val="21"/>
                    </w:rPr>
                    <w:t>ND</w:t>
                  </w:r>
                </w:p>
              </w:tc>
              <w:tc>
                <w:tcPr>
                  <w:tcW w:w="677" w:type="pct"/>
                  <w:vAlign w:val="center"/>
                </w:tcPr>
                <w:p w14:paraId="3D104E75">
                  <w:pPr>
                    <w:jc w:val="center"/>
                    <w:rPr>
                      <w:bCs/>
                      <w:szCs w:val="21"/>
                    </w:rPr>
                  </w:pPr>
                  <w:r>
                    <w:rPr>
                      <w:bCs/>
                      <w:szCs w:val="21"/>
                    </w:rPr>
                    <w:t>ND</w:t>
                  </w:r>
                </w:p>
              </w:tc>
              <w:tc>
                <w:tcPr>
                  <w:tcW w:w="762" w:type="pct"/>
                  <w:vAlign w:val="center"/>
                </w:tcPr>
                <w:p w14:paraId="359EC30F">
                  <w:pPr>
                    <w:jc w:val="center"/>
                    <w:rPr>
                      <w:bCs/>
                      <w:szCs w:val="21"/>
                    </w:rPr>
                  </w:pPr>
                  <w:r>
                    <w:rPr>
                      <w:bCs/>
                      <w:szCs w:val="21"/>
                    </w:rPr>
                    <w:t>ND</w:t>
                  </w:r>
                </w:p>
              </w:tc>
              <w:tc>
                <w:tcPr>
                  <w:tcW w:w="591" w:type="pct"/>
                  <w:vAlign w:val="center"/>
                </w:tcPr>
                <w:p w14:paraId="26ADE726">
                  <w:pPr>
                    <w:jc w:val="center"/>
                    <w:rPr>
                      <w:bCs/>
                      <w:szCs w:val="21"/>
                    </w:rPr>
                  </w:pPr>
                  <w:r>
                    <w:rPr>
                      <w:bCs/>
                      <w:szCs w:val="21"/>
                    </w:rPr>
                    <w:t>270</w:t>
                  </w:r>
                </w:p>
              </w:tc>
              <w:tc>
                <w:tcPr>
                  <w:tcW w:w="591" w:type="pct"/>
                  <w:vAlign w:val="center"/>
                </w:tcPr>
                <w:p w14:paraId="6A9750F4">
                  <w:pPr>
                    <w:jc w:val="center"/>
                    <w:rPr>
                      <w:bCs/>
                      <w:szCs w:val="21"/>
                    </w:rPr>
                  </w:pPr>
                  <w:r>
                    <w:rPr>
                      <w:bCs/>
                      <w:szCs w:val="21"/>
                    </w:rPr>
                    <w:t>达标</w:t>
                  </w:r>
                </w:p>
              </w:tc>
            </w:tr>
            <w:tr w14:paraId="36A6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4A746250">
                  <w:pPr>
                    <w:jc w:val="center"/>
                    <w:textAlignment w:val="center"/>
                    <w:rPr>
                      <w:bCs/>
                      <w:szCs w:val="21"/>
                    </w:rPr>
                  </w:pPr>
                  <w:r>
                    <w:rPr>
                      <w:bCs/>
                      <w:szCs w:val="21"/>
                      <w:lang w:bidi="ar"/>
                    </w:rPr>
                    <w:t>1,2-二氯苯</w:t>
                  </w:r>
                </w:p>
              </w:tc>
              <w:tc>
                <w:tcPr>
                  <w:tcW w:w="593" w:type="pct"/>
                  <w:vAlign w:val="center"/>
                </w:tcPr>
                <w:p w14:paraId="6DEC8461">
                  <w:pPr>
                    <w:jc w:val="center"/>
                    <w:rPr>
                      <w:bCs/>
                      <w:szCs w:val="21"/>
                      <w:lang w:bidi="ar"/>
                    </w:rPr>
                  </w:pPr>
                  <w:r>
                    <w:rPr>
                      <w:bCs/>
                      <w:szCs w:val="21"/>
                      <w:lang w:bidi="ar"/>
                    </w:rPr>
                    <w:t>mg/kg</w:t>
                  </w:r>
                </w:p>
              </w:tc>
              <w:tc>
                <w:tcPr>
                  <w:tcW w:w="761" w:type="pct"/>
                  <w:vAlign w:val="center"/>
                </w:tcPr>
                <w:p w14:paraId="259F7DF8">
                  <w:pPr>
                    <w:jc w:val="center"/>
                    <w:rPr>
                      <w:bCs/>
                      <w:szCs w:val="21"/>
                    </w:rPr>
                  </w:pPr>
                  <w:r>
                    <w:rPr>
                      <w:bCs/>
                      <w:szCs w:val="21"/>
                    </w:rPr>
                    <w:t>ND</w:t>
                  </w:r>
                </w:p>
              </w:tc>
              <w:tc>
                <w:tcPr>
                  <w:tcW w:w="677" w:type="pct"/>
                  <w:vAlign w:val="center"/>
                </w:tcPr>
                <w:p w14:paraId="72B048F7">
                  <w:pPr>
                    <w:jc w:val="center"/>
                    <w:rPr>
                      <w:bCs/>
                      <w:szCs w:val="21"/>
                    </w:rPr>
                  </w:pPr>
                  <w:r>
                    <w:rPr>
                      <w:bCs/>
                      <w:szCs w:val="21"/>
                    </w:rPr>
                    <w:t>ND</w:t>
                  </w:r>
                </w:p>
              </w:tc>
              <w:tc>
                <w:tcPr>
                  <w:tcW w:w="762" w:type="pct"/>
                  <w:vAlign w:val="center"/>
                </w:tcPr>
                <w:p w14:paraId="6FEC1C92">
                  <w:pPr>
                    <w:jc w:val="center"/>
                    <w:rPr>
                      <w:bCs/>
                      <w:szCs w:val="21"/>
                    </w:rPr>
                  </w:pPr>
                  <w:r>
                    <w:rPr>
                      <w:bCs/>
                      <w:szCs w:val="21"/>
                    </w:rPr>
                    <w:t>ND</w:t>
                  </w:r>
                </w:p>
              </w:tc>
              <w:tc>
                <w:tcPr>
                  <w:tcW w:w="591" w:type="pct"/>
                  <w:vAlign w:val="center"/>
                </w:tcPr>
                <w:p w14:paraId="5010FC28">
                  <w:pPr>
                    <w:jc w:val="center"/>
                    <w:rPr>
                      <w:bCs/>
                      <w:szCs w:val="21"/>
                    </w:rPr>
                  </w:pPr>
                  <w:r>
                    <w:rPr>
                      <w:bCs/>
                      <w:szCs w:val="21"/>
                    </w:rPr>
                    <w:t>560</w:t>
                  </w:r>
                </w:p>
              </w:tc>
              <w:tc>
                <w:tcPr>
                  <w:tcW w:w="591" w:type="pct"/>
                  <w:vAlign w:val="center"/>
                </w:tcPr>
                <w:p w14:paraId="69FA035A">
                  <w:pPr>
                    <w:jc w:val="center"/>
                    <w:rPr>
                      <w:bCs/>
                      <w:szCs w:val="21"/>
                    </w:rPr>
                  </w:pPr>
                  <w:r>
                    <w:rPr>
                      <w:bCs/>
                      <w:szCs w:val="21"/>
                    </w:rPr>
                    <w:t>达标</w:t>
                  </w:r>
                </w:p>
              </w:tc>
            </w:tr>
            <w:tr w14:paraId="60D1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2A8D495B">
                  <w:pPr>
                    <w:jc w:val="center"/>
                    <w:textAlignment w:val="center"/>
                    <w:rPr>
                      <w:bCs/>
                      <w:szCs w:val="21"/>
                    </w:rPr>
                  </w:pPr>
                  <w:r>
                    <w:rPr>
                      <w:bCs/>
                      <w:szCs w:val="21"/>
                      <w:lang w:bidi="ar"/>
                    </w:rPr>
                    <w:t>1,4-二氯苯</w:t>
                  </w:r>
                </w:p>
              </w:tc>
              <w:tc>
                <w:tcPr>
                  <w:tcW w:w="593" w:type="pct"/>
                  <w:vAlign w:val="center"/>
                </w:tcPr>
                <w:p w14:paraId="0943E97A">
                  <w:pPr>
                    <w:jc w:val="center"/>
                    <w:rPr>
                      <w:bCs/>
                      <w:szCs w:val="21"/>
                      <w:lang w:bidi="ar"/>
                    </w:rPr>
                  </w:pPr>
                  <w:r>
                    <w:rPr>
                      <w:bCs/>
                      <w:szCs w:val="21"/>
                      <w:lang w:bidi="ar"/>
                    </w:rPr>
                    <w:t>mg/kg</w:t>
                  </w:r>
                </w:p>
              </w:tc>
              <w:tc>
                <w:tcPr>
                  <w:tcW w:w="761" w:type="pct"/>
                  <w:vAlign w:val="center"/>
                </w:tcPr>
                <w:p w14:paraId="0D609064">
                  <w:pPr>
                    <w:jc w:val="center"/>
                    <w:rPr>
                      <w:bCs/>
                      <w:szCs w:val="21"/>
                    </w:rPr>
                  </w:pPr>
                  <w:r>
                    <w:rPr>
                      <w:bCs/>
                      <w:szCs w:val="21"/>
                    </w:rPr>
                    <w:t>ND</w:t>
                  </w:r>
                </w:p>
              </w:tc>
              <w:tc>
                <w:tcPr>
                  <w:tcW w:w="677" w:type="pct"/>
                  <w:vAlign w:val="center"/>
                </w:tcPr>
                <w:p w14:paraId="4C90001A">
                  <w:pPr>
                    <w:jc w:val="center"/>
                    <w:rPr>
                      <w:bCs/>
                      <w:szCs w:val="21"/>
                    </w:rPr>
                  </w:pPr>
                  <w:r>
                    <w:rPr>
                      <w:bCs/>
                      <w:szCs w:val="21"/>
                    </w:rPr>
                    <w:t>ND</w:t>
                  </w:r>
                </w:p>
              </w:tc>
              <w:tc>
                <w:tcPr>
                  <w:tcW w:w="762" w:type="pct"/>
                  <w:vAlign w:val="center"/>
                </w:tcPr>
                <w:p w14:paraId="4B60D2FD">
                  <w:pPr>
                    <w:jc w:val="center"/>
                    <w:rPr>
                      <w:bCs/>
                      <w:szCs w:val="21"/>
                    </w:rPr>
                  </w:pPr>
                  <w:r>
                    <w:rPr>
                      <w:bCs/>
                      <w:szCs w:val="21"/>
                    </w:rPr>
                    <w:t>ND</w:t>
                  </w:r>
                </w:p>
              </w:tc>
              <w:tc>
                <w:tcPr>
                  <w:tcW w:w="591" w:type="pct"/>
                  <w:vAlign w:val="center"/>
                </w:tcPr>
                <w:p w14:paraId="5C8B232D">
                  <w:pPr>
                    <w:jc w:val="center"/>
                    <w:rPr>
                      <w:bCs/>
                      <w:szCs w:val="21"/>
                    </w:rPr>
                  </w:pPr>
                  <w:r>
                    <w:rPr>
                      <w:bCs/>
                      <w:szCs w:val="21"/>
                    </w:rPr>
                    <w:t>20</w:t>
                  </w:r>
                </w:p>
              </w:tc>
              <w:tc>
                <w:tcPr>
                  <w:tcW w:w="591" w:type="pct"/>
                  <w:vAlign w:val="center"/>
                </w:tcPr>
                <w:p w14:paraId="66020F85">
                  <w:pPr>
                    <w:jc w:val="center"/>
                    <w:rPr>
                      <w:bCs/>
                      <w:szCs w:val="21"/>
                    </w:rPr>
                  </w:pPr>
                  <w:r>
                    <w:rPr>
                      <w:bCs/>
                      <w:szCs w:val="21"/>
                    </w:rPr>
                    <w:t>达标</w:t>
                  </w:r>
                </w:p>
              </w:tc>
            </w:tr>
            <w:tr w14:paraId="34A1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5D13655A">
                  <w:pPr>
                    <w:jc w:val="center"/>
                    <w:textAlignment w:val="center"/>
                    <w:rPr>
                      <w:bCs/>
                      <w:szCs w:val="21"/>
                    </w:rPr>
                  </w:pPr>
                  <w:r>
                    <w:rPr>
                      <w:bCs/>
                      <w:szCs w:val="21"/>
                      <w:lang w:bidi="ar"/>
                    </w:rPr>
                    <w:t>乙苯</w:t>
                  </w:r>
                </w:p>
              </w:tc>
              <w:tc>
                <w:tcPr>
                  <w:tcW w:w="593" w:type="pct"/>
                  <w:vAlign w:val="center"/>
                </w:tcPr>
                <w:p w14:paraId="4C241A57">
                  <w:pPr>
                    <w:jc w:val="center"/>
                    <w:rPr>
                      <w:bCs/>
                      <w:szCs w:val="21"/>
                      <w:lang w:bidi="ar"/>
                    </w:rPr>
                  </w:pPr>
                  <w:r>
                    <w:rPr>
                      <w:bCs/>
                      <w:szCs w:val="21"/>
                      <w:lang w:bidi="ar"/>
                    </w:rPr>
                    <w:t>mg/kg</w:t>
                  </w:r>
                </w:p>
              </w:tc>
              <w:tc>
                <w:tcPr>
                  <w:tcW w:w="761" w:type="pct"/>
                  <w:vAlign w:val="center"/>
                </w:tcPr>
                <w:p w14:paraId="201363FC">
                  <w:pPr>
                    <w:jc w:val="center"/>
                    <w:rPr>
                      <w:bCs/>
                      <w:szCs w:val="21"/>
                    </w:rPr>
                  </w:pPr>
                  <w:r>
                    <w:rPr>
                      <w:bCs/>
                      <w:szCs w:val="21"/>
                    </w:rPr>
                    <w:t>ND</w:t>
                  </w:r>
                </w:p>
              </w:tc>
              <w:tc>
                <w:tcPr>
                  <w:tcW w:w="677" w:type="pct"/>
                  <w:vAlign w:val="center"/>
                </w:tcPr>
                <w:p w14:paraId="22EF6F00">
                  <w:pPr>
                    <w:jc w:val="center"/>
                    <w:rPr>
                      <w:bCs/>
                      <w:szCs w:val="21"/>
                    </w:rPr>
                  </w:pPr>
                  <w:r>
                    <w:rPr>
                      <w:bCs/>
                      <w:szCs w:val="21"/>
                    </w:rPr>
                    <w:t>ND</w:t>
                  </w:r>
                </w:p>
              </w:tc>
              <w:tc>
                <w:tcPr>
                  <w:tcW w:w="762" w:type="pct"/>
                  <w:vAlign w:val="center"/>
                </w:tcPr>
                <w:p w14:paraId="56820C2B">
                  <w:pPr>
                    <w:jc w:val="center"/>
                    <w:rPr>
                      <w:bCs/>
                      <w:szCs w:val="21"/>
                    </w:rPr>
                  </w:pPr>
                  <w:r>
                    <w:rPr>
                      <w:bCs/>
                      <w:szCs w:val="21"/>
                    </w:rPr>
                    <w:t>ND</w:t>
                  </w:r>
                </w:p>
              </w:tc>
              <w:tc>
                <w:tcPr>
                  <w:tcW w:w="591" w:type="pct"/>
                  <w:vAlign w:val="center"/>
                </w:tcPr>
                <w:p w14:paraId="5619BE2A">
                  <w:pPr>
                    <w:jc w:val="center"/>
                    <w:rPr>
                      <w:bCs/>
                      <w:szCs w:val="21"/>
                    </w:rPr>
                  </w:pPr>
                  <w:r>
                    <w:rPr>
                      <w:bCs/>
                      <w:szCs w:val="21"/>
                    </w:rPr>
                    <w:t>28</w:t>
                  </w:r>
                </w:p>
              </w:tc>
              <w:tc>
                <w:tcPr>
                  <w:tcW w:w="591" w:type="pct"/>
                  <w:vAlign w:val="center"/>
                </w:tcPr>
                <w:p w14:paraId="2704FE06">
                  <w:pPr>
                    <w:jc w:val="center"/>
                    <w:rPr>
                      <w:bCs/>
                      <w:szCs w:val="21"/>
                    </w:rPr>
                  </w:pPr>
                  <w:r>
                    <w:rPr>
                      <w:bCs/>
                      <w:szCs w:val="21"/>
                    </w:rPr>
                    <w:t>达标</w:t>
                  </w:r>
                </w:p>
              </w:tc>
            </w:tr>
            <w:tr w14:paraId="1172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24FC7B65">
                  <w:pPr>
                    <w:jc w:val="center"/>
                    <w:textAlignment w:val="center"/>
                    <w:rPr>
                      <w:bCs/>
                      <w:szCs w:val="21"/>
                    </w:rPr>
                  </w:pPr>
                  <w:r>
                    <w:rPr>
                      <w:bCs/>
                      <w:szCs w:val="21"/>
                      <w:lang w:bidi="ar"/>
                    </w:rPr>
                    <w:t>苯乙烯</w:t>
                  </w:r>
                </w:p>
              </w:tc>
              <w:tc>
                <w:tcPr>
                  <w:tcW w:w="593" w:type="pct"/>
                  <w:vAlign w:val="center"/>
                </w:tcPr>
                <w:p w14:paraId="05169E59">
                  <w:pPr>
                    <w:jc w:val="center"/>
                    <w:rPr>
                      <w:bCs/>
                      <w:szCs w:val="21"/>
                      <w:lang w:bidi="ar"/>
                    </w:rPr>
                  </w:pPr>
                  <w:r>
                    <w:rPr>
                      <w:bCs/>
                      <w:szCs w:val="21"/>
                      <w:lang w:bidi="ar"/>
                    </w:rPr>
                    <w:t>mg/kg</w:t>
                  </w:r>
                </w:p>
              </w:tc>
              <w:tc>
                <w:tcPr>
                  <w:tcW w:w="761" w:type="pct"/>
                  <w:vAlign w:val="center"/>
                </w:tcPr>
                <w:p w14:paraId="4FC568D7">
                  <w:pPr>
                    <w:jc w:val="center"/>
                    <w:rPr>
                      <w:bCs/>
                      <w:szCs w:val="21"/>
                    </w:rPr>
                  </w:pPr>
                  <w:r>
                    <w:rPr>
                      <w:bCs/>
                      <w:szCs w:val="21"/>
                    </w:rPr>
                    <w:t>ND</w:t>
                  </w:r>
                </w:p>
              </w:tc>
              <w:tc>
                <w:tcPr>
                  <w:tcW w:w="677" w:type="pct"/>
                  <w:vAlign w:val="center"/>
                </w:tcPr>
                <w:p w14:paraId="6353D5E6">
                  <w:pPr>
                    <w:jc w:val="center"/>
                    <w:rPr>
                      <w:bCs/>
                      <w:szCs w:val="21"/>
                    </w:rPr>
                  </w:pPr>
                  <w:r>
                    <w:rPr>
                      <w:bCs/>
                      <w:szCs w:val="21"/>
                    </w:rPr>
                    <w:t>ND</w:t>
                  </w:r>
                </w:p>
              </w:tc>
              <w:tc>
                <w:tcPr>
                  <w:tcW w:w="762" w:type="pct"/>
                  <w:vAlign w:val="center"/>
                </w:tcPr>
                <w:p w14:paraId="2241B192">
                  <w:pPr>
                    <w:jc w:val="center"/>
                    <w:rPr>
                      <w:bCs/>
                      <w:szCs w:val="21"/>
                    </w:rPr>
                  </w:pPr>
                  <w:r>
                    <w:rPr>
                      <w:bCs/>
                      <w:szCs w:val="21"/>
                    </w:rPr>
                    <w:t>ND</w:t>
                  </w:r>
                </w:p>
              </w:tc>
              <w:tc>
                <w:tcPr>
                  <w:tcW w:w="591" w:type="pct"/>
                  <w:vAlign w:val="center"/>
                </w:tcPr>
                <w:p w14:paraId="4D45FFC9">
                  <w:pPr>
                    <w:jc w:val="center"/>
                    <w:rPr>
                      <w:bCs/>
                      <w:szCs w:val="21"/>
                    </w:rPr>
                  </w:pPr>
                  <w:r>
                    <w:rPr>
                      <w:bCs/>
                      <w:szCs w:val="21"/>
                    </w:rPr>
                    <w:t>1290</w:t>
                  </w:r>
                </w:p>
              </w:tc>
              <w:tc>
                <w:tcPr>
                  <w:tcW w:w="591" w:type="pct"/>
                  <w:vAlign w:val="center"/>
                </w:tcPr>
                <w:p w14:paraId="4D234951">
                  <w:pPr>
                    <w:jc w:val="center"/>
                    <w:rPr>
                      <w:bCs/>
                      <w:szCs w:val="21"/>
                    </w:rPr>
                  </w:pPr>
                  <w:r>
                    <w:rPr>
                      <w:bCs/>
                      <w:szCs w:val="21"/>
                    </w:rPr>
                    <w:t>达标</w:t>
                  </w:r>
                </w:p>
              </w:tc>
            </w:tr>
            <w:tr w14:paraId="52C3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75CC2D57">
                  <w:pPr>
                    <w:jc w:val="center"/>
                    <w:textAlignment w:val="center"/>
                    <w:rPr>
                      <w:bCs/>
                      <w:szCs w:val="21"/>
                    </w:rPr>
                  </w:pPr>
                  <w:r>
                    <w:rPr>
                      <w:bCs/>
                      <w:szCs w:val="21"/>
                      <w:lang w:bidi="ar"/>
                    </w:rPr>
                    <w:t>甲苯</w:t>
                  </w:r>
                </w:p>
              </w:tc>
              <w:tc>
                <w:tcPr>
                  <w:tcW w:w="593" w:type="pct"/>
                  <w:vAlign w:val="center"/>
                </w:tcPr>
                <w:p w14:paraId="34F45519">
                  <w:pPr>
                    <w:jc w:val="center"/>
                    <w:rPr>
                      <w:bCs/>
                      <w:szCs w:val="21"/>
                      <w:lang w:bidi="ar"/>
                    </w:rPr>
                  </w:pPr>
                  <w:r>
                    <w:rPr>
                      <w:bCs/>
                      <w:szCs w:val="21"/>
                      <w:lang w:bidi="ar"/>
                    </w:rPr>
                    <w:t>mg/kg</w:t>
                  </w:r>
                </w:p>
              </w:tc>
              <w:tc>
                <w:tcPr>
                  <w:tcW w:w="761" w:type="pct"/>
                  <w:vAlign w:val="center"/>
                </w:tcPr>
                <w:p w14:paraId="1C71688A">
                  <w:pPr>
                    <w:jc w:val="center"/>
                    <w:rPr>
                      <w:bCs/>
                      <w:szCs w:val="21"/>
                    </w:rPr>
                  </w:pPr>
                  <w:r>
                    <w:rPr>
                      <w:bCs/>
                      <w:szCs w:val="21"/>
                    </w:rPr>
                    <w:t>ND</w:t>
                  </w:r>
                </w:p>
              </w:tc>
              <w:tc>
                <w:tcPr>
                  <w:tcW w:w="677" w:type="pct"/>
                  <w:vAlign w:val="center"/>
                </w:tcPr>
                <w:p w14:paraId="45C44269">
                  <w:pPr>
                    <w:jc w:val="center"/>
                    <w:rPr>
                      <w:bCs/>
                      <w:szCs w:val="21"/>
                    </w:rPr>
                  </w:pPr>
                  <w:r>
                    <w:rPr>
                      <w:bCs/>
                      <w:szCs w:val="21"/>
                    </w:rPr>
                    <w:t>ND</w:t>
                  </w:r>
                </w:p>
              </w:tc>
              <w:tc>
                <w:tcPr>
                  <w:tcW w:w="762" w:type="pct"/>
                  <w:vAlign w:val="center"/>
                </w:tcPr>
                <w:p w14:paraId="15348C8A">
                  <w:pPr>
                    <w:jc w:val="center"/>
                    <w:rPr>
                      <w:bCs/>
                      <w:szCs w:val="21"/>
                    </w:rPr>
                  </w:pPr>
                  <w:r>
                    <w:rPr>
                      <w:bCs/>
                      <w:szCs w:val="21"/>
                    </w:rPr>
                    <w:t>ND</w:t>
                  </w:r>
                </w:p>
              </w:tc>
              <w:tc>
                <w:tcPr>
                  <w:tcW w:w="591" w:type="pct"/>
                  <w:vAlign w:val="center"/>
                </w:tcPr>
                <w:p w14:paraId="1C004E2C">
                  <w:pPr>
                    <w:jc w:val="center"/>
                    <w:rPr>
                      <w:bCs/>
                      <w:szCs w:val="21"/>
                    </w:rPr>
                  </w:pPr>
                  <w:r>
                    <w:rPr>
                      <w:bCs/>
                      <w:szCs w:val="21"/>
                    </w:rPr>
                    <w:t>1200</w:t>
                  </w:r>
                </w:p>
              </w:tc>
              <w:tc>
                <w:tcPr>
                  <w:tcW w:w="591" w:type="pct"/>
                  <w:vAlign w:val="center"/>
                </w:tcPr>
                <w:p w14:paraId="3E32724A">
                  <w:pPr>
                    <w:jc w:val="center"/>
                    <w:rPr>
                      <w:bCs/>
                      <w:szCs w:val="21"/>
                    </w:rPr>
                  </w:pPr>
                  <w:r>
                    <w:rPr>
                      <w:bCs/>
                      <w:szCs w:val="21"/>
                    </w:rPr>
                    <w:t>达标</w:t>
                  </w:r>
                </w:p>
              </w:tc>
            </w:tr>
            <w:tr w14:paraId="540F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35AE8232">
                  <w:pPr>
                    <w:jc w:val="center"/>
                    <w:textAlignment w:val="center"/>
                    <w:rPr>
                      <w:bCs/>
                      <w:szCs w:val="21"/>
                    </w:rPr>
                  </w:pPr>
                  <w:r>
                    <w:rPr>
                      <w:bCs/>
                      <w:szCs w:val="21"/>
                    </w:rPr>
                    <w:t>间,对-二甲苯</w:t>
                  </w:r>
                </w:p>
              </w:tc>
              <w:tc>
                <w:tcPr>
                  <w:tcW w:w="593" w:type="pct"/>
                  <w:vAlign w:val="center"/>
                </w:tcPr>
                <w:p w14:paraId="02C58C76">
                  <w:pPr>
                    <w:jc w:val="center"/>
                    <w:rPr>
                      <w:bCs/>
                      <w:szCs w:val="21"/>
                      <w:lang w:bidi="ar"/>
                    </w:rPr>
                  </w:pPr>
                  <w:r>
                    <w:rPr>
                      <w:bCs/>
                      <w:szCs w:val="21"/>
                      <w:lang w:bidi="ar"/>
                    </w:rPr>
                    <w:t>mg/kg</w:t>
                  </w:r>
                </w:p>
              </w:tc>
              <w:tc>
                <w:tcPr>
                  <w:tcW w:w="761" w:type="pct"/>
                  <w:vAlign w:val="center"/>
                </w:tcPr>
                <w:p w14:paraId="6FAA4B9A">
                  <w:pPr>
                    <w:jc w:val="center"/>
                    <w:rPr>
                      <w:bCs/>
                      <w:szCs w:val="21"/>
                    </w:rPr>
                  </w:pPr>
                  <w:r>
                    <w:rPr>
                      <w:bCs/>
                      <w:szCs w:val="21"/>
                    </w:rPr>
                    <w:t>ND</w:t>
                  </w:r>
                </w:p>
              </w:tc>
              <w:tc>
                <w:tcPr>
                  <w:tcW w:w="677" w:type="pct"/>
                  <w:vAlign w:val="center"/>
                </w:tcPr>
                <w:p w14:paraId="732350C0">
                  <w:pPr>
                    <w:jc w:val="center"/>
                    <w:rPr>
                      <w:bCs/>
                      <w:szCs w:val="21"/>
                    </w:rPr>
                  </w:pPr>
                  <w:r>
                    <w:rPr>
                      <w:bCs/>
                      <w:szCs w:val="21"/>
                    </w:rPr>
                    <w:t>ND</w:t>
                  </w:r>
                </w:p>
              </w:tc>
              <w:tc>
                <w:tcPr>
                  <w:tcW w:w="762" w:type="pct"/>
                  <w:vAlign w:val="center"/>
                </w:tcPr>
                <w:p w14:paraId="2CDDC59F">
                  <w:pPr>
                    <w:jc w:val="center"/>
                    <w:rPr>
                      <w:bCs/>
                      <w:szCs w:val="21"/>
                    </w:rPr>
                  </w:pPr>
                  <w:r>
                    <w:rPr>
                      <w:bCs/>
                      <w:szCs w:val="21"/>
                    </w:rPr>
                    <w:t>ND</w:t>
                  </w:r>
                </w:p>
              </w:tc>
              <w:tc>
                <w:tcPr>
                  <w:tcW w:w="591" w:type="pct"/>
                  <w:vAlign w:val="center"/>
                </w:tcPr>
                <w:p w14:paraId="52F31F94">
                  <w:pPr>
                    <w:jc w:val="center"/>
                    <w:rPr>
                      <w:bCs/>
                      <w:szCs w:val="21"/>
                    </w:rPr>
                  </w:pPr>
                  <w:r>
                    <w:rPr>
                      <w:bCs/>
                      <w:szCs w:val="21"/>
                    </w:rPr>
                    <w:t>570</w:t>
                  </w:r>
                </w:p>
              </w:tc>
              <w:tc>
                <w:tcPr>
                  <w:tcW w:w="591" w:type="pct"/>
                  <w:vAlign w:val="center"/>
                </w:tcPr>
                <w:p w14:paraId="200156BF">
                  <w:pPr>
                    <w:jc w:val="center"/>
                    <w:rPr>
                      <w:bCs/>
                      <w:szCs w:val="21"/>
                    </w:rPr>
                  </w:pPr>
                  <w:r>
                    <w:rPr>
                      <w:bCs/>
                      <w:szCs w:val="21"/>
                    </w:rPr>
                    <w:t>达标</w:t>
                  </w:r>
                </w:p>
              </w:tc>
            </w:tr>
            <w:tr w14:paraId="69B3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6D0F270D">
                  <w:pPr>
                    <w:jc w:val="center"/>
                    <w:textAlignment w:val="center"/>
                    <w:rPr>
                      <w:bCs/>
                      <w:szCs w:val="21"/>
                      <w:lang w:bidi="ar"/>
                    </w:rPr>
                  </w:pPr>
                  <w:r>
                    <w:rPr>
                      <w:bCs/>
                      <w:szCs w:val="21"/>
                      <w:lang w:bidi="ar"/>
                    </w:rPr>
                    <w:t>邻二甲苯</w:t>
                  </w:r>
                </w:p>
              </w:tc>
              <w:tc>
                <w:tcPr>
                  <w:tcW w:w="593" w:type="pct"/>
                  <w:vAlign w:val="center"/>
                </w:tcPr>
                <w:p w14:paraId="795A10A9">
                  <w:pPr>
                    <w:jc w:val="center"/>
                    <w:rPr>
                      <w:bCs/>
                      <w:szCs w:val="21"/>
                      <w:lang w:bidi="ar"/>
                    </w:rPr>
                  </w:pPr>
                  <w:r>
                    <w:rPr>
                      <w:bCs/>
                      <w:szCs w:val="21"/>
                      <w:lang w:bidi="ar"/>
                    </w:rPr>
                    <w:t>mg/kg</w:t>
                  </w:r>
                </w:p>
              </w:tc>
              <w:tc>
                <w:tcPr>
                  <w:tcW w:w="761" w:type="pct"/>
                  <w:vAlign w:val="center"/>
                </w:tcPr>
                <w:p w14:paraId="0F3E15D0">
                  <w:pPr>
                    <w:jc w:val="center"/>
                    <w:rPr>
                      <w:bCs/>
                      <w:szCs w:val="21"/>
                    </w:rPr>
                  </w:pPr>
                  <w:r>
                    <w:rPr>
                      <w:bCs/>
                      <w:szCs w:val="21"/>
                    </w:rPr>
                    <w:t>ND</w:t>
                  </w:r>
                </w:p>
              </w:tc>
              <w:tc>
                <w:tcPr>
                  <w:tcW w:w="677" w:type="pct"/>
                  <w:vAlign w:val="center"/>
                </w:tcPr>
                <w:p w14:paraId="5BD78E20">
                  <w:pPr>
                    <w:jc w:val="center"/>
                    <w:rPr>
                      <w:bCs/>
                      <w:szCs w:val="21"/>
                    </w:rPr>
                  </w:pPr>
                  <w:r>
                    <w:rPr>
                      <w:bCs/>
                      <w:szCs w:val="21"/>
                    </w:rPr>
                    <w:t>ND</w:t>
                  </w:r>
                </w:p>
              </w:tc>
              <w:tc>
                <w:tcPr>
                  <w:tcW w:w="762" w:type="pct"/>
                  <w:vAlign w:val="center"/>
                </w:tcPr>
                <w:p w14:paraId="777438FD">
                  <w:pPr>
                    <w:jc w:val="center"/>
                    <w:rPr>
                      <w:bCs/>
                      <w:szCs w:val="21"/>
                    </w:rPr>
                  </w:pPr>
                  <w:r>
                    <w:rPr>
                      <w:bCs/>
                      <w:szCs w:val="21"/>
                    </w:rPr>
                    <w:t>ND</w:t>
                  </w:r>
                </w:p>
              </w:tc>
              <w:tc>
                <w:tcPr>
                  <w:tcW w:w="591" w:type="pct"/>
                  <w:vAlign w:val="center"/>
                </w:tcPr>
                <w:p w14:paraId="40BB3A2C">
                  <w:pPr>
                    <w:jc w:val="center"/>
                    <w:rPr>
                      <w:bCs/>
                      <w:szCs w:val="21"/>
                    </w:rPr>
                  </w:pPr>
                  <w:r>
                    <w:rPr>
                      <w:bCs/>
                      <w:szCs w:val="21"/>
                    </w:rPr>
                    <w:t>640</w:t>
                  </w:r>
                </w:p>
              </w:tc>
              <w:tc>
                <w:tcPr>
                  <w:tcW w:w="591" w:type="pct"/>
                  <w:vAlign w:val="center"/>
                </w:tcPr>
                <w:p w14:paraId="659EE0A8">
                  <w:pPr>
                    <w:jc w:val="center"/>
                    <w:rPr>
                      <w:bCs/>
                      <w:szCs w:val="21"/>
                    </w:rPr>
                  </w:pPr>
                  <w:r>
                    <w:rPr>
                      <w:bCs/>
                      <w:szCs w:val="21"/>
                    </w:rPr>
                    <w:t>达标</w:t>
                  </w:r>
                </w:p>
              </w:tc>
            </w:tr>
            <w:tr w14:paraId="5745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2428E61B">
                  <w:pPr>
                    <w:jc w:val="center"/>
                    <w:textAlignment w:val="center"/>
                    <w:rPr>
                      <w:bCs/>
                      <w:szCs w:val="21"/>
                      <w:lang w:bidi="ar"/>
                    </w:rPr>
                  </w:pPr>
                  <w:r>
                    <w:rPr>
                      <w:bCs/>
                      <w:szCs w:val="21"/>
                      <w:lang w:bidi="ar"/>
                    </w:rPr>
                    <w:t>硝基苯</w:t>
                  </w:r>
                </w:p>
              </w:tc>
              <w:tc>
                <w:tcPr>
                  <w:tcW w:w="593" w:type="pct"/>
                  <w:vAlign w:val="center"/>
                </w:tcPr>
                <w:p w14:paraId="50106290">
                  <w:pPr>
                    <w:jc w:val="center"/>
                    <w:rPr>
                      <w:bCs/>
                      <w:szCs w:val="21"/>
                      <w:lang w:bidi="ar"/>
                    </w:rPr>
                  </w:pPr>
                  <w:r>
                    <w:rPr>
                      <w:bCs/>
                      <w:szCs w:val="21"/>
                      <w:lang w:bidi="ar"/>
                    </w:rPr>
                    <w:t>mg/kg</w:t>
                  </w:r>
                </w:p>
              </w:tc>
              <w:tc>
                <w:tcPr>
                  <w:tcW w:w="761" w:type="pct"/>
                  <w:vAlign w:val="center"/>
                </w:tcPr>
                <w:p w14:paraId="1FA21677">
                  <w:pPr>
                    <w:jc w:val="center"/>
                    <w:rPr>
                      <w:bCs/>
                      <w:szCs w:val="21"/>
                    </w:rPr>
                  </w:pPr>
                  <w:r>
                    <w:rPr>
                      <w:bCs/>
                      <w:szCs w:val="21"/>
                    </w:rPr>
                    <w:t>ND</w:t>
                  </w:r>
                </w:p>
              </w:tc>
              <w:tc>
                <w:tcPr>
                  <w:tcW w:w="677" w:type="pct"/>
                  <w:vAlign w:val="center"/>
                </w:tcPr>
                <w:p w14:paraId="28449924">
                  <w:pPr>
                    <w:jc w:val="center"/>
                    <w:rPr>
                      <w:bCs/>
                      <w:szCs w:val="21"/>
                    </w:rPr>
                  </w:pPr>
                  <w:r>
                    <w:rPr>
                      <w:bCs/>
                      <w:szCs w:val="21"/>
                    </w:rPr>
                    <w:t>ND</w:t>
                  </w:r>
                </w:p>
              </w:tc>
              <w:tc>
                <w:tcPr>
                  <w:tcW w:w="762" w:type="pct"/>
                  <w:vAlign w:val="center"/>
                </w:tcPr>
                <w:p w14:paraId="6AB3BF9C">
                  <w:pPr>
                    <w:jc w:val="center"/>
                    <w:rPr>
                      <w:bCs/>
                      <w:szCs w:val="21"/>
                    </w:rPr>
                  </w:pPr>
                  <w:r>
                    <w:rPr>
                      <w:bCs/>
                      <w:szCs w:val="21"/>
                    </w:rPr>
                    <w:t>ND</w:t>
                  </w:r>
                </w:p>
              </w:tc>
              <w:tc>
                <w:tcPr>
                  <w:tcW w:w="591" w:type="pct"/>
                  <w:vAlign w:val="center"/>
                </w:tcPr>
                <w:p w14:paraId="0CCAB318">
                  <w:pPr>
                    <w:jc w:val="center"/>
                    <w:rPr>
                      <w:bCs/>
                      <w:szCs w:val="21"/>
                    </w:rPr>
                  </w:pPr>
                  <w:r>
                    <w:rPr>
                      <w:bCs/>
                      <w:szCs w:val="21"/>
                    </w:rPr>
                    <w:t>76</w:t>
                  </w:r>
                </w:p>
              </w:tc>
              <w:tc>
                <w:tcPr>
                  <w:tcW w:w="591" w:type="pct"/>
                  <w:vAlign w:val="center"/>
                </w:tcPr>
                <w:p w14:paraId="57B488FC">
                  <w:pPr>
                    <w:jc w:val="center"/>
                    <w:rPr>
                      <w:bCs/>
                      <w:szCs w:val="21"/>
                    </w:rPr>
                  </w:pPr>
                  <w:r>
                    <w:rPr>
                      <w:bCs/>
                      <w:szCs w:val="21"/>
                    </w:rPr>
                    <w:t>达标</w:t>
                  </w:r>
                </w:p>
              </w:tc>
            </w:tr>
            <w:tr w14:paraId="766B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1A28103E">
                  <w:pPr>
                    <w:jc w:val="center"/>
                    <w:textAlignment w:val="center"/>
                    <w:rPr>
                      <w:bCs/>
                      <w:szCs w:val="21"/>
                    </w:rPr>
                  </w:pPr>
                  <w:r>
                    <w:rPr>
                      <w:bCs/>
                      <w:szCs w:val="21"/>
                    </w:rPr>
                    <w:t>苯胺</w:t>
                  </w:r>
                </w:p>
              </w:tc>
              <w:tc>
                <w:tcPr>
                  <w:tcW w:w="593" w:type="pct"/>
                  <w:vAlign w:val="center"/>
                </w:tcPr>
                <w:p w14:paraId="0E03E18F">
                  <w:pPr>
                    <w:jc w:val="center"/>
                    <w:rPr>
                      <w:bCs/>
                      <w:szCs w:val="21"/>
                      <w:lang w:bidi="ar"/>
                    </w:rPr>
                  </w:pPr>
                  <w:r>
                    <w:rPr>
                      <w:bCs/>
                      <w:szCs w:val="21"/>
                      <w:lang w:bidi="ar"/>
                    </w:rPr>
                    <w:t>mg/kg</w:t>
                  </w:r>
                </w:p>
              </w:tc>
              <w:tc>
                <w:tcPr>
                  <w:tcW w:w="761" w:type="pct"/>
                  <w:vAlign w:val="center"/>
                </w:tcPr>
                <w:p w14:paraId="45F0E5EB">
                  <w:pPr>
                    <w:jc w:val="center"/>
                    <w:rPr>
                      <w:bCs/>
                      <w:szCs w:val="21"/>
                    </w:rPr>
                  </w:pPr>
                  <w:r>
                    <w:rPr>
                      <w:bCs/>
                      <w:szCs w:val="21"/>
                    </w:rPr>
                    <w:t>ND</w:t>
                  </w:r>
                </w:p>
              </w:tc>
              <w:tc>
                <w:tcPr>
                  <w:tcW w:w="677" w:type="pct"/>
                  <w:vAlign w:val="center"/>
                </w:tcPr>
                <w:p w14:paraId="45B14056">
                  <w:pPr>
                    <w:jc w:val="center"/>
                    <w:rPr>
                      <w:bCs/>
                      <w:szCs w:val="21"/>
                    </w:rPr>
                  </w:pPr>
                  <w:r>
                    <w:rPr>
                      <w:bCs/>
                      <w:szCs w:val="21"/>
                    </w:rPr>
                    <w:t>ND</w:t>
                  </w:r>
                </w:p>
              </w:tc>
              <w:tc>
                <w:tcPr>
                  <w:tcW w:w="762" w:type="pct"/>
                  <w:vAlign w:val="center"/>
                </w:tcPr>
                <w:p w14:paraId="3BFE0686">
                  <w:pPr>
                    <w:jc w:val="center"/>
                    <w:rPr>
                      <w:bCs/>
                      <w:szCs w:val="21"/>
                    </w:rPr>
                  </w:pPr>
                  <w:r>
                    <w:rPr>
                      <w:bCs/>
                      <w:szCs w:val="21"/>
                    </w:rPr>
                    <w:t>ND</w:t>
                  </w:r>
                </w:p>
              </w:tc>
              <w:tc>
                <w:tcPr>
                  <w:tcW w:w="591" w:type="pct"/>
                  <w:vAlign w:val="center"/>
                </w:tcPr>
                <w:p w14:paraId="1B4D1002">
                  <w:pPr>
                    <w:jc w:val="center"/>
                    <w:rPr>
                      <w:bCs/>
                      <w:szCs w:val="21"/>
                    </w:rPr>
                  </w:pPr>
                  <w:r>
                    <w:rPr>
                      <w:bCs/>
                      <w:szCs w:val="21"/>
                    </w:rPr>
                    <w:t>260</w:t>
                  </w:r>
                </w:p>
              </w:tc>
              <w:tc>
                <w:tcPr>
                  <w:tcW w:w="591" w:type="pct"/>
                  <w:vAlign w:val="center"/>
                </w:tcPr>
                <w:p w14:paraId="1F5A9CF7">
                  <w:pPr>
                    <w:jc w:val="center"/>
                    <w:rPr>
                      <w:bCs/>
                      <w:szCs w:val="21"/>
                    </w:rPr>
                  </w:pPr>
                  <w:r>
                    <w:rPr>
                      <w:bCs/>
                      <w:szCs w:val="21"/>
                    </w:rPr>
                    <w:t>达标</w:t>
                  </w:r>
                </w:p>
              </w:tc>
            </w:tr>
            <w:tr w14:paraId="5B09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23BA0E90">
                  <w:pPr>
                    <w:jc w:val="center"/>
                    <w:rPr>
                      <w:bCs/>
                      <w:szCs w:val="21"/>
                    </w:rPr>
                  </w:pPr>
                  <w:r>
                    <w:rPr>
                      <w:bCs/>
                      <w:szCs w:val="21"/>
                      <w:lang w:bidi="ar"/>
                    </w:rPr>
                    <w:t>2-氯酚</w:t>
                  </w:r>
                </w:p>
              </w:tc>
              <w:tc>
                <w:tcPr>
                  <w:tcW w:w="593" w:type="pct"/>
                  <w:vAlign w:val="center"/>
                </w:tcPr>
                <w:p w14:paraId="33CD607D">
                  <w:pPr>
                    <w:jc w:val="center"/>
                    <w:rPr>
                      <w:bCs/>
                      <w:szCs w:val="21"/>
                      <w:lang w:bidi="ar"/>
                    </w:rPr>
                  </w:pPr>
                  <w:r>
                    <w:rPr>
                      <w:bCs/>
                      <w:szCs w:val="21"/>
                      <w:lang w:bidi="ar"/>
                    </w:rPr>
                    <w:t>mg/kg</w:t>
                  </w:r>
                </w:p>
              </w:tc>
              <w:tc>
                <w:tcPr>
                  <w:tcW w:w="761" w:type="pct"/>
                  <w:vAlign w:val="center"/>
                </w:tcPr>
                <w:p w14:paraId="68FB5B66">
                  <w:pPr>
                    <w:jc w:val="center"/>
                    <w:rPr>
                      <w:bCs/>
                      <w:szCs w:val="21"/>
                    </w:rPr>
                  </w:pPr>
                  <w:r>
                    <w:rPr>
                      <w:bCs/>
                      <w:szCs w:val="21"/>
                    </w:rPr>
                    <w:t>ND</w:t>
                  </w:r>
                </w:p>
              </w:tc>
              <w:tc>
                <w:tcPr>
                  <w:tcW w:w="677" w:type="pct"/>
                  <w:vAlign w:val="center"/>
                </w:tcPr>
                <w:p w14:paraId="0DEE368B">
                  <w:pPr>
                    <w:jc w:val="center"/>
                    <w:rPr>
                      <w:bCs/>
                      <w:szCs w:val="21"/>
                    </w:rPr>
                  </w:pPr>
                  <w:r>
                    <w:rPr>
                      <w:bCs/>
                      <w:szCs w:val="21"/>
                    </w:rPr>
                    <w:t>ND</w:t>
                  </w:r>
                </w:p>
              </w:tc>
              <w:tc>
                <w:tcPr>
                  <w:tcW w:w="762" w:type="pct"/>
                  <w:vAlign w:val="center"/>
                </w:tcPr>
                <w:p w14:paraId="06AF27D9">
                  <w:pPr>
                    <w:jc w:val="center"/>
                    <w:rPr>
                      <w:bCs/>
                      <w:szCs w:val="21"/>
                    </w:rPr>
                  </w:pPr>
                  <w:r>
                    <w:rPr>
                      <w:bCs/>
                      <w:szCs w:val="21"/>
                    </w:rPr>
                    <w:t>ND</w:t>
                  </w:r>
                </w:p>
              </w:tc>
              <w:tc>
                <w:tcPr>
                  <w:tcW w:w="591" w:type="pct"/>
                  <w:vAlign w:val="center"/>
                </w:tcPr>
                <w:p w14:paraId="08986FE6">
                  <w:pPr>
                    <w:jc w:val="center"/>
                    <w:rPr>
                      <w:bCs/>
                      <w:szCs w:val="21"/>
                    </w:rPr>
                  </w:pPr>
                  <w:r>
                    <w:rPr>
                      <w:bCs/>
                      <w:szCs w:val="21"/>
                    </w:rPr>
                    <w:t>2256</w:t>
                  </w:r>
                </w:p>
              </w:tc>
              <w:tc>
                <w:tcPr>
                  <w:tcW w:w="591" w:type="pct"/>
                  <w:vAlign w:val="center"/>
                </w:tcPr>
                <w:p w14:paraId="449EB9ED">
                  <w:pPr>
                    <w:jc w:val="center"/>
                    <w:rPr>
                      <w:bCs/>
                      <w:szCs w:val="21"/>
                    </w:rPr>
                  </w:pPr>
                  <w:r>
                    <w:rPr>
                      <w:bCs/>
                      <w:szCs w:val="21"/>
                    </w:rPr>
                    <w:t>达标</w:t>
                  </w:r>
                </w:p>
              </w:tc>
            </w:tr>
            <w:tr w14:paraId="7E19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17F25689">
                  <w:pPr>
                    <w:jc w:val="center"/>
                    <w:textAlignment w:val="center"/>
                    <w:rPr>
                      <w:bCs/>
                      <w:szCs w:val="21"/>
                    </w:rPr>
                  </w:pPr>
                  <w:r>
                    <w:rPr>
                      <w:bCs/>
                      <w:szCs w:val="21"/>
                      <w:lang w:bidi="ar"/>
                    </w:rPr>
                    <w:t>苯并[a]蒽</w:t>
                  </w:r>
                </w:p>
              </w:tc>
              <w:tc>
                <w:tcPr>
                  <w:tcW w:w="593" w:type="pct"/>
                  <w:vAlign w:val="center"/>
                </w:tcPr>
                <w:p w14:paraId="46EE8635">
                  <w:pPr>
                    <w:jc w:val="center"/>
                    <w:rPr>
                      <w:bCs/>
                      <w:szCs w:val="21"/>
                      <w:lang w:bidi="ar"/>
                    </w:rPr>
                  </w:pPr>
                  <w:r>
                    <w:rPr>
                      <w:bCs/>
                      <w:szCs w:val="21"/>
                      <w:lang w:bidi="ar"/>
                    </w:rPr>
                    <w:t>mg/kg</w:t>
                  </w:r>
                </w:p>
              </w:tc>
              <w:tc>
                <w:tcPr>
                  <w:tcW w:w="761" w:type="pct"/>
                  <w:vAlign w:val="center"/>
                </w:tcPr>
                <w:p w14:paraId="479F812F">
                  <w:pPr>
                    <w:jc w:val="center"/>
                    <w:rPr>
                      <w:bCs/>
                      <w:szCs w:val="21"/>
                    </w:rPr>
                  </w:pPr>
                  <w:r>
                    <w:rPr>
                      <w:bCs/>
                      <w:szCs w:val="21"/>
                    </w:rPr>
                    <w:t>ND</w:t>
                  </w:r>
                </w:p>
              </w:tc>
              <w:tc>
                <w:tcPr>
                  <w:tcW w:w="677" w:type="pct"/>
                  <w:vAlign w:val="center"/>
                </w:tcPr>
                <w:p w14:paraId="4D2BD16C">
                  <w:pPr>
                    <w:jc w:val="center"/>
                    <w:rPr>
                      <w:bCs/>
                      <w:szCs w:val="21"/>
                    </w:rPr>
                  </w:pPr>
                  <w:r>
                    <w:rPr>
                      <w:bCs/>
                      <w:szCs w:val="21"/>
                    </w:rPr>
                    <w:t>0.0083</w:t>
                  </w:r>
                </w:p>
              </w:tc>
              <w:tc>
                <w:tcPr>
                  <w:tcW w:w="762" w:type="pct"/>
                  <w:vAlign w:val="center"/>
                </w:tcPr>
                <w:p w14:paraId="250E04E9">
                  <w:pPr>
                    <w:jc w:val="center"/>
                    <w:rPr>
                      <w:bCs/>
                      <w:szCs w:val="21"/>
                    </w:rPr>
                  </w:pPr>
                  <w:r>
                    <w:rPr>
                      <w:bCs/>
                      <w:szCs w:val="21"/>
                    </w:rPr>
                    <w:t>0.016</w:t>
                  </w:r>
                </w:p>
              </w:tc>
              <w:tc>
                <w:tcPr>
                  <w:tcW w:w="591" w:type="pct"/>
                  <w:vAlign w:val="center"/>
                </w:tcPr>
                <w:p w14:paraId="25DF2EF8">
                  <w:pPr>
                    <w:jc w:val="center"/>
                    <w:rPr>
                      <w:bCs/>
                      <w:szCs w:val="21"/>
                    </w:rPr>
                  </w:pPr>
                  <w:r>
                    <w:rPr>
                      <w:bCs/>
                      <w:szCs w:val="21"/>
                    </w:rPr>
                    <w:t>15</w:t>
                  </w:r>
                </w:p>
              </w:tc>
              <w:tc>
                <w:tcPr>
                  <w:tcW w:w="591" w:type="pct"/>
                  <w:vAlign w:val="center"/>
                </w:tcPr>
                <w:p w14:paraId="3FB95361">
                  <w:pPr>
                    <w:jc w:val="center"/>
                    <w:rPr>
                      <w:bCs/>
                      <w:szCs w:val="21"/>
                    </w:rPr>
                  </w:pPr>
                  <w:r>
                    <w:rPr>
                      <w:bCs/>
                      <w:szCs w:val="21"/>
                    </w:rPr>
                    <w:t>达标</w:t>
                  </w:r>
                </w:p>
              </w:tc>
            </w:tr>
            <w:tr w14:paraId="272E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3A60EA1F">
                  <w:pPr>
                    <w:jc w:val="center"/>
                    <w:textAlignment w:val="center"/>
                    <w:rPr>
                      <w:bCs/>
                      <w:szCs w:val="21"/>
                    </w:rPr>
                  </w:pPr>
                  <w:r>
                    <w:rPr>
                      <w:bCs/>
                      <w:szCs w:val="21"/>
                    </w:rPr>
                    <w:t>苯并[a]芘</w:t>
                  </w:r>
                </w:p>
              </w:tc>
              <w:tc>
                <w:tcPr>
                  <w:tcW w:w="593" w:type="pct"/>
                  <w:vAlign w:val="center"/>
                </w:tcPr>
                <w:p w14:paraId="33026C6C">
                  <w:pPr>
                    <w:jc w:val="center"/>
                    <w:rPr>
                      <w:bCs/>
                      <w:szCs w:val="21"/>
                      <w:lang w:bidi="ar"/>
                    </w:rPr>
                  </w:pPr>
                  <w:r>
                    <w:rPr>
                      <w:bCs/>
                      <w:szCs w:val="21"/>
                      <w:lang w:bidi="ar"/>
                    </w:rPr>
                    <w:t>mg/kg</w:t>
                  </w:r>
                </w:p>
              </w:tc>
              <w:tc>
                <w:tcPr>
                  <w:tcW w:w="761" w:type="pct"/>
                  <w:vAlign w:val="center"/>
                </w:tcPr>
                <w:p w14:paraId="7F0637CF">
                  <w:pPr>
                    <w:jc w:val="center"/>
                    <w:rPr>
                      <w:bCs/>
                      <w:szCs w:val="21"/>
                    </w:rPr>
                  </w:pPr>
                  <w:r>
                    <w:rPr>
                      <w:bCs/>
                      <w:szCs w:val="21"/>
                    </w:rPr>
                    <w:t>ND</w:t>
                  </w:r>
                </w:p>
              </w:tc>
              <w:tc>
                <w:tcPr>
                  <w:tcW w:w="677" w:type="pct"/>
                  <w:vAlign w:val="center"/>
                </w:tcPr>
                <w:p w14:paraId="2C97F277">
                  <w:pPr>
                    <w:jc w:val="center"/>
                    <w:rPr>
                      <w:bCs/>
                      <w:szCs w:val="21"/>
                    </w:rPr>
                  </w:pPr>
                  <w:r>
                    <w:rPr>
                      <w:bCs/>
                      <w:szCs w:val="21"/>
                    </w:rPr>
                    <w:t>0.0088</w:t>
                  </w:r>
                </w:p>
              </w:tc>
              <w:tc>
                <w:tcPr>
                  <w:tcW w:w="762" w:type="pct"/>
                  <w:vAlign w:val="center"/>
                </w:tcPr>
                <w:p w14:paraId="5C3D9938">
                  <w:pPr>
                    <w:jc w:val="center"/>
                    <w:rPr>
                      <w:bCs/>
                      <w:szCs w:val="21"/>
                    </w:rPr>
                  </w:pPr>
                  <w:r>
                    <w:rPr>
                      <w:bCs/>
                      <w:szCs w:val="21"/>
                    </w:rPr>
                    <w:t>0.0285</w:t>
                  </w:r>
                </w:p>
              </w:tc>
              <w:tc>
                <w:tcPr>
                  <w:tcW w:w="591" w:type="pct"/>
                  <w:vAlign w:val="center"/>
                </w:tcPr>
                <w:p w14:paraId="422BD8F4">
                  <w:pPr>
                    <w:jc w:val="center"/>
                    <w:rPr>
                      <w:bCs/>
                      <w:szCs w:val="21"/>
                    </w:rPr>
                  </w:pPr>
                  <w:r>
                    <w:rPr>
                      <w:bCs/>
                      <w:szCs w:val="21"/>
                    </w:rPr>
                    <w:t>1.5</w:t>
                  </w:r>
                </w:p>
              </w:tc>
              <w:tc>
                <w:tcPr>
                  <w:tcW w:w="591" w:type="pct"/>
                  <w:vAlign w:val="center"/>
                </w:tcPr>
                <w:p w14:paraId="4925597A">
                  <w:pPr>
                    <w:jc w:val="center"/>
                    <w:rPr>
                      <w:bCs/>
                      <w:szCs w:val="21"/>
                    </w:rPr>
                  </w:pPr>
                  <w:r>
                    <w:rPr>
                      <w:bCs/>
                      <w:szCs w:val="21"/>
                    </w:rPr>
                    <w:t>达标</w:t>
                  </w:r>
                </w:p>
              </w:tc>
            </w:tr>
            <w:tr w14:paraId="7612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4B65E95B">
                  <w:pPr>
                    <w:jc w:val="center"/>
                    <w:textAlignment w:val="center"/>
                    <w:rPr>
                      <w:bCs/>
                      <w:szCs w:val="21"/>
                    </w:rPr>
                  </w:pPr>
                  <w:r>
                    <w:rPr>
                      <w:bCs/>
                      <w:szCs w:val="21"/>
                    </w:rPr>
                    <w:t>苯并[b]荧蒽</w:t>
                  </w:r>
                </w:p>
              </w:tc>
              <w:tc>
                <w:tcPr>
                  <w:tcW w:w="593" w:type="pct"/>
                  <w:vAlign w:val="center"/>
                </w:tcPr>
                <w:p w14:paraId="1FB63322">
                  <w:pPr>
                    <w:jc w:val="center"/>
                    <w:rPr>
                      <w:bCs/>
                      <w:szCs w:val="21"/>
                      <w:lang w:bidi="ar"/>
                    </w:rPr>
                  </w:pPr>
                  <w:r>
                    <w:rPr>
                      <w:bCs/>
                      <w:szCs w:val="21"/>
                      <w:lang w:bidi="ar"/>
                    </w:rPr>
                    <w:t>mg/kg</w:t>
                  </w:r>
                </w:p>
              </w:tc>
              <w:tc>
                <w:tcPr>
                  <w:tcW w:w="761" w:type="pct"/>
                  <w:vAlign w:val="center"/>
                </w:tcPr>
                <w:p w14:paraId="2BD4687C">
                  <w:pPr>
                    <w:jc w:val="center"/>
                    <w:rPr>
                      <w:bCs/>
                      <w:szCs w:val="21"/>
                    </w:rPr>
                  </w:pPr>
                  <w:r>
                    <w:rPr>
                      <w:bCs/>
                      <w:szCs w:val="21"/>
                    </w:rPr>
                    <w:t>ND</w:t>
                  </w:r>
                </w:p>
              </w:tc>
              <w:tc>
                <w:tcPr>
                  <w:tcW w:w="677" w:type="pct"/>
                  <w:vAlign w:val="center"/>
                </w:tcPr>
                <w:p w14:paraId="0EB91B51">
                  <w:pPr>
                    <w:jc w:val="center"/>
                    <w:rPr>
                      <w:bCs/>
                      <w:szCs w:val="21"/>
                    </w:rPr>
                  </w:pPr>
                  <w:r>
                    <w:rPr>
                      <w:bCs/>
                      <w:szCs w:val="21"/>
                    </w:rPr>
                    <w:t>ND</w:t>
                  </w:r>
                </w:p>
              </w:tc>
              <w:tc>
                <w:tcPr>
                  <w:tcW w:w="762" w:type="pct"/>
                  <w:vAlign w:val="center"/>
                </w:tcPr>
                <w:p w14:paraId="6E59A3BA">
                  <w:pPr>
                    <w:jc w:val="center"/>
                    <w:rPr>
                      <w:bCs/>
                      <w:szCs w:val="21"/>
                    </w:rPr>
                  </w:pPr>
                  <w:r>
                    <w:rPr>
                      <w:bCs/>
                      <w:szCs w:val="21"/>
                    </w:rPr>
                    <w:t>0.0121</w:t>
                  </w:r>
                </w:p>
              </w:tc>
              <w:tc>
                <w:tcPr>
                  <w:tcW w:w="591" w:type="pct"/>
                  <w:vAlign w:val="center"/>
                </w:tcPr>
                <w:p w14:paraId="7FEB0456">
                  <w:pPr>
                    <w:jc w:val="center"/>
                    <w:rPr>
                      <w:bCs/>
                      <w:szCs w:val="21"/>
                    </w:rPr>
                  </w:pPr>
                  <w:r>
                    <w:rPr>
                      <w:bCs/>
                      <w:szCs w:val="21"/>
                    </w:rPr>
                    <w:t>15</w:t>
                  </w:r>
                </w:p>
              </w:tc>
              <w:tc>
                <w:tcPr>
                  <w:tcW w:w="591" w:type="pct"/>
                  <w:vAlign w:val="center"/>
                </w:tcPr>
                <w:p w14:paraId="7C763190">
                  <w:pPr>
                    <w:jc w:val="center"/>
                    <w:rPr>
                      <w:bCs/>
                      <w:szCs w:val="21"/>
                    </w:rPr>
                  </w:pPr>
                  <w:r>
                    <w:rPr>
                      <w:bCs/>
                      <w:szCs w:val="21"/>
                    </w:rPr>
                    <w:t>达标</w:t>
                  </w:r>
                </w:p>
              </w:tc>
            </w:tr>
            <w:tr w14:paraId="4637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394CBB2E">
                  <w:pPr>
                    <w:jc w:val="center"/>
                    <w:textAlignment w:val="center"/>
                    <w:rPr>
                      <w:bCs/>
                      <w:szCs w:val="21"/>
                    </w:rPr>
                  </w:pPr>
                  <w:r>
                    <w:rPr>
                      <w:bCs/>
                      <w:szCs w:val="21"/>
                    </w:rPr>
                    <w:t>苯并[k]荧蒽</w:t>
                  </w:r>
                </w:p>
              </w:tc>
              <w:tc>
                <w:tcPr>
                  <w:tcW w:w="593" w:type="pct"/>
                  <w:vAlign w:val="center"/>
                </w:tcPr>
                <w:p w14:paraId="4FB5956C">
                  <w:pPr>
                    <w:jc w:val="center"/>
                    <w:rPr>
                      <w:bCs/>
                      <w:szCs w:val="21"/>
                      <w:lang w:bidi="ar"/>
                    </w:rPr>
                  </w:pPr>
                  <w:r>
                    <w:rPr>
                      <w:bCs/>
                      <w:szCs w:val="21"/>
                      <w:lang w:bidi="ar"/>
                    </w:rPr>
                    <w:t>mg/kg</w:t>
                  </w:r>
                </w:p>
              </w:tc>
              <w:tc>
                <w:tcPr>
                  <w:tcW w:w="761" w:type="pct"/>
                  <w:vAlign w:val="center"/>
                </w:tcPr>
                <w:p w14:paraId="0432358B">
                  <w:pPr>
                    <w:jc w:val="center"/>
                    <w:rPr>
                      <w:bCs/>
                      <w:szCs w:val="21"/>
                    </w:rPr>
                  </w:pPr>
                  <w:r>
                    <w:rPr>
                      <w:bCs/>
                      <w:szCs w:val="21"/>
                    </w:rPr>
                    <w:t>ND</w:t>
                  </w:r>
                </w:p>
              </w:tc>
              <w:tc>
                <w:tcPr>
                  <w:tcW w:w="677" w:type="pct"/>
                  <w:vAlign w:val="center"/>
                </w:tcPr>
                <w:p w14:paraId="153CB8CA">
                  <w:pPr>
                    <w:jc w:val="center"/>
                    <w:rPr>
                      <w:bCs/>
                      <w:szCs w:val="21"/>
                    </w:rPr>
                  </w:pPr>
                  <w:r>
                    <w:rPr>
                      <w:bCs/>
                      <w:szCs w:val="21"/>
                    </w:rPr>
                    <w:t>ND</w:t>
                  </w:r>
                </w:p>
              </w:tc>
              <w:tc>
                <w:tcPr>
                  <w:tcW w:w="762" w:type="pct"/>
                  <w:vAlign w:val="center"/>
                </w:tcPr>
                <w:p w14:paraId="5589E610">
                  <w:pPr>
                    <w:jc w:val="center"/>
                    <w:rPr>
                      <w:bCs/>
                      <w:szCs w:val="21"/>
                    </w:rPr>
                  </w:pPr>
                  <w:r>
                    <w:rPr>
                      <w:bCs/>
                      <w:szCs w:val="21"/>
                    </w:rPr>
                    <w:t>0.0124</w:t>
                  </w:r>
                </w:p>
              </w:tc>
              <w:tc>
                <w:tcPr>
                  <w:tcW w:w="591" w:type="pct"/>
                  <w:vAlign w:val="center"/>
                </w:tcPr>
                <w:p w14:paraId="264BD4FF">
                  <w:pPr>
                    <w:jc w:val="center"/>
                    <w:rPr>
                      <w:bCs/>
                      <w:szCs w:val="21"/>
                    </w:rPr>
                  </w:pPr>
                  <w:r>
                    <w:rPr>
                      <w:bCs/>
                      <w:szCs w:val="21"/>
                    </w:rPr>
                    <w:t>151</w:t>
                  </w:r>
                </w:p>
              </w:tc>
              <w:tc>
                <w:tcPr>
                  <w:tcW w:w="591" w:type="pct"/>
                  <w:vAlign w:val="center"/>
                </w:tcPr>
                <w:p w14:paraId="2290977A">
                  <w:pPr>
                    <w:jc w:val="center"/>
                    <w:rPr>
                      <w:bCs/>
                      <w:szCs w:val="21"/>
                    </w:rPr>
                  </w:pPr>
                  <w:r>
                    <w:rPr>
                      <w:bCs/>
                      <w:szCs w:val="21"/>
                    </w:rPr>
                    <w:t>达标</w:t>
                  </w:r>
                </w:p>
              </w:tc>
            </w:tr>
            <w:tr w14:paraId="04DA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47BAD948">
                  <w:pPr>
                    <w:jc w:val="center"/>
                    <w:textAlignment w:val="center"/>
                    <w:rPr>
                      <w:bCs/>
                      <w:szCs w:val="21"/>
                    </w:rPr>
                  </w:pPr>
                  <w:r>
                    <w:rPr>
                      <w:bCs/>
                      <w:szCs w:val="21"/>
                    </w:rPr>
                    <w:t>䓛</w:t>
                  </w:r>
                </w:p>
              </w:tc>
              <w:tc>
                <w:tcPr>
                  <w:tcW w:w="593" w:type="pct"/>
                  <w:vAlign w:val="center"/>
                </w:tcPr>
                <w:p w14:paraId="662E6BBB">
                  <w:pPr>
                    <w:jc w:val="center"/>
                    <w:rPr>
                      <w:bCs/>
                      <w:szCs w:val="21"/>
                      <w:lang w:bidi="ar"/>
                    </w:rPr>
                  </w:pPr>
                  <w:r>
                    <w:rPr>
                      <w:bCs/>
                      <w:szCs w:val="21"/>
                      <w:lang w:bidi="ar"/>
                    </w:rPr>
                    <w:t>mg/kg</w:t>
                  </w:r>
                </w:p>
              </w:tc>
              <w:tc>
                <w:tcPr>
                  <w:tcW w:w="761" w:type="pct"/>
                  <w:vAlign w:val="center"/>
                </w:tcPr>
                <w:p w14:paraId="1DE7D734">
                  <w:pPr>
                    <w:jc w:val="center"/>
                    <w:rPr>
                      <w:bCs/>
                      <w:szCs w:val="21"/>
                    </w:rPr>
                  </w:pPr>
                  <w:r>
                    <w:rPr>
                      <w:bCs/>
                      <w:szCs w:val="21"/>
                    </w:rPr>
                    <w:t>ND</w:t>
                  </w:r>
                </w:p>
              </w:tc>
              <w:tc>
                <w:tcPr>
                  <w:tcW w:w="677" w:type="pct"/>
                  <w:vAlign w:val="center"/>
                </w:tcPr>
                <w:p w14:paraId="62379971">
                  <w:pPr>
                    <w:jc w:val="center"/>
                    <w:rPr>
                      <w:bCs/>
                      <w:szCs w:val="21"/>
                    </w:rPr>
                  </w:pPr>
                  <w:r>
                    <w:rPr>
                      <w:bCs/>
                      <w:szCs w:val="21"/>
                    </w:rPr>
                    <w:t>0.0114</w:t>
                  </w:r>
                </w:p>
              </w:tc>
              <w:tc>
                <w:tcPr>
                  <w:tcW w:w="762" w:type="pct"/>
                  <w:vAlign w:val="center"/>
                </w:tcPr>
                <w:p w14:paraId="0A065CB2">
                  <w:pPr>
                    <w:jc w:val="center"/>
                    <w:rPr>
                      <w:bCs/>
                      <w:szCs w:val="21"/>
                    </w:rPr>
                  </w:pPr>
                  <w:r>
                    <w:rPr>
                      <w:bCs/>
                      <w:szCs w:val="21"/>
                    </w:rPr>
                    <w:t>0.0091</w:t>
                  </w:r>
                </w:p>
              </w:tc>
              <w:tc>
                <w:tcPr>
                  <w:tcW w:w="591" w:type="pct"/>
                  <w:vAlign w:val="center"/>
                </w:tcPr>
                <w:p w14:paraId="311EC792">
                  <w:pPr>
                    <w:jc w:val="center"/>
                    <w:rPr>
                      <w:bCs/>
                      <w:szCs w:val="21"/>
                    </w:rPr>
                  </w:pPr>
                  <w:r>
                    <w:rPr>
                      <w:bCs/>
                      <w:szCs w:val="21"/>
                    </w:rPr>
                    <w:t>1293</w:t>
                  </w:r>
                </w:p>
              </w:tc>
              <w:tc>
                <w:tcPr>
                  <w:tcW w:w="591" w:type="pct"/>
                  <w:vAlign w:val="center"/>
                </w:tcPr>
                <w:p w14:paraId="1F5ECBDB">
                  <w:pPr>
                    <w:jc w:val="center"/>
                    <w:rPr>
                      <w:bCs/>
                      <w:szCs w:val="21"/>
                    </w:rPr>
                  </w:pPr>
                  <w:r>
                    <w:rPr>
                      <w:bCs/>
                      <w:szCs w:val="21"/>
                    </w:rPr>
                    <w:t>达标</w:t>
                  </w:r>
                </w:p>
              </w:tc>
            </w:tr>
            <w:tr w14:paraId="56C2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5FCE2DCF">
                  <w:pPr>
                    <w:jc w:val="center"/>
                    <w:textAlignment w:val="center"/>
                    <w:rPr>
                      <w:bCs/>
                      <w:szCs w:val="21"/>
                    </w:rPr>
                  </w:pPr>
                  <w:r>
                    <w:rPr>
                      <w:bCs/>
                      <w:szCs w:val="21"/>
                    </w:rPr>
                    <w:t>二苯并[a,h]蒽</w:t>
                  </w:r>
                </w:p>
              </w:tc>
              <w:tc>
                <w:tcPr>
                  <w:tcW w:w="593" w:type="pct"/>
                  <w:vAlign w:val="center"/>
                </w:tcPr>
                <w:p w14:paraId="03C03BF0">
                  <w:pPr>
                    <w:jc w:val="center"/>
                    <w:rPr>
                      <w:bCs/>
                      <w:szCs w:val="21"/>
                      <w:lang w:bidi="ar"/>
                    </w:rPr>
                  </w:pPr>
                  <w:r>
                    <w:rPr>
                      <w:bCs/>
                      <w:szCs w:val="21"/>
                      <w:lang w:bidi="ar"/>
                    </w:rPr>
                    <w:t>mg/kg</w:t>
                  </w:r>
                </w:p>
              </w:tc>
              <w:tc>
                <w:tcPr>
                  <w:tcW w:w="761" w:type="pct"/>
                  <w:vAlign w:val="center"/>
                </w:tcPr>
                <w:p w14:paraId="00C82295">
                  <w:pPr>
                    <w:jc w:val="center"/>
                    <w:rPr>
                      <w:bCs/>
                      <w:szCs w:val="21"/>
                    </w:rPr>
                  </w:pPr>
                  <w:r>
                    <w:rPr>
                      <w:bCs/>
                      <w:szCs w:val="21"/>
                    </w:rPr>
                    <w:t>0.0072</w:t>
                  </w:r>
                </w:p>
              </w:tc>
              <w:tc>
                <w:tcPr>
                  <w:tcW w:w="677" w:type="pct"/>
                  <w:vAlign w:val="center"/>
                </w:tcPr>
                <w:p w14:paraId="18E3710B">
                  <w:pPr>
                    <w:jc w:val="center"/>
                    <w:rPr>
                      <w:bCs/>
                      <w:szCs w:val="21"/>
                    </w:rPr>
                  </w:pPr>
                  <w:r>
                    <w:rPr>
                      <w:bCs/>
                      <w:szCs w:val="21"/>
                    </w:rPr>
                    <w:t>0.0064</w:t>
                  </w:r>
                </w:p>
              </w:tc>
              <w:tc>
                <w:tcPr>
                  <w:tcW w:w="762" w:type="pct"/>
                  <w:vAlign w:val="center"/>
                </w:tcPr>
                <w:p w14:paraId="68746E57">
                  <w:pPr>
                    <w:jc w:val="center"/>
                    <w:rPr>
                      <w:bCs/>
                      <w:szCs w:val="21"/>
                    </w:rPr>
                  </w:pPr>
                  <w:r>
                    <w:rPr>
                      <w:bCs/>
                      <w:szCs w:val="21"/>
                    </w:rPr>
                    <w:t>0.0071</w:t>
                  </w:r>
                </w:p>
              </w:tc>
              <w:tc>
                <w:tcPr>
                  <w:tcW w:w="591" w:type="pct"/>
                  <w:vAlign w:val="center"/>
                </w:tcPr>
                <w:p w14:paraId="55B9DF8D">
                  <w:pPr>
                    <w:jc w:val="center"/>
                    <w:rPr>
                      <w:bCs/>
                      <w:szCs w:val="21"/>
                    </w:rPr>
                  </w:pPr>
                  <w:r>
                    <w:rPr>
                      <w:bCs/>
                      <w:szCs w:val="21"/>
                    </w:rPr>
                    <w:t>1.5</w:t>
                  </w:r>
                </w:p>
              </w:tc>
              <w:tc>
                <w:tcPr>
                  <w:tcW w:w="591" w:type="pct"/>
                  <w:vAlign w:val="center"/>
                </w:tcPr>
                <w:p w14:paraId="4FBE7223">
                  <w:pPr>
                    <w:jc w:val="center"/>
                    <w:rPr>
                      <w:bCs/>
                      <w:szCs w:val="21"/>
                    </w:rPr>
                  </w:pPr>
                  <w:r>
                    <w:rPr>
                      <w:bCs/>
                      <w:szCs w:val="21"/>
                    </w:rPr>
                    <w:t>达标</w:t>
                  </w:r>
                </w:p>
              </w:tc>
            </w:tr>
            <w:tr w14:paraId="3521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6BC39767">
                  <w:pPr>
                    <w:jc w:val="center"/>
                    <w:textAlignment w:val="center"/>
                    <w:rPr>
                      <w:bCs/>
                      <w:szCs w:val="21"/>
                      <w:lang w:bidi="ar"/>
                    </w:rPr>
                  </w:pPr>
                  <w:r>
                    <w:rPr>
                      <w:bCs/>
                      <w:szCs w:val="21"/>
                    </w:rPr>
                    <w:t>茚并[1,2,3-cd]芘</w:t>
                  </w:r>
                </w:p>
              </w:tc>
              <w:tc>
                <w:tcPr>
                  <w:tcW w:w="593" w:type="pct"/>
                  <w:vAlign w:val="center"/>
                </w:tcPr>
                <w:p w14:paraId="4994484C">
                  <w:pPr>
                    <w:jc w:val="center"/>
                    <w:rPr>
                      <w:bCs/>
                      <w:szCs w:val="21"/>
                      <w:lang w:bidi="ar"/>
                    </w:rPr>
                  </w:pPr>
                  <w:r>
                    <w:rPr>
                      <w:bCs/>
                      <w:szCs w:val="21"/>
                      <w:lang w:bidi="ar"/>
                    </w:rPr>
                    <w:t>mg/kg</w:t>
                  </w:r>
                </w:p>
              </w:tc>
              <w:tc>
                <w:tcPr>
                  <w:tcW w:w="761" w:type="pct"/>
                  <w:vAlign w:val="center"/>
                </w:tcPr>
                <w:p w14:paraId="58A66B71">
                  <w:pPr>
                    <w:jc w:val="center"/>
                    <w:rPr>
                      <w:bCs/>
                      <w:szCs w:val="21"/>
                    </w:rPr>
                  </w:pPr>
                  <w:r>
                    <w:rPr>
                      <w:bCs/>
                      <w:szCs w:val="21"/>
                    </w:rPr>
                    <w:t>0.0042</w:t>
                  </w:r>
                </w:p>
              </w:tc>
              <w:tc>
                <w:tcPr>
                  <w:tcW w:w="677" w:type="pct"/>
                  <w:vAlign w:val="center"/>
                </w:tcPr>
                <w:p w14:paraId="0374B41B">
                  <w:pPr>
                    <w:jc w:val="center"/>
                    <w:rPr>
                      <w:bCs/>
                      <w:szCs w:val="21"/>
                    </w:rPr>
                  </w:pPr>
                  <w:r>
                    <w:rPr>
                      <w:bCs/>
                      <w:szCs w:val="21"/>
                    </w:rPr>
                    <w:t>0.0041</w:t>
                  </w:r>
                </w:p>
              </w:tc>
              <w:tc>
                <w:tcPr>
                  <w:tcW w:w="762" w:type="pct"/>
                  <w:vAlign w:val="center"/>
                </w:tcPr>
                <w:p w14:paraId="2F2E326C">
                  <w:pPr>
                    <w:jc w:val="center"/>
                    <w:rPr>
                      <w:bCs/>
                      <w:szCs w:val="21"/>
                    </w:rPr>
                  </w:pPr>
                  <w:r>
                    <w:rPr>
                      <w:bCs/>
                      <w:szCs w:val="21"/>
                    </w:rPr>
                    <w:t>0.0060</w:t>
                  </w:r>
                </w:p>
              </w:tc>
              <w:tc>
                <w:tcPr>
                  <w:tcW w:w="591" w:type="pct"/>
                  <w:vAlign w:val="center"/>
                </w:tcPr>
                <w:p w14:paraId="1A511F12">
                  <w:pPr>
                    <w:jc w:val="center"/>
                    <w:rPr>
                      <w:bCs/>
                      <w:szCs w:val="21"/>
                    </w:rPr>
                  </w:pPr>
                  <w:r>
                    <w:rPr>
                      <w:bCs/>
                      <w:szCs w:val="21"/>
                    </w:rPr>
                    <w:t>15</w:t>
                  </w:r>
                </w:p>
              </w:tc>
              <w:tc>
                <w:tcPr>
                  <w:tcW w:w="591" w:type="pct"/>
                  <w:vAlign w:val="center"/>
                </w:tcPr>
                <w:p w14:paraId="66FE9BD9">
                  <w:pPr>
                    <w:jc w:val="center"/>
                    <w:rPr>
                      <w:bCs/>
                      <w:szCs w:val="21"/>
                    </w:rPr>
                  </w:pPr>
                  <w:r>
                    <w:rPr>
                      <w:bCs/>
                      <w:szCs w:val="21"/>
                    </w:rPr>
                    <w:t>达标</w:t>
                  </w:r>
                </w:p>
              </w:tc>
            </w:tr>
            <w:tr w14:paraId="23EB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1025" w:type="pct"/>
                  <w:vAlign w:val="center"/>
                </w:tcPr>
                <w:p w14:paraId="69073CFC">
                  <w:pPr>
                    <w:jc w:val="center"/>
                    <w:textAlignment w:val="center"/>
                    <w:rPr>
                      <w:bCs/>
                      <w:szCs w:val="21"/>
                      <w:lang w:bidi="ar"/>
                    </w:rPr>
                  </w:pPr>
                  <w:r>
                    <w:rPr>
                      <w:bCs/>
                      <w:szCs w:val="21"/>
                      <w:lang w:bidi="ar"/>
                    </w:rPr>
                    <w:t>萘</w:t>
                  </w:r>
                </w:p>
              </w:tc>
              <w:tc>
                <w:tcPr>
                  <w:tcW w:w="593" w:type="pct"/>
                  <w:vAlign w:val="center"/>
                </w:tcPr>
                <w:p w14:paraId="55BB6CD5">
                  <w:pPr>
                    <w:jc w:val="center"/>
                    <w:rPr>
                      <w:bCs/>
                      <w:szCs w:val="21"/>
                      <w:lang w:bidi="ar"/>
                    </w:rPr>
                  </w:pPr>
                  <w:r>
                    <w:rPr>
                      <w:bCs/>
                      <w:szCs w:val="21"/>
                      <w:lang w:bidi="ar"/>
                    </w:rPr>
                    <w:t>mg/kg</w:t>
                  </w:r>
                </w:p>
              </w:tc>
              <w:tc>
                <w:tcPr>
                  <w:tcW w:w="761" w:type="pct"/>
                  <w:vAlign w:val="center"/>
                </w:tcPr>
                <w:p w14:paraId="124B06B1">
                  <w:pPr>
                    <w:jc w:val="center"/>
                    <w:rPr>
                      <w:bCs/>
                      <w:szCs w:val="21"/>
                    </w:rPr>
                  </w:pPr>
                  <w:r>
                    <w:rPr>
                      <w:bCs/>
                      <w:szCs w:val="21"/>
                    </w:rPr>
                    <w:t>ND</w:t>
                  </w:r>
                </w:p>
              </w:tc>
              <w:tc>
                <w:tcPr>
                  <w:tcW w:w="677" w:type="pct"/>
                  <w:vAlign w:val="center"/>
                </w:tcPr>
                <w:p w14:paraId="634C6993">
                  <w:pPr>
                    <w:jc w:val="center"/>
                    <w:rPr>
                      <w:bCs/>
                      <w:szCs w:val="21"/>
                    </w:rPr>
                  </w:pPr>
                  <w:r>
                    <w:rPr>
                      <w:bCs/>
                      <w:szCs w:val="21"/>
                    </w:rPr>
                    <w:t>0.0251</w:t>
                  </w:r>
                </w:p>
              </w:tc>
              <w:tc>
                <w:tcPr>
                  <w:tcW w:w="762" w:type="pct"/>
                  <w:vAlign w:val="center"/>
                </w:tcPr>
                <w:p w14:paraId="057B0BDD">
                  <w:pPr>
                    <w:jc w:val="center"/>
                    <w:rPr>
                      <w:bCs/>
                      <w:szCs w:val="21"/>
                    </w:rPr>
                  </w:pPr>
                  <w:r>
                    <w:rPr>
                      <w:bCs/>
                      <w:szCs w:val="21"/>
                    </w:rPr>
                    <w:t>0.0313</w:t>
                  </w:r>
                </w:p>
              </w:tc>
              <w:tc>
                <w:tcPr>
                  <w:tcW w:w="591" w:type="pct"/>
                  <w:vAlign w:val="center"/>
                </w:tcPr>
                <w:p w14:paraId="5C82E07F">
                  <w:pPr>
                    <w:jc w:val="center"/>
                    <w:rPr>
                      <w:bCs/>
                      <w:szCs w:val="21"/>
                    </w:rPr>
                  </w:pPr>
                  <w:r>
                    <w:rPr>
                      <w:bCs/>
                      <w:szCs w:val="21"/>
                    </w:rPr>
                    <w:t>70</w:t>
                  </w:r>
                </w:p>
              </w:tc>
              <w:tc>
                <w:tcPr>
                  <w:tcW w:w="591" w:type="pct"/>
                  <w:vAlign w:val="center"/>
                </w:tcPr>
                <w:p w14:paraId="350E6D13">
                  <w:pPr>
                    <w:jc w:val="center"/>
                    <w:rPr>
                      <w:bCs/>
                      <w:szCs w:val="21"/>
                    </w:rPr>
                  </w:pPr>
                  <w:r>
                    <w:rPr>
                      <w:bCs/>
                      <w:szCs w:val="21"/>
                    </w:rPr>
                    <w:t>达标</w:t>
                  </w:r>
                </w:p>
              </w:tc>
            </w:tr>
          </w:tbl>
          <w:p w14:paraId="2B94DFE9">
            <w:pPr>
              <w:pStyle w:val="24"/>
              <w:adjustRightInd w:val="0"/>
              <w:snapToGrid w:val="0"/>
              <w:spacing w:after="0" w:line="520" w:lineRule="exact"/>
              <w:ind w:left="0" w:leftChars="0" w:firstLine="480" w:firstLineChars="200"/>
              <w:rPr>
                <w:color w:val="EE0000"/>
                <w:sz w:val="24"/>
              </w:rPr>
            </w:pPr>
            <w:r>
              <w:rPr>
                <w:bCs/>
                <w:sz w:val="24"/>
              </w:rPr>
              <w:t>由检测结果可知，厂区内土壤环境各检测因子均能满足</w:t>
            </w:r>
            <w:r>
              <w:rPr>
                <w:bCs/>
                <w:sz w:val="24"/>
                <w:szCs w:val="21"/>
              </w:rPr>
              <w:t>《土壤环境质量 建设用地土壤污染风险管控标准（试行）》（GB36600-2018）第二类建设用地土壤污染风险筛选值要求，土壤环境质量较好。</w:t>
            </w:r>
          </w:p>
        </w:tc>
      </w:tr>
      <w:tr w14:paraId="27282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456" w:type="dxa"/>
            <w:vAlign w:val="center"/>
          </w:tcPr>
          <w:p w14:paraId="1137D2D4">
            <w:pPr>
              <w:adjustRightInd w:val="0"/>
              <w:snapToGrid w:val="0"/>
              <w:jc w:val="center"/>
              <w:rPr>
                <w:kern w:val="0"/>
                <w:sz w:val="24"/>
              </w:rPr>
            </w:pPr>
            <w:r>
              <w:rPr>
                <w:kern w:val="0"/>
                <w:sz w:val="24"/>
              </w:rPr>
              <w:t>环境</w:t>
            </w:r>
          </w:p>
          <w:p w14:paraId="259FD53A">
            <w:pPr>
              <w:adjustRightInd w:val="0"/>
              <w:snapToGrid w:val="0"/>
              <w:jc w:val="center"/>
              <w:rPr>
                <w:kern w:val="0"/>
                <w:sz w:val="24"/>
              </w:rPr>
            </w:pPr>
            <w:r>
              <w:rPr>
                <w:kern w:val="0"/>
                <w:sz w:val="24"/>
              </w:rPr>
              <w:t>保护</w:t>
            </w:r>
          </w:p>
          <w:p w14:paraId="7FC3CD1C">
            <w:pPr>
              <w:adjustRightInd w:val="0"/>
              <w:snapToGrid w:val="0"/>
              <w:jc w:val="center"/>
              <w:rPr>
                <w:kern w:val="0"/>
                <w:szCs w:val="21"/>
              </w:rPr>
            </w:pPr>
            <w:r>
              <w:rPr>
                <w:kern w:val="0"/>
                <w:sz w:val="24"/>
              </w:rPr>
              <w:t>目标</w:t>
            </w:r>
          </w:p>
        </w:tc>
        <w:tc>
          <w:tcPr>
            <w:tcW w:w="8411" w:type="dxa"/>
            <w:vAlign w:val="center"/>
          </w:tcPr>
          <w:p w14:paraId="15A0B079">
            <w:pPr>
              <w:spacing w:line="520" w:lineRule="exact"/>
              <w:ind w:firstLine="480" w:firstLineChars="200"/>
              <w:jc w:val="left"/>
              <w:rPr>
                <w:sz w:val="24"/>
              </w:rPr>
            </w:pPr>
            <w:r>
              <w:rPr>
                <w:sz w:val="24"/>
              </w:rPr>
              <w:t>本项目周围无自然保护区、珍稀动植物、古迹、人文景观等环境保护目标，故不属于特殊保护区、社会关注区、生态脆弱区和特殊地貌景观区。本项目主要环境保护目标见下表：</w:t>
            </w:r>
          </w:p>
          <w:p w14:paraId="509ECAD4">
            <w:pPr>
              <w:spacing w:line="500" w:lineRule="exact"/>
              <w:jc w:val="center"/>
              <w:rPr>
                <w:rFonts w:eastAsia="黑体"/>
              </w:rPr>
            </w:pPr>
            <w:r>
              <w:rPr>
                <w:rFonts w:eastAsia="黑体"/>
                <w:sz w:val="24"/>
              </w:rPr>
              <w:t xml:space="preserve">表3-9       </w:t>
            </w:r>
            <w:r>
              <w:rPr>
                <w:rFonts w:eastAsia="黑体"/>
                <w:bCs/>
                <w:snapToGrid w:val="0"/>
                <w:kern w:val="0"/>
                <w:sz w:val="24"/>
              </w:rPr>
              <w:t>项目厂区周边主要环境保护目标及保护级别</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087"/>
              <w:gridCol w:w="1270"/>
              <w:gridCol w:w="1298"/>
              <w:gridCol w:w="976"/>
              <w:gridCol w:w="766"/>
              <w:gridCol w:w="666"/>
              <w:gridCol w:w="725"/>
              <w:gridCol w:w="709"/>
            </w:tblGrid>
            <w:tr w14:paraId="110B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vMerge w:val="restart"/>
                  <w:tcBorders>
                    <w:top w:val="single" w:color="auto" w:sz="4" w:space="0"/>
                    <w:left w:val="single" w:color="auto" w:sz="4" w:space="0"/>
                    <w:right w:val="single" w:color="auto" w:sz="4" w:space="0"/>
                  </w:tcBorders>
                  <w:vAlign w:val="center"/>
                </w:tcPr>
                <w:p w14:paraId="39ABF510">
                  <w:pPr>
                    <w:adjustRightInd w:val="0"/>
                    <w:snapToGrid w:val="0"/>
                    <w:jc w:val="center"/>
                    <w:rPr>
                      <w:bCs/>
                      <w:sz w:val="18"/>
                      <w:szCs w:val="18"/>
                    </w:rPr>
                  </w:pPr>
                  <w:r>
                    <w:rPr>
                      <w:bCs/>
                      <w:sz w:val="18"/>
                      <w:szCs w:val="18"/>
                    </w:rPr>
                    <w:t>环境要素</w:t>
                  </w:r>
                </w:p>
              </w:tc>
              <w:tc>
                <w:tcPr>
                  <w:tcW w:w="664" w:type="pct"/>
                  <w:vMerge w:val="restart"/>
                  <w:tcBorders>
                    <w:top w:val="single" w:color="auto" w:sz="4" w:space="0"/>
                    <w:left w:val="single" w:color="auto" w:sz="4" w:space="0"/>
                    <w:right w:val="single" w:color="auto" w:sz="4" w:space="0"/>
                  </w:tcBorders>
                  <w:vAlign w:val="center"/>
                </w:tcPr>
                <w:p w14:paraId="14E532A5">
                  <w:pPr>
                    <w:adjustRightInd w:val="0"/>
                    <w:snapToGrid w:val="0"/>
                    <w:jc w:val="center"/>
                    <w:rPr>
                      <w:bCs/>
                      <w:sz w:val="18"/>
                      <w:szCs w:val="18"/>
                    </w:rPr>
                  </w:pPr>
                  <w:r>
                    <w:rPr>
                      <w:bCs/>
                      <w:sz w:val="18"/>
                      <w:szCs w:val="18"/>
                    </w:rPr>
                    <w:t>环境保护目标</w:t>
                  </w:r>
                </w:p>
              </w:tc>
              <w:tc>
                <w:tcPr>
                  <w:tcW w:w="1569" w:type="pct"/>
                  <w:gridSpan w:val="2"/>
                  <w:tcBorders>
                    <w:top w:val="single" w:color="auto" w:sz="4" w:space="0"/>
                    <w:left w:val="single" w:color="auto" w:sz="4" w:space="0"/>
                    <w:bottom w:val="single" w:color="auto" w:sz="4" w:space="0"/>
                    <w:right w:val="single" w:color="auto" w:sz="4" w:space="0"/>
                  </w:tcBorders>
                  <w:vAlign w:val="center"/>
                </w:tcPr>
                <w:p w14:paraId="37D49086">
                  <w:pPr>
                    <w:adjustRightInd w:val="0"/>
                    <w:snapToGrid w:val="0"/>
                    <w:jc w:val="center"/>
                    <w:rPr>
                      <w:bCs/>
                      <w:sz w:val="18"/>
                      <w:szCs w:val="18"/>
                    </w:rPr>
                  </w:pPr>
                  <w:r>
                    <w:rPr>
                      <w:bCs/>
                      <w:sz w:val="18"/>
                      <w:szCs w:val="18"/>
                    </w:rPr>
                    <w:t>坐标/°</w:t>
                  </w:r>
                </w:p>
              </w:tc>
              <w:tc>
                <w:tcPr>
                  <w:tcW w:w="596" w:type="pct"/>
                  <w:vMerge w:val="restart"/>
                  <w:tcBorders>
                    <w:top w:val="single" w:color="auto" w:sz="4" w:space="0"/>
                    <w:left w:val="single" w:color="auto" w:sz="4" w:space="0"/>
                    <w:right w:val="single" w:color="auto" w:sz="4" w:space="0"/>
                  </w:tcBorders>
                  <w:vAlign w:val="center"/>
                </w:tcPr>
                <w:p w14:paraId="70B94170">
                  <w:pPr>
                    <w:adjustRightInd w:val="0"/>
                    <w:snapToGrid w:val="0"/>
                    <w:jc w:val="center"/>
                    <w:rPr>
                      <w:bCs/>
                      <w:sz w:val="18"/>
                      <w:szCs w:val="18"/>
                    </w:rPr>
                  </w:pPr>
                  <w:r>
                    <w:rPr>
                      <w:bCs/>
                      <w:sz w:val="18"/>
                      <w:szCs w:val="18"/>
                    </w:rPr>
                    <w:t>保护对象</w:t>
                  </w:r>
                </w:p>
              </w:tc>
              <w:tc>
                <w:tcPr>
                  <w:tcW w:w="468" w:type="pct"/>
                  <w:vMerge w:val="restart"/>
                  <w:tcBorders>
                    <w:top w:val="single" w:color="auto" w:sz="4" w:space="0"/>
                    <w:left w:val="single" w:color="auto" w:sz="4" w:space="0"/>
                    <w:right w:val="single" w:color="auto" w:sz="4" w:space="0"/>
                  </w:tcBorders>
                  <w:vAlign w:val="center"/>
                </w:tcPr>
                <w:p w14:paraId="0E1060F3">
                  <w:pPr>
                    <w:adjustRightInd w:val="0"/>
                    <w:snapToGrid w:val="0"/>
                    <w:jc w:val="center"/>
                    <w:rPr>
                      <w:bCs/>
                      <w:sz w:val="18"/>
                      <w:szCs w:val="18"/>
                    </w:rPr>
                  </w:pPr>
                  <w:r>
                    <w:rPr>
                      <w:bCs/>
                      <w:sz w:val="18"/>
                      <w:szCs w:val="18"/>
                    </w:rPr>
                    <w:t>保护内容</w:t>
                  </w:r>
                </w:p>
              </w:tc>
              <w:tc>
                <w:tcPr>
                  <w:tcW w:w="407" w:type="pct"/>
                  <w:vMerge w:val="restart"/>
                  <w:tcBorders>
                    <w:top w:val="single" w:color="auto" w:sz="4" w:space="0"/>
                    <w:left w:val="single" w:color="auto" w:sz="4" w:space="0"/>
                    <w:right w:val="single" w:color="auto" w:sz="4" w:space="0"/>
                  </w:tcBorders>
                  <w:vAlign w:val="center"/>
                </w:tcPr>
                <w:p w14:paraId="2563F61D">
                  <w:pPr>
                    <w:adjustRightInd w:val="0"/>
                    <w:snapToGrid w:val="0"/>
                    <w:jc w:val="center"/>
                    <w:rPr>
                      <w:bCs/>
                      <w:sz w:val="18"/>
                      <w:szCs w:val="18"/>
                    </w:rPr>
                  </w:pPr>
                  <w:r>
                    <w:rPr>
                      <w:bCs/>
                      <w:sz w:val="18"/>
                      <w:szCs w:val="18"/>
                    </w:rPr>
                    <w:t>环境功能区</w:t>
                  </w:r>
                </w:p>
              </w:tc>
              <w:tc>
                <w:tcPr>
                  <w:tcW w:w="443" w:type="pct"/>
                  <w:vMerge w:val="restart"/>
                  <w:tcBorders>
                    <w:top w:val="single" w:color="auto" w:sz="4" w:space="0"/>
                    <w:left w:val="single" w:color="auto" w:sz="4" w:space="0"/>
                    <w:right w:val="single" w:color="auto" w:sz="4" w:space="0"/>
                  </w:tcBorders>
                  <w:vAlign w:val="center"/>
                </w:tcPr>
                <w:p w14:paraId="06E573FB">
                  <w:pPr>
                    <w:adjustRightInd w:val="0"/>
                    <w:snapToGrid w:val="0"/>
                    <w:jc w:val="center"/>
                    <w:rPr>
                      <w:bCs/>
                      <w:sz w:val="18"/>
                      <w:szCs w:val="18"/>
                    </w:rPr>
                  </w:pPr>
                  <w:r>
                    <w:rPr>
                      <w:bCs/>
                      <w:sz w:val="18"/>
                      <w:szCs w:val="18"/>
                    </w:rPr>
                    <w:t>相对厂址方位</w:t>
                  </w:r>
                </w:p>
              </w:tc>
              <w:tc>
                <w:tcPr>
                  <w:tcW w:w="433" w:type="pct"/>
                  <w:vMerge w:val="restart"/>
                  <w:tcBorders>
                    <w:top w:val="single" w:color="auto" w:sz="4" w:space="0"/>
                    <w:left w:val="single" w:color="auto" w:sz="4" w:space="0"/>
                    <w:right w:val="single" w:color="auto" w:sz="4" w:space="0"/>
                  </w:tcBorders>
                  <w:vAlign w:val="center"/>
                </w:tcPr>
                <w:p w14:paraId="2B9F1590">
                  <w:pPr>
                    <w:adjustRightInd w:val="0"/>
                    <w:snapToGrid w:val="0"/>
                    <w:jc w:val="center"/>
                    <w:rPr>
                      <w:bCs/>
                      <w:sz w:val="18"/>
                      <w:szCs w:val="18"/>
                    </w:rPr>
                  </w:pPr>
                  <w:r>
                    <w:rPr>
                      <w:bCs/>
                      <w:sz w:val="18"/>
                      <w:szCs w:val="18"/>
                    </w:rPr>
                    <w:t>距离/m</w:t>
                  </w:r>
                </w:p>
              </w:tc>
            </w:tr>
            <w:tr w14:paraId="4C06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vMerge w:val="continue"/>
                  <w:tcBorders>
                    <w:left w:val="single" w:color="auto" w:sz="4" w:space="0"/>
                    <w:bottom w:val="single" w:color="auto" w:sz="4" w:space="0"/>
                    <w:right w:val="single" w:color="auto" w:sz="4" w:space="0"/>
                  </w:tcBorders>
                  <w:vAlign w:val="center"/>
                </w:tcPr>
                <w:p w14:paraId="6E9950A0">
                  <w:pPr>
                    <w:adjustRightInd w:val="0"/>
                    <w:snapToGrid w:val="0"/>
                    <w:jc w:val="center"/>
                    <w:rPr>
                      <w:bCs/>
                      <w:sz w:val="18"/>
                      <w:szCs w:val="18"/>
                    </w:rPr>
                  </w:pPr>
                </w:p>
              </w:tc>
              <w:tc>
                <w:tcPr>
                  <w:tcW w:w="664" w:type="pct"/>
                  <w:vMerge w:val="continue"/>
                  <w:tcBorders>
                    <w:left w:val="single" w:color="auto" w:sz="4" w:space="0"/>
                    <w:bottom w:val="single" w:color="auto" w:sz="4" w:space="0"/>
                    <w:right w:val="single" w:color="auto" w:sz="4" w:space="0"/>
                  </w:tcBorders>
                  <w:vAlign w:val="center"/>
                </w:tcPr>
                <w:p w14:paraId="0AB6F43A">
                  <w:pPr>
                    <w:adjustRightInd w:val="0"/>
                    <w:snapToGrid w:val="0"/>
                    <w:jc w:val="center"/>
                    <w:rPr>
                      <w:bCs/>
                      <w:sz w:val="18"/>
                      <w:szCs w:val="18"/>
                    </w:rPr>
                  </w:pPr>
                </w:p>
              </w:tc>
              <w:tc>
                <w:tcPr>
                  <w:tcW w:w="776" w:type="pct"/>
                  <w:tcBorders>
                    <w:top w:val="single" w:color="auto" w:sz="4" w:space="0"/>
                    <w:left w:val="single" w:color="auto" w:sz="4" w:space="0"/>
                    <w:bottom w:val="single" w:color="auto" w:sz="4" w:space="0"/>
                    <w:right w:val="single" w:color="auto" w:sz="4" w:space="0"/>
                  </w:tcBorders>
                  <w:vAlign w:val="center"/>
                </w:tcPr>
                <w:p w14:paraId="27C41057">
                  <w:pPr>
                    <w:adjustRightInd w:val="0"/>
                    <w:snapToGrid w:val="0"/>
                    <w:jc w:val="center"/>
                    <w:rPr>
                      <w:bCs/>
                      <w:sz w:val="18"/>
                      <w:szCs w:val="18"/>
                    </w:rPr>
                  </w:pPr>
                  <w:r>
                    <w:rPr>
                      <w:bCs/>
                      <w:sz w:val="18"/>
                      <w:szCs w:val="18"/>
                    </w:rPr>
                    <w:t>X</w:t>
                  </w:r>
                </w:p>
              </w:tc>
              <w:tc>
                <w:tcPr>
                  <w:tcW w:w="793" w:type="pct"/>
                  <w:tcBorders>
                    <w:top w:val="single" w:color="auto" w:sz="4" w:space="0"/>
                    <w:left w:val="single" w:color="auto" w:sz="4" w:space="0"/>
                    <w:bottom w:val="single" w:color="auto" w:sz="4" w:space="0"/>
                    <w:right w:val="single" w:color="auto" w:sz="4" w:space="0"/>
                  </w:tcBorders>
                  <w:vAlign w:val="center"/>
                </w:tcPr>
                <w:p w14:paraId="27B3A715">
                  <w:pPr>
                    <w:adjustRightInd w:val="0"/>
                    <w:snapToGrid w:val="0"/>
                    <w:jc w:val="center"/>
                    <w:rPr>
                      <w:bCs/>
                      <w:sz w:val="18"/>
                      <w:szCs w:val="18"/>
                    </w:rPr>
                  </w:pPr>
                  <w:r>
                    <w:rPr>
                      <w:bCs/>
                      <w:sz w:val="18"/>
                      <w:szCs w:val="18"/>
                    </w:rPr>
                    <w:t>Y</w:t>
                  </w:r>
                </w:p>
              </w:tc>
              <w:tc>
                <w:tcPr>
                  <w:tcW w:w="596" w:type="pct"/>
                  <w:vMerge w:val="continue"/>
                  <w:tcBorders>
                    <w:left w:val="single" w:color="auto" w:sz="4" w:space="0"/>
                    <w:bottom w:val="single" w:color="auto" w:sz="4" w:space="0"/>
                    <w:right w:val="single" w:color="auto" w:sz="4" w:space="0"/>
                  </w:tcBorders>
                  <w:vAlign w:val="center"/>
                </w:tcPr>
                <w:p w14:paraId="321DA36D">
                  <w:pPr>
                    <w:adjustRightInd w:val="0"/>
                    <w:snapToGrid w:val="0"/>
                    <w:jc w:val="center"/>
                    <w:rPr>
                      <w:bCs/>
                      <w:sz w:val="18"/>
                      <w:szCs w:val="18"/>
                    </w:rPr>
                  </w:pPr>
                </w:p>
              </w:tc>
              <w:tc>
                <w:tcPr>
                  <w:tcW w:w="468" w:type="pct"/>
                  <w:vMerge w:val="continue"/>
                  <w:tcBorders>
                    <w:left w:val="single" w:color="auto" w:sz="4" w:space="0"/>
                    <w:bottom w:val="single" w:color="auto" w:sz="4" w:space="0"/>
                    <w:right w:val="single" w:color="auto" w:sz="4" w:space="0"/>
                  </w:tcBorders>
                  <w:vAlign w:val="center"/>
                </w:tcPr>
                <w:p w14:paraId="36135B6C">
                  <w:pPr>
                    <w:adjustRightInd w:val="0"/>
                    <w:snapToGrid w:val="0"/>
                    <w:jc w:val="center"/>
                    <w:rPr>
                      <w:bCs/>
                      <w:sz w:val="18"/>
                      <w:szCs w:val="18"/>
                    </w:rPr>
                  </w:pPr>
                </w:p>
              </w:tc>
              <w:tc>
                <w:tcPr>
                  <w:tcW w:w="407" w:type="pct"/>
                  <w:vMerge w:val="continue"/>
                  <w:tcBorders>
                    <w:left w:val="single" w:color="auto" w:sz="4" w:space="0"/>
                    <w:bottom w:val="single" w:color="auto" w:sz="4" w:space="0"/>
                    <w:right w:val="single" w:color="auto" w:sz="4" w:space="0"/>
                  </w:tcBorders>
                  <w:vAlign w:val="center"/>
                </w:tcPr>
                <w:p w14:paraId="1FA71B5F">
                  <w:pPr>
                    <w:adjustRightInd w:val="0"/>
                    <w:snapToGrid w:val="0"/>
                    <w:jc w:val="center"/>
                    <w:rPr>
                      <w:bCs/>
                      <w:sz w:val="18"/>
                      <w:szCs w:val="18"/>
                    </w:rPr>
                  </w:pPr>
                </w:p>
              </w:tc>
              <w:tc>
                <w:tcPr>
                  <w:tcW w:w="443" w:type="pct"/>
                  <w:vMerge w:val="continue"/>
                  <w:tcBorders>
                    <w:left w:val="single" w:color="auto" w:sz="4" w:space="0"/>
                    <w:bottom w:val="single" w:color="auto" w:sz="4" w:space="0"/>
                    <w:right w:val="single" w:color="auto" w:sz="4" w:space="0"/>
                  </w:tcBorders>
                  <w:vAlign w:val="center"/>
                </w:tcPr>
                <w:p w14:paraId="68D1DCE2">
                  <w:pPr>
                    <w:adjustRightInd w:val="0"/>
                    <w:snapToGrid w:val="0"/>
                    <w:jc w:val="center"/>
                    <w:rPr>
                      <w:bCs/>
                      <w:sz w:val="18"/>
                      <w:szCs w:val="18"/>
                    </w:rPr>
                  </w:pPr>
                </w:p>
              </w:tc>
              <w:tc>
                <w:tcPr>
                  <w:tcW w:w="433" w:type="pct"/>
                  <w:vMerge w:val="continue"/>
                  <w:tcBorders>
                    <w:left w:val="single" w:color="auto" w:sz="4" w:space="0"/>
                    <w:bottom w:val="single" w:color="auto" w:sz="4" w:space="0"/>
                    <w:right w:val="single" w:color="auto" w:sz="4" w:space="0"/>
                  </w:tcBorders>
                  <w:vAlign w:val="center"/>
                </w:tcPr>
                <w:p w14:paraId="5613ADFB">
                  <w:pPr>
                    <w:adjustRightInd w:val="0"/>
                    <w:snapToGrid w:val="0"/>
                    <w:jc w:val="center"/>
                    <w:rPr>
                      <w:bCs/>
                      <w:sz w:val="18"/>
                      <w:szCs w:val="18"/>
                    </w:rPr>
                  </w:pPr>
                </w:p>
              </w:tc>
            </w:tr>
            <w:tr w14:paraId="2AAD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vMerge w:val="restart"/>
                  <w:tcBorders>
                    <w:left w:val="single" w:color="auto" w:sz="4" w:space="0"/>
                    <w:right w:val="single" w:color="auto" w:sz="4" w:space="0"/>
                  </w:tcBorders>
                  <w:vAlign w:val="center"/>
                </w:tcPr>
                <w:p w14:paraId="29F39F72">
                  <w:pPr>
                    <w:adjustRightInd w:val="0"/>
                    <w:snapToGrid w:val="0"/>
                    <w:jc w:val="center"/>
                    <w:rPr>
                      <w:bCs/>
                      <w:sz w:val="18"/>
                      <w:szCs w:val="18"/>
                    </w:rPr>
                  </w:pPr>
                  <w:r>
                    <w:rPr>
                      <w:bCs/>
                      <w:sz w:val="18"/>
                      <w:szCs w:val="18"/>
                    </w:rPr>
                    <w:t>环境空气</w:t>
                  </w:r>
                </w:p>
              </w:tc>
              <w:tc>
                <w:tcPr>
                  <w:tcW w:w="664" w:type="pct"/>
                  <w:tcBorders>
                    <w:left w:val="single" w:color="auto" w:sz="4" w:space="0"/>
                    <w:right w:val="single" w:color="auto" w:sz="4" w:space="0"/>
                  </w:tcBorders>
                  <w:vAlign w:val="center"/>
                </w:tcPr>
                <w:p w14:paraId="0238B27B">
                  <w:pPr>
                    <w:adjustRightInd w:val="0"/>
                    <w:snapToGrid w:val="0"/>
                    <w:jc w:val="center"/>
                    <w:rPr>
                      <w:bCs/>
                      <w:sz w:val="18"/>
                      <w:szCs w:val="18"/>
                    </w:rPr>
                  </w:pPr>
                  <w:r>
                    <w:rPr>
                      <w:bCs/>
                      <w:sz w:val="18"/>
                      <w:szCs w:val="18"/>
                    </w:rPr>
                    <w:t>闹店人民法庭</w:t>
                  </w:r>
                </w:p>
              </w:tc>
              <w:tc>
                <w:tcPr>
                  <w:tcW w:w="776" w:type="pct"/>
                  <w:tcBorders>
                    <w:top w:val="single" w:color="auto" w:sz="4" w:space="0"/>
                    <w:left w:val="single" w:color="auto" w:sz="4" w:space="0"/>
                    <w:bottom w:val="single" w:color="auto" w:sz="4" w:space="0"/>
                    <w:right w:val="single" w:color="auto" w:sz="4" w:space="0"/>
                  </w:tcBorders>
                  <w:vAlign w:val="center"/>
                </w:tcPr>
                <w:p w14:paraId="5423D8E5">
                  <w:pPr>
                    <w:adjustRightInd w:val="0"/>
                    <w:snapToGrid w:val="0"/>
                    <w:jc w:val="center"/>
                    <w:rPr>
                      <w:bCs/>
                      <w:sz w:val="18"/>
                      <w:szCs w:val="18"/>
                    </w:rPr>
                  </w:pPr>
                  <w:r>
                    <w:rPr>
                      <w:bCs/>
                      <w:sz w:val="18"/>
                      <w:szCs w:val="18"/>
                    </w:rPr>
                    <w:t>113.222550</w:t>
                  </w:r>
                </w:p>
              </w:tc>
              <w:tc>
                <w:tcPr>
                  <w:tcW w:w="793" w:type="pct"/>
                  <w:tcBorders>
                    <w:top w:val="single" w:color="auto" w:sz="4" w:space="0"/>
                    <w:left w:val="single" w:color="auto" w:sz="4" w:space="0"/>
                    <w:bottom w:val="single" w:color="auto" w:sz="4" w:space="0"/>
                    <w:right w:val="single" w:color="auto" w:sz="4" w:space="0"/>
                  </w:tcBorders>
                  <w:vAlign w:val="center"/>
                </w:tcPr>
                <w:p w14:paraId="7E44BC94">
                  <w:pPr>
                    <w:adjustRightInd w:val="0"/>
                    <w:snapToGrid w:val="0"/>
                    <w:jc w:val="center"/>
                    <w:rPr>
                      <w:bCs/>
                      <w:sz w:val="18"/>
                      <w:szCs w:val="18"/>
                    </w:rPr>
                  </w:pPr>
                  <w:r>
                    <w:rPr>
                      <w:bCs/>
                      <w:sz w:val="18"/>
                      <w:szCs w:val="18"/>
                    </w:rPr>
                    <w:t>33.854415</w:t>
                  </w:r>
                </w:p>
              </w:tc>
              <w:tc>
                <w:tcPr>
                  <w:tcW w:w="596" w:type="pct"/>
                  <w:tcBorders>
                    <w:left w:val="single" w:color="auto" w:sz="4" w:space="0"/>
                    <w:bottom w:val="single" w:color="auto" w:sz="4" w:space="0"/>
                    <w:right w:val="single" w:color="auto" w:sz="4" w:space="0"/>
                  </w:tcBorders>
                  <w:vAlign w:val="center"/>
                </w:tcPr>
                <w:p w14:paraId="2E03867B">
                  <w:pPr>
                    <w:adjustRightInd w:val="0"/>
                    <w:snapToGrid w:val="0"/>
                    <w:jc w:val="center"/>
                    <w:rPr>
                      <w:bCs/>
                      <w:sz w:val="18"/>
                      <w:szCs w:val="18"/>
                    </w:rPr>
                  </w:pPr>
                  <w:r>
                    <w:rPr>
                      <w:bCs/>
                      <w:sz w:val="18"/>
                      <w:szCs w:val="18"/>
                    </w:rPr>
                    <w:t>基层法院</w:t>
                  </w:r>
                </w:p>
              </w:tc>
              <w:tc>
                <w:tcPr>
                  <w:tcW w:w="468" w:type="pct"/>
                  <w:tcBorders>
                    <w:left w:val="single" w:color="auto" w:sz="4" w:space="0"/>
                    <w:right w:val="single" w:color="auto" w:sz="4" w:space="0"/>
                  </w:tcBorders>
                  <w:vAlign w:val="center"/>
                </w:tcPr>
                <w:p w14:paraId="584AFB51">
                  <w:pPr>
                    <w:adjustRightInd w:val="0"/>
                    <w:snapToGrid w:val="0"/>
                    <w:jc w:val="center"/>
                    <w:rPr>
                      <w:bCs/>
                      <w:sz w:val="18"/>
                      <w:szCs w:val="18"/>
                    </w:rPr>
                  </w:pPr>
                  <w:r>
                    <w:rPr>
                      <w:bCs/>
                      <w:sz w:val="18"/>
                      <w:szCs w:val="18"/>
                    </w:rPr>
                    <w:t>机关人员</w:t>
                  </w:r>
                </w:p>
              </w:tc>
              <w:tc>
                <w:tcPr>
                  <w:tcW w:w="407" w:type="pct"/>
                  <w:tcBorders>
                    <w:left w:val="single" w:color="auto" w:sz="4" w:space="0"/>
                    <w:bottom w:val="single" w:color="auto" w:sz="4" w:space="0"/>
                    <w:right w:val="single" w:color="auto" w:sz="4" w:space="0"/>
                  </w:tcBorders>
                  <w:vAlign w:val="center"/>
                </w:tcPr>
                <w:p w14:paraId="4F983C13">
                  <w:pPr>
                    <w:adjustRightInd w:val="0"/>
                    <w:snapToGrid w:val="0"/>
                    <w:jc w:val="center"/>
                    <w:rPr>
                      <w:bCs/>
                      <w:sz w:val="18"/>
                      <w:szCs w:val="18"/>
                    </w:rPr>
                  </w:pPr>
                  <w:r>
                    <w:rPr>
                      <w:bCs/>
                      <w:sz w:val="18"/>
                      <w:szCs w:val="18"/>
                    </w:rPr>
                    <w:t>二类</w:t>
                  </w:r>
                </w:p>
              </w:tc>
              <w:tc>
                <w:tcPr>
                  <w:tcW w:w="443" w:type="pct"/>
                  <w:tcBorders>
                    <w:left w:val="single" w:color="auto" w:sz="4" w:space="0"/>
                    <w:bottom w:val="single" w:color="auto" w:sz="4" w:space="0"/>
                    <w:right w:val="single" w:color="auto" w:sz="4" w:space="0"/>
                  </w:tcBorders>
                  <w:vAlign w:val="center"/>
                </w:tcPr>
                <w:p w14:paraId="1E458317">
                  <w:pPr>
                    <w:adjustRightInd w:val="0"/>
                    <w:snapToGrid w:val="0"/>
                    <w:jc w:val="center"/>
                    <w:rPr>
                      <w:bCs/>
                      <w:sz w:val="18"/>
                      <w:szCs w:val="18"/>
                    </w:rPr>
                  </w:pPr>
                  <w:r>
                    <w:rPr>
                      <w:bCs/>
                      <w:sz w:val="18"/>
                      <w:szCs w:val="18"/>
                    </w:rPr>
                    <w:t>东南</w:t>
                  </w:r>
                </w:p>
              </w:tc>
              <w:tc>
                <w:tcPr>
                  <w:tcW w:w="433" w:type="pct"/>
                  <w:tcBorders>
                    <w:left w:val="single" w:color="auto" w:sz="4" w:space="0"/>
                    <w:bottom w:val="single" w:color="auto" w:sz="4" w:space="0"/>
                    <w:right w:val="single" w:color="auto" w:sz="4" w:space="0"/>
                  </w:tcBorders>
                  <w:vAlign w:val="center"/>
                </w:tcPr>
                <w:p w14:paraId="6BC2C931">
                  <w:pPr>
                    <w:adjustRightInd w:val="0"/>
                    <w:snapToGrid w:val="0"/>
                    <w:jc w:val="center"/>
                    <w:rPr>
                      <w:bCs/>
                      <w:sz w:val="18"/>
                      <w:szCs w:val="18"/>
                    </w:rPr>
                  </w:pPr>
                  <w:r>
                    <w:rPr>
                      <w:bCs/>
                      <w:sz w:val="18"/>
                      <w:szCs w:val="18"/>
                    </w:rPr>
                    <w:t>紧邻</w:t>
                  </w:r>
                </w:p>
              </w:tc>
            </w:tr>
            <w:tr w14:paraId="71E1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vMerge w:val="continue"/>
                  <w:tcBorders>
                    <w:left w:val="single" w:color="auto" w:sz="4" w:space="0"/>
                    <w:right w:val="single" w:color="auto" w:sz="4" w:space="0"/>
                  </w:tcBorders>
                  <w:vAlign w:val="center"/>
                </w:tcPr>
                <w:p w14:paraId="56715125">
                  <w:pPr>
                    <w:adjustRightInd w:val="0"/>
                    <w:snapToGrid w:val="0"/>
                    <w:jc w:val="center"/>
                    <w:rPr>
                      <w:bCs/>
                      <w:sz w:val="18"/>
                      <w:szCs w:val="18"/>
                    </w:rPr>
                  </w:pPr>
                </w:p>
              </w:tc>
              <w:tc>
                <w:tcPr>
                  <w:tcW w:w="664" w:type="pct"/>
                  <w:tcBorders>
                    <w:left w:val="single" w:color="auto" w:sz="4" w:space="0"/>
                    <w:right w:val="single" w:color="auto" w:sz="4" w:space="0"/>
                  </w:tcBorders>
                  <w:vAlign w:val="center"/>
                </w:tcPr>
                <w:p w14:paraId="5442E516">
                  <w:pPr>
                    <w:adjustRightInd w:val="0"/>
                    <w:snapToGrid w:val="0"/>
                    <w:jc w:val="center"/>
                    <w:rPr>
                      <w:bCs/>
                      <w:sz w:val="18"/>
                      <w:szCs w:val="18"/>
                    </w:rPr>
                  </w:pPr>
                  <w:r>
                    <w:rPr>
                      <w:bCs/>
                      <w:sz w:val="18"/>
                      <w:szCs w:val="18"/>
                    </w:rPr>
                    <w:t>闹店敬老院</w:t>
                  </w:r>
                </w:p>
              </w:tc>
              <w:tc>
                <w:tcPr>
                  <w:tcW w:w="776" w:type="pct"/>
                  <w:tcBorders>
                    <w:top w:val="single" w:color="auto" w:sz="4" w:space="0"/>
                    <w:left w:val="single" w:color="auto" w:sz="4" w:space="0"/>
                    <w:bottom w:val="single" w:color="auto" w:sz="4" w:space="0"/>
                    <w:right w:val="single" w:color="auto" w:sz="4" w:space="0"/>
                  </w:tcBorders>
                  <w:vAlign w:val="center"/>
                </w:tcPr>
                <w:p w14:paraId="255B655F">
                  <w:pPr>
                    <w:adjustRightInd w:val="0"/>
                    <w:snapToGrid w:val="0"/>
                    <w:jc w:val="center"/>
                    <w:rPr>
                      <w:bCs/>
                      <w:sz w:val="18"/>
                      <w:szCs w:val="18"/>
                    </w:rPr>
                  </w:pPr>
                  <w:r>
                    <w:rPr>
                      <w:bCs/>
                      <w:sz w:val="18"/>
                      <w:szCs w:val="18"/>
                    </w:rPr>
                    <w:t>113.219776</w:t>
                  </w:r>
                </w:p>
              </w:tc>
              <w:tc>
                <w:tcPr>
                  <w:tcW w:w="793" w:type="pct"/>
                  <w:tcBorders>
                    <w:top w:val="single" w:color="auto" w:sz="4" w:space="0"/>
                    <w:left w:val="single" w:color="auto" w:sz="4" w:space="0"/>
                    <w:bottom w:val="single" w:color="auto" w:sz="4" w:space="0"/>
                    <w:right w:val="single" w:color="auto" w:sz="4" w:space="0"/>
                  </w:tcBorders>
                  <w:vAlign w:val="center"/>
                </w:tcPr>
                <w:p w14:paraId="3E4CA1F6">
                  <w:pPr>
                    <w:adjustRightInd w:val="0"/>
                    <w:snapToGrid w:val="0"/>
                    <w:jc w:val="center"/>
                    <w:rPr>
                      <w:bCs/>
                      <w:sz w:val="18"/>
                      <w:szCs w:val="18"/>
                    </w:rPr>
                  </w:pPr>
                  <w:r>
                    <w:rPr>
                      <w:bCs/>
                      <w:sz w:val="18"/>
                      <w:szCs w:val="18"/>
                    </w:rPr>
                    <w:t>33.853319</w:t>
                  </w:r>
                </w:p>
              </w:tc>
              <w:tc>
                <w:tcPr>
                  <w:tcW w:w="596" w:type="pct"/>
                  <w:tcBorders>
                    <w:left w:val="single" w:color="auto" w:sz="4" w:space="0"/>
                    <w:bottom w:val="single" w:color="auto" w:sz="4" w:space="0"/>
                    <w:right w:val="single" w:color="auto" w:sz="4" w:space="0"/>
                  </w:tcBorders>
                  <w:vAlign w:val="center"/>
                </w:tcPr>
                <w:p w14:paraId="1CEE39E7">
                  <w:pPr>
                    <w:adjustRightInd w:val="0"/>
                    <w:snapToGrid w:val="0"/>
                    <w:jc w:val="center"/>
                    <w:rPr>
                      <w:bCs/>
                      <w:sz w:val="18"/>
                      <w:szCs w:val="18"/>
                    </w:rPr>
                  </w:pPr>
                  <w:r>
                    <w:rPr>
                      <w:bCs/>
                      <w:sz w:val="18"/>
                      <w:szCs w:val="18"/>
                    </w:rPr>
                    <w:t>事业组织</w:t>
                  </w:r>
                </w:p>
              </w:tc>
              <w:tc>
                <w:tcPr>
                  <w:tcW w:w="468" w:type="pct"/>
                  <w:tcBorders>
                    <w:left w:val="single" w:color="auto" w:sz="4" w:space="0"/>
                    <w:right w:val="single" w:color="auto" w:sz="4" w:space="0"/>
                  </w:tcBorders>
                  <w:vAlign w:val="center"/>
                </w:tcPr>
                <w:p w14:paraId="7A301D18">
                  <w:pPr>
                    <w:adjustRightInd w:val="0"/>
                    <w:snapToGrid w:val="0"/>
                    <w:jc w:val="center"/>
                    <w:rPr>
                      <w:bCs/>
                      <w:sz w:val="18"/>
                      <w:szCs w:val="18"/>
                    </w:rPr>
                  </w:pPr>
                  <w:r>
                    <w:rPr>
                      <w:bCs/>
                      <w:sz w:val="18"/>
                      <w:szCs w:val="18"/>
                    </w:rPr>
                    <w:t>机关人员</w:t>
                  </w:r>
                </w:p>
              </w:tc>
              <w:tc>
                <w:tcPr>
                  <w:tcW w:w="407" w:type="pct"/>
                  <w:tcBorders>
                    <w:left w:val="single" w:color="auto" w:sz="4" w:space="0"/>
                    <w:bottom w:val="single" w:color="auto" w:sz="4" w:space="0"/>
                    <w:right w:val="single" w:color="auto" w:sz="4" w:space="0"/>
                  </w:tcBorders>
                  <w:vAlign w:val="center"/>
                </w:tcPr>
                <w:p w14:paraId="22D91B2E">
                  <w:pPr>
                    <w:adjustRightInd w:val="0"/>
                    <w:snapToGrid w:val="0"/>
                    <w:jc w:val="center"/>
                    <w:rPr>
                      <w:bCs/>
                      <w:sz w:val="18"/>
                      <w:szCs w:val="18"/>
                    </w:rPr>
                  </w:pPr>
                  <w:r>
                    <w:rPr>
                      <w:bCs/>
                      <w:sz w:val="18"/>
                      <w:szCs w:val="18"/>
                    </w:rPr>
                    <w:t>二类</w:t>
                  </w:r>
                </w:p>
              </w:tc>
              <w:tc>
                <w:tcPr>
                  <w:tcW w:w="443" w:type="pct"/>
                  <w:tcBorders>
                    <w:left w:val="single" w:color="auto" w:sz="4" w:space="0"/>
                    <w:bottom w:val="single" w:color="auto" w:sz="4" w:space="0"/>
                    <w:right w:val="single" w:color="auto" w:sz="4" w:space="0"/>
                  </w:tcBorders>
                  <w:vAlign w:val="center"/>
                </w:tcPr>
                <w:p w14:paraId="7DF4781E">
                  <w:pPr>
                    <w:adjustRightInd w:val="0"/>
                    <w:snapToGrid w:val="0"/>
                    <w:jc w:val="center"/>
                    <w:rPr>
                      <w:bCs/>
                      <w:sz w:val="18"/>
                      <w:szCs w:val="18"/>
                    </w:rPr>
                  </w:pPr>
                  <w:r>
                    <w:rPr>
                      <w:bCs/>
                      <w:sz w:val="18"/>
                      <w:szCs w:val="18"/>
                    </w:rPr>
                    <w:t>西南</w:t>
                  </w:r>
                </w:p>
              </w:tc>
              <w:tc>
                <w:tcPr>
                  <w:tcW w:w="433" w:type="pct"/>
                  <w:tcBorders>
                    <w:left w:val="single" w:color="auto" w:sz="4" w:space="0"/>
                    <w:bottom w:val="single" w:color="auto" w:sz="4" w:space="0"/>
                    <w:right w:val="single" w:color="auto" w:sz="4" w:space="0"/>
                  </w:tcBorders>
                  <w:vAlign w:val="center"/>
                </w:tcPr>
                <w:p w14:paraId="26B110E2">
                  <w:pPr>
                    <w:adjustRightInd w:val="0"/>
                    <w:snapToGrid w:val="0"/>
                    <w:jc w:val="center"/>
                    <w:rPr>
                      <w:bCs/>
                      <w:sz w:val="18"/>
                      <w:szCs w:val="18"/>
                    </w:rPr>
                  </w:pPr>
                  <w:r>
                    <w:rPr>
                      <w:bCs/>
                      <w:sz w:val="18"/>
                      <w:szCs w:val="18"/>
                    </w:rPr>
                    <w:t>70</w:t>
                  </w:r>
                </w:p>
              </w:tc>
            </w:tr>
            <w:tr w14:paraId="7D00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vMerge w:val="continue"/>
                  <w:tcBorders>
                    <w:left w:val="single" w:color="auto" w:sz="4" w:space="0"/>
                    <w:right w:val="single" w:color="auto" w:sz="4" w:space="0"/>
                  </w:tcBorders>
                  <w:vAlign w:val="center"/>
                </w:tcPr>
                <w:p w14:paraId="727F8D5C">
                  <w:pPr>
                    <w:adjustRightInd w:val="0"/>
                    <w:snapToGrid w:val="0"/>
                    <w:jc w:val="center"/>
                    <w:rPr>
                      <w:bCs/>
                      <w:sz w:val="18"/>
                      <w:szCs w:val="18"/>
                    </w:rPr>
                  </w:pPr>
                </w:p>
              </w:tc>
              <w:tc>
                <w:tcPr>
                  <w:tcW w:w="664" w:type="pct"/>
                  <w:tcBorders>
                    <w:left w:val="single" w:color="auto" w:sz="4" w:space="0"/>
                    <w:right w:val="single" w:color="auto" w:sz="4" w:space="0"/>
                  </w:tcBorders>
                  <w:vAlign w:val="center"/>
                </w:tcPr>
                <w:p w14:paraId="225EFE6E">
                  <w:pPr>
                    <w:adjustRightInd w:val="0"/>
                    <w:snapToGrid w:val="0"/>
                    <w:jc w:val="center"/>
                    <w:rPr>
                      <w:bCs/>
                      <w:sz w:val="18"/>
                      <w:szCs w:val="18"/>
                    </w:rPr>
                  </w:pPr>
                  <w:r>
                    <w:rPr>
                      <w:bCs/>
                      <w:sz w:val="18"/>
                      <w:szCs w:val="18"/>
                    </w:rPr>
                    <w:t>闹店社区</w:t>
                  </w:r>
                </w:p>
              </w:tc>
              <w:tc>
                <w:tcPr>
                  <w:tcW w:w="776" w:type="pct"/>
                  <w:tcBorders>
                    <w:top w:val="single" w:color="auto" w:sz="4" w:space="0"/>
                    <w:left w:val="single" w:color="auto" w:sz="4" w:space="0"/>
                    <w:bottom w:val="single" w:color="auto" w:sz="4" w:space="0"/>
                    <w:right w:val="single" w:color="auto" w:sz="4" w:space="0"/>
                  </w:tcBorders>
                  <w:vAlign w:val="center"/>
                </w:tcPr>
                <w:p w14:paraId="31538D1E">
                  <w:pPr>
                    <w:adjustRightInd w:val="0"/>
                    <w:snapToGrid w:val="0"/>
                    <w:jc w:val="center"/>
                    <w:rPr>
                      <w:bCs/>
                      <w:sz w:val="18"/>
                      <w:szCs w:val="18"/>
                    </w:rPr>
                  </w:pPr>
                  <w:r>
                    <w:rPr>
                      <w:bCs/>
                      <w:sz w:val="18"/>
                      <w:szCs w:val="18"/>
                    </w:rPr>
                    <w:t>113.218864</w:t>
                  </w:r>
                </w:p>
              </w:tc>
              <w:tc>
                <w:tcPr>
                  <w:tcW w:w="793" w:type="pct"/>
                  <w:tcBorders>
                    <w:top w:val="single" w:color="auto" w:sz="4" w:space="0"/>
                    <w:left w:val="single" w:color="auto" w:sz="4" w:space="0"/>
                    <w:bottom w:val="single" w:color="auto" w:sz="4" w:space="0"/>
                    <w:right w:val="single" w:color="auto" w:sz="4" w:space="0"/>
                  </w:tcBorders>
                  <w:vAlign w:val="center"/>
                </w:tcPr>
                <w:p w14:paraId="6D59727D">
                  <w:pPr>
                    <w:adjustRightInd w:val="0"/>
                    <w:snapToGrid w:val="0"/>
                    <w:jc w:val="center"/>
                    <w:rPr>
                      <w:bCs/>
                      <w:sz w:val="18"/>
                      <w:szCs w:val="18"/>
                    </w:rPr>
                  </w:pPr>
                  <w:r>
                    <w:rPr>
                      <w:bCs/>
                      <w:sz w:val="18"/>
                      <w:szCs w:val="18"/>
                    </w:rPr>
                    <w:t>33.857649</w:t>
                  </w:r>
                </w:p>
              </w:tc>
              <w:tc>
                <w:tcPr>
                  <w:tcW w:w="596" w:type="pct"/>
                  <w:tcBorders>
                    <w:left w:val="single" w:color="auto" w:sz="4" w:space="0"/>
                    <w:bottom w:val="single" w:color="auto" w:sz="4" w:space="0"/>
                    <w:right w:val="single" w:color="auto" w:sz="4" w:space="0"/>
                  </w:tcBorders>
                  <w:vAlign w:val="center"/>
                </w:tcPr>
                <w:p w14:paraId="1B8A2743">
                  <w:pPr>
                    <w:adjustRightInd w:val="0"/>
                    <w:snapToGrid w:val="0"/>
                    <w:jc w:val="center"/>
                    <w:rPr>
                      <w:bCs/>
                      <w:sz w:val="18"/>
                      <w:szCs w:val="18"/>
                    </w:rPr>
                  </w:pPr>
                  <w:r>
                    <w:rPr>
                      <w:bCs/>
                      <w:sz w:val="18"/>
                      <w:szCs w:val="18"/>
                    </w:rPr>
                    <w:t>居民区</w:t>
                  </w:r>
                </w:p>
              </w:tc>
              <w:tc>
                <w:tcPr>
                  <w:tcW w:w="468" w:type="pct"/>
                  <w:tcBorders>
                    <w:left w:val="single" w:color="auto" w:sz="4" w:space="0"/>
                    <w:right w:val="single" w:color="auto" w:sz="4" w:space="0"/>
                  </w:tcBorders>
                  <w:vAlign w:val="center"/>
                </w:tcPr>
                <w:p w14:paraId="1E1106F0">
                  <w:pPr>
                    <w:adjustRightInd w:val="0"/>
                    <w:snapToGrid w:val="0"/>
                    <w:jc w:val="center"/>
                    <w:rPr>
                      <w:bCs/>
                      <w:sz w:val="18"/>
                      <w:szCs w:val="18"/>
                    </w:rPr>
                  </w:pPr>
                  <w:r>
                    <w:rPr>
                      <w:bCs/>
                      <w:sz w:val="18"/>
                      <w:szCs w:val="18"/>
                    </w:rPr>
                    <w:t>居民</w:t>
                  </w:r>
                </w:p>
              </w:tc>
              <w:tc>
                <w:tcPr>
                  <w:tcW w:w="407" w:type="pct"/>
                  <w:tcBorders>
                    <w:left w:val="single" w:color="auto" w:sz="4" w:space="0"/>
                    <w:bottom w:val="single" w:color="auto" w:sz="4" w:space="0"/>
                    <w:right w:val="single" w:color="auto" w:sz="4" w:space="0"/>
                  </w:tcBorders>
                  <w:vAlign w:val="center"/>
                </w:tcPr>
                <w:p w14:paraId="0E43F79D">
                  <w:pPr>
                    <w:adjustRightInd w:val="0"/>
                    <w:snapToGrid w:val="0"/>
                    <w:jc w:val="center"/>
                    <w:rPr>
                      <w:bCs/>
                      <w:sz w:val="18"/>
                      <w:szCs w:val="18"/>
                    </w:rPr>
                  </w:pPr>
                  <w:r>
                    <w:rPr>
                      <w:bCs/>
                      <w:sz w:val="18"/>
                      <w:szCs w:val="18"/>
                    </w:rPr>
                    <w:t>二类</w:t>
                  </w:r>
                </w:p>
              </w:tc>
              <w:tc>
                <w:tcPr>
                  <w:tcW w:w="443" w:type="pct"/>
                  <w:tcBorders>
                    <w:left w:val="single" w:color="auto" w:sz="4" w:space="0"/>
                    <w:bottom w:val="single" w:color="auto" w:sz="4" w:space="0"/>
                    <w:right w:val="single" w:color="auto" w:sz="4" w:space="0"/>
                  </w:tcBorders>
                  <w:vAlign w:val="center"/>
                </w:tcPr>
                <w:p w14:paraId="607EEE04">
                  <w:pPr>
                    <w:adjustRightInd w:val="0"/>
                    <w:snapToGrid w:val="0"/>
                    <w:jc w:val="center"/>
                    <w:rPr>
                      <w:bCs/>
                      <w:sz w:val="18"/>
                      <w:szCs w:val="18"/>
                    </w:rPr>
                  </w:pPr>
                  <w:r>
                    <w:rPr>
                      <w:bCs/>
                      <w:sz w:val="18"/>
                      <w:szCs w:val="18"/>
                    </w:rPr>
                    <w:t>西北</w:t>
                  </w:r>
                </w:p>
              </w:tc>
              <w:tc>
                <w:tcPr>
                  <w:tcW w:w="433" w:type="pct"/>
                  <w:tcBorders>
                    <w:left w:val="single" w:color="auto" w:sz="4" w:space="0"/>
                    <w:bottom w:val="single" w:color="auto" w:sz="4" w:space="0"/>
                    <w:right w:val="single" w:color="auto" w:sz="4" w:space="0"/>
                  </w:tcBorders>
                  <w:vAlign w:val="center"/>
                </w:tcPr>
                <w:p w14:paraId="007E0133">
                  <w:pPr>
                    <w:adjustRightInd w:val="0"/>
                    <w:snapToGrid w:val="0"/>
                    <w:jc w:val="center"/>
                    <w:rPr>
                      <w:bCs/>
                      <w:sz w:val="18"/>
                      <w:szCs w:val="18"/>
                    </w:rPr>
                  </w:pPr>
                  <w:r>
                    <w:rPr>
                      <w:bCs/>
                      <w:sz w:val="18"/>
                      <w:szCs w:val="18"/>
                    </w:rPr>
                    <w:t>80</w:t>
                  </w:r>
                </w:p>
              </w:tc>
            </w:tr>
            <w:tr w14:paraId="6D58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vMerge w:val="continue"/>
                  <w:tcBorders>
                    <w:left w:val="single" w:color="auto" w:sz="4" w:space="0"/>
                    <w:right w:val="single" w:color="auto" w:sz="4" w:space="0"/>
                  </w:tcBorders>
                  <w:vAlign w:val="center"/>
                </w:tcPr>
                <w:p w14:paraId="1DA00AE3">
                  <w:pPr>
                    <w:adjustRightInd w:val="0"/>
                    <w:snapToGrid w:val="0"/>
                    <w:jc w:val="center"/>
                    <w:rPr>
                      <w:bCs/>
                      <w:sz w:val="18"/>
                      <w:szCs w:val="18"/>
                    </w:rPr>
                  </w:pPr>
                </w:p>
              </w:tc>
              <w:tc>
                <w:tcPr>
                  <w:tcW w:w="664" w:type="pct"/>
                  <w:tcBorders>
                    <w:left w:val="single" w:color="auto" w:sz="4" w:space="0"/>
                    <w:right w:val="single" w:color="auto" w:sz="4" w:space="0"/>
                  </w:tcBorders>
                  <w:vAlign w:val="center"/>
                </w:tcPr>
                <w:p w14:paraId="1FCE5E4A">
                  <w:pPr>
                    <w:adjustRightInd w:val="0"/>
                    <w:snapToGrid w:val="0"/>
                    <w:jc w:val="center"/>
                    <w:rPr>
                      <w:bCs/>
                      <w:sz w:val="18"/>
                      <w:szCs w:val="18"/>
                    </w:rPr>
                  </w:pPr>
                  <w:r>
                    <w:rPr>
                      <w:bCs/>
                      <w:sz w:val="18"/>
                      <w:szCs w:val="18"/>
                    </w:rPr>
                    <w:t>闹店村</w:t>
                  </w:r>
                </w:p>
              </w:tc>
              <w:tc>
                <w:tcPr>
                  <w:tcW w:w="776" w:type="pct"/>
                  <w:tcBorders>
                    <w:top w:val="single" w:color="auto" w:sz="4" w:space="0"/>
                    <w:left w:val="single" w:color="auto" w:sz="4" w:space="0"/>
                    <w:bottom w:val="single" w:color="auto" w:sz="4" w:space="0"/>
                    <w:right w:val="single" w:color="auto" w:sz="4" w:space="0"/>
                  </w:tcBorders>
                  <w:vAlign w:val="center"/>
                </w:tcPr>
                <w:p w14:paraId="4B03FCB9">
                  <w:pPr>
                    <w:adjustRightInd w:val="0"/>
                    <w:snapToGrid w:val="0"/>
                    <w:jc w:val="center"/>
                    <w:rPr>
                      <w:bCs/>
                      <w:sz w:val="18"/>
                      <w:szCs w:val="18"/>
                    </w:rPr>
                  </w:pPr>
                  <w:r>
                    <w:rPr>
                      <w:bCs/>
                      <w:sz w:val="18"/>
                      <w:szCs w:val="18"/>
                    </w:rPr>
                    <w:t>113.221890</w:t>
                  </w:r>
                </w:p>
              </w:tc>
              <w:tc>
                <w:tcPr>
                  <w:tcW w:w="793" w:type="pct"/>
                  <w:tcBorders>
                    <w:top w:val="single" w:color="auto" w:sz="4" w:space="0"/>
                    <w:left w:val="single" w:color="auto" w:sz="4" w:space="0"/>
                    <w:bottom w:val="single" w:color="auto" w:sz="4" w:space="0"/>
                    <w:right w:val="single" w:color="auto" w:sz="4" w:space="0"/>
                  </w:tcBorders>
                  <w:vAlign w:val="center"/>
                </w:tcPr>
                <w:p w14:paraId="730315C1">
                  <w:pPr>
                    <w:adjustRightInd w:val="0"/>
                    <w:snapToGrid w:val="0"/>
                    <w:jc w:val="center"/>
                    <w:rPr>
                      <w:bCs/>
                      <w:sz w:val="18"/>
                      <w:szCs w:val="18"/>
                    </w:rPr>
                  </w:pPr>
                  <w:r>
                    <w:rPr>
                      <w:bCs/>
                      <w:sz w:val="18"/>
                      <w:szCs w:val="18"/>
                    </w:rPr>
                    <w:t>33.855065</w:t>
                  </w:r>
                </w:p>
              </w:tc>
              <w:tc>
                <w:tcPr>
                  <w:tcW w:w="596" w:type="pct"/>
                  <w:tcBorders>
                    <w:left w:val="single" w:color="auto" w:sz="4" w:space="0"/>
                    <w:bottom w:val="single" w:color="auto" w:sz="4" w:space="0"/>
                    <w:right w:val="single" w:color="auto" w:sz="4" w:space="0"/>
                  </w:tcBorders>
                  <w:vAlign w:val="center"/>
                </w:tcPr>
                <w:p w14:paraId="58667111">
                  <w:pPr>
                    <w:adjustRightInd w:val="0"/>
                    <w:snapToGrid w:val="0"/>
                    <w:jc w:val="center"/>
                    <w:rPr>
                      <w:bCs/>
                      <w:sz w:val="18"/>
                      <w:szCs w:val="18"/>
                    </w:rPr>
                  </w:pPr>
                  <w:r>
                    <w:rPr>
                      <w:bCs/>
                      <w:sz w:val="18"/>
                      <w:szCs w:val="18"/>
                    </w:rPr>
                    <w:t>居民区</w:t>
                  </w:r>
                </w:p>
              </w:tc>
              <w:tc>
                <w:tcPr>
                  <w:tcW w:w="468" w:type="pct"/>
                  <w:tcBorders>
                    <w:left w:val="single" w:color="auto" w:sz="4" w:space="0"/>
                    <w:right w:val="single" w:color="auto" w:sz="4" w:space="0"/>
                  </w:tcBorders>
                  <w:vAlign w:val="center"/>
                </w:tcPr>
                <w:p w14:paraId="6D0C7F00">
                  <w:pPr>
                    <w:adjustRightInd w:val="0"/>
                    <w:snapToGrid w:val="0"/>
                    <w:jc w:val="center"/>
                    <w:rPr>
                      <w:bCs/>
                      <w:sz w:val="18"/>
                      <w:szCs w:val="18"/>
                    </w:rPr>
                  </w:pPr>
                  <w:r>
                    <w:rPr>
                      <w:bCs/>
                      <w:sz w:val="18"/>
                      <w:szCs w:val="18"/>
                    </w:rPr>
                    <w:t>居民</w:t>
                  </w:r>
                </w:p>
              </w:tc>
              <w:tc>
                <w:tcPr>
                  <w:tcW w:w="407" w:type="pct"/>
                  <w:tcBorders>
                    <w:left w:val="single" w:color="auto" w:sz="4" w:space="0"/>
                    <w:bottom w:val="single" w:color="auto" w:sz="4" w:space="0"/>
                    <w:right w:val="single" w:color="auto" w:sz="4" w:space="0"/>
                  </w:tcBorders>
                  <w:vAlign w:val="center"/>
                </w:tcPr>
                <w:p w14:paraId="13711D70">
                  <w:pPr>
                    <w:adjustRightInd w:val="0"/>
                    <w:snapToGrid w:val="0"/>
                    <w:jc w:val="center"/>
                    <w:rPr>
                      <w:bCs/>
                      <w:sz w:val="18"/>
                      <w:szCs w:val="18"/>
                    </w:rPr>
                  </w:pPr>
                  <w:r>
                    <w:rPr>
                      <w:bCs/>
                      <w:sz w:val="18"/>
                      <w:szCs w:val="18"/>
                    </w:rPr>
                    <w:t>二类</w:t>
                  </w:r>
                </w:p>
              </w:tc>
              <w:tc>
                <w:tcPr>
                  <w:tcW w:w="443" w:type="pct"/>
                  <w:tcBorders>
                    <w:left w:val="single" w:color="auto" w:sz="4" w:space="0"/>
                    <w:bottom w:val="single" w:color="auto" w:sz="4" w:space="0"/>
                    <w:right w:val="single" w:color="auto" w:sz="4" w:space="0"/>
                  </w:tcBorders>
                  <w:vAlign w:val="center"/>
                </w:tcPr>
                <w:p w14:paraId="7582FDAB">
                  <w:pPr>
                    <w:adjustRightInd w:val="0"/>
                    <w:snapToGrid w:val="0"/>
                    <w:jc w:val="center"/>
                    <w:rPr>
                      <w:bCs/>
                      <w:sz w:val="18"/>
                      <w:szCs w:val="18"/>
                    </w:rPr>
                  </w:pPr>
                  <w:r>
                    <w:rPr>
                      <w:bCs/>
                      <w:sz w:val="18"/>
                      <w:szCs w:val="18"/>
                    </w:rPr>
                    <w:t>西</w:t>
                  </w:r>
                </w:p>
              </w:tc>
              <w:tc>
                <w:tcPr>
                  <w:tcW w:w="433" w:type="pct"/>
                  <w:tcBorders>
                    <w:left w:val="single" w:color="auto" w:sz="4" w:space="0"/>
                    <w:bottom w:val="single" w:color="auto" w:sz="4" w:space="0"/>
                    <w:right w:val="single" w:color="auto" w:sz="4" w:space="0"/>
                  </w:tcBorders>
                  <w:vAlign w:val="center"/>
                </w:tcPr>
                <w:p w14:paraId="3D4A7ADD">
                  <w:pPr>
                    <w:adjustRightInd w:val="0"/>
                    <w:snapToGrid w:val="0"/>
                    <w:jc w:val="center"/>
                    <w:rPr>
                      <w:bCs/>
                      <w:sz w:val="18"/>
                      <w:szCs w:val="18"/>
                    </w:rPr>
                  </w:pPr>
                  <w:r>
                    <w:rPr>
                      <w:bCs/>
                      <w:sz w:val="18"/>
                      <w:szCs w:val="18"/>
                    </w:rPr>
                    <w:t>260</w:t>
                  </w:r>
                </w:p>
              </w:tc>
            </w:tr>
            <w:tr w14:paraId="0FBE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vMerge w:val="continue"/>
                  <w:tcBorders>
                    <w:left w:val="single" w:color="auto" w:sz="4" w:space="0"/>
                    <w:right w:val="single" w:color="auto" w:sz="4" w:space="0"/>
                  </w:tcBorders>
                  <w:vAlign w:val="center"/>
                </w:tcPr>
                <w:p w14:paraId="6D9990E2">
                  <w:pPr>
                    <w:adjustRightInd w:val="0"/>
                    <w:snapToGrid w:val="0"/>
                    <w:jc w:val="center"/>
                    <w:rPr>
                      <w:bCs/>
                      <w:sz w:val="18"/>
                      <w:szCs w:val="18"/>
                    </w:rPr>
                  </w:pPr>
                </w:p>
              </w:tc>
              <w:tc>
                <w:tcPr>
                  <w:tcW w:w="664" w:type="pct"/>
                  <w:tcBorders>
                    <w:left w:val="single" w:color="auto" w:sz="4" w:space="0"/>
                    <w:right w:val="single" w:color="auto" w:sz="4" w:space="0"/>
                  </w:tcBorders>
                  <w:vAlign w:val="center"/>
                </w:tcPr>
                <w:p w14:paraId="37581F05">
                  <w:pPr>
                    <w:adjustRightInd w:val="0"/>
                    <w:snapToGrid w:val="0"/>
                    <w:jc w:val="center"/>
                    <w:rPr>
                      <w:bCs/>
                      <w:sz w:val="18"/>
                      <w:szCs w:val="18"/>
                    </w:rPr>
                  </w:pPr>
                  <w:r>
                    <w:rPr>
                      <w:bCs/>
                      <w:sz w:val="18"/>
                      <w:szCs w:val="18"/>
                    </w:rPr>
                    <w:t>闹店人民政府</w:t>
                  </w:r>
                </w:p>
              </w:tc>
              <w:tc>
                <w:tcPr>
                  <w:tcW w:w="776" w:type="pct"/>
                  <w:tcBorders>
                    <w:top w:val="single" w:color="auto" w:sz="4" w:space="0"/>
                    <w:left w:val="single" w:color="auto" w:sz="4" w:space="0"/>
                    <w:bottom w:val="single" w:color="auto" w:sz="4" w:space="0"/>
                    <w:right w:val="single" w:color="auto" w:sz="4" w:space="0"/>
                  </w:tcBorders>
                  <w:vAlign w:val="center"/>
                </w:tcPr>
                <w:p w14:paraId="4AAAD277">
                  <w:pPr>
                    <w:adjustRightInd w:val="0"/>
                    <w:snapToGrid w:val="0"/>
                    <w:jc w:val="center"/>
                    <w:rPr>
                      <w:bCs/>
                      <w:sz w:val="18"/>
                      <w:szCs w:val="18"/>
                    </w:rPr>
                  </w:pPr>
                  <w:r>
                    <w:rPr>
                      <w:bCs/>
                      <w:sz w:val="18"/>
                      <w:szCs w:val="18"/>
                    </w:rPr>
                    <w:t>113.216740</w:t>
                  </w:r>
                </w:p>
              </w:tc>
              <w:tc>
                <w:tcPr>
                  <w:tcW w:w="793" w:type="pct"/>
                  <w:tcBorders>
                    <w:top w:val="single" w:color="auto" w:sz="4" w:space="0"/>
                    <w:left w:val="single" w:color="auto" w:sz="4" w:space="0"/>
                    <w:bottom w:val="single" w:color="auto" w:sz="4" w:space="0"/>
                    <w:right w:val="single" w:color="auto" w:sz="4" w:space="0"/>
                  </w:tcBorders>
                  <w:vAlign w:val="center"/>
                </w:tcPr>
                <w:p w14:paraId="1658FC4B">
                  <w:pPr>
                    <w:adjustRightInd w:val="0"/>
                    <w:snapToGrid w:val="0"/>
                    <w:jc w:val="center"/>
                    <w:rPr>
                      <w:bCs/>
                      <w:sz w:val="18"/>
                      <w:szCs w:val="18"/>
                    </w:rPr>
                  </w:pPr>
                  <w:r>
                    <w:rPr>
                      <w:bCs/>
                      <w:sz w:val="18"/>
                      <w:szCs w:val="18"/>
                    </w:rPr>
                    <w:t>33.855030</w:t>
                  </w:r>
                </w:p>
              </w:tc>
              <w:tc>
                <w:tcPr>
                  <w:tcW w:w="596" w:type="pct"/>
                  <w:tcBorders>
                    <w:left w:val="single" w:color="auto" w:sz="4" w:space="0"/>
                    <w:bottom w:val="single" w:color="auto" w:sz="4" w:space="0"/>
                    <w:right w:val="single" w:color="auto" w:sz="4" w:space="0"/>
                  </w:tcBorders>
                  <w:vAlign w:val="center"/>
                </w:tcPr>
                <w:p w14:paraId="6ED393A6">
                  <w:pPr>
                    <w:adjustRightInd w:val="0"/>
                    <w:snapToGrid w:val="0"/>
                    <w:jc w:val="center"/>
                    <w:rPr>
                      <w:bCs/>
                      <w:sz w:val="18"/>
                      <w:szCs w:val="18"/>
                    </w:rPr>
                  </w:pPr>
                  <w:r>
                    <w:rPr>
                      <w:bCs/>
                      <w:sz w:val="18"/>
                      <w:szCs w:val="18"/>
                    </w:rPr>
                    <w:t>机关单位</w:t>
                  </w:r>
                </w:p>
              </w:tc>
              <w:tc>
                <w:tcPr>
                  <w:tcW w:w="468" w:type="pct"/>
                  <w:tcBorders>
                    <w:left w:val="single" w:color="auto" w:sz="4" w:space="0"/>
                    <w:right w:val="single" w:color="auto" w:sz="4" w:space="0"/>
                  </w:tcBorders>
                  <w:vAlign w:val="center"/>
                </w:tcPr>
                <w:p w14:paraId="45D42F4E">
                  <w:pPr>
                    <w:adjustRightInd w:val="0"/>
                    <w:snapToGrid w:val="0"/>
                    <w:jc w:val="center"/>
                    <w:rPr>
                      <w:bCs/>
                      <w:sz w:val="18"/>
                      <w:szCs w:val="18"/>
                    </w:rPr>
                  </w:pPr>
                  <w:r>
                    <w:rPr>
                      <w:bCs/>
                      <w:sz w:val="18"/>
                      <w:szCs w:val="18"/>
                    </w:rPr>
                    <w:t>机关人员</w:t>
                  </w:r>
                </w:p>
              </w:tc>
              <w:tc>
                <w:tcPr>
                  <w:tcW w:w="407" w:type="pct"/>
                  <w:tcBorders>
                    <w:left w:val="single" w:color="auto" w:sz="4" w:space="0"/>
                    <w:bottom w:val="single" w:color="auto" w:sz="4" w:space="0"/>
                    <w:right w:val="single" w:color="auto" w:sz="4" w:space="0"/>
                  </w:tcBorders>
                  <w:vAlign w:val="center"/>
                </w:tcPr>
                <w:p w14:paraId="7827A1AB">
                  <w:pPr>
                    <w:adjustRightInd w:val="0"/>
                    <w:snapToGrid w:val="0"/>
                    <w:jc w:val="center"/>
                    <w:rPr>
                      <w:bCs/>
                      <w:sz w:val="18"/>
                      <w:szCs w:val="18"/>
                    </w:rPr>
                  </w:pPr>
                  <w:r>
                    <w:rPr>
                      <w:bCs/>
                      <w:sz w:val="18"/>
                      <w:szCs w:val="18"/>
                    </w:rPr>
                    <w:t>二类</w:t>
                  </w:r>
                </w:p>
              </w:tc>
              <w:tc>
                <w:tcPr>
                  <w:tcW w:w="443" w:type="pct"/>
                  <w:tcBorders>
                    <w:left w:val="single" w:color="auto" w:sz="4" w:space="0"/>
                    <w:bottom w:val="single" w:color="auto" w:sz="4" w:space="0"/>
                    <w:right w:val="single" w:color="auto" w:sz="4" w:space="0"/>
                  </w:tcBorders>
                  <w:vAlign w:val="center"/>
                </w:tcPr>
                <w:p w14:paraId="23721143">
                  <w:pPr>
                    <w:adjustRightInd w:val="0"/>
                    <w:snapToGrid w:val="0"/>
                    <w:jc w:val="center"/>
                    <w:rPr>
                      <w:bCs/>
                      <w:sz w:val="18"/>
                      <w:szCs w:val="18"/>
                    </w:rPr>
                  </w:pPr>
                  <w:r>
                    <w:rPr>
                      <w:bCs/>
                      <w:sz w:val="18"/>
                      <w:szCs w:val="18"/>
                    </w:rPr>
                    <w:t>西</w:t>
                  </w:r>
                </w:p>
              </w:tc>
              <w:tc>
                <w:tcPr>
                  <w:tcW w:w="433" w:type="pct"/>
                  <w:tcBorders>
                    <w:left w:val="single" w:color="auto" w:sz="4" w:space="0"/>
                    <w:bottom w:val="single" w:color="auto" w:sz="4" w:space="0"/>
                    <w:right w:val="single" w:color="auto" w:sz="4" w:space="0"/>
                  </w:tcBorders>
                  <w:vAlign w:val="center"/>
                </w:tcPr>
                <w:p w14:paraId="6A0CFFCB">
                  <w:pPr>
                    <w:adjustRightInd w:val="0"/>
                    <w:snapToGrid w:val="0"/>
                    <w:jc w:val="center"/>
                    <w:rPr>
                      <w:bCs/>
                      <w:sz w:val="18"/>
                      <w:szCs w:val="18"/>
                    </w:rPr>
                  </w:pPr>
                  <w:r>
                    <w:rPr>
                      <w:bCs/>
                      <w:sz w:val="18"/>
                      <w:szCs w:val="18"/>
                    </w:rPr>
                    <w:t>300</w:t>
                  </w:r>
                </w:p>
              </w:tc>
            </w:tr>
            <w:tr w14:paraId="73FF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vMerge w:val="continue"/>
                  <w:tcBorders>
                    <w:left w:val="single" w:color="auto" w:sz="4" w:space="0"/>
                    <w:right w:val="single" w:color="auto" w:sz="4" w:space="0"/>
                  </w:tcBorders>
                  <w:vAlign w:val="center"/>
                </w:tcPr>
                <w:p w14:paraId="0748095C">
                  <w:pPr>
                    <w:adjustRightInd w:val="0"/>
                    <w:snapToGrid w:val="0"/>
                    <w:jc w:val="center"/>
                    <w:rPr>
                      <w:bCs/>
                      <w:sz w:val="18"/>
                      <w:szCs w:val="18"/>
                    </w:rPr>
                  </w:pPr>
                </w:p>
              </w:tc>
              <w:tc>
                <w:tcPr>
                  <w:tcW w:w="664" w:type="pct"/>
                  <w:tcBorders>
                    <w:left w:val="single" w:color="auto" w:sz="4" w:space="0"/>
                    <w:right w:val="single" w:color="auto" w:sz="4" w:space="0"/>
                  </w:tcBorders>
                  <w:vAlign w:val="center"/>
                </w:tcPr>
                <w:p w14:paraId="719BD274">
                  <w:pPr>
                    <w:adjustRightInd w:val="0"/>
                    <w:snapToGrid w:val="0"/>
                    <w:jc w:val="center"/>
                    <w:rPr>
                      <w:bCs/>
                      <w:sz w:val="18"/>
                      <w:szCs w:val="18"/>
                    </w:rPr>
                  </w:pPr>
                  <w:r>
                    <w:rPr>
                      <w:bCs/>
                      <w:sz w:val="18"/>
                      <w:szCs w:val="18"/>
                    </w:rPr>
                    <w:t>闹店初级中学</w:t>
                  </w:r>
                </w:p>
              </w:tc>
              <w:tc>
                <w:tcPr>
                  <w:tcW w:w="776" w:type="pct"/>
                  <w:tcBorders>
                    <w:top w:val="single" w:color="auto" w:sz="4" w:space="0"/>
                    <w:left w:val="single" w:color="auto" w:sz="4" w:space="0"/>
                    <w:bottom w:val="single" w:color="auto" w:sz="4" w:space="0"/>
                    <w:right w:val="single" w:color="auto" w:sz="4" w:space="0"/>
                  </w:tcBorders>
                  <w:vAlign w:val="center"/>
                </w:tcPr>
                <w:p w14:paraId="01E5A9A6">
                  <w:pPr>
                    <w:adjustRightInd w:val="0"/>
                    <w:snapToGrid w:val="0"/>
                    <w:jc w:val="center"/>
                    <w:rPr>
                      <w:bCs/>
                      <w:sz w:val="18"/>
                      <w:szCs w:val="18"/>
                    </w:rPr>
                  </w:pPr>
                  <w:r>
                    <w:rPr>
                      <w:bCs/>
                      <w:sz w:val="18"/>
                      <w:szCs w:val="18"/>
                    </w:rPr>
                    <w:t>113.215292</w:t>
                  </w:r>
                </w:p>
              </w:tc>
              <w:tc>
                <w:tcPr>
                  <w:tcW w:w="793" w:type="pct"/>
                  <w:tcBorders>
                    <w:top w:val="single" w:color="auto" w:sz="4" w:space="0"/>
                    <w:left w:val="single" w:color="auto" w:sz="4" w:space="0"/>
                    <w:bottom w:val="single" w:color="auto" w:sz="4" w:space="0"/>
                    <w:right w:val="single" w:color="auto" w:sz="4" w:space="0"/>
                  </w:tcBorders>
                  <w:vAlign w:val="center"/>
                </w:tcPr>
                <w:p w14:paraId="62AA025F">
                  <w:pPr>
                    <w:adjustRightInd w:val="0"/>
                    <w:snapToGrid w:val="0"/>
                    <w:jc w:val="center"/>
                    <w:rPr>
                      <w:bCs/>
                      <w:sz w:val="18"/>
                      <w:szCs w:val="18"/>
                    </w:rPr>
                  </w:pPr>
                  <w:r>
                    <w:rPr>
                      <w:bCs/>
                      <w:sz w:val="18"/>
                      <w:szCs w:val="18"/>
                    </w:rPr>
                    <w:t>33.855226</w:t>
                  </w:r>
                </w:p>
              </w:tc>
              <w:tc>
                <w:tcPr>
                  <w:tcW w:w="596" w:type="pct"/>
                  <w:tcBorders>
                    <w:left w:val="single" w:color="auto" w:sz="4" w:space="0"/>
                    <w:bottom w:val="single" w:color="auto" w:sz="4" w:space="0"/>
                    <w:right w:val="single" w:color="auto" w:sz="4" w:space="0"/>
                  </w:tcBorders>
                  <w:vAlign w:val="center"/>
                </w:tcPr>
                <w:p w14:paraId="2F29D1C7">
                  <w:pPr>
                    <w:adjustRightInd w:val="0"/>
                    <w:snapToGrid w:val="0"/>
                    <w:jc w:val="center"/>
                    <w:rPr>
                      <w:bCs/>
                      <w:sz w:val="18"/>
                      <w:szCs w:val="18"/>
                    </w:rPr>
                  </w:pPr>
                  <w:r>
                    <w:rPr>
                      <w:bCs/>
                      <w:sz w:val="18"/>
                      <w:szCs w:val="18"/>
                    </w:rPr>
                    <w:t>学校</w:t>
                  </w:r>
                </w:p>
              </w:tc>
              <w:tc>
                <w:tcPr>
                  <w:tcW w:w="468" w:type="pct"/>
                  <w:tcBorders>
                    <w:left w:val="single" w:color="auto" w:sz="4" w:space="0"/>
                    <w:right w:val="single" w:color="auto" w:sz="4" w:space="0"/>
                  </w:tcBorders>
                  <w:vAlign w:val="center"/>
                </w:tcPr>
                <w:p w14:paraId="726192E9">
                  <w:pPr>
                    <w:adjustRightInd w:val="0"/>
                    <w:snapToGrid w:val="0"/>
                    <w:jc w:val="center"/>
                    <w:rPr>
                      <w:bCs/>
                      <w:sz w:val="18"/>
                      <w:szCs w:val="18"/>
                    </w:rPr>
                  </w:pPr>
                  <w:r>
                    <w:rPr>
                      <w:bCs/>
                      <w:sz w:val="18"/>
                      <w:szCs w:val="18"/>
                    </w:rPr>
                    <w:t>师生</w:t>
                  </w:r>
                </w:p>
              </w:tc>
              <w:tc>
                <w:tcPr>
                  <w:tcW w:w="407" w:type="pct"/>
                  <w:tcBorders>
                    <w:left w:val="single" w:color="auto" w:sz="4" w:space="0"/>
                    <w:bottom w:val="single" w:color="auto" w:sz="4" w:space="0"/>
                    <w:right w:val="single" w:color="auto" w:sz="4" w:space="0"/>
                  </w:tcBorders>
                  <w:vAlign w:val="center"/>
                </w:tcPr>
                <w:p w14:paraId="244DE9C2">
                  <w:pPr>
                    <w:adjustRightInd w:val="0"/>
                    <w:snapToGrid w:val="0"/>
                    <w:jc w:val="center"/>
                    <w:rPr>
                      <w:bCs/>
                      <w:sz w:val="18"/>
                      <w:szCs w:val="18"/>
                    </w:rPr>
                  </w:pPr>
                  <w:r>
                    <w:rPr>
                      <w:bCs/>
                      <w:sz w:val="18"/>
                      <w:szCs w:val="18"/>
                    </w:rPr>
                    <w:t>二类</w:t>
                  </w:r>
                </w:p>
              </w:tc>
              <w:tc>
                <w:tcPr>
                  <w:tcW w:w="443" w:type="pct"/>
                  <w:tcBorders>
                    <w:left w:val="single" w:color="auto" w:sz="4" w:space="0"/>
                    <w:bottom w:val="single" w:color="auto" w:sz="4" w:space="0"/>
                    <w:right w:val="single" w:color="auto" w:sz="4" w:space="0"/>
                  </w:tcBorders>
                  <w:vAlign w:val="center"/>
                </w:tcPr>
                <w:p w14:paraId="5C0D8DB8">
                  <w:pPr>
                    <w:adjustRightInd w:val="0"/>
                    <w:snapToGrid w:val="0"/>
                    <w:jc w:val="center"/>
                    <w:rPr>
                      <w:bCs/>
                      <w:sz w:val="18"/>
                      <w:szCs w:val="18"/>
                    </w:rPr>
                  </w:pPr>
                  <w:r>
                    <w:rPr>
                      <w:bCs/>
                      <w:sz w:val="18"/>
                      <w:szCs w:val="18"/>
                    </w:rPr>
                    <w:t>西</w:t>
                  </w:r>
                </w:p>
              </w:tc>
              <w:tc>
                <w:tcPr>
                  <w:tcW w:w="433" w:type="pct"/>
                  <w:tcBorders>
                    <w:left w:val="single" w:color="auto" w:sz="4" w:space="0"/>
                    <w:bottom w:val="single" w:color="auto" w:sz="4" w:space="0"/>
                    <w:right w:val="single" w:color="auto" w:sz="4" w:space="0"/>
                  </w:tcBorders>
                  <w:vAlign w:val="center"/>
                </w:tcPr>
                <w:p w14:paraId="0F02A84F">
                  <w:pPr>
                    <w:adjustRightInd w:val="0"/>
                    <w:snapToGrid w:val="0"/>
                    <w:jc w:val="center"/>
                    <w:rPr>
                      <w:bCs/>
                      <w:sz w:val="18"/>
                      <w:szCs w:val="18"/>
                    </w:rPr>
                  </w:pPr>
                  <w:r>
                    <w:rPr>
                      <w:bCs/>
                      <w:sz w:val="18"/>
                      <w:szCs w:val="18"/>
                    </w:rPr>
                    <w:t>460</w:t>
                  </w:r>
                </w:p>
              </w:tc>
            </w:tr>
            <w:tr w14:paraId="013D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vMerge w:val="continue"/>
                  <w:tcBorders>
                    <w:left w:val="single" w:color="auto" w:sz="4" w:space="0"/>
                    <w:right w:val="single" w:color="auto" w:sz="4" w:space="0"/>
                  </w:tcBorders>
                  <w:vAlign w:val="center"/>
                </w:tcPr>
                <w:p w14:paraId="010CCF53">
                  <w:pPr>
                    <w:adjustRightInd w:val="0"/>
                    <w:snapToGrid w:val="0"/>
                    <w:jc w:val="center"/>
                    <w:rPr>
                      <w:bCs/>
                      <w:sz w:val="18"/>
                      <w:szCs w:val="18"/>
                    </w:rPr>
                  </w:pPr>
                </w:p>
              </w:tc>
              <w:tc>
                <w:tcPr>
                  <w:tcW w:w="664" w:type="pct"/>
                  <w:tcBorders>
                    <w:left w:val="single" w:color="auto" w:sz="4" w:space="0"/>
                    <w:right w:val="single" w:color="auto" w:sz="4" w:space="0"/>
                  </w:tcBorders>
                  <w:vAlign w:val="center"/>
                </w:tcPr>
                <w:p w14:paraId="637A5979">
                  <w:pPr>
                    <w:adjustRightInd w:val="0"/>
                    <w:snapToGrid w:val="0"/>
                    <w:jc w:val="center"/>
                    <w:rPr>
                      <w:bCs/>
                      <w:sz w:val="18"/>
                      <w:szCs w:val="18"/>
                    </w:rPr>
                  </w:pPr>
                  <w:r>
                    <w:rPr>
                      <w:bCs/>
                      <w:sz w:val="18"/>
                      <w:szCs w:val="18"/>
                    </w:rPr>
                    <w:t>响潭营</w:t>
                  </w:r>
                </w:p>
              </w:tc>
              <w:tc>
                <w:tcPr>
                  <w:tcW w:w="776" w:type="pct"/>
                  <w:tcBorders>
                    <w:top w:val="single" w:color="auto" w:sz="4" w:space="0"/>
                    <w:left w:val="single" w:color="auto" w:sz="4" w:space="0"/>
                    <w:bottom w:val="single" w:color="auto" w:sz="4" w:space="0"/>
                    <w:right w:val="single" w:color="auto" w:sz="4" w:space="0"/>
                  </w:tcBorders>
                  <w:vAlign w:val="center"/>
                </w:tcPr>
                <w:p w14:paraId="67C76B3F">
                  <w:pPr>
                    <w:adjustRightInd w:val="0"/>
                    <w:snapToGrid w:val="0"/>
                    <w:jc w:val="center"/>
                    <w:rPr>
                      <w:bCs/>
                      <w:sz w:val="18"/>
                      <w:szCs w:val="18"/>
                    </w:rPr>
                  </w:pPr>
                  <w:r>
                    <w:rPr>
                      <w:bCs/>
                      <w:sz w:val="18"/>
                      <w:szCs w:val="18"/>
                    </w:rPr>
                    <w:t>113.2343029</w:t>
                  </w:r>
                </w:p>
              </w:tc>
              <w:tc>
                <w:tcPr>
                  <w:tcW w:w="793" w:type="pct"/>
                  <w:tcBorders>
                    <w:top w:val="single" w:color="auto" w:sz="4" w:space="0"/>
                    <w:left w:val="single" w:color="auto" w:sz="4" w:space="0"/>
                    <w:bottom w:val="single" w:color="auto" w:sz="4" w:space="0"/>
                    <w:right w:val="single" w:color="auto" w:sz="4" w:space="0"/>
                  </w:tcBorders>
                  <w:vAlign w:val="center"/>
                </w:tcPr>
                <w:p w14:paraId="686A3197">
                  <w:pPr>
                    <w:adjustRightInd w:val="0"/>
                    <w:snapToGrid w:val="0"/>
                    <w:jc w:val="center"/>
                    <w:rPr>
                      <w:bCs/>
                      <w:sz w:val="18"/>
                      <w:szCs w:val="18"/>
                    </w:rPr>
                  </w:pPr>
                  <w:r>
                    <w:rPr>
                      <w:bCs/>
                      <w:sz w:val="18"/>
                      <w:szCs w:val="18"/>
                    </w:rPr>
                    <w:t>33.855369</w:t>
                  </w:r>
                </w:p>
              </w:tc>
              <w:tc>
                <w:tcPr>
                  <w:tcW w:w="596" w:type="pct"/>
                  <w:tcBorders>
                    <w:left w:val="single" w:color="auto" w:sz="4" w:space="0"/>
                    <w:bottom w:val="single" w:color="auto" w:sz="4" w:space="0"/>
                    <w:right w:val="single" w:color="auto" w:sz="4" w:space="0"/>
                  </w:tcBorders>
                  <w:vAlign w:val="center"/>
                </w:tcPr>
                <w:p w14:paraId="4CFD68AA">
                  <w:pPr>
                    <w:adjustRightInd w:val="0"/>
                    <w:snapToGrid w:val="0"/>
                    <w:jc w:val="center"/>
                    <w:rPr>
                      <w:bCs/>
                      <w:sz w:val="18"/>
                      <w:szCs w:val="18"/>
                    </w:rPr>
                  </w:pPr>
                  <w:r>
                    <w:rPr>
                      <w:bCs/>
                      <w:sz w:val="18"/>
                      <w:szCs w:val="18"/>
                    </w:rPr>
                    <w:t>居民区</w:t>
                  </w:r>
                </w:p>
              </w:tc>
              <w:tc>
                <w:tcPr>
                  <w:tcW w:w="468" w:type="pct"/>
                  <w:tcBorders>
                    <w:left w:val="single" w:color="auto" w:sz="4" w:space="0"/>
                    <w:right w:val="single" w:color="auto" w:sz="4" w:space="0"/>
                  </w:tcBorders>
                  <w:vAlign w:val="center"/>
                </w:tcPr>
                <w:p w14:paraId="30A5106F">
                  <w:pPr>
                    <w:adjustRightInd w:val="0"/>
                    <w:snapToGrid w:val="0"/>
                    <w:jc w:val="center"/>
                    <w:rPr>
                      <w:bCs/>
                      <w:sz w:val="18"/>
                      <w:szCs w:val="18"/>
                    </w:rPr>
                  </w:pPr>
                  <w:r>
                    <w:rPr>
                      <w:bCs/>
                      <w:sz w:val="18"/>
                      <w:szCs w:val="18"/>
                    </w:rPr>
                    <w:t>居民</w:t>
                  </w:r>
                </w:p>
              </w:tc>
              <w:tc>
                <w:tcPr>
                  <w:tcW w:w="407" w:type="pct"/>
                  <w:tcBorders>
                    <w:left w:val="single" w:color="auto" w:sz="4" w:space="0"/>
                    <w:bottom w:val="single" w:color="auto" w:sz="4" w:space="0"/>
                    <w:right w:val="single" w:color="auto" w:sz="4" w:space="0"/>
                  </w:tcBorders>
                  <w:vAlign w:val="center"/>
                </w:tcPr>
                <w:p w14:paraId="47744186">
                  <w:pPr>
                    <w:adjustRightInd w:val="0"/>
                    <w:snapToGrid w:val="0"/>
                    <w:jc w:val="center"/>
                    <w:rPr>
                      <w:bCs/>
                      <w:sz w:val="18"/>
                      <w:szCs w:val="18"/>
                    </w:rPr>
                  </w:pPr>
                  <w:r>
                    <w:rPr>
                      <w:bCs/>
                      <w:sz w:val="18"/>
                      <w:szCs w:val="18"/>
                    </w:rPr>
                    <w:t>二类</w:t>
                  </w:r>
                </w:p>
              </w:tc>
              <w:tc>
                <w:tcPr>
                  <w:tcW w:w="443" w:type="pct"/>
                  <w:tcBorders>
                    <w:left w:val="single" w:color="auto" w:sz="4" w:space="0"/>
                    <w:bottom w:val="single" w:color="auto" w:sz="4" w:space="0"/>
                    <w:right w:val="single" w:color="auto" w:sz="4" w:space="0"/>
                  </w:tcBorders>
                  <w:vAlign w:val="center"/>
                </w:tcPr>
                <w:p w14:paraId="52028B4B">
                  <w:pPr>
                    <w:adjustRightInd w:val="0"/>
                    <w:snapToGrid w:val="0"/>
                    <w:jc w:val="center"/>
                    <w:rPr>
                      <w:bCs/>
                      <w:sz w:val="18"/>
                      <w:szCs w:val="18"/>
                    </w:rPr>
                  </w:pPr>
                  <w:r>
                    <w:rPr>
                      <w:bCs/>
                      <w:sz w:val="18"/>
                      <w:szCs w:val="18"/>
                    </w:rPr>
                    <w:t>东</w:t>
                  </w:r>
                </w:p>
              </w:tc>
              <w:tc>
                <w:tcPr>
                  <w:tcW w:w="433" w:type="pct"/>
                  <w:tcBorders>
                    <w:left w:val="single" w:color="auto" w:sz="4" w:space="0"/>
                    <w:bottom w:val="single" w:color="auto" w:sz="4" w:space="0"/>
                    <w:right w:val="single" w:color="auto" w:sz="4" w:space="0"/>
                  </w:tcBorders>
                  <w:vAlign w:val="center"/>
                </w:tcPr>
                <w:p w14:paraId="46A69F60">
                  <w:pPr>
                    <w:adjustRightInd w:val="0"/>
                    <w:snapToGrid w:val="0"/>
                    <w:jc w:val="center"/>
                    <w:rPr>
                      <w:bCs/>
                      <w:sz w:val="18"/>
                      <w:szCs w:val="18"/>
                    </w:rPr>
                  </w:pPr>
                  <w:r>
                    <w:rPr>
                      <w:bCs/>
                      <w:sz w:val="18"/>
                      <w:szCs w:val="18"/>
                    </w:rPr>
                    <w:t>485</w:t>
                  </w:r>
                </w:p>
              </w:tc>
            </w:tr>
            <w:tr w14:paraId="52C6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0" w:type="pct"/>
                  <w:tcBorders>
                    <w:left w:val="single" w:color="auto" w:sz="4" w:space="0"/>
                    <w:right w:val="single" w:color="auto" w:sz="4" w:space="0"/>
                  </w:tcBorders>
                  <w:vAlign w:val="center"/>
                </w:tcPr>
                <w:p w14:paraId="2F6C5073">
                  <w:pPr>
                    <w:adjustRightInd w:val="0"/>
                    <w:snapToGrid w:val="0"/>
                    <w:jc w:val="center"/>
                    <w:rPr>
                      <w:bCs/>
                      <w:sz w:val="18"/>
                      <w:szCs w:val="18"/>
                    </w:rPr>
                  </w:pPr>
                  <w:r>
                    <w:rPr>
                      <w:bCs/>
                      <w:sz w:val="18"/>
                      <w:szCs w:val="18"/>
                    </w:rPr>
                    <w:t>声环境</w:t>
                  </w:r>
                </w:p>
              </w:tc>
              <w:tc>
                <w:tcPr>
                  <w:tcW w:w="664" w:type="pct"/>
                  <w:tcBorders>
                    <w:left w:val="single" w:color="auto" w:sz="4" w:space="0"/>
                    <w:right w:val="single" w:color="auto" w:sz="4" w:space="0"/>
                  </w:tcBorders>
                  <w:vAlign w:val="center"/>
                </w:tcPr>
                <w:p w14:paraId="6957271D">
                  <w:pPr>
                    <w:adjustRightInd w:val="0"/>
                    <w:snapToGrid w:val="0"/>
                    <w:jc w:val="center"/>
                    <w:rPr>
                      <w:bCs/>
                      <w:sz w:val="18"/>
                      <w:szCs w:val="18"/>
                    </w:rPr>
                  </w:pPr>
                  <w:r>
                    <w:rPr>
                      <w:bCs/>
                      <w:sz w:val="18"/>
                      <w:szCs w:val="18"/>
                    </w:rPr>
                    <w:t>闹店人民法庭</w:t>
                  </w:r>
                </w:p>
              </w:tc>
              <w:tc>
                <w:tcPr>
                  <w:tcW w:w="776" w:type="pct"/>
                  <w:tcBorders>
                    <w:top w:val="single" w:color="auto" w:sz="4" w:space="0"/>
                    <w:left w:val="single" w:color="auto" w:sz="4" w:space="0"/>
                    <w:bottom w:val="single" w:color="auto" w:sz="4" w:space="0"/>
                    <w:right w:val="single" w:color="auto" w:sz="4" w:space="0"/>
                  </w:tcBorders>
                  <w:vAlign w:val="center"/>
                </w:tcPr>
                <w:p w14:paraId="4F846D7C">
                  <w:pPr>
                    <w:adjustRightInd w:val="0"/>
                    <w:snapToGrid w:val="0"/>
                    <w:jc w:val="center"/>
                    <w:rPr>
                      <w:bCs/>
                      <w:sz w:val="18"/>
                      <w:szCs w:val="18"/>
                    </w:rPr>
                  </w:pPr>
                  <w:r>
                    <w:rPr>
                      <w:bCs/>
                      <w:sz w:val="18"/>
                      <w:szCs w:val="18"/>
                    </w:rPr>
                    <w:t>113.222550</w:t>
                  </w:r>
                </w:p>
              </w:tc>
              <w:tc>
                <w:tcPr>
                  <w:tcW w:w="793" w:type="pct"/>
                  <w:tcBorders>
                    <w:top w:val="single" w:color="auto" w:sz="4" w:space="0"/>
                    <w:left w:val="single" w:color="auto" w:sz="4" w:space="0"/>
                    <w:bottom w:val="single" w:color="auto" w:sz="4" w:space="0"/>
                    <w:right w:val="single" w:color="auto" w:sz="4" w:space="0"/>
                  </w:tcBorders>
                  <w:vAlign w:val="center"/>
                </w:tcPr>
                <w:p w14:paraId="266901BE">
                  <w:pPr>
                    <w:adjustRightInd w:val="0"/>
                    <w:snapToGrid w:val="0"/>
                    <w:jc w:val="center"/>
                    <w:rPr>
                      <w:bCs/>
                      <w:sz w:val="18"/>
                      <w:szCs w:val="18"/>
                    </w:rPr>
                  </w:pPr>
                  <w:r>
                    <w:rPr>
                      <w:bCs/>
                      <w:sz w:val="18"/>
                      <w:szCs w:val="18"/>
                    </w:rPr>
                    <w:t>33.854415</w:t>
                  </w:r>
                </w:p>
              </w:tc>
              <w:tc>
                <w:tcPr>
                  <w:tcW w:w="596" w:type="pct"/>
                  <w:tcBorders>
                    <w:left w:val="single" w:color="auto" w:sz="4" w:space="0"/>
                    <w:bottom w:val="single" w:color="auto" w:sz="4" w:space="0"/>
                    <w:right w:val="single" w:color="auto" w:sz="4" w:space="0"/>
                  </w:tcBorders>
                  <w:vAlign w:val="center"/>
                </w:tcPr>
                <w:p w14:paraId="2574ABBE">
                  <w:pPr>
                    <w:adjustRightInd w:val="0"/>
                    <w:snapToGrid w:val="0"/>
                    <w:jc w:val="center"/>
                    <w:rPr>
                      <w:bCs/>
                      <w:sz w:val="18"/>
                      <w:szCs w:val="18"/>
                    </w:rPr>
                  </w:pPr>
                  <w:r>
                    <w:rPr>
                      <w:bCs/>
                      <w:sz w:val="18"/>
                      <w:szCs w:val="18"/>
                    </w:rPr>
                    <w:t>基层法院</w:t>
                  </w:r>
                </w:p>
              </w:tc>
              <w:tc>
                <w:tcPr>
                  <w:tcW w:w="468" w:type="pct"/>
                  <w:tcBorders>
                    <w:left w:val="single" w:color="auto" w:sz="4" w:space="0"/>
                    <w:right w:val="single" w:color="auto" w:sz="4" w:space="0"/>
                  </w:tcBorders>
                  <w:vAlign w:val="center"/>
                </w:tcPr>
                <w:p w14:paraId="07ED6A13">
                  <w:pPr>
                    <w:adjustRightInd w:val="0"/>
                    <w:snapToGrid w:val="0"/>
                    <w:jc w:val="center"/>
                    <w:rPr>
                      <w:bCs/>
                      <w:sz w:val="18"/>
                      <w:szCs w:val="18"/>
                    </w:rPr>
                  </w:pPr>
                  <w:r>
                    <w:rPr>
                      <w:bCs/>
                      <w:sz w:val="18"/>
                      <w:szCs w:val="18"/>
                    </w:rPr>
                    <w:t>机关人员</w:t>
                  </w:r>
                </w:p>
              </w:tc>
              <w:tc>
                <w:tcPr>
                  <w:tcW w:w="407" w:type="pct"/>
                  <w:tcBorders>
                    <w:left w:val="single" w:color="auto" w:sz="4" w:space="0"/>
                    <w:bottom w:val="single" w:color="auto" w:sz="4" w:space="0"/>
                    <w:right w:val="single" w:color="auto" w:sz="4" w:space="0"/>
                  </w:tcBorders>
                  <w:vAlign w:val="center"/>
                </w:tcPr>
                <w:p w14:paraId="3A0B0A68">
                  <w:pPr>
                    <w:adjustRightInd w:val="0"/>
                    <w:snapToGrid w:val="0"/>
                    <w:jc w:val="center"/>
                    <w:rPr>
                      <w:bCs/>
                      <w:sz w:val="18"/>
                      <w:szCs w:val="18"/>
                    </w:rPr>
                  </w:pPr>
                  <w:r>
                    <w:rPr>
                      <w:bCs/>
                      <w:sz w:val="18"/>
                      <w:szCs w:val="18"/>
                    </w:rPr>
                    <w:t>2类</w:t>
                  </w:r>
                </w:p>
              </w:tc>
              <w:tc>
                <w:tcPr>
                  <w:tcW w:w="443" w:type="pct"/>
                  <w:tcBorders>
                    <w:left w:val="single" w:color="auto" w:sz="4" w:space="0"/>
                    <w:bottom w:val="single" w:color="auto" w:sz="4" w:space="0"/>
                    <w:right w:val="single" w:color="auto" w:sz="4" w:space="0"/>
                  </w:tcBorders>
                  <w:vAlign w:val="center"/>
                </w:tcPr>
                <w:p w14:paraId="549B17C3">
                  <w:pPr>
                    <w:adjustRightInd w:val="0"/>
                    <w:snapToGrid w:val="0"/>
                    <w:jc w:val="center"/>
                    <w:rPr>
                      <w:bCs/>
                      <w:sz w:val="18"/>
                      <w:szCs w:val="18"/>
                    </w:rPr>
                  </w:pPr>
                  <w:r>
                    <w:rPr>
                      <w:bCs/>
                      <w:sz w:val="18"/>
                      <w:szCs w:val="18"/>
                    </w:rPr>
                    <w:t>东南</w:t>
                  </w:r>
                </w:p>
              </w:tc>
              <w:tc>
                <w:tcPr>
                  <w:tcW w:w="433" w:type="pct"/>
                  <w:tcBorders>
                    <w:left w:val="single" w:color="auto" w:sz="4" w:space="0"/>
                    <w:bottom w:val="single" w:color="auto" w:sz="4" w:space="0"/>
                    <w:right w:val="single" w:color="auto" w:sz="4" w:space="0"/>
                  </w:tcBorders>
                  <w:vAlign w:val="center"/>
                </w:tcPr>
                <w:p w14:paraId="5CEB87D4">
                  <w:pPr>
                    <w:adjustRightInd w:val="0"/>
                    <w:snapToGrid w:val="0"/>
                    <w:jc w:val="center"/>
                    <w:rPr>
                      <w:bCs/>
                      <w:sz w:val="18"/>
                      <w:szCs w:val="18"/>
                    </w:rPr>
                  </w:pPr>
                  <w:r>
                    <w:rPr>
                      <w:bCs/>
                      <w:sz w:val="18"/>
                      <w:szCs w:val="18"/>
                    </w:rPr>
                    <w:t>紧邻</w:t>
                  </w:r>
                </w:p>
              </w:tc>
            </w:tr>
            <w:tr w14:paraId="7EDD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20" w:type="pct"/>
                  <w:vMerge w:val="restart"/>
                  <w:tcBorders>
                    <w:top w:val="single" w:color="auto" w:sz="4" w:space="0"/>
                    <w:left w:val="single" w:color="auto" w:sz="4" w:space="0"/>
                    <w:right w:val="single" w:color="auto" w:sz="4" w:space="0"/>
                  </w:tcBorders>
                  <w:vAlign w:val="center"/>
                </w:tcPr>
                <w:p w14:paraId="6AFA4C0E">
                  <w:pPr>
                    <w:jc w:val="center"/>
                    <w:rPr>
                      <w:bCs/>
                      <w:sz w:val="18"/>
                      <w:szCs w:val="18"/>
                    </w:rPr>
                  </w:pPr>
                  <w:r>
                    <w:rPr>
                      <w:bCs/>
                      <w:sz w:val="18"/>
                      <w:szCs w:val="18"/>
                    </w:rPr>
                    <w:t>地表水</w:t>
                  </w:r>
                </w:p>
              </w:tc>
              <w:tc>
                <w:tcPr>
                  <w:tcW w:w="664" w:type="pct"/>
                  <w:tcBorders>
                    <w:top w:val="single" w:color="auto" w:sz="4" w:space="0"/>
                    <w:left w:val="single" w:color="auto" w:sz="4" w:space="0"/>
                    <w:bottom w:val="single" w:color="auto" w:sz="4" w:space="0"/>
                    <w:right w:val="single" w:color="auto" w:sz="4" w:space="0"/>
                  </w:tcBorders>
                  <w:vAlign w:val="center"/>
                </w:tcPr>
                <w:p w14:paraId="1F449B11">
                  <w:pPr>
                    <w:jc w:val="center"/>
                    <w:rPr>
                      <w:bCs/>
                      <w:sz w:val="18"/>
                      <w:szCs w:val="18"/>
                    </w:rPr>
                  </w:pPr>
                  <w:r>
                    <w:rPr>
                      <w:bCs/>
                      <w:sz w:val="18"/>
                      <w:szCs w:val="18"/>
                    </w:rPr>
                    <w:t>寨沟</w:t>
                  </w:r>
                </w:p>
              </w:tc>
              <w:tc>
                <w:tcPr>
                  <w:tcW w:w="776" w:type="pct"/>
                  <w:tcBorders>
                    <w:top w:val="single" w:color="auto" w:sz="4" w:space="0"/>
                    <w:left w:val="single" w:color="auto" w:sz="4" w:space="0"/>
                    <w:bottom w:val="single" w:color="auto" w:sz="4" w:space="0"/>
                    <w:right w:val="single" w:color="auto" w:sz="4" w:space="0"/>
                  </w:tcBorders>
                  <w:vAlign w:val="center"/>
                </w:tcPr>
                <w:p w14:paraId="25FD96E5">
                  <w:pPr>
                    <w:jc w:val="center"/>
                    <w:rPr>
                      <w:bCs/>
                      <w:sz w:val="18"/>
                      <w:szCs w:val="18"/>
                    </w:rPr>
                  </w:pPr>
                  <w:r>
                    <w:rPr>
                      <w:bCs/>
                      <w:sz w:val="18"/>
                      <w:szCs w:val="18"/>
                    </w:rPr>
                    <w:t>/</w:t>
                  </w:r>
                </w:p>
              </w:tc>
              <w:tc>
                <w:tcPr>
                  <w:tcW w:w="793" w:type="pct"/>
                  <w:tcBorders>
                    <w:top w:val="single" w:color="auto" w:sz="4" w:space="0"/>
                    <w:left w:val="single" w:color="auto" w:sz="4" w:space="0"/>
                    <w:bottom w:val="single" w:color="auto" w:sz="4" w:space="0"/>
                    <w:right w:val="single" w:color="auto" w:sz="4" w:space="0"/>
                  </w:tcBorders>
                  <w:vAlign w:val="center"/>
                </w:tcPr>
                <w:p w14:paraId="0C92A01E">
                  <w:pPr>
                    <w:jc w:val="center"/>
                    <w:rPr>
                      <w:bCs/>
                      <w:sz w:val="18"/>
                      <w:szCs w:val="18"/>
                    </w:rPr>
                  </w:pPr>
                  <w:r>
                    <w:rPr>
                      <w:bCs/>
                      <w:sz w:val="18"/>
                      <w:szCs w:val="18"/>
                    </w:rPr>
                    <w:t>/</w:t>
                  </w:r>
                </w:p>
              </w:tc>
              <w:tc>
                <w:tcPr>
                  <w:tcW w:w="596" w:type="pct"/>
                  <w:tcBorders>
                    <w:top w:val="single" w:color="auto" w:sz="4" w:space="0"/>
                    <w:left w:val="single" w:color="auto" w:sz="4" w:space="0"/>
                    <w:bottom w:val="single" w:color="auto" w:sz="4" w:space="0"/>
                    <w:right w:val="single" w:color="auto" w:sz="4" w:space="0"/>
                  </w:tcBorders>
                  <w:vAlign w:val="center"/>
                </w:tcPr>
                <w:p w14:paraId="701558F7">
                  <w:pPr>
                    <w:jc w:val="center"/>
                    <w:rPr>
                      <w:bCs/>
                      <w:sz w:val="18"/>
                      <w:szCs w:val="18"/>
                    </w:rPr>
                  </w:pPr>
                  <w:r>
                    <w:rPr>
                      <w:bCs/>
                      <w:sz w:val="18"/>
                      <w:szCs w:val="18"/>
                    </w:rPr>
                    <w:t>河流</w:t>
                  </w:r>
                </w:p>
              </w:tc>
              <w:tc>
                <w:tcPr>
                  <w:tcW w:w="468" w:type="pct"/>
                  <w:tcBorders>
                    <w:top w:val="single" w:color="auto" w:sz="4" w:space="0"/>
                    <w:left w:val="single" w:color="auto" w:sz="4" w:space="0"/>
                    <w:bottom w:val="single" w:color="auto" w:sz="4" w:space="0"/>
                    <w:right w:val="single" w:color="auto" w:sz="4" w:space="0"/>
                  </w:tcBorders>
                  <w:vAlign w:val="center"/>
                </w:tcPr>
                <w:p w14:paraId="7E02F32A">
                  <w:pPr>
                    <w:jc w:val="center"/>
                    <w:rPr>
                      <w:bCs/>
                      <w:sz w:val="18"/>
                      <w:szCs w:val="18"/>
                    </w:rPr>
                  </w:pPr>
                  <w:r>
                    <w:rPr>
                      <w:bCs/>
                      <w:sz w:val="18"/>
                      <w:szCs w:val="18"/>
                    </w:rPr>
                    <w:t>地表水</w:t>
                  </w:r>
                </w:p>
              </w:tc>
              <w:tc>
                <w:tcPr>
                  <w:tcW w:w="407" w:type="pct"/>
                  <w:tcBorders>
                    <w:top w:val="single" w:color="auto" w:sz="4" w:space="0"/>
                    <w:left w:val="single" w:color="auto" w:sz="4" w:space="0"/>
                    <w:bottom w:val="single" w:color="auto" w:sz="4" w:space="0"/>
                    <w:right w:val="single" w:color="auto" w:sz="4" w:space="0"/>
                  </w:tcBorders>
                  <w:vAlign w:val="center"/>
                </w:tcPr>
                <w:p w14:paraId="523780C7">
                  <w:pPr>
                    <w:jc w:val="center"/>
                    <w:rPr>
                      <w:bCs/>
                      <w:sz w:val="18"/>
                      <w:szCs w:val="18"/>
                    </w:rPr>
                  </w:pPr>
                  <w:r>
                    <w:rPr>
                      <w:bCs/>
                      <w:sz w:val="18"/>
                      <w:szCs w:val="18"/>
                    </w:rPr>
                    <w:t>Ⅲ类</w:t>
                  </w:r>
                </w:p>
              </w:tc>
              <w:tc>
                <w:tcPr>
                  <w:tcW w:w="443" w:type="pct"/>
                  <w:tcBorders>
                    <w:top w:val="single" w:color="auto" w:sz="4" w:space="0"/>
                    <w:left w:val="single" w:color="auto" w:sz="4" w:space="0"/>
                    <w:bottom w:val="single" w:color="auto" w:sz="4" w:space="0"/>
                    <w:right w:val="single" w:color="auto" w:sz="4" w:space="0"/>
                  </w:tcBorders>
                  <w:vAlign w:val="center"/>
                </w:tcPr>
                <w:p w14:paraId="36542923">
                  <w:pPr>
                    <w:jc w:val="center"/>
                    <w:rPr>
                      <w:bCs/>
                      <w:sz w:val="18"/>
                      <w:szCs w:val="18"/>
                    </w:rPr>
                  </w:pPr>
                  <w:r>
                    <w:rPr>
                      <w:bCs/>
                      <w:sz w:val="18"/>
                      <w:szCs w:val="18"/>
                    </w:rPr>
                    <w:t>W</w:t>
                  </w:r>
                </w:p>
              </w:tc>
              <w:tc>
                <w:tcPr>
                  <w:tcW w:w="433" w:type="pct"/>
                  <w:tcBorders>
                    <w:top w:val="single" w:color="auto" w:sz="4" w:space="0"/>
                    <w:left w:val="single" w:color="auto" w:sz="4" w:space="0"/>
                    <w:bottom w:val="single" w:color="auto" w:sz="4" w:space="0"/>
                    <w:right w:val="single" w:color="auto" w:sz="4" w:space="0"/>
                  </w:tcBorders>
                  <w:vAlign w:val="center"/>
                </w:tcPr>
                <w:p w14:paraId="55BAEB32">
                  <w:pPr>
                    <w:jc w:val="center"/>
                    <w:rPr>
                      <w:bCs/>
                      <w:sz w:val="18"/>
                      <w:szCs w:val="18"/>
                    </w:rPr>
                  </w:pPr>
                  <w:r>
                    <w:rPr>
                      <w:bCs/>
                      <w:sz w:val="18"/>
                      <w:szCs w:val="18"/>
                    </w:rPr>
                    <w:t>650</w:t>
                  </w:r>
                </w:p>
              </w:tc>
            </w:tr>
            <w:tr w14:paraId="152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20" w:type="pct"/>
                  <w:vMerge w:val="continue"/>
                  <w:tcBorders>
                    <w:left w:val="single" w:color="auto" w:sz="4" w:space="0"/>
                    <w:right w:val="single" w:color="auto" w:sz="4" w:space="0"/>
                  </w:tcBorders>
                  <w:vAlign w:val="center"/>
                </w:tcPr>
                <w:p w14:paraId="1C662028">
                  <w:pPr>
                    <w:jc w:val="center"/>
                    <w:rPr>
                      <w:bCs/>
                      <w:sz w:val="18"/>
                      <w:szCs w:val="18"/>
                    </w:rPr>
                  </w:pPr>
                </w:p>
              </w:tc>
              <w:tc>
                <w:tcPr>
                  <w:tcW w:w="664" w:type="pct"/>
                  <w:tcBorders>
                    <w:top w:val="single" w:color="auto" w:sz="4" w:space="0"/>
                    <w:left w:val="single" w:color="auto" w:sz="4" w:space="0"/>
                    <w:right w:val="single" w:color="auto" w:sz="4" w:space="0"/>
                  </w:tcBorders>
                  <w:vAlign w:val="center"/>
                </w:tcPr>
                <w:p w14:paraId="14EC5DB3">
                  <w:pPr>
                    <w:jc w:val="center"/>
                    <w:rPr>
                      <w:bCs/>
                      <w:sz w:val="18"/>
                      <w:szCs w:val="18"/>
                    </w:rPr>
                  </w:pPr>
                  <w:r>
                    <w:rPr>
                      <w:bCs/>
                      <w:sz w:val="18"/>
                      <w:szCs w:val="18"/>
                    </w:rPr>
                    <w:t>柳杨河</w:t>
                  </w:r>
                </w:p>
              </w:tc>
              <w:tc>
                <w:tcPr>
                  <w:tcW w:w="776" w:type="pct"/>
                  <w:tcBorders>
                    <w:top w:val="single" w:color="auto" w:sz="4" w:space="0"/>
                    <w:left w:val="single" w:color="auto" w:sz="4" w:space="0"/>
                    <w:bottom w:val="single" w:color="auto" w:sz="4" w:space="0"/>
                    <w:right w:val="single" w:color="auto" w:sz="4" w:space="0"/>
                  </w:tcBorders>
                  <w:vAlign w:val="center"/>
                </w:tcPr>
                <w:p w14:paraId="4AD35439">
                  <w:pPr>
                    <w:jc w:val="center"/>
                    <w:rPr>
                      <w:bCs/>
                      <w:sz w:val="18"/>
                      <w:szCs w:val="18"/>
                    </w:rPr>
                  </w:pPr>
                  <w:r>
                    <w:rPr>
                      <w:bCs/>
                      <w:sz w:val="18"/>
                      <w:szCs w:val="18"/>
                    </w:rPr>
                    <w:t>/</w:t>
                  </w:r>
                </w:p>
              </w:tc>
              <w:tc>
                <w:tcPr>
                  <w:tcW w:w="793" w:type="pct"/>
                  <w:tcBorders>
                    <w:top w:val="single" w:color="auto" w:sz="4" w:space="0"/>
                    <w:left w:val="single" w:color="auto" w:sz="4" w:space="0"/>
                    <w:bottom w:val="single" w:color="auto" w:sz="4" w:space="0"/>
                    <w:right w:val="single" w:color="auto" w:sz="4" w:space="0"/>
                  </w:tcBorders>
                  <w:vAlign w:val="center"/>
                </w:tcPr>
                <w:p w14:paraId="2852F164">
                  <w:pPr>
                    <w:jc w:val="center"/>
                    <w:rPr>
                      <w:bCs/>
                      <w:sz w:val="18"/>
                      <w:szCs w:val="18"/>
                    </w:rPr>
                  </w:pPr>
                  <w:r>
                    <w:rPr>
                      <w:bCs/>
                      <w:sz w:val="18"/>
                      <w:szCs w:val="18"/>
                    </w:rPr>
                    <w:t>/</w:t>
                  </w:r>
                </w:p>
              </w:tc>
              <w:tc>
                <w:tcPr>
                  <w:tcW w:w="596" w:type="pct"/>
                  <w:tcBorders>
                    <w:top w:val="single" w:color="auto" w:sz="4" w:space="0"/>
                    <w:left w:val="single" w:color="auto" w:sz="4" w:space="0"/>
                    <w:bottom w:val="single" w:color="auto" w:sz="4" w:space="0"/>
                    <w:right w:val="single" w:color="auto" w:sz="4" w:space="0"/>
                  </w:tcBorders>
                  <w:vAlign w:val="center"/>
                </w:tcPr>
                <w:p w14:paraId="11034546">
                  <w:pPr>
                    <w:jc w:val="center"/>
                    <w:rPr>
                      <w:bCs/>
                      <w:sz w:val="18"/>
                      <w:szCs w:val="18"/>
                    </w:rPr>
                  </w:pPr>
                  <w:r>
                    <w:rPr>
                      <w:bCs/>
                      <w:sz w:val="18"/>
                      <w:szCs w:val="18"/>
                    </w:rPr>
                    <w:t>河流</w:t>
                  </w:r>
                </w:p>
              </w:tc>
              <w:tc>
                <w:tcPr>
                  <w:tcW w:w="468" w:type="pct"/>
                  <w:tcBorders>
                    <w:top w:val="single" w:color="auto" w:sz="4" w:space="0"/>
                    <w:left w:val="single" w:color="auto" w:sz="4" w:space="0"/>
                    <w:right w:val="single" w:color="auto" w:sz="4" w:space="0"/>
                  </w:tcBorders>
                  <w:vAlign w:val="center"/>
                </w:tcPr>
                <w:p w14:paraId="45854DE5">
                  <w:pPr>
                    <w:jc w:val="center"/>
                    <w:rPr>
                      <w:bCs/>
                      <w:sz w:val="18"/>
                      <w:szCs w:val="18"/>
                    </w:rPr>
                  </w:pPr>
                  <w:r>
                    <w:rPr>
                      <w:bCs/>
                      <w:sz w:val="18"/>
                      <w:szCs w:val="18"/>
                    </w:rPr>
                    <w:t>地表水</w:t>
                  </w:r>
                </w:p>
              </w:tc>
              <w:tc>
                <w:tcPr>
                  <w:tcW w:w="407" w:type="pct"/>
                  <w:tcBorders>
                    <w:top w:val="single" w:color="auto" w:sz="4" w:space="0"/>
                    <w:left w:val="single" w:color="auto" w:sz="4" w:space="0"/>
                    <w:bottom w:val="single" w:color="auto" w:sz="4" w:space="0"/>
                    <w:right w:val="single" w:color="auto" w:sz="4" w:space="0"/>
                  </w:tcBorders>
                  <w:vAlign w:val="center"/>
                </w:tcPr>
                <w:p w14:paraId="260A1E43">
                  <w:pPr>
                    <w:jc w:val="center"/>
                    <w:rPr>
                      <w:bCs/>
                      <w:sz w:val="18"/>
                      <w:szCs w:val="18"/>
                    </w:rPr>
                  </w:pPr>
                  <w:r>
                    <w:rPr>
                      <w:bCs/>
                      <w:sz w:val="18"/>
                      <w:szCs w:val="18"/>
                    </w:rPr>
                    <w:t>Ⅲ类</w:t>
                  </w:r>
                </w:p>
              </w:tc>
              <w:tc>
                <w:tcPr>
                  <w:tcW w:w="443" w:type="pct"/>
                  <w:tcBorders>
                    <w:top w:val="single" w:color="auto" w:sz="4" w:space="0"/>
                    <w:left w:val="single" w:color="auto" w:sz="4" w:space="0"/>
                    <w:bottom w:val="single" w:color="auto" w:sz="4" w:space="0"/>
                    <w:right w:val="single" w:color="auto" w:sz="4" w:space="0"/>
                  </w:tcBorders>
                  <w:vAlign w:val="center"/>
                </w:tcPr>
                <w:p w14:paraId="6D37C289">
                  <w:pPr>
                    <w:jc w:val="center"/>
                    <w:rPr>
                      <w:bCs/>
                      <w:sz w:val="18"/>
                      <w:szCs w:val="18"/>
                    </w:rPr>
                  </w:pPr>
                  <w:r>
                    <w:rPr>
                      <w:bCs/>
                      <w:sz w:val="18"/>
                      <w:szCs w:val="18"/>
                    </w:rPr>
                    <w:t>W</w:t>
                  </w:r>
                </w:p>
              </w:tc>
              <w:tc>
                <w:tcPr>
                  <w:tcW w:w="433" w:type="pct"/>
                  <w:tcBorders>
                    <w:top w:val="single" w:color="auto" w:sz="4" w:space="0"/>
                    <w:left w:val="single" w:color="auto" w:sz="4" w:space="0"/>
                    <w:bottom w:val="single" w:color="auto" w:sz="4" w:space="0"/>
                    <w:right w:val="single" w:color="auto" w:sz="4" w:space="0"/>
                  </w:tcBorders>
                  <w:vAlign w:val="center"/>
                </w:tcPr>
                <w:p w14:paraId="0F2EE594">
                  <w:pPr>
                    <w:jc w:val="center"/>
                    <w:rPr>
                      <w:bCs/>
                      <w:sz w:val="18"/>
                      <w:szCs w:val="18"/>
                    </w:rPr>
                  </w:pPr>
                  <w:r>
                    <w:rPr>
                      <w:bCs/>
                      <w:sz w:val="18"/>
                      <w:szCs w:val="18"/>
                    </w:rPr>
                    <w:t>1800</w:t>
                  </w:r>
                </w:p>
              </w:tc>
            </w:tr>
          </w:tbl>
          <w:p w14:paraId="5A346589">
            <w:pPr>
              <w:adjustRightInd w:val="0"/>
              <w:snapToGrid w:val="0"/>
              <w:spacing w:line="520" w:lineRule="exact"/>
              <w:rPr>
                <w:color w:val="EE0000"/>
                <w:sz w:val="24"/>
              </w:rPr>
            </w:pPr>
          </w:p>
        </w:tc>
      </w:tr>
      <w:tr w14:paraId="6F5F7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3" w:hRule="atLeast"/>
          <w:jc w:val="center"/>
        </w:trPr>
        <w:tc>
          <w:tcPr>
            <w:tcW w:w="456" w:type="dxa"/>
            <w:tcMar>
              <w:left w:w="28" w:type="dxa"/>
              <w:right w:w="28" w:type="dxa"/>
            </w:tcMar>
            <w:vAlign w:val="center"/>
          </w:tcPr>
          <w:p w14:paraId="4A559A34">
            <w:pPr>
              <w:adjustRightInd w:val="0"/>
              <w:snapToGrid w:val="0"/>
              <w:jc w:val="center"/>
              <w:rPr>
                <w:kern w:val="0"/>
                <w:sz w:val="24"/>
              </w:rPr>
            </w:pPr>
            <w:r>
              <w:rPr>
                <w:kern w:val="0"/>
                <w:sz w:val="24"/>
              </w:rPr>
              <w:t>污染</w:t>
            </w:r>
          </w:p>
          <w:p w14:paraId="5109887E">
            <w:pPr>
              <w:adjustRightInd w:val="0"/>
              <w:snapToGrid w:val="0"/>
              <w:jc w:val="center"/>
              <w:rPr>
                <w:kern w:val="0"/>
                <w:sz w:val="24"/>
              </w:rPr>
            </w:pPr>
            <w:r>
              <w:rPr>
                <w:kern w:val="0"/>
                <w:sz w:val="24"/>
              </w:rPr>
              <w:t>物排</w:t>
            </w:r>
          </w:p>
          <w:p w14:paraId="75C62E2D">
            <w:pPr>
              <w:adjustRightInd w:val="0"/>
              <w:snapToGrid w:val="0"/>
              <w:jc w:val="center"/>
              <w:rPr>
                <w:kern w:val="0"/>
                <w:sz w:val="24"/>
              </w:rPr>
            </w:pPr>
            <w:r>
              <w:rPr>
                <w:kern w:val="0"/>
                <w:sz w:val="24"/>
              </w:rPr>
              <w:t>放控</w:t>
            </w:r>
          </w:p>
          <w:p w14:paraId="4EE65D79">
            <w:pPr>
              <w:adjustRightInd w:val="0"/>
              <w:snapToGrid w:val="0"/>
              <w:jc w:val="center"/>
              <w:rPr>
                <w:kern w:val="0"/>
                <w:sz w:val="24"/>
              </w:rPr>
            </w:pPr>
            <w:r>
              <w:rPr>
                <w:kern w:val="0"/>
                <w:sz w:val="24"/>
              </w:rPr>
              <w:t>制标</w:t>
            </w:r>
          </w:p>
          <w:p w14:paraId="769CBECC">
            <w:pPr>
              <w:adjustRightInd w:val="0"/>
              <w:snapToGrid w:val="0"/>
              <w:jc w:val="center"/>
              <w:rPr>
                <w:color w:val="EE0000"/>
                <w:kern w:val="0"/>
                <w:szCs w:val="21"/>
              </w:rPr>
            </w:pPr>
            <w:r>
              <w:rPr>
                <w:kern w:val="0"/>
                <w:sz w:val="24"/>
              </w:rPr>
              <w:t>准</w:t>
            </w:r>
          </w:p>
        </w:tc>
        <w:tc>
          <w:tcPr>
            <w:tcW w:w="8411" w:type="dxa"/>
            <w:vAlign w:val="center"/>
          </w:tcPr>
          <w:p w14:paraId="7650A220">
            <w:pPr>
              <w:pStyle w:val="82"/>
              <w:kinsoku w:val="0"/>
              <w:overflowPunct w:val="0"/>
              <w:spacing w:line="500" w:lineRule="exact"/>
              <w:ind w:firstLine="480" w:firstLineChars="200"/>
              <w:jc w:val="center"/>
              <w:rPr>
                <w:rFonts w:eastAsia="黑体"/>
                <w:bCs/>
                <w:kern w:val="2"/>
              </w:rPr>
            </w:pPr>
            <w:r>
              <w:rPr>
                <w:rFonts w:eastAsia="黑体"/>
                <w:bCs/>
                <w:kern w:val="2"/>
              </w:rPr>
              <w:t>表3-10          本项目污染物排放标准一览表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642"/>
              <w:gridCol w:w="1996"/>
              <w:gridCol w:w="426"/>
              <w:gridCol w:w="1239"/>
              <w:gridCol w:w="192"/>
              <w:gridCol w:w="817"/>
              <w:gridCol w:w="909"/>
              <w:gridCol w:w="576"/>
              <w:gridCol w:w="1388"/>
            </w:tblGrid>
            <w:tr w14:paraId="002B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trPr>
              <w:tc>
                <w:tcPr>
                  <w:tcW w:w="393" w:type="pct"/>
                  <w:tcBorders>
                    <w:top w:val="single" w:color="auto" w:sz="4" w:space="0"/>
                    <w:left w:val="single" w:color="auto" w:sz="4" w:space="0"/>
                    <w:bottom w:val="single" w:color="auto" w:sz="4" w:space="0"/>
                    <w:right w:val="single" w:color="auto" w:sz="4" w:space="0"/>
                  </w:tcBorders>
                  <w:vAlign w:val="center"/>
                </w:tcPr>
                <w:p w14:paraId="18582B13">
                  <w:pPr>
                    <w:snapToGrid w:val="0"/>
                    <w:jc w:val="center"/>
                    <w:rPr>
                      <w:snapToGrid w:val="0"/>
                      <w:kern w:val="0"/>
                      <w:szCs w:val="21"/>
                    </w:rPr>
                  </w:pPr>
                  <w:r>
                    <w:rPr>
                      <w:snapToGrid w:val="0"/>
                      <w:kern w:val="0"/>
                      <w:szCs w:val="21"/>
                    </w:rPr>
                    <w:t>环境</w:t>
                  </w:r>
                </w:p>
                <w:p w14:paraId="09793041">
                  <w:pPr>
                    <w:snapToGrid w:val="0"/>
                    <w:jc w:val="center"/>
                    <w:rPr>
                      <w:snapToGrid w:val="0"/>
                      <w:kern w:val="0"/>
                      <w:szCs w:val="21"/>
                    </w:rPr>
                  </w:pPr>
                  <w:r>
                    <w:rPr>
                      <w:snapToGrid w:val="0"/>
                      <w:kern w:val="0"/>
                      <w:szCs w:val="21"/>
                    </w:rPr>
                    <w:t>要素</w:t>
                  </w:r>
                </w:p>
              </w:tc>
              <w:tc>
                <w:tcPr>
                  <w:tcW w:w="1219" w:type="pct"/>
                  <w:tcBorders>
                    <w:top w:val="single" w:color="auto" w:sz="4" w:space="0"/>
                    <w:left w:val="single" w:color="auto" w:sz="4" w:space="0"/>
                    <w:bottom w:val="single" w:color="auto" w:sz="4" w:space="0"/>
                    <w:right w:val="single" w:color="auto" w:sz="4" w:space="0"/>
                  </w:tcBorders>
                  <w:vAlign w:val="center"/>
                </w:tcPr>
                <w:p w14:paraId="093CD182">
                  <w:pPr>
                    <w:snapToGrid w:val="0"/>
                    <w:jc w:val="center"/>
                    <w:rPr>
                      <w:snapToGrid w:val="0"/>
                      <w:kern w:val="0"/>
                      <w:szCs w:val="21"/>
                    </w:rPr>
                  </w:pPr>
                  <w:r>
                    <w:rPr>
                      <w:snapToGrid w:val="0"/>
                      <w:kern w:val="0"/>
                      <w:szCs w:val="21"/>
                    </w:rPr>
                    <w:t>标准名称</w:t>
                  </w:r>
                </w:p>
              </w:tc>
              <w:tc>
                <w:tcPr>
                  <w:tcW w:w="2540" w:type="pct"/>
                  <w:gridSpan w:val="6"/>
                  <w:tcBorders>
                    <w:top w:val="single" w:color="auto" w:sz="4" w:space="0"/>
                    <w:left w:val="single" w:color="auto" w:sz="4" w:space="0"/>
                    <w:bottom w:val="single" w:color="auto" w:sz="4" w:space="0"/>
                    <w:right w:val="single" w:color="auto" w:sz="4" w:space="0"/>
                  </w:tcBorders>
                  <w:vAlign w:val="center"/>
                </w:tcPr>
                <w:p w14:paraId="7D3E1BEC">
                  <w:pPr>
                    <w:snapToGrid w:val="0"/>
                    <w:jc w:val="center"/>
                    <w:rPr>
                      <w:snapToGrid w:val="0"/>
                      <w:kern w:val="0"/>
                      <w:szCs w:val="21"/>
                    </w:rPr>
                  </w:pPr>
                  <w:r>
                    <w:rPr>
                      <w:snapToGrid w:val="0"/>
                      <w:kern w:val="0"/>
                      <w:szCs w:val="21"/>
                    </w:rPr>
                    <w:t>污染物</w:t>
                  </w:r>
                </w:p>
              </w:tc>
              <w:tc>
                <w:tcPr>
                  <w:tcW w:w="848" w:type="pct"/>
                  <w:tcBorders>
                    <w:top w:val="single" w:color="auto" w:sz="4" w:space="0"/>
                    <w:left w:val="single" w:color="auto" w:sz="4" w:space="0"/>
                    <w:bottom w:val="single" w:color="auto" w:sz="4" w:space="0"/>
                    <w:right w:val="single" w:color="auto" w:sz="4" w:space="0"/>
                  </w:tcBorders>
                  <w:vAlign w:val="center"/>
                </w:tcPr>
                <w:p w14:paraId="52C239AC">
                  <w:pPr>
                    <w:snapToGrid w:val="0"/>
                    <w:jc w:val="center"/>
                    <w:rPr>
                      <w:snapToGrid w:val="0"/>
                      <w:kern w:val="0"/>
                      <w:szCs w:val="21"/>
                    </w:rPr>
                  </w:pPr>
                  <w:r>
                    <w:rPr>
                      <w:snapToGrid w:val="0"/>
                      <w:kern w:val="0"/>
                      <w:szCs w:val="21"/>
                    </w:rPr>
                    <w:t>主要标准要求</w:t>
                  </w:r>
                </w:p>
              </w:tc>
            </w:tr>
            <w:tr w14:paraId="70E5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7" w:hRule="atLeast"/>
              </w:trPr>
              <w:tc>
                <w:tcPr>
                  <w:tcW w:w="393" w:type="pct"/>
                  <w:vMerge w:val="restart"/>
                  <w:tcBorders>
                    <w:top w:val="single" w:color="auto" w:sz="4" w:space="0"/>
                    <w:left w:val="single" w:color="auto" w:sz="4" w:space="0"/>
                    <w:right w:val="single" w:color="auto" w:sz="4" w:space="0"/>
                  </w:tcBorders>
                  <w:vAlign w:val="center"/>
                </w:tcPr>
                <w:p w14:paraId="1D4C3699">
                  <w:pPr>
                    <w:snapToGrid w:val="0"/>
                    <w:jc w:val="center"/>
                    <w:rPr>
                      <w:snapToGrid w:val="0"/>
                      <w:kern w:val="0"/>
                      <w:szCs w:val="21"/>
                    </w:rPr>
                  </w:pPr>
                  <w:r>
                    <w:rPr>
                      <w:snapToGrid w:val="0"/>
                      <w:kern w:val="0"/>
                      <w:szCs w:val="21"/>
                    </w:rPr>
                    <w:t>废气</w:t>
                  </w:r>
                </w:p>
              </w:tc>
              <w:tc>
                <w:tcPr>
                  <w:tcW w:w="1219" w:type="pct"/>
                  <w:vMerge w:val="restart"/>
                  <w:tcBorders>
                    <w:top w:val="single" w:color="auto" w:sz="4" w:space="0"/>
                    <w:left w:val="single" w:color="auto" w:sz="4" w:space="0"/>
                    <w:right w:val="single" w:color="auto" w:sz="4" w:space="0"/>
                  </w:tcBorders>
                  <w:vAlign w:val="center"/>
                </w:tcPr>
                <w:p w14:paraId="0FD748A7">
                  <w:pPr>
                    <w:snapToGrid w:val="0"/>
                    <w:jc w:val="center"/>
                    <w:rPr>
                      <w:snapToGrid w:val="0"/>
                      <w:kern w:val="0"/>
                      <w:szCs w:val="21"/>
                      <w:highlight w:val="yellow"/>
                    </w:rPr>
                  </w:pPr>
                  <w:r>
                    <w:rPr>
                      <w:snapToGrid w:val="0"/>
                      <w:kern w:val="0"/>
                      <w:szCs w:val="21"/>
                    </w:rPr>
                    <w:t>《砖瓦工业大气污染物排放标准》（DB41/2234-2022）</w:t>
                  </w:r>
                </w:p>
              </w:tc>
              <w:tc>
                <w:tcPr>
                  <w:tcW w:w="260" w:type="pct"/>
                  <w:vMerge w:val="restart"/>
                  <w:tcBorders>
                    <w:top w:val="single" w:color="auto" w:sz="4" w:space="0"/>
                    <w:left w:val="single" w:color="auto" w:sz="4" w:space="0"/>
                    <w:right w:val="single" w:color="auto" w:sz="4" w:space="0"/>
                  </w:tcBorders>
                  <w:vAlign w:val="center"/>
                </w:tcPr>
                <w:p w14:paraId="510AF1F4">
                  <w:pPr>
                    <w:pStyle w:val="11"/>
                    <w:snapToGrid w:val="0"/>
                    <w:rPr>
                      <w:snapToGrid w:val="0"/>
                      <w:kern w:val="0"/>
                      <w:szCs w:val="21"/>
                    </w:rPr>
                  </w:pPr>
                  <w:r>
                    <w:rPr>
                      <w:snapToGrid w:val="0"/>
                      <w:kern w:val="0"/>
                      <w:szCs w:val="21"/>
                    </w:rPr>
                    <w:t>有组织排放</w:t>
                  </w:r>
                </w:p>
              </w:tc>
              <w:tc>
                <w:tcPr>
                  <w:tcW w:w="757" w:type="pct"/>
                  <w:tcBorders>
                    <w:top w:val="single" w:color="auto" w:sz="4" w:space="0"/>
                    <w:left w:val="single" w:color="auto" w:sz="4" w:space="0"/>
                    <w:bottom w:val="single" w:color="auto" w:sz="4" w:space="0"/>
                    <w:right w:val="single" w:color="auto" w:sz="4" w:space="0"/>
                  </w:tcBorders>
                  <w:vAlign w:val="center"/>
                </w:tcPr>
                <w:p w14:paraId="2BF0FBD4">
                  <w:pPr>
                    <w:pStyle w:val="11"/>
                    <w:snapToGrid w:val="0"/>
                    <w:rPr>
                      <w:snapToGrid w:val="0"/>
                      <w:kern w:val="0"/>
                      <w:szCs w:val="21"/>
                    </w:rPr>
                  </w:pPr>
                  <w:r>
                    <w:rPr>
                      <w:snapToGrid w:val="0"/>
                      <w:kern w:val="0"/>
                      <w:szCs w:val="21"/>
                    </w:rPr>
                    <w:t>原料制备、成型</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56F9B3DA">
                  <w:pPr>
                    <w:pStyle w:val="11"/>
                    <w:snapToGrid w:val="0"/>
                    <w:rPr>
                      <w:snapToGrid w:val="0"/>
                      <w:kern w:val="0"/>
                      <w:szCs w:val="21"/>
                    </w:rPr>
                  </w:pPr>
                  <w:r>
                    <w:rPr>
                      <w:snapToGrid w:val="0"/>
                      <w:kern w:val="0"/>
                      <w:szCs w:val="21"/>
                    </w:rPr>
                    <w:t>颗粒物</w:t>
                  </w:r>
                </w:p>
              </w:tc>
              <w:tc>
                <w:tcPr>
                  <w:tcW w:w="848" w:type="pct"/>
                  <w:tcBorders>
                    <w:top w:val="single" w:color="auto" w:sz="4" w:space="0"/>
                    <w:left w:val="single" w:color="auto" w:sz="4" w:space="0"/>
                    <w:right w:val="single" w:color="auto" w:sz="4" w:space="0"/>
                  </w:tcBorders>
                  <w:vAlign w:val="center"/>
                </w:tcPr>
                <w:p w14:paraId="4475A91B">
                  <w:pPr>
                    <w:snapToGrid w:val="0"/>
                    <w:jc w:val="center"/>
                    <w:rPr>
                      <w:snapToGrid w:val="0"/>
                      <w:kern w:val="0"/>
                      <w:szCs w:val="21"/>
                    </w:rPr>
                  </w:pPr>
                  <w:r>
                    <w:rPr>
                      <w:snapToGrid w:val="0"/>
                      <w:kern w:val="0"/>
                      <w:szCs w:val="21"/>
                    </w:rPr>
                    <w:t>10mg/m</w:t>
                  </w:r>
                  <w:r>
                    <w:rPr>
                      <w:snapToGrid w:val="0"/>
                      <w:kern w:val="0"/>
                      <w:szCs w:val="21"/>
                      <w:vertAlign w:val="superscript"/>
                    </w:rPr>
                    <w:t>3</w:t>
                  </w:r>
                </w:p>
              </w:tc>
            </w:tr>
            <w:tr w14:paraId="2572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24" w:hRule="atLeast"/>
              </w:trPr>
              <w:tc>
                <w:tcPr>
                  <w:tcW w:w="393" w:type="pct"/>
                  <w:vMerge w:val="continue"/>
                  <w:tcBorders>
                    <w:left w:val="single" w:color="auto" w:sz="4" w:space="0"/>
                    <w:right w:val="single" w:color="auto" w:sz="4" w:space="0"/>
                  </w:tcBorders>
                  <w:vAlign w:val="center"/>
                </w:tcPr>
                <w:p w14:paraId="28F1A285">
                  <w:pPr>
                    <w:snapToGrid w:val="0"/>
                    <w:jc w:val="center"/>
                    <w:rPr>
                      <w:snapToGrid w:val="0"/>
                      <w:kern w:val="0"/>
                      <w:szCs w:val="21"/>
                    </w:rPr>
                  </w:pPr>
                </w:p>
              </w:tc>
              <w:tc>
                <w:tcPr>
                  <w:tcW w:w="1219" w:type="pct"/>
                  <w:vMerge w:val="continue"/>
                  <w:tcBorders>
                    <w:left w:val="single" w:color="auto" w:sz="4" w:space="0"/>
                    <w:right w:val="single" w:color="auto" w:sz="4" w:space="0"/>
                  </w:tcBorders>
                  <w:vAlign w:val="center"/>
                </w:tcPr>
                <w:p w14:paraId="58F48E86">
                  <w:pPr>
                    <w:snapToGrid w:val="0"/>
                    <w:jc w:val="center"/>
                    <w:rPr>
                      <w:snapToGrid w:val="0"/>
                      <w:kern w:val="0"/>
                      <w:szCs w:val="21"/>
                    </w:rPr>
                  </w:pPr>
                </w:p>
              </w:tc>
              <w:tc>
                <w:tcPr>
                  <w:tcW w:w="260" w:type="pct"/>
                  <w:vMerge w:val="continue"/>
                  <w:tcBorders>
                    <w:left w:val="single" w:color="auto" w:sz="4" w:space="0"/>
                    <w:right w:val="single" w:color="auto" w:sz="4" w:space="0"/>
                  </w:tcBorders>
                  <w:vAlign w:val="center"/>
                </w:tcPr>
                <w:p w14:paraId="390C8C16">
                  <w:pPr>
                    <w:pStyle w:val="11"/>
                    <w:snapToGrid w:val="0"/>
                    <w:rPr>
                      <w:snapToGrid w:val="0"/>
                      <w:kern w:val="0"/>
                      <w:szCs w:val="21"/>
                    </w:rPr>
                  </w:pPr>
                </w:p>
              </w:tc>
              <w:tc>
                <w:tcPr>
                  <w:tcW w:w="757" w:type="pct"/>
                  <w:vMerge w:val="restart"/>
                  <w:tcBorders>
                    <w:top w:val="single" w:color="auto" w:sz="4" w:space="0"/>
                    <w:left w:val="single" w:color="auto" w:sz="4" w:space="0"/>
                    <w:right w:val="single" w:color="auto" w:sz="4" w:space="0"/>
                  </w:tcBorders>
                  <w:vAlign w:val="center"/>
                </w:tcPr>
                <w:p w14:paraId="316706ED">
                  <w:pPr>
                    <w:pStyle w:val="11"/>
                    <w:snapToGrid w:val="0"/>
                    <w:rPr>
                      <w:snapToGrid w:val="0"/>
                      <w:kern w:val="0"/>
                      <w:szCs w:val="21"/>
                    </w:rPr>
                  </w:pPr>
                  <w:r>
                    <w:rPr>
                      <w:snapToGrid w:val="0"/>
                      <w:kern w:val="0"/>
                      <w:szCs w:val="21"/>
                    </w:rPr>
                    <w:t>干燥、焙烧</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58819141">
                  <w:pPr>
                    <w:pStyle w:val="11"/>
                    <w:snapToGrid w:val="0"/>
                    <w:rPr>
                      <w:snapToGrid w:val="0"/>
                      <w:kern w:val="0"/>
                      <w:szCs w:val="21"/>
                    </w:rPr>
                  </w:pPr>
                  <w:r>
                    <w:rPr>
                      <w:snapToGrid w:val="0"/>
                      <w:kern w:val="0"/>
                      <w:szCs w:val="21"/>
                    </w:rPr>
                    <w:t>颗粒物</w:t>
                  </w:r>
                </w:p>
              </w:tc>
              <w:tc>
                <w:tcPr>
                  <w:tcW w:w="848" w:type="pct"/>
                  <w:tcBorders>
                    <w:top w:val="single" w:color="auto" w:sz="4" w:space="0"/>
                    <w:left w:val="single" w:color="auto" w:sz="4" w:space="0"/>
                    <w:right w:val="single" w:color="auto" w:sz="4" w:space="0"/>
                  </w:tcBorders>
                  <w:vAlign w:val="center"/>
                </w:tcPr>
                <w:p w14:paraId="7DAE5EAC">
                  <w:pPr>
                    <w:pStyle w:val="11"/>
                    <w:rPr>
                      <w:snapToGrid w:val="0"/>
                      <w:kern w:val="0"/>
                      <w:szCs w:val="21"/>
                    </w:rPr>
                  </w:pPr>
                  <w:r>
                    <w:rPr>
                      <w:snapToGrid w:val="0"/>
                      <w:kern w:val="0"/>
                      <w:szCs w:val="21"/>
                    </w:rPr>
                    <w:t>10mg/m</w:t>
                  </w:r>
                  <w:r>
                    <w:rPr>
                      <w:snapToGrid w:val="0"/>
                      <w:kern w:val="0"/>
                      <w:szCs w:val="21"/>
                      <w:vertAlign w:val="superscript"/>
                    </w:rPr>
                    <w:t>3</w:t>
                  </w:r>
                </w:p>
              </w:tc>
            </w:tr>
            <w:tr w14:paraId="29BB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0" w:hRule="atLeast"/>
              </w:trPr>
              <w:tc>
                <w:tcPr>
                  <w:tcW w:w="393" w:type="pct"/>
                  <w:vMerge w:val="continue"/>
                  <w:tcBorders>
                    <w:left w:val="single" w:color="auto" w:sz="4" w:space="0"/>
                    <w:right w:val="single" w:color="auto" w:sz="4" w:space="0"/>
                  </w:tcBorders>
                  <w:vAlign w:val="center"/>
                </w:tcPr>
                <w:p w14:paraId="4702B5AF">
                  <w:pPr>
                    <w:snapToGrid w:val="0"/>
                    <w:jc w:val="center"/>
                    <w:rPr>
                      <w:snapToGrid w:val="0"/>
                      <w:kern w:val="0"/>
                      <w:szCs w:val="21"/>
                    </w:rPr>
                  </w:pPr>
                </w:p>
              </w:tc>
              <w:tc>
                <w:tcPr>
                  <w:tcW w:w="1219" w:type="pct"/>
                  <w:vMerge w:val="continue"/>
                  <w:tcBorders>
                    <w:left w:val="single" w:color="auto" w:sz="4" w:space="0"/>
                    <w:right w:val="single" w:color="auto" w:sz="4" w:space="0"/>
                  </w:tcBorders>
                  <w:vAlign w:val="center"/>
                </w:tcPr>
                <w:p w14:paraId="4E00D8D5">
                  <w:pPr>
                    <w:snapToGrid w:val="0"/>
                    <w:jc w:val="center"/>
                    <w:rPr>
                      <w:snapToGrid w:val="0"/>
                      <w:kern w:val="0"/>
                      <w:szCs w:val="21"/>
                    </w:rPr>
                  </w:pPr>
                </w:p>
              </w:tc>
              <w:tc>
                <w:tcPr>
                  <w:tcW w:w="260" w:type="pct"/>
                  <w:vMerge w:val="continue"/>
                  <w:tcBorders>
                    <w:left w:val="single" w:color="auto" w:sz="4" w:space="0"/>
                    <w:right w:val="single" w:color="auto" w:sz="4" w:space="0"/>
                  </w:tcBorders>
                  <w:vAlign w:val="center"/>
                </w:tcPr>
                <w:p w14:paraId="118B508D">
                  <w:pPr>
                    <w:pStyle w:val="11"/>
                    <w:snapToGrid w:val="0"/>
                    <w:rPr>
                      <w:snapToGrid w:val="0"/>
                      <w:kern w:val="0"/>
                      <w:szCs w:val="21"/>
                    </w:rPr>
                  </w:pPr>
                </w:p>
              </w:tc>
              <w:tc>
                <w:tcPr>
                  <w:tcW w:w="757" w:type="pct"/>
                  <w:vMerge w:val="continue"/>
                  <w:tcBorders>
                    <w:left w:val="single" w:color="auto" w:sz="4" w:space="0"/>
                    <w:right w:val="single" w:color="auto" w:sz="4" w:space="0"/>
                  </w:tcBorders>
                  <w:vAlign w:val="center"/>
                </w:tcPr>
                <w:p w14:paraId="289DFDA7">
                  <w:pPr>
                    <w:pStyle w:val="11"/>
                    <w:snapToGrid w:val="0"/>
                    <w:rPr>
                      <w:snapToGrid w:val="0"/>
                      <w:kern w:val="0"/>
                      <w:szCs w:val="21"/>
                    </w:rPr>
                  </w:pP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5018ADA2">
                  <w:pPr>
                    <w:pStyle w:val="11"/>
                    <w:snapToGrid w:val="0"/>
                    <w:rPr>
                      <w:snapToGrid w:val="0"/>
                      <w:kern w:val="0"/>
                      <w:szCs w:val="21"/>
                    </w:rPr>
                  </w:pPr>
                  <w:r>
                    <w:rPr>
                      <w:snapToGrid w:val="0"/>
                      <w:kern w:val="0"/>
                      <w:szCs w:val="21"/>
                    </w:rPr>
                    <w:t>二氧化硫</w:t>
                  </w:r>
                </w:p>
              </w:tc>
              <w:tc>
                <w:tcPr>
                  <w:tcW w:w="848" w:type="pct"/>
                  <w:tcBorders>
                    <w:top w:val="single" w:color="auto" w:sz="4" w:space="0"/>
                    <w:left w:val="single" w:color="auto" w:sz="4" w:space="0"/>
                    <w:right w:val="single" w:color="auto" w:sz="4" w:space="0"/>
                  </w:tcBorders>
                  <w:vAlign w:val="center"/>
                </w:tcPr>
                <w:p w14:paraId="5DCA0202">
                  <w:pPr>
                    <w:pStyle w:val="11"/>
                    <w:rPr>
                      <w:snapToGrid w:val="0"/>
                      <w:kern w:val="0"/>
                      <w:szCs w:val="21"/>
                    </w:rPr>
                  </w:pPr>
                  <w:r>
                    <w:rPr>
                      <w:snapToGrid w:val="0"/>
                      <w:kern w:val="0"/>
                      <w:szCs w:val="21"/>
                    </w:rPr>
                    <w:t>50mg/m</w:t>
                  </w:r>
                  <w:r>
                    <w:rPr>
                      <w:snapToGrid w:val="0"/>
                      <w:kern w:val="0"/>
                      <w:szCs w:val="21"/>
                      <w:vertAlign w:val="superscript"/>
                    </w:rPr>
                    <w:t>3</w:t>
                  </w:r>
                </w:p>
              </w:tc>
            </w:tr>
            <w:tr w14:paraId="176D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0" w:hRule="atLeast"/>
              </w:trPr>
              <w:tc>
                <w:tcPr>
                  <w:tcW w:w="393" w:type="pct"/>
                  <w:vMerge w:val="continue"/>
                  <w:tcBorders>
                    <w:left w:val="single" w:color="auto" w:sz="4" w:space="0"/>
                    <w:right w:val="single" w:color="auto" w:sz="4" w:space="0"/>
                  </w:tcBorders>
                  <w:vAlign w:val="center"/>
                </w:tcPr>
                <w:p w14:paraId="27582FB6">
                  <w:pPr>
                    <w:snapToGrid w:val="0"/>
                    <w:jc w:val="center"/>
                    <w:rPr>
                      <w:snapToGrid w:val="0"/>
                      <w:kern w:val="0"/>
                      <w:szCs w:val="21"/>
                    </w:rPr>
                  </w:pPr>
                </w:p>
              </w:tc>
              <w:tc>
                <w:tcPr>
                  <w:tcW w:w="1219" w:type="pct"/>
                  <w:vMerge w:val="continue"/>
                  <w:tcBorders>
                    <w:left w:val="single" w:color="auto" w:sz="4" w:space="0"/>
                    <w:right w:val="single" w:color="auto" w:sz="4" w:space="0"/>
                  </w:tcBorders>
                  <w:vAlign w:val="center"/>
                </w:tcPr>
                <w:p w14:paraId="7D2B2A90">
                  <w:pPr>
                    <w:snapToGrid w:val="0"/>
                    <w:jc w:val="center"/>
                    <w:rPr>
                      <w:snapToGrid w:val="0"/>
                      <w:kern w:val="0"/>
                      <w:szCs w:val="21"/>
                    </w:rPr>
                  </w:pPr>
                </w:p>
              </w:tc>
              <w:tc>
                <w:tcPr>
                  <w:tcW w:w="260" w:type="pct"/>
                  <w:vMerge w:val="continue"/>
                  <w:tcBorders>
                    <w:left w:val="single" w:color="auto" w:sz="4" w:space="0"/>
                    <w:right w:val="single" w:color="auto" w:sz="4" w:space="0"/>
                  </w:tcBorders>
                  <w:vAlign w:val="center"/>
                </w:tcPr>
                <w:p w14:paraId="7C0CC128">
                  <w:pPr>
                    <w:pStyle w:val="11"/>
                    <w:snapToGrid w:val="0"/>
                    <w:rPr>
                      <w:snapToGrid w:val="0"/>
                      <w:kern w:val="0"/>
                      <w:szCs w:val="21"/>
                    </w:rPr>
                  </w:pPr>
                </w:p>
              </w:tc>
              <w:tc>
                <w:tcPr>
                  <w:tcW w:w="757" w:type="pct"/>
                  <w:vMerge w:val="continue"/>
                  <w:tcBorders>
                    <w:left w:val="single" w:color="auto" w:sz="4" w:space="0"/>
                    <w:right w:val="single" w:color="auto" w:sz="4" w:space="0"/>
                  </w:tcBorders>
                  <w:vAlign w:val="center"/>
                </w:tcPr>
                <w:p w14:paraId="105B1CA3">
                  <w:pPr>
                    <w:pStyle w:val="11"/>
                    <w:snapToGrid w:val="0"/>
                    <w:rPr>
                      <w:snapToGrid w:val="0"/>
                      <w:kern w:val="0"/>
                      <w:szCs w:val="21"/>
                    </w:rPr>
                  </w:pP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12664B7F">
                  <w:pPr>
                    <w:pStyle w:val="11"/>
                    <w:snapToGrid w:val="0"/>
                    <w:rPr>
                      <w:snapToGrid w:val="0"/>
                      <w:kern w:val="0"/>
                      <w:szCs w:val="21"/>
                    </w:rPr>
                  </w:pPr>
                  <w:r>
                    <w:rPr>
                      <w:snapToGrid w:val="0"/>
                      <w:kern w:val="0"/>
                      <w:szCs w:val="21"/>
                    </w:rPr>
                    <w:t>氮氧化物（以NO</w:t>
                  </w:r>
                  <w:r>
                    <w:rPr>
                      <w:snapToGrid w:val="0"/>
                      <w:kern w:val="0"/>
                      <w:szCs w:val="21"/>
                      <w:vertAlign w:val="subscript"/>
                    </w:rPr>
                    <w:t>2</w:t>
                  </w:r>
                  <w:r>
                    <w:rPr>
                      <w:snapToGrid w:val="0"/>
                      <w:kern w:val="0"/>
                      <w:szCs w:val="21"/>
                    </w:rPr>
                    <w:t>计）</w:t>
                  </w:r>
                </w:p>
              </w:tc>
              <w:tc>
                <w:tcPr>
                  <w:tcW w:w="848" w:type="pct"/>
                  <w:tcBorders>
                    <w:top w:val="single" w:color="auto" w:sz="4" w:space="0"/>
                    <w:left w:val="single" w:color="auto" w:sz="4" w:space="0"/>
                    <w:right w:val="single" w:color="auto" w:sz="4" w:space="0"/>
                  </w:tcBorders>
                  <w:vAlign w:val="center"/>
                </w:tcPr>
                <w:p w14:paraId="796AF60A">
                  <w:pPr>
                    <w:pStyle w:val="11"/>
                    <w:rPr>
                      <w:snapToGrid w:val="0"/>
                      <w:kern w:val="0"/>
                      <w:szCs w:val="21"/>
                    </w:rPr>
                  </w:pPr>
                  <w:r>
                    <w:rPr>
                      <w:snapToGrid w:val="0"/>
                      <w:kern w:val="0"/>
                      <w:szCs w:val="21"/>
                    </w:rPr>
                    <w:t>100mg/m</w:t>
                  </w:r>
                  <w:r>
                    <w:rPr>
                      <w:snapToGrid w:val="0"/>
                      <w:kern w:val="0"/>
                      <w:szCs w:val="21"/>
                      <w:vertAlign w:val="superscript"/>
                    </w:rPr>
                    <w:t>3</w:t>
                  </w:r>
                </w:p>
              </w:tc>
            </w:tr>
            <w:tr w14:paraId="4FE0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8" w:hRule="atLeast"/>
              </w:trPr>
              <w:tc>
                <w:tcPr>
                  <w:tcW w:w="393" w:type="pct"/>
                  <w:vMerge w:val="continue"/>
                  <w:tcBorders>
                    <w:left w:val="single" w:color="auto" w:sz="4" w:space="0"/>
                    <w:right w:val="single" w:color="auto" w:sz="4" w:space="0"/>
                  </w:tcBorders>
                  <w:vAlign w:val="center"/>
                </w:tcPr>
                <w:p w14:paraId="6B34FFE3">
                  <w:pPr>
                    <w:snapToGrid w:val="0"/>
                    <w:jc w:val="center"/>
                    <w:rPr>
                      <w:snapToGrid w:val="0"/>
                      <w:kern w:val="0"/>
                      <w:szCs w:val="21"/>
                    </w:rPr>
                  </w:pPr>
                </w:p>
              </w:tc>
              <w:tc>
                <w:tcPr>
                  <w:tcW w:w="1219" w:type="pct"/>
                  <w:vMerge w:val="continue"/>
                  <w:tcBorders>
                    <w:left w:val="single" w:color="auto" w:sz="4" w:space="0"/>
                    <w:right w:val="single" w:color="auto" w:sz="4" w:space="0"/>
                  </w:tcBorders>
                  <w:vAlign w:val="center"/>
                </w:tcPr>
                <w:p w14:paraId="6B498C2B">
                  <w:pPr>
                    <w:snapToGrid w:val="0"/>
                    <w:jc w:val="center"/>
                    <w:rPr>
                      <w:snapToGrid w:val="0"/>
                      <w:kern w:val="0"/>
                      <w:szCs w:val="21"/>
                    </w:rPr>
                  </w:pPr>
                </w:p>
              </w:tc>
              <w:tc>
                <w:tcPr>
                  <w:tcW w:w="260" w:type="pct"/>
                  <w:vMerge w:val="continue"/>
                  <w:tcBorders>
                    <w:left w:val="single" w:color="auto" w:sz="4" w:space="0"/>
                    <w:right w:val="single" w:color="auto" w:sz="4" w:space="0"/>
                  </w:tcBorders>
                  <w:vAlign w:val="center"/>
                </w:tcPr>
                <w:p w14:paraId="7F932C41">
                  <w:pPr>
                    <w:pStyle w:val="11"/>
                    <w:snapToGrid w:val="0"/>
                    <w:rPr>
                      <w:snapToGrid w:val="0"/>
                      <w:kern w:val="0"/>
                      <w:szCs w:val="21"/>
                    </w:rPr>
                  </w:pPr>
                </w:p>
              </w:tc>
              <w:tc>
                <w:tcPr>
                  <w:tcW w:w="757" w:type="pct"/>
                  <w:vMerge w:val="continue"/>
                  <w:tcBorders>
                    <w:left w:val="single" w:color="auto" w:sz="4" w:space="0"/>
                    <w:right w:val="single" w:color="auto" w:sz="4" w:space="0"/>
                  </w:tcBorders>
                  <w:vAlign w:val="center"/>
                </w:tcPr>
                <w:p w14:paraId="4C15A356">
                  <w:pPr>
                    <w:pStyle w:val="11"/>
                    <w:snapToGrid w:val="0"/>
                    <w:rPr>
                      <w:snapToGrid w:val="0"/>
                      <w:kern w:val="0"/>
                      <w:szCs w:val="21"/>
                    </w:rPr>
                  </w:pP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7527FF78">
                  <w:pPr>
                    <w:pStyle w:val="11"/>
                    <w:snapToGrid w:val="0"/>
                    <w:rPr>
                      <w:snapToGrid w:val="0"/>
                      <w:kern w:val="0"/>
                      <w:szCs w:val="21"/>
                    </w:rPr>
                  </w:pPr>
                  <w:r>
                    <w:rPr>
                      <w:snapToGrid w:val="0"/>
                      <w:kern w:val="0"/>
                      <w:szCs w:val="21"/>
                    </w:rPr>
                    <w:t>氟化物（以F计）</w:t>
                  </w:r>
                </w:p>
              </w:tc>
              <w:tc>
                <w:tcPr>
                  <w:tcW w:w="848" w:type="pct"/>
                  <w:tcBorders>
                    <w:top w:val="single" w:color="auto" w:sz="4" w:space="0"/>
                    <w:left w:val="single" w:color="auto" w:sz="4" w:space="0"/>
                    <w:right w:val="single" w:color="auto" w:sz="4" w:space="0"/>
                  </w:tcBorders>
                  <w:vAlign w:val="center"/>
                </w:tcPr>
                <w:p w14:paraId="1A8087A5">
                  <w:pPr>
                    <w:pStyle w:val="11"/>
                    <w:rPr>
                      <w:snapToGrid w:val="0"/>
                      <w:kern w:val="0"/>
                      <w:szCs w:val="21"/>
                    </w:rPr>
                  </w:pPr>
                  <w:r>
                    <w:rPr>
                      <w:snapToGrid w:val="0"/>
                      <w:kern w:val="0"/>
                      <w:szCs w:val="21"/>
                    </w:rPr>
                    <w:t>3mg/m</w:t>
                  </w:r>
                  <w:r>
                    <w:rPr>
                      <w:snapToGrid w:val="0"/>
                      <w:kern w:val="0"/>
                      <w:szCs w:val="21"/>
                      <w:vertAlign w:val="superscript"/>
                    </w:rPr>
                    <w:t>3</w:t>
                  </w:r>
                </w:p>
              </w:tc>
            </w:tr>
            <w:tr w14:paraId="3C75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7" w:hRule="atLeast"/>
              </w:trPr>
              <w:tc>
                <w:tcPr>
                  <w:tcW w:w="393" w:type="pct"/>
                  <w:vMerge w:val="continue"/>
                  <w:tcBorders>
                    <w:left w:val="single" w:color="auto" w:sz="4" w:space="0"/>
                    <w:right w:val="single" w:color="auto" w:sz="4" w:space="0"/>
                  </w:tcBorders>
                  <w:vAlign w:val="center"/>
                </w:tcPr>
                <w:p w14:paraId="7549C692">
                  <w:pPr>
                    <w:snapToGrid w:val="0"/>
                    <w:jc w:val="center"/>
                    <w:rPr>
                      <w:snapToGrid w:val="0"/>
                      <w:kern w:val="0"/>
                      <w:szCs w:val="21"/>
                    </w:rPr>
                  </w:pPr>
                </w:p>
              </w:tc>
              <w:tc>
                <w:tcPr>
                  <w:tcW w:w="1219" w:type="pct"/>
                  <w:vMerge w:val="continue"/>
                  <w:tcBorders>
                    <w:left w:val="single" w:color="auto" w:sz="4" w:space="0"/>
                    <w:right w:val="single" w:color="auto" w:sz="4" w:space="0"/>
                  </w:tcBorders>
                  <w:vAlign w:val="center"/>
                </w:tcPr>
                <w:p w14:paraId="2A53BAB6">
                  <w:pPr>
                    <w:snapToGrid w:val="0"/>
                    <w:jc w:val="center"/>
                    <w:rPr>
                      <w:snapToGrid w:val="0"/>
                      <w:kern w:val="0"/>
                      <w:szCs w:val="21"/>
                    </w:rPr>
                  </w:pPr>
                </w:p>
              </w:tc>
              <w:tc>
                <w:tcPr>
                  <w:tcW w:w="260" w:type="pct"/>
                  <w:vMerge w:val="continue"/>
                  <w:tcBorders>
                    <w:left w:val="single" w:color="auto" w:sz="4" w:space="0"/>
                    <w:right w:val="single" w:color="auto" w:sz="4" w:space="0"/>
                  </w:tcBorders>
                  <w:vAlign w:val="center"/>
                </w:tcPr>
                <w:p w14:paraId="692EB2B4">
                  <w:pPr>
                    <w:pStyle w:val="11"/>
                    <w:snapToGrid w:val="0"/>
                    <w:rPr>
                      <w:snapToGrid w:val="0"/>
                      <w:kern w:val="0"/>
                      <w:szCs w:val="21"/>
                    </w:rPr>
                  </w:pPr>
                </w:p>
              </w:tc>
              <w:tc>
                <w:tcPr>
                  <w:tcW w:w="757" w:type="pct"/>
                  <w:vMerge w:val="continue"/>
                  <w:tcBorders>
                    <w:left w:val="single" w:color="auto" w:sz="4" w:space="0"/>
                    <w:right w:val="single" w:color="auto" w:sz="4" w:space="0"/>
                  </w:tcBorders>
                  <w:vAlign w:val="center"/>
                </w:tcPr>
                <w:p w14:paraId="3F8A9462">
                  <w:pPr>
                    <w:pStyle w:val="11"/>
                    <w:snapToGrid w:val="0"/>
                    <w:rPr>
                      <w:snapToGrid w:val="0"/>
                      <w:kern w:val="0"/>
                      <w:szCs w:val="21"/>
                    </w:rPr>
                  </w:pP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426B4A25">
                  <w:pPr>
                    <w:pStyle w:val="11"/>
                    <w:snapToGrid w:val="0"/>
                    <w:rPr>
                      <w:snapToGrid w:val="0"/>
                      <w:kern w:val="0"/>
                      <w:szCs w:val="21"/>
                    </w:rPr>
                  </w:pPr>
                  <w:r>
                    <w:rPr>
                      <w:snapToGrid w:val="0"/>
                      <w:kern w:val="0"/>
                      <w:szCs w:val="21"/>
                    </w:rPr>
                    <w:t>氨</w:t>
                  </w:r>
                </w:p>
              </w:tc>
              <w:tc>
                <w:tcPr>
                  <w:tcW w:w="848" w:type="pct"/>
                  <w:tcBorders>
                    <w:top w:val="single" w:color="auto" w:sz="4" w:space="0"/>
                    <w:left w:val="single" w:color="auto" w:sz="4" w:space="0"/>
                    <w:right w:val="single" w:color="auto" w:sz="4" w:space="0"/>
                  </w:tcBorders>
                  <w:vAlign w:val="center"/>
                </w:tcPr>
                <w:p w14:paraId="29083F6A">
                  <w:pPr>
                    <w:pStyle w:val="11"/>
                    <w:rPr>
                      <w:snapToGrid w:val="0"/>
                      <w:kern w:val="0"/>
                      <w:szCs w:val="21"/>
                    </w:rPr>
                  </w:pPr>
                  <w:r>
                    <w:rPr>
                      <w:snapToGrid w:val="0"/>
                      <w:kern w:val="0"/>
                      <w:szCs w:val="21"/>
                    </w:rPr>
                    <w:t>8mg/m</w:t>
                  </w:r>
                  <w:r>
                    <w:rPr>
                      <w:snapToGrid w:val="0"/>
                      <w:kern w:val="0"/>
                      <w:szCs w:val="21"/>
                      <w:vertAlign w:val="superscript"/>
                    </w:rPr>
                    <w:t>3</w:t>
                  </w:r>
                </w:p>
              </w:tc>
            </w:tr>
            <w:tr w14:paraId="3A52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 w:hRule="atLeast"/>
              </w:trPr>
              <w:tc>
                <w:tcPr>
                  <w:tcW w:w="393" w:type="pct"/>
                  <w:vMerge w:val="continue"/>
                  <w:tcBorders>
                    <w:left w:val="single" w:color="auto" w:sz="4" w:space="0"/>
                    <w:right w:val="single" w:color="auto" w:sz="4" w:space="0"/>
                  </w:tcBorders>
                  <w:vAlign w:val="center"/>
                </w:tcPr>
                <w:p w14:paraId="05CB3DE4">
                  <w:pPr>
                    <w:widowControl/>
                    <w:jc w:val="center"/>
                    <w:rPr>
                      <w:snapToGrid w:val="0"/>
                      <w:kern w:val="0"/>
                      <w:szCs w:val="21"/>
                    </w:rPr>
                  </w:pPr>
                </w:p>
              </w:tc>
              <w:tc>
                <w:tcPr>
                  <w:tcW w:w="1219" w:type="pct"/>
                  <w:vMerge w:val="continue"/>
                  <w:tcBorders>
                    <w:left w:val="single" w:color="auto" w:sz="4" w:space="0"/>
                    <w:right w:val="single" w:color="auto" w:sz="4" w:space="0"/>
                  </w:tcBorders>
                  <w:vAlign w:val="center"/>
                </w:tcPr>
                <w:p w14:paraId="6111FAB7">
                  <w:pPr>
                    <w:widowControl/>
                    <w:jc w:val="center"/>
                    <w:rPr>
                      <w:snapToGrid w:val="0"/>
                      <w:kern w:val="0"/>
                      <w:szCs w:val="21"/>
                    </w:rPr>
                  </w:pPr>
                </w:p>
              </w:tc>
              <w:tc>
                <w:tcPr>
                  <w:tcW w:w="260" w:type="pct"/>
                  <w:vMerge w:val="restart"/>
                  <w:tcBorders>
                    <w:top w:val="single" w:color="auto" w:sz="4" w:space="0"/>
                    <w:left w:val="single" w:color="auto" w:sz="4" w:space="0"/>
                    <w:right w:val="single" w:color="auto" w:sz="4" w:space="0"/>
                  </w:tcBorders>
                  <w:vAlign w:val="center"/>
                </w:tcPr>
                <w:p w14:paraId="09CC22BD">
                  <w:pPr>
                    <w:pStyle w:val="11"/>
                    <w:snapToGrid w:val="0"/>
                    <w:rPr>
                      <w:snapToGrid w:val="0"/>
                      <w:kern w:val="0"/>
                      <w:szCs w:val="21"/>
                    </w:rPr>
                  </w:pPr>
                  <w:r>
                    <w:rPr>
                      <w:snapToGrid w:val="0"/>
                      <w:kern w:val="0"/>
                      <w:szCs w:val="21"/>
                    </w:rPr>
                    <w:t>无组织排放</w:t>
                  </w:r>
                </w:p>
              </w:tc>
              <w:tc>
                <w:tcPr>
                  <w:tcW w:w="757" w:type="pct"/>
                  <w:vMerge w:val="restart"/>
                  <w:tcBorders>
                    <w:top w:val="single" w:color="auto" w:sz="4" w:space="0"/>
                    <w:left w:val="single" w:color="auto" w:sz="4" w:space="0"/>
                    <w:right w:val="single" w:color="auto" w:sz="4" w:space="0"/>
                  </w:tcBorders>
                  <w:vAlign w:val="center"/>
                </w:tcPr>
                <w:p w14:paraId="775D617B">
                  <w:pPr>
                    <w:jc w:val="center"/>
                    <w:rPr>
                      <w:szCs w:val="21"/>
                    </w:rPr>
                  </w:pPr>
                  <w:r>
                    <w:rPr>
                      <w:szCs w:val="21"/>
                    </w:rPr>
                    <w:t>企业边界</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5471AE0F">
                  <w:pPr>
                    <w:jc w:val="center"/>
                    <w:rPr>
                      <w:szCs w:val="21"/>
                    </w:rPr>
                  </w:pPr>
                  <w:r>
                    <w:rPr>
                      <w:snapToGrid w:val="0"/>
                      <w:kern w:val="0"/>
                      <w:szCs w:val="21"/>
                    </w:rPr>
                    <w:t>颗粒物</w:t>
                  </w:r>
                </w:p>
              </w:tc>
              <w:tc>
                <w:tcPr>
                  <w:tcW w:w="848" w:type="pct"/>
                  <w:tcBorders>
                    <w:top w:val="single" w:color="auto" w:sz="4" w:space="0"/>
                    <w:left w:val="single" w:color="auto" w:sz="4" w:space="0"/>
                    <w:bottom w:val="single" w:color="auto" w:sz="2" w:space="0"/>
                    <w:right w:val="single" w:color="auto" w:sz="4" w:space="0"/>
                  </w:tcBorders>
                  <w:vAlign w:val="center"/>
                </w:tcPr>
                <w:p w14:paraId="282F5163">
                  <w:pPr>
                    <w:jc w:val="center"/>
                    <w:rPr>
                      <w:szCs w:val="21"/>
                    </w:rPr>
                  </w:pPr>
                  <w:r>
                    <w:rPr>
                      <w:snapToGrid w:val="0"/>
                      <w:kern w:val="0"/>
                      <w:szCs w:val="21"/>
                    </w:rPr>
                    <w:t>1mg/m</w:t>
                  </w:r>
                  <w:r>
                    <w:rPr>
                      <w:snapToGrid w:val="0"/>
                      <w:kern w:val="0"/>
                      <w:szCs w:val="21"/>
                      <w:vertAlign w:val="superscript"/>
                    </w:rPr>
                    <w:t>3</w:t>
                  </w:r>
                </w:p>
              </w:tc>
            </w:tr>
            <w:tr w14:paraId="4F95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9" w:hRule="atLeast"/>
              </w:trPr>
              <w:tc>
                <w:tcPr>
                  <w:tcW w:w="393" w:type="pct"/>
                  <w:vMerge w:val="continue"/>
                  <w:tcBorders>
                    <w:left w:val="single" w:color="auto" w:sz="4" w:space="0"/>
                    <w:right w:val="single" w:color="auto" w:sz="4" w:space="0"/>
                  </w:tcBorders>
                  <w:vAlign w:val="center"/>
                </w:tcPr>
                <w:p w14:paraId="7A6D04E9">
                  <w:pPr>
                    <w:widowControl/>
                    <w:jc w:val="center"/>
                    <w:rPr>
                      <w:snapToGrid w:val="0"/>
                      <w:kern w:val="0"/>
                      <w:szCs w:val="21"/>
                    </w:rPr>
                  </w:pPr>
                </w:p>
              </w:tc>
              <w:tc>
                <w:tcPr>
                  <w:tcW w:w="1219" w:type="pct"/>
                  <w:vMerge w:val="continue"/>
                  <w:tcBorders>
                    <w:left w:val="single" w:color="auto" w:sz="4" w:space="0"/>
                    <w:right w:val="single" w:color="auto" w:sz="4" w:space="0"/>
                  </w:tcBorders>
                  <w:vAlign w:val="center"/>
                </w:tcPr>
                <w:p w14:paraId="43625DB9">
                  <w:pPr>
                    <w:widowControl/>
                    <w:jc w:val="center"/>
                    <w:rPr>
                      <w:snapToGrid w:val="0"/>
                      <w:kern w:val="0"/>
                      <w:szCs w:val="21"/>
                    </w:rPr>
                  </w:pPr>
                </w:p>
              </w:tc>
              <w:tc>
                <w:tcPr>
                  <w:tcW w:w="260" w:type="pct"/>
                  <w:vMerge w:val="continue"/>
                  <w:tcBorders>
                    <w:left w:val="single" w:color="auto" w:sz="4" w:space="0"/>
                    <w:right w:val="single" w:color="auto" w:sz="4" w:space="0"/>
                  </w:tcBorders>
                  <w:vAlign w:val="center"/>
                </w:tcPr>
                <w:p w14:paraId="2FB25E72">
                  <w:pPr>
                    <w:pStyle w:val="11"/>
                    <w:snapToGrid w:val="0"/>
                    <w:rPr>
                      <w:snapToGrid w:val="0"/>
                      <w:kern w:val="0"/>
                      <w:szCs w:val="21"/>
                    </w:rPr>
                  </w:pPr>
                </w:p>
              </w:tc>
              <w:tc>
                <w:tcPr>
                  <w:tcW w:w="757" w:type="pct"/>
                  <w:vMerge w:val="continue"/>
                  <w:tcBorders>
                    <w:left w:val="single" w:color="auto" w:sz="4" w:space="0"/>
                    <w:right w:val="single" w:color="auto" w:sz="4" w:space="0"/>
                  </w:tcBorders>
                  <w:vAlign w:val="center"/>
                </w:tcPr>
                <w:p w14:paraId="68DE05E4">
                  <w:pPr>
                    <w:jc w:val="center"/>
                    <w:rPr>
                      <w:szCs w:val="21"/>
                    </w:rPr>
                  </w:pP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2894EACC">
                  <w:pPr>
                    <w:jc w:val="center"/>
                    <w:rPr>
                      <w:szCs w:val="21"/>
                    </w:rPr>
                  </w:pPr>
                  <w:r>
                    <w:rPr>
                      <w:snapToGrid w:val="0"/>
                      <w:kern w:val="0"/>
                      <w:szCs w:val="21"/>
                    </w:rPr>
                    <w:t>二氧化硫</w:t>
                  </w:r>
                </w:p>
              </w:tc>
              <w:tc>
                <w:tcPr>
                  <w:tcW w:w="848" w:type="pct"/>
                  <w:tcBorders>
                    <w:top w:val="single" w:color="auto" w:sz="4" w:space="0"/>
                    <w:left w:val="single" w:color="auto" w:sz="4" w:space="0"/>
                    <w:bottom w:val="single" w:color="auto" w:sz="2" w:space="0"/>
                    <w:right w:val="single" w:color="auto" w:sz="4" w:space="0"/>
                  </w:tcBorders>
                  <w:vAlign w:val="center"/>
                </w:tcPr>
                <w:p w14:paraId="74006E52">
                  <w:pPr>
                    <w:jc w:val="center"/>
                    <w:rPr>
                      <w:szCs w:val="21"/>
                    </w:rPr>
                  </w:pPr>
                  <w:r>
                    <w:rPr>
                      <w:snapToGrid w:val="0"/>
                      <w:kern w:val="0"/>
                      <w:szCs w:val="21"/>
                    </w:rPr>
                    <w:t>0.5mg/m</w:t>
                  </w:r>
                  <w:r>
                    <w:rPr>
                      <w:snapToGrid w:val="0"/>
                      <w:kern w:val="0"/>
                      <w:szCs w:val="21"/>
                      <w:vertAlign w:val="superscript"/>
                    </w:rPr>
                    <w:t>3</w:t>
                  </w:r>
                </w:p>
              </w:tc>
            </w:tr>
            <w:tr w14:paraId="5A78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 w:hRule="atLeast"/>
              </w:trPr>
              <w:tc>
                <w:tcPr>
                  <w:tcW w:w="393" w:type="pct"/>
                  <w:vMerge w:val="continue"/>
                  <w:tcBorders>
                    <w:left w:val="single" w:color="auto" w:sz="4" w:space="0"/>
                    <w:right w:val="single" w:color="auto" w:sz="4" w:space="0"/>
                  </w:tcBorders>
                  <w:vAlign w:val="center"/>
                </w:tcPr>
                <w:p w14:paraId="2A045932">
                  <w:pPr>
                    <w:widowControl/>
                    <w:jc w:val="center"/>
                    <w:rPr>
                      <w:snapToGrid w:val="0"/>
                      <w:kern w:val="0"/>
                      <w:szCs w:val="21"/>
                    </w:rPr>
                  </w:pPr>
                </w:p>
              </w:tc>
              <w:tc>
                <w:tcPr>
                  <w:tcW w:w="1219" w:type="pct"/>
                  <w:vMerge w:val="continue"/>
                  <w:tcBorders>
                    <w:left w:val="single" w:color="auto" w:sz="4" w:space="0"/>
                    <w:bottom w:val="single" w:color="auto" w:sz="4" w:space="0"/>
                    <w:right w:val="single" w:color="auto" w:sz="4" w:space="0"/>
                  </w:tcBorders>
                  <w:vAlign w:val="center"/>
                </w:tcPr>
                <w:p w14:paraId="03DEAA3C">
                  <w:pPr>
                    <w:widowControl/>
                    <w:jc w:val="center"/>
                    <w:rPr>
                      <w:snapToGrid w:val="0"/>
                      <w:kern w:val="0"/>
                      <w:szCs w:val="21"/>
                    </w:rPr>
                  </w:pPr>
                </w:p>
              </w:tc>
              <w:tc>
                <w:tcPr>
                  <w:tcW w:w="260" w:type="pct"/>
                  <w:vMerge w:val="continue"/>
                  <w:tcBorders>
                    <w:left w:val="single" w:color="auto" w:sz="4" w:space="0"/>
                    <w:bottom w:val="single" w:color="auto" w:sz="4" w:space="0"/>
                    <w:right w:val="single" w:color="auto" w:sz="4" w:space="0"/>
                  </w:tcBorders>
                  <w:vAlign w:val="center"/>
                </w:tcPr>
                <w:p w14:paraId="103575D3">
                  <w:pPr>
                    <w:pStyle w:val="11"/>
                    <w:snapToGrid w:val="0"/>
                    <w:rPr>
                      <w:snapToGrid w:val="0"/>
                      <w:kern w:val="0"/>
                      <w:szCs w:val="21"/>
                    </w:rPr>
                  </w:pPr>
                </w:p>
              </w:tc>
              <w:tc>
                <w:tcPr>
                  <w:tcW w:w="757" w:type="pct"/>
                  <w:vMerge w:val="continue"/>
                  <w:tcBorders>
                    <w:left w:val="single" w:color="auto" w:sz="4" w:space="0"/>
                    <w:bottom w:val="single" w:color="auto" w:sz="4" w:space="0"/>
                    <w:right w:val="single" w:color="auto" w:sz="4" w:space="0"/>
                  </w:tcBorders>
                  <w:vAlign w:val="center"/>
                </w:tcPr>
                <w:p w14:paraId="6DF5D1B4">
                  <w:pPr>
                    <w:jc w:val="center"/>
                    <w:rPr>
                      <w:szCs w:val="21"/>
                    </w:rPr>
                  </w:pP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0A7ACD1F">
                  <w:pPr>
                    <w:jc w:val="center"/>
                    <w:rPr>
                      <w:szCs w:val="21"/>
                    </w:rPr>
                  </w:pPr>
                  <w:r>
                    <w:rPr>
                      <w:snapToGrid w:val="0"/>
                      <w:kern w:val="0"/>
                      <w:szCs w:val="21"/>
                    </w:rPr>
                    <w:t>氟化物</w:t>
                  </w:r>
                </w:p>
              </w:tc>
              <w:tc>
                <w:tcPr>
                  <w:tcW w:w="848" w:type="pct"/>
                  <w:tcBorders>
                    <w:top w:val="single" w:color="auto" w:sz="4" w:space="0"/>
                    <w:left w:val="single" w:color="auto" w:sz="4" w:space="0"/>
                    <w:bottom w:val="single" w:color="auto" w:sz="2" w:space="0"/>
                    <w:right w:val="single" w:color="auto" w:sz="4" w:space="0"/>
                  </w:tcBorders>
                  <w:vAlign w:val="center"/>
                </w:tcPr>
                <w:p w14:paraId="241BD2F0">
                  <w:pPr>
                    <w:jc w:val="center"/>
                    <w:rPr>
                      <w:szCs w:val="21"/>
                    </w:rPr>
                  </w:pPr>
                  <w:r>
                    <w:rPr>
                      <w:snapToGrid w:val="0"/>
                      <w:kern w:val="0"/>
                      <w:szCs w:val="21"/>
                    </w:rPr>
                    <w:t>0.02mg/m</w:t>
                  </w:r>
                  <w:r>
                    <w:rPr>
                      <w:snapToGrid w:val="0"/>
                      <w:kern w:val="0"/>
                      <w:szCs w:val="21"/>
                      <w:vertAlign w:val="superscript"/>
                    </w:rPr>
                    <w:t>3</w:t>
                  </w:r>
                </w:p>
              </w:tc>
            </w:tr>
            <w:tr w14:paraId="3A6C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 w:hRule="atLeast"/>
              </w:trPr>
              <w:tc>
                <w:tcPr>
                  <w:tcW w:w="393" w:type="pct"/>
                  <w:vMerge w:val="continue"/>
                  <w:tcBorders>
                    <w:left w:val="single" w:color="auto" w:sz="4" w:space="0"/>
                    <w:right w:val="single" w:color="auto" w:sz="4" w:space="0"/>
                  </w:tcBorders>
                  <w:vAlign w:val="center"/>
                </w:tcPr>
                <w:p w14:paraId="4AEE6185">
                  <w:pPr>
                    <w:widowControl/>
                    <w:jc w:val="center"/>
                    <w:rPr>
                      <w:snapToGrid w:val="0"/>
                      <w:kern w:val="0"/>
                      <w:szCs w:val="21"/>
                    </w:rPr>
                  </w:pPr>
                </w:p>
              </w:tc>
              <w:tc>
                <w:tcPr>
                  <w:tcW w:w="1219" w:type="pct"/>
                  <w:vMerge w:val="restart"/>
                  <w:tcBorders>
                    <w:left w:val="single" w:color="auto" w:sz="4" w:space="0"/>
                    <w:right w:val="single" w:color="auto" w:sz="4" w:space="0"/>
                  </w:tcBorders>
                  <w:vAlign w:val="center"/>
                </w:tcPr>
                <w:p w14:paraId="361FFF89">
                  <w:pPr>
                    <w:widowControl/>
                    <w:jc w:val="center"/>
                    <w:rPr>
                      <w:snapToGrid w:val="0"/>
                      <w:kern w:val="0"/>
                      <w:szCs w:val="21"/>
                    </w:rPr>
                  </w:pPr>
                  <w:r>
                    <w:rPr>
                      <w:szCs w:val="21"/>
                    </w:rPr>
                    <w:t>《恶臭污染物排放标准》（GB14554-93）二级</w:t>
                  </w:r>
                </w:p>
              </w:tc>
              <w:tc>
                <w:tcPr>
                  <w:tcW w:w="1017" w:type="pct"/>
                  <w:gridSpan w:val="2"/>
                  <w:vMerge w:val="restart"/>
                  <w:tcBorders>
                    <w:left w:val="single" w:color="auto" w:sz="4" w:space="0"/>
                    <w:right w:val="single" w:color="auto" w:sz="4" w:space="0"/>
                  </w:tcBorders>
                  <w:vAlign w:val="center"/>
                </w:tcPr>
                <w:p w14:paraId="049B0AE8">
                  <w:pPr>
                    <w:jc w:val="center"/>
                    <w:rPr>
                      <w:szCs w:val="21"/>
                    </w:rPr>
                  </w:pPr>
                  <w:r>
                    <w:rPr>
                      <w:szCs w:val="21"/>
                    </w:rPr>
                    <w:t>15m高排气筒速率限值</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4AFE1B7B">
                  <w:pPr>
                    <w:jc w:val="center"/>
                    <w:rPr>
                      <w:snapToGrid w:val="0"/>
                      <w:kern w:val="0"/>
                      <w:szCs w:val="21"/>
                    </w:rPr>
                  </w:pPr>
                  <w:r>
                    <w:rPr>
                      <w:szCs w:val="21"/>
                    </w:rPr>
                    <w:t>氨</w:t>
                  </w:r>
                </w:p>
              </w:tc>
              <w:tc>
                <w:tcPr>
                  <w:tcW w:w="848" w:type="pct"/>
                  <w:tcBorders>
                    <w:top w:val="single" w:color="auto" w:sz="4" w:space="0"/>
                    <w:left w:val="single" w:color="auto" w:sz="4" w:space="0"/>
                    <w:bottom w:val="single" w:color="auto" w:sz="2" w:space="0"/>
                    <w:right w:val="single" w:color="auto" w:sz="4" w:space="0"/>
                  </w:tcBorders>
                  <w:vAlign w:val="center"/>
                </w:tcPr>
                <w:p w14:paraId="1171162D">
                  <w:pPr>
                    <w:jc w:val="center"/>
                    <w:rPr>
                      <w:snapToGrid w:val="0"/>
                      <w:kern w:val="0"/>
                      <w:szCs w:val="21"/>
                    </w:rPr>
                  </w:pPr>
                  <w:r>
                    <w:rPr>
                      <w:szCs w:val="21"/>
                    </w:rPr>
                    <w:t>4.9kg/h</w:t>
                  </w:r>
                </w:p>
              </w:tc>
            </w:tr>
            <w:tr w14:paraId="153E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8" w:hRule="atLeast"/>
              </w:trPr>
              <w:tc>
                <w:tcPr>
                  <w:tcW w:w="393" w:type="pct"/>
                  <w:vMerge w:val="continue"/>
                  <w:tcBorders>
                    <w:left w:val="single" w:color="auto" w:sz="4" w:space="0"/>
                    <w:right w:val="single" w:color="auto" w:sz="4" w:space="0"/>
                  </w:tcBorders>
                  <w:vAlign w:val="center"/>
                </w:tcPr>
                <w:p w14:paraId="7004810D">
                  <w:pPr>
                    <w:widowControl/>
                    <w:jc w:val="center"/>
                    <w:rPr>
                      <w:snapToGrid w:val="0"/>
                      <w:kern w:val="0"/>
                      <w:szCs w:val="21"/>
                    </w:rPr>
                  </w:pPr>
                </w:p>
              </w:tc>
              <w:tc>
                <w:tcPr>
                  <w:tcW w:w="1219" w:type="pct"/>
                  <w:vMerge w:val="continue"/>
                  <w:tcBorders>
                    <w:left w:val="single" w:color="auto" w:sz="4" w:space="0"/>
                    <w:right w:val="single" w:color="auto" w:sz="4" w:space="0"/>
                  </w:tcBorders>
                  <w:vAlign w:val="center"/>
                </w:tcPr>
                <w:p w14:paraId="77D7BD91">
                  <w:pPr>
                    <w:widowControl/>
                    <w:jc w:val="center"/>
                    <w:rPr>
                      <w:snapToGrid w:val="0"/>
                      <w:kern w:val="0"/>
                      <w:szCs w:val="21"/>
                    </w:rPr>
                  </w:pPr>
                </w:p>
              </w:tc>
              <w:tc>
                <w:tcPr>
                  <w:tcW w:w="1017" w:type="pct"/>
                  <w:gridSpan w:val="2"/>
                  <w:vMerge w:val="continue"/>
                  <w:tcBorders>
                    <w:left w:val="single" w:color="auto" w:sz="4" w:space="0"/>
                    <w:bottom w:val="single" w:color="auto" w:sz="4" w:space="0"/>
                    <w:right w:val="single" w:color="auto" w:sz="4" w:space="0"/>
                  </w:tcBorders>
                  <w:vAlign w:val="center"/>
                </w:tcPr>
                <w:p w14:paraId="2A90489B">
                  <w:pPr>
                    <w:jc w:val="center"/>
                    <w:rPr>
                      <w:szCs w:val="21"/>
                    </w:rPr>
                  </w:pP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7C3E2F8E">
                  <w:pPr>
                    <w:jc w:val="center"/>
                    <w:rPr>
                      <w:snapToGrid w:val="0"/>
                      <w:kern w:val="0"/>
                      <w:szCs w:val="21"/>
                    </w:rPr>
                  </w:pPr>
                  <w:r>
                    <w:rPr>
                      <w:szCs w:val="21"/>
                    </w:rPr>
                    <w:t>硫化氢</w:t>
                  </w:r>
                </w:p>
              </w:tc>
              <w:tc>
                <w:tcPr>
                  <w:tcW w:w="848" w:type="pct"/>
                  <w:tcBorders>
                    <w:top w:val="single" w:color="auto" w:sz="4" w:space="0"/>
                    <w:left w:val="single" w:color="auto" w:sz="4" w:space="0"/>
                    <w:bottom w:val="single" w:color="auto" w:sz="2" w:space="0"/>
                    <w:right w:val="single" w:color="auto" w:sz="4" w:space="0"/>
                  </w:tcBorders>
                  <w:vAlign w:val="center"/>
                </w:tcPr>
                <w:p w14:paraId="78B36533">
                  <w:pPr>
                    <w:jc w:val="center"/>
                    <w:rPr>
                      <w:snapToGrid w:val="0"/>
                      <w:kern w:val="0"/>
                      <w:szCs w:val="21"/>
                    </w:rPr>
                  </w:pPr>
                  <w:r>
                    <w:rPr>
                      <w:szCs w:val="21"/>
                    </w:rPr>
                    <w:t>0.33kg/h</w:t>
                  </w:r>
                </w:p>
              </w:tc>
            </w:tr>
            <w:tr w14:paraId="58BD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393" w:type="pct"/>
                  <w:vMerge w:val="continue"/>
                  <w:tcBorders>
                    <w:left w:val="single" w:color="auto" w:sz="4" w:space="0"/>
                    <w:right w:val="single" w:color="auto" w:sz="4" w:space="0"/>
                  </w:tcBorders>
                  <w:vAlign w:val="center"/>
                </w:tcPr>
                <w:p w14:paraId="13A53619">
                  <w:pPr>
                    <w:widowControl/>
                    <w:jc w:val="center"/>
                    <w:rPr>
                      <w:snapToGrid w:val="0"/>
                      <w:kern w:val="0"/>
                      <w:szCs w:val="21"/>
                    </w:rPr>
                  </w:pPr>
                </w:p>
              </w:tc>
              <w:tc>
                <w:tcPr>
                  <w:tcW w:w="1219" w:type="pct"/>
                  <w:vMerge w:val="continue"/>
                  <w:tcBorders>
                    <w:left w:val="single" w:color="auto" w:sz="4" w:space="0"/>
                    <w:right w:val="single" w:color="auto" w:sz="4" w:space="0"/>
                  </w:tcBorders>
                  <w:vAlign w:val="center"/>
                </w:tcPr>
                <w:p w14:paraId="44191162">
                  <w:pPr>
                    <w:widowControl/>
                    <w:jc w:val="center"/>
                    <w:rPr>
                      <w:snapToGrid w:val="0"/>
                      <w:kern w:val="0"/>
                      <w:szCs w:val="21"/>
                    </w:rPr>
                  </w:pPr>
                </w:p>
              </w:tc>
              <w:tc>
                <w:tcPr>
                  <w:tcW w:w="1017" w:type="pct"/>
                  <w:gridSpan w:val="2"/>
                  <w:vMerge w:val="restart"/>
                  <w:tcBorders>
                    <w:left w:val="single" w:color="auto" w:sz="4" w:space="0"/>
                    <w:right w:val="single" w:color="auto" w:sz="4" w:space="0"/>
                  </w:tcBorders>
                  <w:vAlign w:val="center"/>
                </w:tcPr>
                <w:p w14:paraId="10BCAE34">
                  <w:pPr>
                    <w:jc w:val="center"/>
                    <w:rPr>
                      <w:szCs w:val="21"/>
                    </w:rPr>
                  </w:pPr>
                  <w:r>
                    <w:rPr>
                      <w:szCs w:val="21"/>
                    </w:rPr>
                    <w:t>无组织排放浓度限值</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3173ACF3">
                  <w:pPr>
                    <w:jc w:val="center"/>
                    <w:rPr>
                      <w:snapToGrid w:val="0"/>
                      <w:kern w:val="0"/>
                      <w:szCs w:val="21"/>
                    </w:rPr>
                  </w:pPr>
                  <w:r>
                    <w:rPr>
                      <w:szCs w:val="21"/>
                    </w:rPr>
                    <w:t>氨</w:t>
                  </w:r>
                </w:p>
              </w:tc>
              <w:tc>
                <w:tcPr>
                  <w:tcW w:w="848" w:type="pct"/>
                  <w:tcBorders>
                    <w:top w:val="single" w:color="auto" w:sz="4" w:space="0"/>
                    <w:left w:val="single" w:color="auto" w:sz="4" w:space="0"/>
                    <w:bottom w:val="single" w:color="auto" w:sz="2" w:space="0"/>
                    <w:right w:val="single" w:color="auto" w:sz="4" w:space="0"/>
                  </w:tcBorders>
                  <w:vAlign w:val="center"/>
                </w:tcPr>
                <w:p w14:paraId="3DBEB8A0">
                  <w:pPr>
                    <w:jc w:val="center"/>
                    <w:rPr>
                      <w:snapToGrid w:val="0"/>
                      <w:kern w:val="0"/>
                      <w:szCs w:val="21"/>
                    </w:rPr>
                  </w:pPr>
                  <w:r>
                    <w:rPr>
                      <w:szCs w:val="21"/>
                    </w:rPr>
                    <w:t>1.5mg/m</w:t>
                  </w:r>
                  <w:r>
                    <w:rPr>
                      <w:szCs w:val="21"/>
                      <w:vertAlign w:val="superscript"/>
                    </w:rPr>
                    <w:t>3</w:t>
                  </w:r>
                </w:p>
              </w:tc>
            </w:tr>
            <w:tr w14:paraId="52BF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 w:hRule="atLeast"/>
              </w:trPr>
              <w:tc>
                <w:tcPr>
                  <w:tcW w:w="393" w:type="pct"/>
                  <w:vMerge w:val="continue"/>
                  <w:tcBorders>
                    <w:left w:val="single" w:color="auto" w:sz="4" w:space="0"/>
                    <w:right w:val="single" w:color="auto" w:sz="4" w:space="0"/>
                  </w:tcBorders>
                  <w:vAlign w:val="center"/>
                </w:tcPr>
                <w:p w14:paraId="7D502D5C">
                  <w:pPr>
                    <w:widowControl/>
                    <w:jc w:val="center"/>
                    <w:rPr>
                      <w:snapToGrid w:val="0"/>
                      <w:kern w:val="0"/>
                      <w:szCs w:val="21"/>
                    </w:rPr>
                  </w:pPr>
                </w:p>
              </w:tc>
              <w:tc>
                <w:tcPr>
                  <w:tcW w:w="1219" w:type="pct"/>
                  <w:vMerge w:val="continue"/>
                  <w:tcBorders>
                    <w:left w:val="single" w:color="auto" w:sz="4" w:space="0"/>
                    <w:bottom w:val="single" w:color="auto" w:sz="4" w:space="0"/>
                    <w:right w:val="single" w:color="auto" w:sz="4" w:space="0"/>
                  </w:tcBorders>
                  <w:vAlign w:val="center"/>
                </w:tcPr>
                <w:p w14:paraId="07E917EA">
                  <w:pPr>
                    <w:widowControl/>
                    <w:jc w:val="center"/>
                    <w:rPr>
                      <w:snapToGrid w:val="0"/>
                      <w:kern w:val="0"/>
                      <w:szCs w:val="21"/>
                    </w:rPr>
                  </w:pPr>
                </w:p>
              </w:tc>
              <w:tc>
                <w:tcPr>
                  <w:tcW w:w="1017" w:type="pct"/>
                  <w:gridSpan w:val="2"/>
                  <w:vMerge w:val="continue"/>
                  <w:tcBorders>
                    <w:left w:val="single" w:color="auto" w:sz="4" w:space="0"/>
                    <w:bottom w:val="single" w:color="auto" w:sz="4" w:space="0"/>
                    <w:right w:val="single" w:color="auto" w:sz="4" w:space="0"/>
                  </w:tcBorders>
                  <w:vAlign w:val="center"/>
                </w:tcPr>
                <w:p w14:paraId="1447184B">
                  <w:pPr>
                    <w:jc w:val="center"/>
                    <w:rPr>
                      <w:szCs w:val="21"/>
                    </w:rPr>
                  </w:pP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067BB623">
                  <w:pPr>
                    <w:jc w:val="center"/>
                    <w:rPr>
                      <w:snapToGrid w:val="0"/>
                      <w:kern w:val="0"/>
                      <w:szCs w:val="21"/>
                    </w:rPr>
                  </w:pPr>
                  <w:r>
                    <w:rPr>
                      <w:szCs w:val="21"/>
                    </w:rPr>
                    <w:t>硫化氢</w:t>
                  </w:r>
                </w:p>
              </w:tc>
              <w:tc>
                <w:tcPr>
                  <w:tcW w:w="848" w:type="pct"/>
                  <w:tcBorders>
                    <w:top w:val="single" w:color="auto" w:sz="4" w:space="0"/>
                    <w:left w:val="single" w:color="auto" w:sz="4" w:space="0"/>
                    <w:bottom w:val="single" w:color="auto" w:sz="2" w:space="0"/>
                    <w:right w:val="single" w:color="auto" w:sz="4" w:space="0"/>
                  </w:tcBorders>
                  <w:vAlign w:val="center"/>
                </w:tcPr>
                <w:p w14:paraId="53071BBB">
                  <w:pPr>
                    <w:jc w:val="center"/>
                    <w:rPr>
                      <w:snapToGrid w:val="0"/>
                      <w:kern w:val="0"/>
                      <w:szCs w:val="21"/>
                    </w:rPr>
                  </w:pPr>
                  <w:r>
                    <w:rPr>
                      <w:szCs w:val="21"/>
                    </w:rPr>
                    <w:t>0.06mg/m</w:t>
                  </w:r>
                  <w:r>
                    <w:rPr>
                      <w:szCs w:val="21"/>
                      <w:vertAlign w:val="superscript"/>
                    </w:rPr>
                    <w:t>3</w:t>
                  </w:r>
                </w:p>
              </w:tc>
            </w:tr>
            <w:tr w14:paraId="7071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 w:hRule="atLeast"/>
              </w:trPr>
              <w:tc>
                <w:tcPr>
                  <w:tcW w:w="393" w:type="pct"/>
                  <w:vMerge w:val="continue"/>
                  <w:tcBorders>
                    <w:left w:val="single" w:color="auto" w:sz="4" w:space="0"/>
                    <w:right w:val="single" w:color="auto" w:sz="4" w:space="0"/>
                  </w:tcBorders>
                  <w:vAlign w:val="center"/>
                </w:tcPr>
                <w:p w14:paraId="1D3F2383">
                  <w:pPr>
                    <w:widowControl/>
                    <w:jc w:val="center"/>
                    <w:rPr>
                      <w:snapToGrid w:val="0"/>
                      <w:kern w:val="0"/>
                      <w:szCs w:val="21"/>
                    </w:rPr>
                  </w:pPr>
                </w:p>
              </w:tc>
              <w:tc>
                <w:tcPr>
                  <w:tcW w:w="1219" w:type="pct"/>
                  <w:vMerge w:val="restart"/>
                  <w:tcBorders>
                    <w:left w:val="single" w:color="auto" w:sz="4" w:space="0"/>
                    <w:right w:val="single" w:color="auto" w:sz="4" w:space="0"/>
                  </w:tcBorders>
                  <w:vAlign w:val="center"/>
                </w:tcPr>
                <w:p w14:paraId="1A4213C9">
                  <w:pPr>
                    <w:widowControl/>
                    <w:jc w:val="center"/>
                    <w:rPr>
                      <w:snapToGrid w:val="0"/>
                      <w:kern w:val="0"/>
                      <w:szCs w:val="21"/>
                    </w:rPr>
                  </w:pPr>
                  <w:r>
                    <w:rPr>
                      <w:szCs w:val="21"/>
                    </w:rPr>
                    <w:t>《城镇污水处理污泥处置 单独焚烧用泥质》(GB/T26402-2009)</w:t>
                  </w:r>
                </w:p>
              </w:tc>
              <w:tc>
                <w:tcPr>
                  <w:tcW w:w="1017" w:type="pct"/>
                  <w:gridSpan w:val="2"/>
                  <w:tcBorders>
                    <w:left w:val="single" w:color="auto" w:sz="4" w:space="0"/>
                    <w:bottom w:val="single" w:color="auto" w:sz="4" w:space="0"/>
                    <w:right w:val="single" w:color="auto" w:sz="4" w:space="0"/>
                  </w:tcBorders>
                </w:tcPr>
                <w:p w14:paraId="73FDCC86">
                  <w:pPr>
                    <w:jc w:val="center"/>
                    <w:rPr>
                      <w:szCs w:val="21"/>
                    </w:rPr>
                  </w:pPr>
                  <w:r>
                    <w:rPr>
                      <w:szCs w:val="21"/>
                    </w:rPr>
                    <w:t>小时均值</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6A9C2DF5">
                  <w:pPr>
                    <w:jc w:val="center"/>
                    <w:rPr>
                      <w:snapToGrid w:val="0"/>
                      <w:kern w:val="0"/>
                      <w:szCs w:val="21"/>
                    </w:rPr>
                  </w:pPr>
                  <w:r>
                    <w:rPr>
                      <w:szCs w:val="21"/>
                    </w:rPr>
                    <w:t>氯化氢</w:t>
                  </w:r>
                </w:p>
              </w:tc>
              <w:tc>
                <w:tcPr>
                  <w:tcW w:w="848" w:type="pct"/>
                  <w:tcBorders>
                    <w:top w:val="single" w:color="auto" w:sz="4" w:space="0"/>
                    <w:left w:val="single" w:color="auto" w:sz="4" w:space="0"/>
                    <w:bottom w:val="single" w:color="auto" w:sz="2" w:space="0"/>
                    <w:right w:val="single" w:color="auto" w:sz="4" w:space="0"/>
                  </w:tcBorders>
                  <w:vAlign w:val="center"/>
                </w:tcPr>
                <w:p w14:paraId="049C04D2">
                  <w:pPr>
                    <w:jc w:val="center"/>
                    <w:rPr>
                      <w:snapToGrid w:val="0"/>
                      <w:kern w:val="0"/>
                      <w:szCs w:val="21"/>
                    </w:rPr>
                  </w:pPr>
                  <w:r>
                    <w:rPr>
                      <w:snapToGrid w:val="0"/>
                      <w:kern w:val="0"/>
                      <w:szCs w:val="21"/>
                    </w:rPr>
                    <w:t>75</w:t>
                  </w:r>
                  <w:r>
                    <w:rPr>
                      <w:szCs w:val="21"/>
                    </w:rPr>
                    <w:t xml:space="preserve"> mg/m</w:t>
                  </w:r>
                  <w:r>
                    <w:rPr>
                      <w:szCs w:val="21"/>
                      <w:vertAlign w:val="superscript"/>
                    </w:rPr>
                    <w:t>3</w:t>
                  </w:r>
                </w:p>
              </w:tc>
            </w:tr>
            <w:tr w14:paraId="5551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8" w:hRule="atLeast"/>
              </w:trPr>
              <w:tc>
                <w:tcPr>
                  <w:tcW w:w="393" w:type="pct"/>
                  <w:vMerge w:val="continue"/>
                  <w:tcBorders>
                    <w:left w:val="single" w:color="auto" w:sz="4" w:space="0"/>
                    <w:right w:val="single" w:color="auto" w:sz="4" w:space="0"/>
                  </w:tcBorders>
                  <w:vAlign w:val="center"/>
                </w:tcPr>
                <w:p w14:paraId="5BB2E0CC">
                  <w:pPr>
                    <w:widowControl/>
                    <w:jc w:val="center"/>
                    <w:rPr>
                      <w:snapToGrid w:val="0"/>
                      <w:kern w:val="0"/>
                      <w:szCs w:val="21"/>
                    </w:rPr>
                  </w:pPr>
                </w:p>
              </w:tc>
              <w:tc>
                <w:tcPr>
                  <w:tcW w:w="1219" w:type="pct"/>
                  <w:vMerge w:val="continue"/>
                  <w:tcBorders>
                    <w:left w:val="single" w:color="auto" w:sz="4" w:space="0"/>
                    <w:right w:val="single" w:color="auto" w:sz="4" w:space="0"/>
                  </w:tcBorders>
                  <w:vAlign w:val="center"/>
                </w:tcPr>
                <w:p w14:paraId="7866CB92">
                  <w:pPr>
                    <w:widowControl/>
                    <w:jc w:val="center"/>
                    <w:rPr>
                      <w:szCs w:val="21"/>
                    </w:rPr>
                  </w:pPr>
                </w:p>
              </w:tc>
              <w:tc>
                <w:tcPr>
                  <w:tcW w:w="1017" w:type="pct"/>
                  <w:gridSpan w:val="2"/>
                  <w:tcBorders>
                    <w:left w:val="single" w:color="auto" w:sz="4" w:space="0"/>
                    <w:bottom w:val="single" w:color="auto" w:sz="4" w:space="0"/>
                    <w:right w:val="single" w:color="auto" w:sz="4" w:space="0"/>
                  </w:tcBorders>
                </w:tcPr>
                <w:p w14:paraId="1A9C9B99">
                  <w:pPr>
                    <w:jc w:val="center"/>
                    <w:rPr>
                      <w:szCs w:val="21"/>
                    </w:rPr>
                  </w:pPr>
                  <w:r>
                    <w:rPr>
                      <w:szCs w:val="21"/>
                    </w:rPr>
                    <w:t>测定均值</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050A044B">
                  <w:pPr>
                    <w:jc w:val="center"/>
                    <w:rPr>
                      <w:snapToGrid w:val="0"/>
                      <w:kern w:val="0"/>
                      <w:szCs w:val="21"/>
                    </w:rPr>
                  </w:pPr>
                  <w:r>
                    <w:rPr>
                      <w:szCs w:val="21"/>
                    </w:rPr>
                    <w:t>汞</w:t>
                  </w:r>
                </w:p>
              </w:tc>
              <w:tc>
                <w:tcPr>
                  <w:tcW w:w="848" w:type="pct"/>
                  <w:tcBorders>
                    <w:top w:val="single" w:color="auto" w:sz="4" w:space="0"/>
                    <w:left w:val="single" w:color="auto" w:sz="4" w:space="0"/>
                    <w:bottom w:val="single" w:color="auto" w:sz="2" w:space="0"/>
                    <w:right w:val="single" w:color="auto" w:sz="4" w:space="0"/>
                  </w:tcBorders>
                  <w:vAlign w:val="center"/>
                </w:tcPr>
                <w:p w14:paraId="6C535E33">
                  <w:pPr>
                    <w:jc w:val="center"/>
                    <w:rPr>
                      <w:snapToGrid w:val="0"/>
                      <w:kern w:val="0"/>
                      <w:szCs w:val="21"/>
                    </w:rPr>
                  </w:pPr>
                  <w:r>
                    <w:rPr>
                      <w:snapToGrid w:val="0"/>
                      <w:kern w:val="0"/>
                      <w:szCs w:val="21"/>
                    </w:rPr>
                    <w:t>0.2</w:t>
                  </w:r>
                  <w:r>
                    <w:rPr>
                      <w:szCs w:val="21"/>
                    </w:rPr>
                    <w:t>mg/m</w:t>
                  </w:r>
                  <w:r>
                    <w:rPr>
                      <w:szCs w:val="21"/>
                      <w:vertAlign w:val="superscript"/>
                    </w:rPr>
                    <w:t>3</w:t>
                  </w:r>
                </w:p>
              </w:tc>
            </w:tr>
            <w:tr w14:paraId="22B3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6" w:hRule="atLeast"/>
              </w:trPr>
              <w:tc>
                <w:tcPr>
                  <w:tcW w:w="393" w:type="pct"/>
                  <w:vMerge w:val="continue"/>
                  <w:tcBorders>
                    <w:left w:val="single" w:color="auto" w:sz="4" w:space="0"/>
                    <w:right w:val="single" w:color="auto" w:sz="4" w:space="0"/>
                  </w:tcBorders>
                  <w:vAlign w:val="center"/>
                </w:tcPr>
                <w:p w14:paraId="2D0BF189">
                  <w:pPr>
                    <w:widowControl/>
                    <w:jc w:val="center"/>
                    <w:rPr>
                      <w:snapToGrid w:val="0"/>
                      <w:kern w:val="0"/>
                      <w:szCs w:val="21"/>
                    </w:rPr>
                  </w:pPr>
                </w:p>
              </w:tc>
              <w:tc>
                <w:tcPr>
                  <w:tcW w:w="1219" w:type="pct"/>
                  <w:vMerge w:val="continue"/>
                  <w:tcBorders>
                    <w:left w:val="single" w:color="auto" w:sz="4" w:space="0"/>
                    <w:right w:val="single" w:color="auto" w:sz="4" w:space="0"/>
                  </w:tcBorders>
                  <w:vAlign w:val="center"/>
                </w:tcPr>
                <w:p w14:paraId="3E3DE1A5">
                  <w:pPr>
                    <w:widowControl/>
                    <w:jc w:val="center"/>
                    <w:rPr>
                      <w:szCs w:val="21"/>
                    </w:rPr>
                  </w:pPr>
                </w:p>
              </w:tc>
              <w:tc>
                <w:tcPr>
                  <w:tcW w:w="1017" w:type="pct"/>
                  <w:gridSpan w:val="2"/>
                  <w:tcBorders>
                    <w:left w:val="single" w:color="auto" w:sz="4" w:space="0"/>
                    <w:bottom w:val="single" w:color="auto" w:sz="4" w:space="0"/>
                    <w:right w:val="single" w:color="auto" w:sz="4" w:space="0"/>
                  </w:tcBorders>
                </w:tcPr>
                <w:p w14:paraId="67065EB7">
                  <w:pPr>
                    <w:jc w:val="center"/>
                    <w:rPr>
                      <w:szCs w:val="21"/>
                    </w:rPr>
                  </w:pPr>
                  <w:r>
                    <w:rPr>
                      <w:szCs w:val="21"/>
                    </w:rPr>
                    <w:t>测定均值</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7A6C8245">
                  <w:pPr>
                    <w:jc w:val="center"/>
                    <w:rPr>
                      <w:snapToGrid w:val="0"/>
                      <w:kern w:val="0"/>
                      <w:szCs w:val="21"/>
                    </w:rPr>
                  </w:pPr>
                  <w:r>
                    <w:rPr>
                      <w:szCs w:val="21"/>
                    </w:rPr>
                    <w:t>镉</w:t>
                  </w:r>
                </w:p>
              </w:tc>
              <w:tc>
                <w:tcPr>
                  <w:tcW w:w="848" w:type="pct"/>
                  <w:tcBorders>
                    <w:top w:val="single" w:color="auto" w:sz="4" w:space="0"/>
                    <w:left w:val="single" w:color="auto" w:sz="4" w:space="0"/>
                    <w:bottom w:val="single" w:color="auto" w:sz="2" w:space="0"/>
                    <w:right w:val="single" w:color="auto" w:sz="4" w:space="0"/>
                  </w:tcBorders>
                  <w:vAlign w:val="center"/>
                </w:tcPr>
                <w:p w14:paraId="2FCE9192">
                  <w:pPr>
                    <w:jc w:val="center"/>
                    <w:rPr>
                      <w:snapToGrid w:val="0"/>
                      <w:kern w:val="0"/>
                      <w:szCs w:val="21"/>
                    </w:rPr>
                  </w:pPr>
                  <w:r>
                    <w:rPr>
                      <w:snapToGrid w:val="0"/>
                      <w:kern w:val="0"/>
                      <w:szCs w:val="21"/>
                    </w:rPr>
                    <w:t>0.1</w:t>
                  </w:r>
                  <w:r>
                    <w:rPr>
                      <w:szCs w:val="21"/>
                    </w:rPr>
                    <w:t>mg/m</w:t>
                  </w:r>
                  <w:r>
                    <w:rPr>
                      <w:szCs w:val="21"/>
                      <w:vertAlign w:val="superscript"/>
                    </w:rPr>
                    <w:t>3</w:t>
                  </w:r>
                </w:p>
              </w:tc>
            </w:tr>
            <w:tr w14:paraId="0F3B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393" w:type="pct"/>
                  <w:vMerge w:val="continue"/>
                  <w:tcBorders>
                    <w:left w:val="single" w:color="auto" w:sz="4" w:space="0"/>
                    <w:right w:val="single" w:color="auto" w:sz="4" w:space="0"/>
                  </w:tcBorders>
                  <w:vAlign w:val="center"/>
                </w:tcPr>
                <w:p w14:paraId="3C6F062E">
                  <w:pPr>
                    <w:widowControl/>
                    <w:jc w:val="center"/>
                    <w:rPr>
                      <w:snapToGrid w:val="0"/>
                      <w:kern w:val="0"/>
                      <w:szCs w:val="21"/>
                    </w:rPr>
                  </w:pPr>
                </w:p>
              </w:tc>
              <w:tc>
                <w:tcPr>
                  <w:tcW w:w="1219" w:type="pct"/>
                  <w:vMerge w:val="continue"/>
                  <w:tcBorders>
                    <w:left w:val="single" w:color="auto" w:sz="4" w:space="0"/>
                    <w:right w:val="single" w:color="auto" w:sz="4" w:space="0"/>
                  </w:tcBorders>
                  <w:vAlign w:val="center"/>
                </w:tcPr>
                <w:p w14:paraId="0A4CDCAB">
                  <w:pPr>
                    <w:widowControl/>
                    <w:jc w:val="center"/>
                    <w:rPr>
                      <w:szCs w:val="21"/>
                    </w:rPr>
                  </w:pPr>
                </w:p>
              </w:tc>
              <w:tc>
                <w:tcPr>
                  <w:tcW w:w="1017" w:type="pct"/>
                  <w:gridSpan w:val="2"/>
                  <w:tcBorders>
                    <w:left w:val="single" w:color="auto" w:sz="4" w:space="0"/>
                    <w:bottom w:val="single" w:color="auto" w:sz="4" w:space="0"/>
                    <w:right w:val="single" w:color="auto" w:sz="4" w:space="0"/>
                  </w:tcBorders>
                </w:tcPr>
                <w:p w14:paraId="41BA4A50">
                  <w:pPr>
                    <w:jc w:val="center"/>
                    <w:rPr>
                      <w:szCs w:val="21"/>
                    </w:rPr>
                  </w:pPr>
                  <w:r>
                    <w:rPr>
                      <w:szCs w:val="21"/>
                    </w:rPr>
                    <w:t>测定均值</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22C1AFC3">
                  <w:pPr>
                    <w:jc w:val="center"/>
                    <w:rPr>
                      <w:snapToGrid w:val="0"/>
                      <w:kern w:val="0"/>
                      <w:szCs w:val="21"/>
                    </w:rPr>
                  </w:pPr>
                  <w:r>
                    <w:rPr>
                      <w:szCs w:val="21"/>
                    </w:rPr>
                    <w:t>铅</w:t>
                  </w:r>
                </w:p>
              </w:tc>
              <w:tc>
                <w:tcPr>
                  <w:tcW w:w="848" w:type="pct"/>
                  <w:tcBorders>
                    <w:top w:val="single" w:color="auto" w:sz="4" w:space="0"/>
                    <w:left w:val="single" w:color="auto" w:sz="4" w:space="0"/>
                    <w:bottom w:val="single" w:color="auto" w:sz="2" w:space="0"/>
                    <w:right w:val="single" w:color="auto" w:sz="4" w:space="0"/>
                  </w:tcBorders>
                  <w:vAlign w:val="center"/>
                </w:tcPr>
                <w:p w14:paraId="7B80975D">
                  <w:pPr>
                    <w:jc w:val="center"/>
                    <w:rPr>
                      <w:snapToGrid w:val="0"/>
                      <w:kern w:val="0"/>
                      <w:szCs w:val="21"/>
                    </w:rPr>
                  </w:pPr>
                  <w:r>
                    <w:rPr>
                      <w:snapToGrid w:val="0"/>
                      <w:kern w:val="0"/>
                      <w:szCs w:val="21"/>
                    </w:rPr>
                    <w:t>1.6</w:t>
                  </w:r>
                  <w:r>
                    <w:rPr>
                      <w:szCs w:val="21"/>
                    </w:rPr>
                    <w:t>mg/m</w:t>
                  </w:r>
                  <w:r>
                    <w:rPr>
                      <w:szCs w:val="21"/>
                      <w:vertAlign w:val="superscript"/>
                    </w:rPr>
                    <w:t>3</w:t>
                  </w:r>
                </w:p>
              </w:tc>
            </w:tr>
            <w:tr w14:paraId="5229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393" w:type="pct"/>
                  <w:vMerge w:val="continue"/>
                  <w:tcBorders>
                    <w:left w:val="single" w:color="auto" w:sz="4" w:space="0"/>
                    <w:right w:val="single" w:color="auto" w:sz="4" w:space="0"/>
                  </w:tcBorders>
                  <w:vAlign w:val="center"/>
                </w:tcPr>
                <w:p w14:paraId="023F6F3D">
                  <w:pPr>
                    <w:widowControl/>
                    <w:jc w:val="center"/>
                    <w:rPr>
                      <w:snapToGrid w:val="0"/>
                      <w:kern w:val="0"/>
                      <w:szCs w:val="21"/>
                    </w:rPr>
                  </w:pPr>
                </w:p>
              </w:tc>
              <w:tc>
                <w:tcPr>
                  <w:tcW w:w="1219" w:type="pct"/>
                  <w:vMerge w:val="continue"/>
                  <w:tcBorders>
                    <w:left w:val="single" w:color="auto" w:sz="4" w:space="0"/>
                    <w:bottom w:val="single" w:color="auto" w:sz="4" w:space="0"/>
                    <w:right w:val="single" w:color="auto" w:sz="4" w:space="0"/>
                  </w:tcBorders>
                  <w:vAlign w:val="center"/>
                </w:tcPr>
                <w:p w14:paraId="569B3A38">
                  <w:pPr>
                    <w:widowControl/>
                    <w:jc w:val="center"/>
                    <w:rPr>
                      <w:szCs w:val="21"/>
                    </w:rPr>
                  </w:pPr>
                </w:p>
              </w:tc>
              <w:tc>
                <w:tcPr>
                  <w:tcW w:w="1017" w:type="pct"/>
                  <w:gridSpan w:val="2"/>
                  <w:tcBorders>
                    <w:left w:val="single" w:color="auto" w:sz="4" w:space="0"/>
                    <w:bottom w:val="single" w:color="auto" w:sz="4" w:space="0"/>
                    <w:right w:val="single" w:color="auto" w:sz="4" w:space="0"/>
                  </w:tcBorders>
                  <w:vAlign w:val="center"/>
                </w:tcPr>
                <w:p w14:paraId="1C1565FE">
                  <w:pPr>
                    <w:jc w:val="center"/>
                    <w:rPr>
                      <w:szCs w:val="21"/>
                    </w:rPr>
                  </w:pPr>
                  <w:r>
                    <w:rPr>
                      <w:szCs w:val="21"/>
                    </w:rPr>
                    <w:t>测定均值</w:t>
                  </w:r>
                </w:p>
              </w:tc>
              <w:tc>
                <w:tcPr>
                  <w:tcW w:w="1523" w:type="pct"/>
                  <w:gridSpan w:val="4"/>
                  <w:tcBorders>
                    <w:top w:val="single" w:color="auto" w:sz="4" w:space="0"/>
                    <w:left w:val="single" w:color="auto" w:sz="4" w:space="0"/>
                    <w:bottom w:val="single" w:color="auto" w:sz="4" w:space="0"/>
                    <w:right w:val="single" w:color="auto" w:sz="4" w:space="0"/>
                  </w:tcBorders>
                  <w:vAlign w:val="center"/>
                </w:tcPr>
                <w:p w14:paraId="7BF67E1D">
                  <w:pPr>
                    <w:jc w:val="center"/>
                    <w:rPr>
                      <w:snapToGrid w:val="0"/>
                      <w:kern w:val="0"/>
                      <w:szCs w:val="21"/>
                    </w:rPr>
                  </w:pPr>
                  <w:r>
                    <w:rPr>
                      <w:snapToGrid w:val="0"/>
                      <w:kern w:val="0"/>
                      <w:szCs w:val="21"/>
                    </w:rPr>
                    <w:t>二噁英类</w:t>
                  </w:r>
                </w:p>
              </w:tc>
              <w:tc>
                <w:tcPr>
                  <w:tcW w:w="848" w:type="pct"/>
                  <w:tcBorders>
                    <w:top w:val="single" w:color="auto" w:sz="4" w:space="0"/>
                    <w:left w:val="single" w:color="auto" w:sz="4" w:space="0"/>
                    <w:bottom w:val="single" w:color="auto" w:sz="2" w:space="0"/>
                    <w:right w:val="single" w:color="auto" w:sz="4" w:space="0"/>
                  </w:tcBorders>
                  <w:vAlign w:val="center"/>
                </w:tcPr>
                <w:p w14:paraId="3A510B42">
                  <w:pPr>
                    <w:jc w:val="center"/>
                    <w:rPr>
                      <w:snapToGrid w:val="0"/>
                      <w:kern w:val="0"/>
                      <w:szCs w:val="21"/>
                    </w:rPr>
                  </w:pPr>
                  <w:r>
                    <w:rPr>
                      <w:snapToGrid w:val="0"/>
                      <w:kern w:val="0"/>
                      <w:szCs w:val="21"/>
                    </w:rPr>
                    <w:t>1.0ngTEQ/m</w:t>
                  </w:r>
                  <w:r>
                    <w:rPr>
                      <w:snapToGrid w:val="0"/>
                      <w:kern w:val="0"/>
                      <w:szCs w:val="21"/>
                      <w:vertAlign w:val="superscript"/>
                    </w:rPr>
                    <w:t>3</w:t>
                  </w:r>
                </w:p>
              </w:tc>
            </w:tr>
            <w:tr w14:paraId="4C43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00" w:hRule="atLeast"/>
              </w:trPr>
              <w:tc>
                <w:tcPr>
                  <w:tcW w:w="393" w:type="pct"/>
                  <w:vMerge w:val="continue"/>
                  <w:tcBorders>
                    <w:left w:val="single" w:color="auto" w:sz="4" w:space="0"/>
                    <w:right w:val="single" w:color="auto" w:sz="4" w:space="0"/>
                  </w:tcBorders>
                  <w:vAlign w:val="center"/>
                </w:tcPr>
                <w:p w14:paraId="0926286E">
                  <w:pPr>
                    <w:widowControl/>
                    <w:jc w:val="center"/>
                    <w:rPr>
                      <w:snapToGrid w:val="0"/>
                      <w:kern w:val="0"/>
                      <w:szCs w:val="21"/>
                    </w:rPr>
                  </w:pPr>
                </w:p>
              </w:tc>
              <w:tc>
                <w:tcPr>
                  <w:tcW w:w="1219" w:type="pct"/>
                  <w:tcBorders>
                    <w:left w:val="single" w:color="auto" w:sz="4" w:space="0"/>
                    <w:bottom w:val="single" w:color="auto" w:sz="4" w:space="0"/>
                    <w:right w:val="single" w:color="auto" w:sz="4" w:space="0"/>
                  </w:tcBorders>
                  <w:vAlign w:val="center"/>
                </w:tcPr>
                <w:p w14:paraId="17E9B8CA">
                  <w:pPr>
                    <w:widowControl/>
                    <w:jc w:val="center"/>
                    <w:rPr>
                      <w:szCs w:val="21"/>
                    </w:rPr>
                  </w:pPr>
                  <w:r>
                    <w:rPr>
                      <w:szCs w:val="21"/>
                    </w:rPr>
                    <w:t>《餐饮业油烟污染物排放标准》（DB41/1604-2018）</w:t>
                  </w:r>
                </w:p>
              </w:tc>
              <w:tc>
                <w:tcPr>
                  <w:tcW w:w="3388" w:type="pct"/>
                  <w:gridSpan w:val="7"/>
                  <w:tcBorders>
                    <w:left w:val="single" w:color="auto" w:sz="4" w:space="0"/>
                    <w:bottom w:val="single" w:color="auto" w:sz="4" w:space="0"/>
                    <w:right w:val="single" w:color="auto" w:sz="4" w:space="0"/>
                  </w:tcBorders>
                  <w:vAlign w:val="center"/>
                </w:tcPr>
                <w:p w14:paraId="11BAF484">
                  <w:pPr>
                    <w:jc w:val="center"/>
                    <w:rPr>
                      <w:snapToGrid w:val="0"/>
                      <w:kern w:val="0"/>
                      <w:szCs w:val="21"/>
                    </w:rPr>
                  </w:pPr>
                  <w:r>
                    <w:rPr>
                      <w:szCs w:val="21"/>
                    </w:rPr>
                    <w:t>“小型食堂”排放限值：油烟排放浓度限值1.5mg/m3，油烟去除效率≥90%</w:t>
                  </w:r>
                </w:p>
              </w:tc>
            </w:tr>
            <w:tr w14:paraId="189D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 w:hRule="atLeast"/>
              </w:trPr>
              <w:tc>
                <w:tcPr>
                  <w:tcW w:w="393" w:type="pct"/>
                  <w:tcBorders>
                    <w:left w:val="single" w:color="auto" w:sz="4" w:space="0"/>
                    <w:right w:val="single" w:color="auto" w:sz="4" w:space="0"/>
                  </w:tcBorders>
                  <w:vAlign w:val="center"/>
                </w:tcPr>
                <w:p w14:paraId="7902139D">
                  <w:pPr>
                    <w:snapToGrid w:val="0"/>
                    <w:jc w:val="center"/>
                    <w:rPr>
                      <w:snapToGrid w:val="0"/>
                      <w:kern w:val="0"/>
                      <w:szCs w:val="21"/>
                    </w:rPr>
                  </w:pPr>
                  <w:r>
                    <w:rPr>
                      <w:snapToGrid w:val="0"/>
                      <w:kern w:val="0"/>
                      <w:szCs w:val="21"/>
                    </w:rPr>
                    <w:t>废水</w:t>
                  </w:r>
                </w:p>
              </w:tc>
              <w:tc>
                <w:tcPr>
                  <w:tcW w:w="4607" w:type="pct"/>
                  <w:gridSpan w:val="8"/>
                  <w:tcBorders>
                    <w:left w:val="single" w:color="auto" w:sz="4" w:space="0"/>
                    <w:right w:val="single" w:color="auto" w:sz="4" w:space="0"/>
                  </w:tcBorders>
                  <w:vAlign w:val="center"/>
                </w:tcPr>
                <w:p w14:paraId="5FB75DFA">
                  <w:pPr>
                    <w:pStyle w:val="188"/>
                    <w:tabs>
                      <w:tab w:val="left" w:pos="2730"/>
                    </w:tabs>
                    <w:spacing w:line="240" w:lineRule="auto"/>
                    <w:rPr>
                      <w:rFonts w:ascii="Times New Roman"/>
                      <w:snapToGrid w:val="0"/>
                      <w:kern w:val="0"/>
                      <w:szCs w:val="21"/>
                    </w:rPr>
                  </w:pPr>
                  <w:r>
                    <w:rPr>
                      <w:rFonts w:ascii="Times New Roman"/>
                      <w:snapToGrid w:val="0"/>
                      <w:kern w:val="0"/>
                      <w:szCs w:val="21"/>
                    </w:rPr>
                    <w:t>废水不外排</w:t>
                  </w:r>
                </w:p>
              </w:tc>
            </w:tr>
            <w:tr w14:paraId="0B00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62" w:hRule="atLeast"/>
              </w:trPr>
              <w:tc>
                <w:tcPr>
                  <w:tcW w:w="393" w:type="pct"/>
                  <w:vMerge w:val="restart"/>
                  <w:tcBorders>
                    <w:left w:val="single" w:color="auto" w:sz="4" w:space="0"/>
                    <w:right w:val="single" w:color="auto" w:sz="4" w:space="0"/>
                  </w:tcBorders>
                  <w:vAlign w:val="center"/>
                </w:tcPr>
                <w:p w14:paraId="6016213C">
                  <w:pPr>
                    <w:snapToGrid w:val="0"/>
                    <w:jc w:val="center"/>
                    <w:rPr>
                      <w:snapToGrid w:val="0"/>
                      <w:kern w:val="0"/>
                      <w:szCs w:val="21"/>
                    </w:rPr>
                  </w:pPr>
                  <w:r>
                    <w:rPr>
                      <w:snapToGrid w:val="0"/>
                      <w:kern w:val="0"/>
                      <w:szCs w:val="21"/>
                    </w:rPr>
                    <w:t>噪声</w:t>
                  </w:r>
                </w:p>
              </w:tc>
              <w:tc>
                <w:tcPr>
                  <w:tcW w:w="2353" w:type="pct"/>
                  <w:gridSpan w:val="4"/>
                  <w:vMerge w:val="restart"/>
                  <w:tcBorders>
                    <w:left w:val="single" w:color="auto" w:sz="4" w:space="0"/>
                    <w:right w:val="single" w:color="auto" w:sz="4" w:space="0"/>
                  </w:tcBorders>
                  <w:vAlign w:val="center"/>
                </w:tcPr>
                <w:p w14:paraId="4C05E292">
                  <w:pPr>
                    <w:snapToGrid w:val="0"/>
                    <w:jc w:val="center"/>
                    <w:rPr>
                      <w:snapToGrid w:val="0"/>
                      <w:kern w:val="0"/>
                      <w:szCs w:val="21"/>
                    </w:rPr>
                  </w:pPr>
                  <w:r>
                    <w:rPr>
                      <w:snapToGrid w:val="0"/>
                      <w:kern w:val="0"/>
                      <w:szCs w:val="21"/>
                    </w:rPr>
                    <w:t>《工业企业厂界环境噪声排放标准》（GB12348-2008）</w:t>
                  </w:r>
                </w:p>
              </w:tc>
              <w:tc>
                <w:tcPr>
                  <w:tcW w:w="499" w:type="pct"/>
                  <w:vMerge w:val="restart"/>
                  <w:tcBorders>
                    <w:top w:val="single" w:color="auto" w:sz="4" w:space="0"/>
                    <w:left w:val="single" w:color="auto" w:sz="4" w:space="0"/>
                    <w:right w:val="single" w:color="auto" w:sz="4" w:space="0"/>
                  </w:tcBorders>
                  <w:vAlign w:val="center"/>
                </w:tcPr>
                <w:p w14:paraId="18D1EAD6">
                  <w:pPr>
                    <w:snapToGrid w:val="0"/>
                    <w:jc w:val="center"/>
                    <w:rPr>
                      <w:snapToGrid w:val="0"/>
                      <w:kern w:val="0"/>
                      <w:szCs w:val="21"/>
                    </w:rPr>
                  </w:pPr>
                  <w:r>
                    <w:rPr>
                      <w:snapToGrid w:val="0"/>
                      <w:kern w:val="0"/>
                      <w:szCs w:val="21"/>
                    </w:rPr>
                    <w:t>噪声</w:t>
                  </w:r>
                </w:p>
              </w:tc>
              <w:tc>
                <w:tcPr>
                  <w:tcW w:w="555" w:type="pct"/>
                  <w:tcBorders>
                    <w:top w:val="single" w:color="auto" w:sz="4" w:space="0"/>
                    <w:left w:val="single" w:color="auto" w:sz="4" w:space="0"/>
                    <w:bottom w:val="single" w:color="auto" w:sz="4" w:space="0"/>
                    <w:right w:val="single" w:color="auto" w:sz="4" w:space="0"/>
                  </w:tcBorders>
                  <w:vAlign w:val="center"/>
                </w:tcPr>
                <w:p w14:paraId="482AC784">
                  <w:pPr>
                    <w:snapToGrid w:val="0"/>
                    <w:jc w:val="center"/>
                    <w:rPr>
                      <w:snapToGrid w:val="0"/>
                      <w:kern w:val="0"/>
                      <w:szCs w:val="21"/>
                    </w:rPr>
                  </w:pPr>
                  <w:r>
                    <w:rPr>
                      <w:snapToGrid w:val="0"/>
                      <w:kern w:val="0"/>
                      <w:szCs w:val="21"/>
                    </w:rPr>
                    <w:t>2类</w:t>
                  </w:r>
                </w:p>
              </w:tc>
              <w:tc>
                <w:tcPr>
                  <w:tcW w:w="1200" w:type="pct"/>
                  <w:gridSpan w:val="2"/>
                  <w:tcBorders>
                    <w:top w:val="single" w:color="auto" w:sz="4" w:space="0"/>
                    <w:left w:val="single" w:color="auto" w:sz="4" w:space="0"/>
                    <w:bottom w:val="single" w:color="auto" w:sz="2" w:space="0"/>
                    <w:right w:val="single" w:color="auto" w:sz="4" w:space="0"/>
                  </w:tcBorders>
                  <w:vAlign w:val="center"/>
                </w:tcPr>
                <w:p w14:paraId="2C350080">
                  <w:pPr>
                    <w:snapToGrid w:val="0"/>
                    <w:jc w:val="center"/>
                    <w:rPr>
                      <w:snapToGrid w:val="0"/>
                      <w:kern w:val="0"/>
                      <w:szCs w:val="21"/>
                    </w:rPr>
                  </w:pPr>
                  <w:r>
                    <w:rPr>
                      <w:snapToGrid w:val="0"/>
                      <w:kern w:val="0"/>
                      <w:szCs w:val="21"/>
                    </w:rPr>
                    <w:t>昼间60dB(A)</w:t>
                  </w:r>
                </w:p>
                <w:p w14:paraId="0860F769">
                  <w:pPr>
                    <w:snapToGrid w:val="0"/>
                    <w:jc w:val="center"/>
                    <w:rPr>
                      <w:snapToGrid w:val="0"/>
                      <w:kern w:val="0"/>
                      <w:szCs w:val="21"/>
                    </w:rPr>
                  </w:pPr>
                  <w:r>
                    <w:rPr>
                      <w:snapToGrid w:val="0"/>
                      <w:kern w:val="0"/>
                      <w:szCs w:val="21"/>
                    </w:rPr>
                    <w:t>夜间50dB(A)</w:t>
                  </w:r>
                </w:p>
              </w:tc>
            </w:tr>
            <w:tr w14:paraId="7F56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trPr>
              <w:tc>
                <w:tcPr>
                  <w:tcW w:w="393" w:type="pct"/>
                  <w:vMerge w:val="continue"/>
                  <w:tcBorders>
                    <w:left w:val="single" w:color="auto" w:sz="4" w:space="0"/>
                    <w:bottom w:val="single" w:color="auto" w:sz="4" w:space="0"/>
                    <w:right w:val="single" w:color="auto" w:sz="4" w:space="0"/>
                  </w:tcBorders>
                  <w:vAlign w:val="center"/>
                </w:tcPr>
                <w:p w14:paraId="1EEBD8E5">
                  <w:pPr>
                    <w:snapToGrid w:val="0"/>
                    <w:jc w:val="center"/>
                    <w:rPr>
                      <w:snapToGrid w:val="0"/>
                      <w:kern w:val="0"/>
                      <w:szCs w:val="21"/>
                    </w:rPr>
                  </w:pPr>
                </w:p>
              </w:tc>
              <w:tc>
                <w:tcPr>
                  <w:tcW w:w="2353" w:type="pct"/>
                  <w:gridSpan w:val="4"/>
                  <w:vMerge w:val="continue"/>
                  <w:tcBorders>
                    <w:left w:val="single" w:color="auto" w:sz="4" w:space="0"/>
                    <w:bottom w:val="single" w:color="auto" w:sz="4" w:space="0"/>
                    <w:right w:val="single" w:color="auto" w:sz="4" w:space="0"/>
                  </w:tcBorders>
                  <w:vAlign w:val="center"/>
                </w:tcPr>
                <w:p w14:paraId="58EC8F79">
                  <w:pPr>
                    <w:snapToGrid w:val="0"/>
                    <w:jc w:val="center"/>
                    <w:rPr>
                      <w:snapToGrid w:val="0"/>
                      <w:kern w:val="0"/>
                      <w:szCs w:val="21"/>
                    </w:rPr>
                  </w:pPr>
                </w:p>
              </w:tc>
              <w:tc>
                <w:tcPr>
                  <w:tcW w:w="499" w:type="pct"/>
                  <w:vMerge w:val="continue"/>
                  <w:tcBorders>
                    <w:left w:val="single" w:color="auto" w:sz="4" w:space="0"/>
                    <w:bottom w:val="single" w:color="auto" w:sz="4" w:space="0"/>
                    <w:right w:val="single" w:color="auto" w:sz="4" w:space="0"/>
                  </w:tcBorders>
                  <w:vAlign w:val="center"/>
                </w:tcPr>
                <w:p w14:paraId="0648FD56">
                  <w:pPr>
                    <w:snapToGrid w:val="0"/>
                    <w:jc w:val="center"/>
                    <w:rPr>
                      <w:snapToGrid w:val="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14:paraId="392B80B1">
                  <w:pPr>
                    <w:snapToGrid w:val="0"/>
                    <w:jc w:val="center"/>
                    <w:rPr>
                      <w:snapToGrid w:val="0"/>
                      <w:kern w:val="0"/>
                      <w:szCs w:val="21"/>
                    </w:rPr>
                  </w:pPr>
                  <w:r>
                    <w:rPr>
                      <w:snapToGrid w:val="0"/>
                      <w:kern w:val="0"/>
                      <w:szCs w:val="21"/>
                    </w:rPr>
                    <w:t>4类</w:t>
                  </w:r>
                </w:p>
              </w:tc>
              <w:tc>
                <w:tcPr>
                  <w:tcW w:w="1200" w:type="pct"/>
                  <w:gridSpan w:val="2"/>
                  <w:tcBorders>
                    <w:top w:val="single" w:color="auto" w:sz="4" w:space="0"/>
                    <w:left w:val="single" w:color="auto" w:sz="4" w:space="0"/>
                    <w:bottom w:val="single" w:color="auto" w:sz="2" w:space="0"/>
                    <w:right w:val="single" w:color="auto" w:sz="4" w:space="0"/>
                  </w:tcBorders>
                  <w:vAlign w:val="center"/>
                </w:tcPr>
                <w:p w14:paraId="54F4E5D5">
                  <w:pPr>
                    <w:snapToGrid w:val="0"/>
                    <w:jc w:val="center"/>
                    <w:rPr>
                      <w:snapToGrid w:val="0"/>
                      <w:kern w:val="0"/>
                      <w:szCs w:val="21"/>
                    </w:rPr>
                  </w:pPr>
                  <w:r>
                    <w:rPr>
                      <w:snapToGrid w:val="0"/>
                      <w:kern w:val="0"/>
                      <w:szCs w:val="21"/>
                    </w:rPr>
                    <w:t>昼间70dB(A)</w:t>
                  </w:r>
                </w:p>
                <w:p w14:paraId="52220CEC">
                  <w:pPr>
                    <w:snapToGrid w:val="0"/>
                    <w:jc w:val="center"/>
                    <w:rPr>
                      <w:snapToGrid w:val="0"/>
                      <w:kern w:val="0"/>
                      <w:szCs w:val="21"/>
                    </w:rPr>
                  </w:pPr>
                  <w:r>
                    <w:rPr>
                      <w:snapToGrid w:val="0"/>
                      <w:kern w:val="0"/>
                      <w:szCs w:val="21"/>
                    </w:rPr>
                    <w:t>夜间55dB(A)</w:t>
                  </w:r>
                </w:p>
              </w:tc>
            </w:tr>
            <w:tr w14:paraId="01DE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trPr>
              <w:tc>
                <w:tcPr>
                  <w:tcW w:w="393" w:type="pct"/>
                  <w:tcBorders>
                    <w:top w:val="single" w:color="auto" w:sz="4" w:space="0"/>
                    <w:left w:val="single" w:color="auto" w:sz="4" w:space="0"/>
                    <w:bottom w:val="single" w:color="auto" w:sz="4" w:space="0"/>
                    <w:right w:val="single" w:color="auto" w:sz="4" w:space="0"/>
                  </w:tcBorders>
                  <w:vAlign w:val="center"/>
                </w:tcPr>
                <w:p w14:paraId="36658BB7">
                  <w:pPr>
                    <w:snapToGrid w:val="0"/>
                    <w:jc w:val="center"/>
                    <w:rPr>
                      <w:snapToGrid w:val="0"/>
                      <w:kern w:val="0"/>
                      <w:szCs w:val="21"/>
                    </w:rPr>
                  </w:pPr>
                  <w:r>
                    <w:rPr>
                      <w:snapToGrid w:val="0"/>
                      <w:kern w:val="0"/>
                      <w:szCs w:val="21"/>
                    </w:rPr>
                    <w:t>固</w:t>
                  </w:r>
                </w:p>
                <w:p w14:paraId="70ADB821">
                  <w:pPr>
                    <w:snapToGrid w:val="0"/>
                    <w:jc w:val="center"/>
                    <w:rPr>
                      <w:snapToGrid w:val="0"/>
                      <w:kern w:val="0"/>
                      <w:szCs w:val="21"/>
                    </w:rPr>
                  </w:pPr>
                  <w:r>
                    <w:rPr>
                      <w:snapToGrid w:val="0"/>
                      <w:kern w:val="0"/>
                      <w:szCs w:val="21"/>
                    </w:rPr>
                    <w:t>废</w:t>
                  </w:r>
                </w:p>
              </w:tc>
              <w:tc>
                <w:tcPr>
                  <w:tcW w:w="4607" w:type="pct"/>
                  <w:gridSpan w:val="8"/>
                  <w:tcBorders>
                    <w:top w:val="single" w:color="auto" w:sz="4" w:space="0"/>
                    <w:left w:val="single" w:color="auto" w:sz="4" w:space="0"/>
                    <w:bottom w:val="single" w:color="auto" w:sz="4" w:space="0"/>
                    <w:right w:val="single" w:color="auto" w:sz="4" w:space="0"/>
                  </w:tcBorders>
                  <w:vAlign w:val="center"/>
                </w:tcPr>
                <w:p w14:paraId="537DC339">
                  <w:pPr>
                    <w:snapToGrid w:val="0"/>
                    <w:jc w:val="left"/>
                    <w:rPr>
                      <w:spacing w:val="2"/>
                      <w:szCs w:val="21"/>
                    </w:rPr>
                  </w:pPr>
                  <w:r>
                    <w:rPr>
                      <w:spacing w:val="2"/>
                      <w:szCs w:val="21"/>
                    </w:rPr>
                    <w:t>一般工业固体废物执行《一般工业固体废物贮存和填埋污染控制标准》（GB18599-2020）；</w:t>
                  </w:r>
                </w:p>
                <w:p w14:paraId="1AB737A7">
                  <w:pPr>
                    <w:snapToGrid w:val="0"/>
                    <w:jc w:val="left"/>
                    <w:rPr>
                      <w:snapToGrid w:val="0"/>
                      <w:kern w:val="0"/>
                      <w:szCs w:val="21"/>
                    </w:rPr>
                  </w:pPr>
                  <w:r>
                    <w:rPr>
                      <w:spacing w:val="2"/>
                      <w:szCs w:val="21"/>
                    </w:rPr>
                    <w:t>危险废物执行《危险废物贮存污染控制标准》（GB18597-2023）。</w:t>
                  </w:r>
                </w:p>
              </w:tc>
            </w:tr>
          </w:tbl>
          <w:p w14:paraId="58087F5C">
            <w:pPr>
              <w:adjustRightInd w:val="0"/>
              <w:snapToGrid w:val="0"/>
            </w:pPr>
            <w:r>
              <w:rPr>
                <w:b/>
                <w:bCs/>
              </w:rPr>
              <w:t>备注：</w:t>
            </w:r>
            <w:r>
              <w:t>根据《城镇污水处理厂污泥处置 制砖用泥质》(GB/T25031-2010)中4.7要求，"污泥在制烧结砖时，大气污染物排放最高允许浓度应满足GB/T26402的要求"；故隧道窑焙烧废气中氯化氢、重金属、二噁英类参照《城镇污水处理污泥处置 单独焚烧用泥质》(GB/T26402-2009)表3标准限值要求。</w:t>
            </w:r>
          </w:p>
          <w:p w14:paraId="10A67B83"/>
          <w:p w14:paraId="06644A26"/>
          <w:p w14:paraId="7132C62E"/>
          <w:p w14:paraId="7925712B"/>
          <w:p w14:paraId="632BF51F"/>
          <w:p w14:paraId="2A532173"/>
          <w:p w14:paraId="226B1042"/>
          <w:p w14:paraId="50B31B3F"/>
          <w:p w14:paraId="005F1704"/>
          <w:p w14:paraId="11754CAD"/>
          <w:p w14:paraId="35163956"/>
          <w:p w14:paraId="60675F2C"/>
          <w:p w14:paraId="3BEC7F2C"/>
          <w:p w14:paraId="3A897EEE"/>
          <w:p w14:paraId="281F4B19"/>
          <w:p w14:paraId="71E44203"/>
          <w:p w14:paraId="1E071C19"/>
          <w:p w14:paraId="19EF329D"/>
          <w:p w14:paraId="1BC01A34"/>
          <w:p w14:paraId="00132EA4"/>
          <w:p w14:paraId="0C3C9BD6"/>
          <w:p w14:paraId="21531AB9"/>
          <w:p w14:paraId="634431C3"/>
          <w:p w14:paraId="123A0C36"/>
          <w:p w14:paraId="262F9564"/>
          <w:p w14:paraId="5D3FBF11"/>
          <w:p w14:paraId="047CC63A"/>
          <w:p w14:paraId="7DF88A1D"/>
          <w:p w14:paraId="5DAF4BE0"/>
          <w:p w14:paraId="4CD7B186"/>
          <w:p w14:paraId="7AC2D6E0"/>
          <w:p w14:paraId="46E830D4"/>
          <w:p w14:paraId="02EAC9D8"/>
          <w:p w14:paraId="4400E602"/>
          <w:p w14:paraId="0CD5BFE8"/>
          <w:p w14:paraId="69AE98BC"/>
          <w:p w14:paraId="58F98D13"/>
          <w:p w14:paraId="11C758E3"/>
          <w:p w14:paraId="33F200AC"/>
          <w:p w14:paraId="2528B5BE"/>
          <w:p w14:paraId="5E41F5FE"/>
          <w:p w14:paraId="0E631642"/>
          <w:p w14:paraId="27D8EB0F"/>
          <w:p w14:paraId="6E05E3FD"/>
          <w:p w14:paraId="202F8D91"/>
          <w:p w14:paraId="4B9006BD"/>
        </w:tc>
      </w:tr>
      <w:tr w14:paraId="54949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6" w:type="dxa"/>
            <w:vAlign w:val="center"/>
          </w:tcPr>
          <w:p w14:paraId="3B58AD0E">
            <w:pPr>
              <w:adjustRightInd w:val="0"/>
              <w:snapToGrid w:val="0"/>
              <w:jc w:val="center"/>
              <w:rPr>
                <w:kern w:val="0"/>
                <w:sz w:val="24"/>
              </w:rPr>
            </w:pPr>
            <w:r>
              <w:rPr>
                <w:kern w:val="0"/>
                <w:sz w:val="24"/>
              </w:rPr>
              <w:t>总量</w:t>
            </w:r>
          </w:p>
          <w:p w14:paraId="53F3D211">
            <w:pPr>
              <w:adjustRightInd w:val="0"/>
              <w:snapToGrid w:val="0"/>
              <w:jc w:val="center"/>
              <w:rPr>
                <w:kern w:val="0"/>
                <w:sz w:val="24"/>
              </w:rPr>
            </w:pPr>
            <w:r>
              <w:rPr>
                <w:kern w:val="0"/>
                <w:sz w:val="24"/>
              </w:rPr>
              <w:t>控制</w:t>
            </w:r>
          </w:p>
          <w:p w14:paraId="4BCECA2A">
            <w:pPr>
              <w:adjustRightInd w:val="0"/>
              <w:snapToGrid w:val="0"/>
              <w:jc w:val="center"/>
              <w:rPr>
                <w:color w:val="EE0000"/>
                <w:kern w:val="0"/>
                <w:szCs w:val="21"/>
              </w:rPr>
            </w:pPr>
            <w:r>
              <w:rPr>
                <w:kern w:val="0"/>
                <w:sz w:val="24"/>
              </w:rPr>
              <w:t>指标</w:t>
            </w:r>
          </w:p>
        </w:tc>
        <w:tc>
          <w:tcPr>
            <w:tcW w:w="8411" w:type="dxa"/>
            <w:vAlign w:val="center"/>
          </w:tcPr>
          <w:p w14:paraId="300A0FDB">
            <w:pPr>
              <w:spacing w:line="520" w:lineRule="exact"/>
              <w:ind w:firstLine="480" w:firstLineChars="200"/>
              <w:rPr>
                <w:sz w:val="24"/>
              </w:rPr>
            </w:pPr>
            <w:r>
              <w:rPr>
                <w:sz w:val="24"/>
              </w:rPr>
              <w:t>（1）废水总量控制指标</w:t>
            </w:r>
          </w:p>
          <w:p w14:paraId="19B5C98C">
            <w:pPr>
              <w:spacing w:line="520" w:lineRule="exact"/>
              <w:ind w:firstLine="480" w:firstLineChars="200"/>
              <w:rPr>
                <w:sz w:val="24"/>
              </w:rPr>
            </w:pPr>
            <w:r>
              <w:rPr>
                <w:sz w:val="24"/>
              </w:rPr>
              <w:t>本项目废水分质收集和处理，全部综合利用，不外排，厂区不设置废水排放口，不涉及水污染物总量控制指标。</w:t>
            </w:r>
          </w:p>
          <w:p w14:paraId="18A939BF">
            <w:pPr>
              <w:spacing w:line="520" w:lineRule="exact"/>
              <w:ind w:firstLine="480" w:firstLineChars="200"/>
              <w:rPr>
                <w:sz w:val="24"/>
              </w:rPr>
            </w:pPr>
            <w:r>
              <w:rPr>
                <w:sz w:val="24"/>
              </w:rPr>
              <w:t>（2）废气总量控制指标</w:t>
            </w:r>
          </w:p>
          <w:p w14:paraId="47A9D8B6">
            <w:pPr>
              <w:spacing w:line="520" w:lineRule="exact"/>
              <w:ind w:firstLine="480" w:firstLineChars="200"/>
              <w:rPr>
                <w:sz w:val="24"/>
              </w:rPr>
            </w:pPr>
            <w:r>
              <w:rPr>
                <w:sz w:val="24"/>
              </w:rPr>
              <w:t>本项目废气总量控制指标为：颗粒物：6.47t/a，SO</w:t>
            </w:r>
            <w:r>
              <w:rPr>
                <w:sz w:val="24"/>
                <w:vertAlign w:val="subscript"/>
              </w:rPr>
              <w:t>2</w:t>
            </w:r>
            <w:r>
              <w:rPr>
                <w:sz w:val="24"/>
              </w:rPr>
              <w:t>：11.31t/a，NO</w:t>
            </w:r>
            <w:r>
              <w:rPr>
                <w:sz w:val="24"/>
                <w:vertAlign w:val="subscript"/>
              </w:rPr>
              <w:t>x</w:t>
            </w:r>
            <w:r>
              <w:rPr>
                <w:sz w:val="24"/>
              </w:rPr>
              <w:t>：14.28t/a。</w:t>
            </w:r>
          </w:p>
          <w:p w14:paraId="22077763">
            <w:pPr>
              <w:spacing w:line="520" w:lineRule="exact"/>
              <w:ind w:firstLine="480" w:firstLineChars="200"/>
              <w:rPr>
                <w:sz w:val="24"/>
                <w:highlight w:val="yellow"/>
              </w:rPr>
            </w:pPr>
            <w:r>
              <w:rPr>
                <w:sz w:val="24"/>
                <w:highlight w:val="yellow"/>
              </w:rPr>
              <w:t>本项目为宝丰三兴新型建材有限公司整合升级技改项目，技改后生产规模为年产1.2亿块标砖，与技改前相同，不新增产能，根据三兴建材、六和建材原有环评及批复，现有工程许可的总量控制指标为：颗粒物46.41t/a、二氧化硫：74.29t/a；现有工程未批复氮氧化物总量，根据企业在线数据核算，现有工程氮氧化物排放量为28.56t/a。本次技改工程颗粒物、二氧化硫排放量未超过原批复的污染物总量指标，氮氧化物排放量未超过现有工程氮氧化物排放量，不需要再新增申请总量。</w:t>
            </w:r>
          </w:p>
          <w:p w14:paraId="340BCB3C">
            <w:pPr>
              <w:spacing w:line="520" w:lineRule="exact"/>
              <w:ind w:firstLine="480" w:firstLineChars="200"/>
              <w:rPr>
                <w:sz w:val="24"/>
                <w:highlight w:val="yellow"/>
              </w:rPr>
            </w:pPr>
            <w:r>
              <w:rPr>
                <w:sz w:val="24"/>
                <w:highlight w:val="yellow"/>
              </w:rPr>
              <w:t>根据生态环境部《关于“环土壤[2018]22号”疑问的回复》(2018年11月)：国家对重点行业重点重金属污染物实施排放总量控制，非重点行业新、改、扩建设项目不需要申请重金属污染物排放总量作为环评审批的前置条件。但若项目所在地区的省级人民政府有非重点行业的重金属污染物总量控制要求的，应执行相关要求。”</w:t>
            </w:r>
          </w:p>
          <w:p w14:paraId="364B0675">
            <w:pPr>
              <w:autoSpaceDE w:val="0"/>
              <w:autoSpaceDN w:val="0"/>
              <w:adjustRightInd w:val="0"/>
              <w:spacing w:line="520" w:lineRule="exact"/>
              <w:ind w:firstLine="480" w:firstLineChars="200"/>
              <w:jc w:val="left"/>
              <w:rPr>
                <w:kern w:val="0"/>
                <w:sz w:val="24"/>
              </w:rPr>
            </w:pPr>
            <w:r>
              <w:rPr>
                <w:kern w:val="0"/>
                <w:sz w:val="24"/>
                <w:highlight w:val="yellow"/>
              </w:rPr>
              <w:t>《河南省进一步加强重金属污染防控工作方案》亦未对非重点行业提出重金属污染物总量控制要求。本项目为建筑材料制造，属于非重点行业，同时项目废气中重金属经处理后，排放浓度满足相应标准且远低于各标准限值，因此，本项目不设重金属总量控制指标。</w:t>
            </w:r>
          </w:p>
          <w:p w14:paraId="34BFB00C">
            <w:pPr>
              <w:spacing w:line="520" w:lineRule="exact"/>
              <w:ind w:firstLine="480" w:firstLineChars="200"/>
              <w:rPr>
                <w:sz w:val="24"/>
              </w:rPr>
            </w:pPr>
          </w:p>
          <w:p w14:paraId="6F636E8A">
            <w:pPr>
              <w:spacing w:line="520" w:lineRule="exact"/>
              <w:ind w:firstLine="480" w:firstLineChars="200"/>
              <w:rPr>
                <w:sz w:val="24"/>
              </w:rPr>
            </w:pPr>
          </w:p>
        </w:tc>
      </w:tr>
    </w:tbl>
    <w:p w14:paraId="63941E75">
      <w:pPr>
        <w:pStyle w:val="32"/>
        <w:jc w:val="center"/>
        <w:outlineLvl w:val="0"/>
        <w:rPr>
          <w:rFonts w:ascii="Times New Roman" w:hAnsi="Times New Roman" w:eastAsia="黑体"/>
          <w:snapToGrid w:val="0"/>
          <w:sz w:val="30"/>
          <w:szCs w:val="30"/>
        </w:rPr>
      </w:pPr>
      <w:r>
        <w:rPr>
          <w:rFonts w:ascii="Times New Roman" w:hAnsi="Times New Roman" w:eastAsia="黑体"/>
          <w:snapToGrid w:val="0"/>
          <w:color w:val="EE0000"/>
          <w:sz w:val="36"/>
          <w:szCs w:val="36"/>
        </w:rPr>
        <w:br w:type="page"/>
      </w:r>
      <w:bookmarkStart w:id="27" w:name="_Toc217711383"/>
      <w:r>
        <w:rPr>
          <w:rFonts w:ascii="Times New Roman" w:hAnsi="Times New Roman" w:eastAsia="黑体"/>
          <w:snapToGrid w:val="0"/>
          <w:sz w:val="30"/>
          <w:szCs w:val="30"/>
        </w:rPr>
        <w:t>四、主要环境影响和保护措施</w:t>
      </w:r>
      <w:bookmarkEnd w:id="27"/>
    </w:p>
    <w:tbl>
      <w:tblPr>
        <w:tblStyle w:val="37"/>
        <w:tblW w:w="89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491"/>
      </w:tblGrid>
      <w:tr w14:paraId="53493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500" w:type="dxa"/>
            <w:tcMar>
              <w:left w:w="28" w:type="dxa"/>
              <w:right w:w="28" w:type="dxa"/>
            </w:tcMar>
            <w:vAlign w:val="center"/>
          </w:tcPr>
          <w:p w14:paraId="4461486B">
            <w:pPr>
              <w:pStyle w:val="32"/>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14:paraId="63240982">
            <w:pPr>
              <w:pStyle w:val="32"/>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14:paraId="788DBBDB">
            <w:pPr>
              <w:pStyle w:val="32"/>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14:paraId="706CB585">
            <w:pPr>
              <w:pStyle w:val="32"/>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14:paraId="157C9DFD">
            <w:pPr>
              <w:pStyle w:val="32"/>
              <w:adjustRightInd w:val="0"/>
              <w:snapToGrid w:val="0"/>
              <w:spacing w:before="0" w:beforeAutospacing="0" w:after="0" w:afterAutospacing="0"/>
              <w:jc w:val="center"/>
              <w:rPr>
                <w:rFonts w:ascii="Times New Roman" w:hAnsi="Times New Roman"/>
                <w:bCs/>
                <w:color w:val="EE0000"/>
                <w:kern w:val="2"/>
                <w:sz w:val="21"/>
                <w:szCs w:val="21"/>
              </w:rPr>
            </w:pPr>
            <w:r>
              <w:rPr>
                <w:rFonts w:ascii="Times New Roman" w:hAnsi="Times New Roman"/>
                <w:kern w:val="2"/>
                <w:szCs w:val="24"/>
              </w:rPr>
              <w:t>施</w:t>
            </w:r>
          </w:p>
        </w:tc>
        <w:tc>
          <w:tcPr>
            <w:tcW w:w="8491" w:type="dxa"/>
            <w:vAlign w:val="center"/>
          </w:tcPr>
          <w:p w14:paraId="42F1CC0E">
            <w:pPr>
              <w:adjustRightInd w:val="0"/>
              <w:snapToGrid w:val="0"/>
              <w:spacing w:line="520" w:lineRule="exact"/>
              <w:ind w:firstLine="480" w:firstLineChars="200"/>
              <w:rPr>
                <w:bCs/>
                <w:sz w:val="24"/>
              </w:rPr>
            </w:pPr>
            <w:r>
              <w:rPr>
                <w:bCs/>
                <w:sz w:val="24"/>
              </w:rPr>
              <w:t>本项目依托三兴建材现有厂区进行建设，利用现有各生产车间、原料库、卸车棚等，不新建厂房，</w:t>
            </w:r>
            <w:r>
              <w:rPr>
                <w:bCs/>
                <w:color w:val="EE0000"/>
                <w:sz w:val="24"/>
                <w:u w:val="single"/>
              </w:rPr>
              <w:t>主要工程内容为现有隧道窑拆除、重建；新增破碎筛分设备及其集尘系统；窑炉烟气处理系统及脱硫废水处理系统升级重建。</w:t>
            </w:r>
            <w:r>
              <w:rPr>
                <w:bCs/>
                <w:sz w:val="24"/>
              </w:rPr>
              <w:t>项目施工期主要产生施工扬尘、施工噪声、废水及固体废物，主要施工活动在现有车间内进行，施工期短，施工过程产生的污染物采取以下防控措施：</w:t>
            </w:r>
          </w:p>
          <w:p w14:paraId="4D3D70F4">
            <w:pPr>
              <w:spacing w:line="500" w:lineRule="exact"/>
              <w:ind w:firstLine="480" w:firstLineChars="200"/>
              <w:rPr>
                <w:sz w:val="24"/>
              </w:rPr>
            </w:pPr>
            <w:r>
              <w:rPr>
                <w:sz w:val="24"/>
              </w:rPr>
              <w:t>（1）项目厂区内道路已百分百硬化；出入车辆百分百清洗；车间内施工活动经车间阻隔后扬尘排放量较小，车间外施工活动应设置稳固、整齐、美观的全封闭施工围挡，围挡高度不低于1.8m，做到现场百分百封闭管理；另外，项目施工活动涉及土石方开挖、回填的环节，应持续洒水或喷淋，做到百分百湿法作业；渣土物料等散料应做到百分百密闭运输、厂区暂存百分百覆盖。</w:t>
            </w:r>
          </w:p>
          <w:p w14:paraId="4026B8FF">
            <w:pPr>
              <w:spacing w:line="500" w:lineRule="exact"/>
              <w:ind w:firstLine="480" w:firstLineChars="200"/>
              <w:rPr>
                <w:sz w:val="24"/>
              </w:rPr>
            </w:pPr>
            <w:r>
              <w:rPr>
                <w:sz w:val="24"/>
              </w:rPr>
              <w:t>（2）施工车辆冲洗废水经现有洗车装置配套的沉淀池处理后回用；施工人员生活污水经厂区现有隔油池、化粪池处理后定期清掏综合利用；</w:t>
            </w:r>
          </w:p>
          <w:p w14:paraId="4AC95ED5">
            <w:pPr>
              <w:spacing w:line="500" w:lineRule="exact"/>
              <w:ind w:firstLine="480" w:firstLineChars="200"/>
              <w:rPr>
                <w:sz w:val="24"/>
              </w:rPr>
            </w:pPr>
            <w:r>
              <w:rPr>
                <w:sz w:val="24"/>
              </w:rPr>
              <w:t>（3）选用低噪声施工机械，设专人对设备进行定期保养和维护，合理安排施工作业，尽量避免多台强噪声施工机械在同一地点同时施工，禁止夜间施工；</w:t>
            </w:r>
          </w:p>
          <w:p w14:paraId="18703077">
            <w:pPr>
              <w:spacing w:line="500" w:lineRule="exact"/>
              <w:ind w:firstLine="480" w:firstLineChars="200"/>
              <w:rPr>
                <w:sz w:val="24"/>
              </w:rPr>
            </w:pPr>
            <w:r>
              <w:rPr>
                <w:sz w:val="24"/>
              </w:rPr>
              <w:t>（4）</w:t>
            </w:r>
            <w:r>
              <w:rPr>
                <w:color w:val="FF0000"/>
                <w:sz w:val="24"/>
                <w:u w:val="single"/>
              </w:rPr>
              <w:t>原有隧道窑拆除产生的砖瓦、弃渣等可用做本项目制砖原料；金属垃圾如钢材、钢筋、铁丝等有回收价值的外售至物资回收公司；其他不可回用的建筑垃圾统一运至管理部门指定的建筑垃圾堆场，运输过程中加盖篷布；</w:t>
            </w:r>
            <w:r>
              <w:rPr>
                <w:sz w:val="24"/>
              </w:rPr>
              <w:t>施工人员生活垃圾收集后交由环卫部门处理。</w:t>
            </w:r>
          </w:p>
          <w:p w14:paraId="6EE01C25">
            <w:pPr>
              <w:adjustRightInd w:val="0"/>
              <w:snapToGrid w:val="0"/>
              <w:spacing w:line="500" w:lineRule="exact"/>
              <w:ind w:firstLine="480" w:firstLineChars="200"/>
              <w:rPr>
                <w:sz w:val="24"/>
              </w:rPr>
            </w:pPr>
            <w:r>
              <w:rPr>
                <w:sz w:val="24"/>
              </w:rPr>
              <w:t>本项目工程量小，施工期短，施工期环境影响随施工期结束而结束，不会对周边环境造成太大影响。</w:t>
            </w:r>
          </w:p>
          <w:p w14:paraId="7A7ADD16">
            <w:pPr>
              <w:spacing w:line="520" w:lineRule="exact"/>
              <w:ind w:firstLine="480" w:firstLineChars="200"/>
              <w:jc w:val="left"/>
              <w:rPr>
                <w:b/>
                <w:bCs/>
                <w:sz w:val="24"/>
              </w:rPr>
            </w:pPr>
            <w:r>
              <w:rPr>
                <w:sz w:val="24"/>
              </w:rPr>
              <w:t>本项目运营期对环境主要影响表现在废气、废水、噪声、固体废物等方面，具体分析如下：</w:t>
            </w:r>
          </w:p>
          <w:p w14:paraId="0F0F269E">
            <w:pPr>
              <w:adjustRightInd w:val="0"/>
              <w:snapToGrid w:val="0"/>
              <w:spacing w:line="500" w:lineRule="exact"/>
              <w:rPr>
                <w:color w:val="EE0000"/>
                <w:sz w:val="24"/>
              </w:rPr>
            </w:pPr>
          </w:p>
        </w:tc>
      </w:tr>
      <w:tr w14:paraId="7F9331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500" w:type="dxa"/>
            <w:tcMar>
              <w:left w:w="28" w:type="dxa"/>
              <w:right w:w="28" w:type="dxa"/>
            </w:tcMar>
            <w:vAlign w:val="center"/>
          </w:tcPr>
          <w:p w14:paraId="40E28826">
            <w:pPr>
              <w:adjustRightInd w:val="0"/>
              <w:snapToGrid w:val="0"/>
              <w:jc w:val="center"/>
              <w:rPr>
                <w:bCs/>
                <w:sz w:val="24"/>
              </w:rPr>
            </w:pPr>
            <w:r>
              <w:rPr>
                <w:bCs/>
                <w:sz w:val="24"/>
              </w:rPr>
              <w:t>运营</w:t>
            </w:r>
          </w:p>
          <w:p w14:paraId="4D8DF1C5">
            <w:pPr>
              <w:adjustRightInd w:val="0"/>
              <w:snapToGrid w:val="0"/>
              <w:jc w:val="center"/>
              <w:rPr>
                <w:bCs/>
                <w:sz w:val="24"/>
              </w:rPr>
            </w:pPr>
            <w:r>
              <w:rPr>
                <w:bCs/>
                <w:sz w:val="24"/>
              </w:rPr>
              <w:t>期环</w:t>
            </w:r>
          </w:p>
          <w:p w14:paraId="5980F5D8">
            <w:pPr>
              <w:adjustRightInd w:val="0"/>
              <w:snapToGrid w:val="0"/>
              <w:jc w:val="center"/>
              <w:rPr>
                <w:bCs/>
                <w:sz w:val="24"/>
              </w:rPr>
            </w:pPr>
            <w:r>
              <w:rPr>
                <w:bCs/>
                <w:sz w:val="24"/>
              </w:rPr>
              <w:t>境影</w:t>
            </w:r>
          </w:p>
          <w:p w14:paraId="43645328">
            <w:pPr>
              <w:adjustRightInd w:val="0"/>
              <w:snapToGrid w:val="0"/>
              <w:jc w:val="center"/>
              <w:rPr>
                <w:bCs/>
                <w:sz w:val="24"/>
              </w:rPr>
            </w:pPr>
            <w:r>
              <w:rPr>
                <w:bCs/>
                <w:sz w:val="24"/>
              </w:rPr>
              <w:t>响和</w:t>
            </w:r>
          </w:p>
          <w:p w14:paraId="7AD710C0">
            <w:pPr>
              <w:adjustRightInd w:val="0"/>
              <w:snapToGrid w:val="0"/>
              <w:jc w:val="center"/>
              <w:rPr>
                <w:bCs/>
                <w:sz w:val="24"/>
              </w:rPr>
            </w:pPr>
            <w:r>
              <w:rPr>
                <w:bCs/>
                <w:sz w:val="24"/>
              </w:rPr>
              <w:t>保护</w:t>
            </w:r>
          </w:p>
          <w:p w14:paraId="06F0841E">
            <w:pPr>
              <w:pStyle w:val="32"/>
              <w:adjustRightInd w:val="0"/>
              <w:snapToGrid w:val="0"/>
              <w:spacing w:before="0" w:beforeAutospacing="0" w:after="0" w:afterAutospacing="0"/>
              <w:jc w:val="center"/>
              <w:rPr>
                <w:rFonts w:ascii="Times New Roman" w:hAnsi="Times New Roman"/>
                <w:color w:val="EE0000"/>
                <w:kern w:val="2"/>
                <w:szCs w:val="24"/>
              </w:rPr>
            </w:pPr>
            <w:r>
              <w:rPr>
                <w:rFonts w:ascii="Times New Roman" w:hAnsi="Times New Roman"/>
                <w:bCs/>
              </w:rPr>
              <w:t>措施</w:t>
            </w:r>
          </w:p>
        </w:tc>
        <w:tc>
          <w:tcPr>
            <w:tcW w:w="8491" w:type="dxa"/>
            <w:vAlign w:val="center"/>
          </w:tcPr>
          <w:p w14:paraId="6A1A4893">
            <w:pPr>
              <w:spacing w:line="520" w:lineRule="exact"/>
              <w:jc w:val="left"/>
              <w:rPr>
                <w:rFonts w:eastAsia="黑体"/>
                <w:sz w:val="24"/>
              </w:rPr>
            </w:pPr>
            <w:r>
              <w:rPr>
                <w:rFonts w:eastAsia="黑体"/>
                <w:bCs/>
                <w:sz w:val="24"/>
              </w:rPr>
              <w:t>1、大气环境影响和保护措施</w:t>
            </w:r>
          </w:p>
          <w:p w14:paraId="0D5F1635">
            <w:pPr>
              <w:spacing w:line="520" w:lineRule="exact"/>
              <w:jc w:val="left"/>
              <w:rPr>
                <w:rFonts w:eastAsia="黑体"/>
                <w:bCs/>
                <w:sz w:val="24"/>
              </w:rPr>
            </w:pPr>
            <w:r>
              <w:rPr>
                <w:rFonts w:eastAsia="黑体"/>
                <w:bCs/>
                <w:sz w:val="24"/>
              </w:rPr>
              <w:t>1.1废气产排污环节及污染物种类</w:t>
            </w:r>
          </w:p>
          <w:p w14:paraId="10E99EA6">
            <w:pPr>
              <w:widowControl/>
              <w:spacing w:line="520" w:lineRule="exact"/>
              <w:ind w:firstLine="480" w:firstLineChars="200"/>
              <w:jc w:val="left"/>
              <w:rPr>
                <w:bCs/>
                <w:kern w:val="0"/>
                <w:sz w:val="24"/>
              </w:rPr>
            </w:pPr>
            <w:r>
              <w:rPr>
                <w:kern w:val="0"/>
                <w:sz w:val="24"/>
              </w:rPr>
              <w:t>项目运营期废气主要为喂料粉尘、破碎粉尘、筛分粉尘、一次搅拌粉尘、窑车清理粉尘、窑炉烟气、点火废气、污泥储存恶臭、脱硫剂石灰粉入仓和出仓粉尘、原料装卸粉尘、</w:t>
            </w:r>
            <w:r>
              <w:rPr>
                <w:kern w:val="0"/>
                <w:sz w:val="24"/>
                <w:szCs w:val="20"/>
              </w:rPr>
              <w:t>运输车辆扬尘、员工食堂油烟。</w:t>
            </w:r>
            <w:r>
              <w:rPr>
                <w:bCs/>
                <w:kern w:val="0"/>
                <w:sz w:val="24"/>
              </w:rPr>
              <w:t>项目废气产排污环节及污染物种类见表4-1：</w:t>
            </w:r>
          </w:p>
          <w:p w14:paraId="2570798D">
            <w:pPr>
              <w:pStyle w:val="82"/>
              <w:kinsoku w:val="0"/>
              <w:overflowPunct w:val="0"/>
              <w:spacing w:line="500" w:lineRule="exact"/>
              <w:ind w:firstLine="480" w:firstLineChars="200"/>
              <w:jc w:val="center"/>
              <w:rPr>
                <w:rFonts w:eastAsia="黑体"/>
                <w:bCs/>
                <w:kern w:val="2"/>
              </w:rPr>
            </w:pPr>
            <w:r>
              <w:rPr>
                <w:rFonts w:eastAsia="黑体"/>
                <w:bCs/>
                <w:kern w:val="2"/>
              </w:rPr>
              <w:t>表4-1          项目废气产排污环节及污染物种类一览表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28"/>
              <w:gridCol w:w="2142"/>
              <w:gridCol w:w="3435"/>
            </w:tblGrid>
            <w:tr w14:paraId="71AD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pct"/>
                  <w:vAlign w:val="center"/>
                </w:tcPr>
                <w:p w14:paraId="66F3CC9E">
                  <w:pPr>
                    <w:adjustRightInd w:val="0"/>
                    <w:snapToGrid w:val="0"/>
                    <w:spacing w:line="320" w:lineRule="exact"/>
                    <w:jc w:val="center"/>
                    <w:rPr>
                      <w:rFonts w:eastAsiaTheme="minorEastAsia"/>
                      <w:kern w:val="0"/>
                      <w:szCs w:val="21"/>
                    </w:rPr>
                  </w:pPr>
                  <w:r>
                    <w:rPr>
                      <w:rFonts w:eastAsiaTheme="minorEastAsia"/>
                      <w:kern w:val="0"/>
                      <w:szCs w:val="21"/>
                    </w:rPr>
                    <w:t>序号</w:t>
                  </w:r>
                </w:p>
              </w:tc>
              <w:tc>
                <w:tcPr>
                  <w:tcW w:w="2160" w:type="pct"/>
                  <w:gridSpan w:val="2"/>
                  <w:vAlign w:val="center"/>
                </w:tcPr>
                <w:p w14:paraId="31FDC4A8">
                  <w:pPr>
                    <w:adjustRightInd w:val="0"/>
                    <w:snapToGrid w:val="0"/>
                    <w:spacing w:line="320" w:lineRule="exact"/>
                    <w:jc w:val="center"/>
                    <w:rPr>
                      <w:rFonts w:eastAsiaTheme="minorEastAsia"/>
                      <w:kern w:val="0"/>
                      <w:szCs w:val="21"/>
                    </w:rPr>
                  </w:pPr>
                  <w:r>
                    <w:rPr>
                      <w:rFonts w:eastAsiaTheme="minorEastAsia"/>
                      <w:kern w:val="0"/>
                      <w:szCs w:val="21"/>
                    </w:rPr>
                    <w:t>产排污环节</w:t>
                  </w:r>
                </w:p>
              </w:tc>
              <w:tc>
                <w:tcPr>
                  <w:tcW w:w="2078" w:type="pct"/>
                  <w:vAlign w:val="center"/>
                </w:tcPr>
                <w:p w14:paraId="6F6E3326">
                  <w:pPr>
                    <w:adjustRightInd w:val="0"/>
                    <w:snapToGrid w:val="0"/>
                    <w:spacing w:line="320" w:lineRule="exact"/>
                    <w:jc w:val="center"/>
                    <w:rPr>
                      <w:rFonts w:eastAsiaTheme="minorEastAsia"/>
                      <w:kern w:val="0"/>
                      <w:szCs w:val="21"/>
                    </w:rPr>
                  </w:pPr>
                  <w:r>
                    <w:rPr>
                      <w:rFonts w:eastAsiaTheme="minorEastAsia"/>
                      <w:kern w:val="0"/>
                      <w:szCs w:val="21"/>
                    </w:rPr>
                    <w:t>污染物种类</w:t>
                  </w:r>
                </w:p>
              </w:tc>
            </w:tr>
            <w:tr w14:paraId="6BDA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1DE3CE4D">
                  <w:pPr>
                    <w:adjustRightInd w:val="0"/>
                    <w:snapToGrid w:val="0"/>
                    <w:spacing w:line="320" w:lineRule="exact"/>
                    <w:jc w:val="center"/>
                    <w:rPr>
                      <w:rFonts w:eastAsiaTheme="minorEastAsia"/>
                      <w:kern w:val="0"/>
                      <w:szCs w:val="21"/>
                    </w:rPr>
                  </w:pPr>
                  <w:r>
                    <w:rPr>
                      <w:rFonts w:eastAsiaTheme="minorEastAsia"/>
                      <w:kern w:val="0"/>
                      <w:szCs w:val="21"/>
                    </w:rPr>
                    <w:t>1</w:t>
                  </w:r>
                </w:p>
              </w:tc>
              <w:tc>
                <w:tcPr>
                  <w:tcW w:w="864" w:type="pct"/>
                  <w:vMerge w:val="restart"/>
                  <w:vAlign w:val="center"/>
                </w:tcPr>
                <w:p w14:paraId="476E3504">
                  <w:pPr>
                    <w:adjustRightInd w:val="0"/>
                    <w:snapToGrid w:val="0"/>
                    <w:spacing w:line="320" w:lineRule="exact"/>
                    <w:jc w:val="center"/>
                    <w:rPr>
                      <w:rFonts w:eastAsiaTheme="minorEastAsia"/>
                      <w:kern w:val="0"/>
                      <w:szCs w:val="21"/>
                    </w:rPr>
                  </w:pPr>
                  <w:r>
                    <w:rPr>
                      <w:rFonts w:eastAsiaTheme="minorEastAsia"/>
                      <w:kern w:val="0"/>
                      <w:szCs w:val="21"/>
                    </w:rPr>
                    <w:t>原料制备工序</w:t>
                  </w:r>
                </w:p>
              </w:tc>
              <w:tc>
                <w:tcPr>
                  <w:tcW w:w="1296" w:type="pct"/>
                  <w:vAlign w:val="center"/>
                </w:tcPr>
                <w:p w14:paraId="69F4BA82">
                  <w:pPr>
                    <w:adjustRightInd w:val="0"/>
                    <w:snapToGrid w:val="0"/>
                    <w:spacing w:line="320" w:lineRule="exact"/>
                    <w:jc w:val="center"/>
                    <w:rPr>
                      <w:rFonts w:eastAsiaTheme="minorEastAsia"/>
                      <w:kern w:val="0"/>
                      <w:szCs w:val="21"/>
                    </w:rPr>
                  </w:pPr>
                  <w:r>
                    <w:rPr>
                      <w:rFonts w:eastAsiaTheme="minorEastAsia"/>
                      <w:kern w:val="0"/>
                      <w:szCs w:val="21"/>
                    </w:rPr>
                    <w:t>喂料粉尘</w:t>
                  </w:r>
                </w:p>
              </w:tc>
              <w:tc>
                <w:tcPr>
                  <w:tcW w:w="2078" w:type="pct"/>
                  <w:vAlign w:val="center"/>
                </w:tcPr>
                <w:p w14:paraId="6CA4082E">
                  <w:pPr>
                    <w:adjustRightInd w:val="0"/>
                    <w:snapToGrid w:val="0"/>
                    <w:spacing w:line="320" w:lineRule="exact"/>
                    <w:jc w:val="center"/>
                    <w:rPr>
                      <w:rFonts w:eastAsiaTheme="minorEastAsia"/>
                      <w:kern w:val="0"/>
                      <w:szCs w:val="21"/>
                    </w:rPr>
                  </w:pPr>
                  <w:r>
                    <w:rPr>
                      <w:rFonts w:eastAsiaTheme="minorEastAsia"/>
                      <w:kern w:val="0"/>
                      <w:szCs w:val="21"/>
                    </w:rPr>
                    <w:t>颗粒物</w:t>
                  </w:r>
                </w:p>
              </w:tc>
            </w:tr>
            <w:tr w14:paraId="108D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445E59E5">
                  <w:pPr>
                    <w:adjustRightInd w:val="0"/>
                    <w:snapToGrid w:val="0"/>
                    <w:spacing w:line="320" w:lineRule="exact"/>
                    <w:jc w:val="center"/>
                    <w:rPr>
                      <w:rFonts w:eastAsiaTheme="minorEastAsia"/>
                      <w:kern w:val="0"/>
                      <w:szCs w:val="21"/>
                    </w:rPr>
                  </w:pPr>
                  <w:r>
                    <w:rPr>
                      <w:rFonts w:eastAsiaTheme="minorEastAsia"/>
                      <w:kern w:val="0"/>
                      <w:szCs w:val="21"/>
                    </w:rPr>
                    <w:t>2</w:t>
                  </w:r>
                </w:p>
              </w:tc>
              <w:tc>
                <w:tcPr>
                  <w:tcW w:w="864" w:type="pct"/>
                  <w:vMerge w:val="continue"/>
                  <w:vAlign w:val="center"/>
                </w:tcPr>
                <w:p w14:paraId="72AB80A1">
                  <w:pPr>
                    <w:adjustRightInd w:val="0"/>
                    <w:snapToGrid w:val="0"/>
                    <w:spacing w:line="320" w:lineRule="exact"/>
                    <w:jc w:val="center"/>
                    <w:rPr>
                      <w:rFonts w:eastAsiaTheme="minorEastAsia"/>
                      <w:kern w:val="0"/>
                      <w:szCs w:val="21"/>
                    </w:rPr>
                  </w:pPr>
                </w:p>
              </w:tc>
              <w:tc>
                <w:tcPr>
                  <w:tcW w:w="1296" w:type="pct"/>
                  <w:vAlign w:val="center"/>
                </w:tcPr>
                <w:p w14:paraId="3872838B">
                  <w:pPr>
                    <w:adjustRightInd w:val="0"/>
                    <w:snapToGrid w:val="0"/>
                    <w:spacing w:line="320" w:lineRule="exact"/>
                    <w:jc w:val="center"/>
                    <w:rPr>
                      <w:rFonts w:eastAsiaTheme="minorEastAsia"/>
                      <w:kern w:val="0"/>
                      <w:szCs w:val="21"/>
                    </w:rPr>
                  </w:pPr>
                  <w:r>
                    <w:rPr>
                      <w:rFonts w:eastAsiaTheme="minorEastAsia"/>
                      <w:kern w:val="0"/>
                      <w:szCs w:val="21"/>
                    </w:rPr>
                    <w:t>破碎粉尘</w:t>
                  </w:r>
                </w:p>
              </w:tc>
              <w:tc>
                <w:tcPr>
                  <w:tcW w:w="2078" w:type="pct"/>
                  <w:vAlign w:val="center"/>
                </w:tcPr>
                <w:p w14:paraId="1C2D4A6F">
                  <w:pPr>
                    <w:adjustRightInd w:val="0"/>
                    <w:snapToGrid w:val="0"/>
                    <w:spacing w:line="320" w:lineRule="exact"/>
                    <w:jc w:val="center"/>
                    <w:rPr>
                      <w:rFonts w:eastAsiaTheme="minorEastAsia"/>
                      <w:kern w:val="0"/>
                      <w:szCs w:val="21"/>
                    </w:rPr>
                  </w:pPr>
                  <w:r>
                    <w:rPr>
                      <w:rFonts w:eastAsiaTheme="minorEastAsia"/>
                      <w:kern w:val="0"/>
                      <w:szCs w:val="21"/>
                    </w:rPr>
                    <w:t>颗粒物</w:t>
                  </w:r>
                </w:p>
              </w:tc>
            </w:tr>
            <w:tr w14:paraId="73C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156E9BF7">
                  <w:pPr>
                    <w:adjustRightInd w:val="0"/>
                    <w:snapToGrid w:val="0"/>
                    <w:spacing w:line="320" w:lineRule="exact"/>
                    <w:jc w:val="center"/>
                    <w:rPr>
                      <w:rFonts w:eastAsiaTheme="minorEastAsia"/>
                      <w:kern w:val="0"/>
                      <w:szCs w:val="21"/>
                    </w:rPr>
                  </w:pPr>
                  <w:r>
                    <w:rPr>
                      <w:rFonts w:eastAsiaTheme="minorEastAsia"/>
                      <w:kern w:val="0"/>
                      <w:szCs w:val="21"/>
                    </w:rPr>
                    <w:t>3</w:t>
                  </w:r>
                </w:p>
              </w:tc>
              <w:tc>
                <w:tcPr>
                  <w:tcW w:w="864" w:type="pct"/>
                  <w:vMerge w:val="continue"/>
                  <w:vAlign w:val="center"/>
                </w:tcPr>
                <w:p w14:paraId="4F621411">
                  <w:pPr>
                    <w:adjustRightInd w:val="0"/>
                    <w:snapToGrid w:val="0"/>
                    <w:spacing w:line="320" w:lineRule="exact"/>
                    <w:jc w:val="center"/>
                    <w:rPr>
                      <w:rFonts w:eastAsiaTheme="minorEastAsia"/>
                      <w:kern w:val="0"/>
                      <w:szCs w:val="21"/>
                    </w:rPr>
                  </w:pPr>
                </w:p>
              </w:tc>
              <w:tc>
                <w:tcPr>
                  <w:tcW w:w="1296" w:type="pct"/>
                  <w:vAlign w:val="center"/>
                </w:tcPr>
                <w:p w14:paraId="00A8B901">
                  <w:pPr>
                    <w:adjustRightInd w:val="0"/>
                    <w:snapToGrid w:val="0"/>
                    <w:spacing w:line="320" w:lineRule="exact"/>
                    <w:jc w:val="center"/>
                    <w:rPr>
                      <w:rFonts w:eastAsiaTheme="minorEastAsia"/>
                      <w:kern w:val="0"/>
                      <w:szCs w:val="21"/>
                    </w:rPr>
                  </w:pPr>
                  <w:r>
                    <w:rPr>
                      <w:rFonts w:eastAsiaTheme="minorEastAsia"/>
                      <w:kern w:val="0"/>
                      <w:szCs w:val="21"/>
                    </w:rPr>
                    <w:t>筛分粉尘</w:t>
                  </w:r>
                </w:p>
              </w:tc>
              <w:tc>
                <w:tcPr>
                  <w:tcW w:w="2078" w:type="pct"/>
                  <w:vAlign w:val="center"/>
                </w:tcPr>
                <w:p w14:paraId="63CE1342">
                  <w:pPr>
                    <w:adjustRightInd w:val="0"/>
                    <w:snapToGrid w:val="0"/>
                    <w:spacing w:line="320" w:lineRule="exact"/>
                    <w:jc w:val="center"/>
                    <w:rPr>
                      <w:rFonts w:eastAsiaTheme="minorEastAsia"/>
                      <w:kern w:val="0"/>
                      <w:szCs w:val="21"/>
                    </w:rPr>
                  </w:pPr>
                  <w:r>
                    <w:rPr>
                      <w:rFonts w:eastAsiaTheme="minorEastAsia"/>
                      <w:kern w:val="0"/>
                      <w:szCs w:val="21"/>
                    </w:rPr>
                    <w:t>颗粒物</w:t>
                  </w:r>
                </w:p>
              </w:tc>
            </w:tr>
            <w:tr w14:paraId="3B5B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033661B3">
                  <w:pPr>
                    <w:adjustRightInd w:val="0"/>
                    <w:snapToGrid w:val="0"/>
                    <w:spacing w:line="320" w:lineRule="exact"/>
                    <w:jc w:val="center"/>
                    <w:rPr>
                      <w:rFonts w:eastAsiaTheme="minorEastAsia"/>
                      <w:kern w:val="0"/>
                      <w:szCs w:val="21"/>
                    </w:rPr>
                  </w:pPr>
                  <w:r>
                    <w:rPr>
                      <w:rFonts w:eastAsiaTheme="minorEastAsia"/>
                      <w:kern w:val="0"/>
                      <w:szCs w:val="21"/>
                    </w:rPr>
                    <w:t>4</w:t>
                  </w:r>
                </w:p>
              </w:tc>
              <w:tc>
                <w:tcPr>
                  <w:tcW w:w="864" w:type="pct"/>
                  <w:vMerge w:val="continue"/>
                  <w:vAlign w:val="center"/>
                </w:tcPr>
                <w:p w14:paraId="584EC60D">
                  <w:pPr>
                    <w:adjustRightInd w:val="0"/>
                    <w:snapToGrid w:val="0"/>
                    <w:spacing w:line="320" w:lineRule="exact"/>
                    <w:jc w:val="center"/>
                    <w:rPr>
                      <w:rFonts w:eastAsiaTheme="minorEastAsia"/>
                      <w:kern w:val="0"/>
                      <w:szCs w:val="21"/>
                    </w:rPr>
                  </w:pPr>
                </w:p>
              </w:tc>
              <w:tc>
                <w:tcPr>
                  <w:tcW w:w="1296" w:type="pct"/>
                  <w:vAlign w:val="center"/>
                </w:tcPr>
                <w:p w14:paraId="6110B924">
                  <w:pPr>
                    <w:adjustRightInd w:val="0"/>
                    <w:snapToGrid w:val="0"/>
                    <w:spacing w:line="320" w:lineRule="exact"/>
                    <w:jc w:val="center"/>
                    <w:rPr>
                      <w:rFonts w:eastAsiaTheme="minorEastAsia"/>
                      <w:kern w:val="0"/>
                      <w:szCs w:val="21"/>
                    </w:rPr>
                  </w:pPr>
                  <w:r>
                    <w:rPr>
                      <w:rFonts w:eastAsiaTheme="minorEastAsia"/>
                      <w:kern w:val="0"/>
                      <w:szCs w:val="21"/>
                    </w:rPr>
                    <w:t>一次搅拌粉尘</w:t>
                  </w:r>
                </w:p>
              </w:tc>
              <w:tc>
                <w:tcPr>
                  <w:tcW w:w="2078" w:type="pct"/>
                  <w:vAlign w:val="center"/>
                </w:tcPr>
                <w:p w14:paraId="599B7171">
                  <w:pPr>
                    <w:adjustRightInd w:val="0"/>
                    <w:snapToGrid w:val="0"/>
                    <w:spacing w:line="320" w:lineRule="exact"/>
                    <w:jc w:val="center"/>
                    <w:rPr>
                      <w:rFonts w:eastAsiaTheme="minorEastAsia"/>
                      <w:kern w:val="0"/>
                      <w:szCs w:val="21"/>
                    </w:rPr>
                  </w:pPr>
                  <w:r>
                    <w:rPr>
                      <w:rFonts w:eastAsiaTheme="minorEastAsia"/>
                      <w:kern w:val="0"/>
                      <w:szCs w:val="21"/>
                    </w:rPr>
                    <w:t>颗粒物</w:t>
                  </w:r>
                </w:p>
              </w:tc>
            </w:tr>
            <w:tr w14:paraId="1AF2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51B868FE">
                  <w:pPr>
                    <w:adjustRightInd w:val="0"/>
                    <w:snapToGrid w:val="0"/>
                    <w:spacing w:line="320" w:lineRule="exact"/>
                    <w:jc w:val="center"/>
                    <w:rPr>
                      <w:rFonts w:eastAsiaTheme="minorEastAsia"/>
                      <w:kern w:val="0"/>
                      <w:szCs w:val="21"/>
                    </w:rPr>
                  </w:pPr>
                  <w:r>
                    <w:rPr>
                      <w:rFonts w:eastAsiaTheme="minorEastAsia"/>
                      <w:kern w:val="0"/>
                      <w:szCs w:val="21"/>
                    </w:rPr>
                    <w:t>5</w:t>
                  </w:r>
                </w:p>
              </w:tc>
              <w:tc>
                <w:tcPr>
                  <w:tcW w:w="2160" w:type="pct"/>
                  <w:gridSpan w:val="2"/>
                  <w:vAlign w:val="center"/>
                </w:tcPr>
                <w:p w14:paraId="2AA0C080">
                  <w:pPr>
                    <w:adjustRightInd w:val="0"/>
                    <w:snapToGrid w:val="0"/>
                    <w:spacing w:line="320" w:lineRule="exact"/>
                    <w:jc w:val="center"/>
                    <w:rPr>
                      <w:rFonts w:eastAsiaTheme="minorEastAsia"/>
                      <w:kern w:val="0"/>
                      <w:szCs w:val="21"/>
                    </w:rPr>
                  </w:pPr>
                  <w:r>
                    <w:rPr>
                      <w:rFonts w:eastAsiaTheme="minorEastAsia"/>
                      <w:kern w:val="0"/>
                      <w:szCs w:val="21"/>
                    </w:rPr>
                    <w:t>窑车清理粉尘</w:t>
                  </w:r>
                </w:p>
              </w:tc>
              <w:tc>
                <w:tcPr>
                  <w:tcW w:w="2078" w:type="pct"/>
                  <w:vAlign w:val="center"/>
                </w:tcPr>
                <w:p w14:paraId="7405BB60">
                  <w:pPr>
                    <w:adjustRightInd w:val="0"/>
                    <w:snapToGrid w:val="0"/>
                    <w:spacing w:line="320" w:lineRule="exact"/>
                    <w:jc w:val="center"/>
                    <w:rPr>
                      <w:rFonts w:eastAsiaTheme="minorEastAsia"/>
                      <w:kern w:val="0"/>
                      <w:szCs w:val="21"/>
                    </w:rPr>
                  </w:pPr>
                  <w:r>
                    <w:rPr>
                      <w:rFonts w:eastAsiaTheme="minorEastAsia"/>
                      <w:kern w:val="0"/>
                      <w:szCs w:val="21"/>
                    </w:rPr>
                    <w:t>颗粒物</w:t>
                  </w:r>
                </w:p>
              </w:tc>
            </w:tr>
            <w:tr w14:paraId="75F8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599A852C">
                  <w:pPr>
                    <w:adjustRightInd w:val="0"/>
                    <w:snapToGrid w:val="0"/>
                    <w:spacing w:line="320" w:lineRule="exact"/>
                    <w:jc w:val="center"/>
                    <w:rPr>
                      <w:rFonts w:eastAsiaTheme="minorEastAsia"/>
                      <w:kern w:val="0"/>
                      <w:szCs w:val="21"/>
                    </w:rPr>
                  </w:pPr>
                  <w:r>
                    <w:rPr>
                      <w:rFonts w:eastAsiaTheme="minorEastAsia"/>
                      <w:kern w:val="0"/>
                      <w:szCs w:val="21"/>
                    </w:rPr>
                    <w:t>6</w:t>
                  </w:r>
                </w:p>
              </w:tc>
              <w:tc>
                <w:tcPr>
                  <w:tcW w:w="864" w:type="pct"/>
                  <w:vMerge w:val="restart"/>
                  <w:vAlign w:val="center"/>
                </w:tcPr>
                <w:p w14:paraId="17F3CA18">
                  <w:pPr>
                    <w:adjustRightInd w:val="0"/>
                    <w:snapToGrid w:val="0"/>
                    <w:spacing w:line="320" w:lineRule="exact"/>
                    <w:jc w:val="center"/>
                    <w:rPr>
                      <w:rFonts w:eastAsiaTheme="minorEastAsia"/>
                      <w:kern w:val="0"/>
                      <w:szCs w:val="21"/>
                    </w:rPr>
                  </w:pPr>
                  <w:r>
                    <w:rPr>
                      <w:rFonts w:eastAsiaTheme="minorEastAsia"/>
                      <w:kern w:val="0"/>
                      <w:szCs w:val="21"/>
                    </w:rPr>
                    <w:t>窑炉烟气</w:t>
                  </w:r>
                </w:p>
              </w:tc>
              <w:tc>
                <w:tcPr>
                  <w:tcW w:w="1296" w:type="pct"/>
                  <w:vAlign w:val="center"/>
                </w:tcPr>
                <w:p w14:paraId="7E9CBDC7">
                  <w:pPr>
                    <w:adjustRightInd w:val="0"/>
                    <w:snapToGrid w:val="0"/>
                    <w:spacing w:line="320" w:lineRule="exact"/>
                    <w:jc w:val="center"/>
                    <w:rPr>
                      <w:rFonts w:eastAsiaTheme="minorEastAsia"/>
                      <w:kern w:val="0"/>
                      <w:szCs w:val="21"/>
                    </w:rPr>
                  </w:pPr>
                  <w:r>
                    <w:rPr>
                      <w:rFonts w:eastAsiaTheme="minorEastAsia"/>
                      <w:kern w:val="0"/>
                      <w:szCs w:val="21"/>
                    </w:rPr>
                    <w:t>烧成废气</w:t>
                  </w:r>
                </w:p>
              </w:tc>
              <w:tc>
                <w:tcPr>
                  <w:tcW w:w="2078" w:type="pct"/>
                  <w:vAlign w:val="center"/>
                </w:tcPr>
                <w:p w14:paraId="5E296AEF">
                  <w:pPr>
                    <w:adjustRightInd w:val="0"/>
                    <w:snapToGrid w:val="0"/>
                    <w:spacing w:line="320" w:lineRule="exact"/>
                    <w:jc w:val="center"/>
                    <w:rPr>
                      <w:rFonts w:eastAsiaTheme="minorEastAsia"/>
                      <w:kern w:val="0"/>
                      <w:szCs w:val="21"/>
                    </w:rPr>
                  </w:pPr>
                  <w:r>
                    <w:t>颗粒物、二氧化硫、氮氧化物、氟化物、</w:t>
                  </w:r>
                  <w:r>
                    <w:rPr>
                      <w:color w:val="EE0000"/>
                      <w:u w:val="single"/>
                    </w:rPr>
                    <w:t>氨、</w:t>
                  </w:r>
                  <w:r>
                    <w:t>HCL、汞、铅、铬、砷、锌、铜、二噁英类</w:t>
                  </w:r>
                </w:p>
              </w:tc>
            </w:tr>
            <w:tr w14:paraId="45AD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50909C7E">
                  <w:pPr>
                    <w:adjustRightInd w:val="0"/>
                    <w:snapToGrid w:val="0"/>
                    <w:spacing w:line="320" w:lineRule="exact"/>
                    <w:jc w:val="center"/>
                    <w:rPr>
                      <w:rFonts w:eastAsiaTheme="minorEastAsia"/>
                      <w:kern w:val="0"/>
                      <w:szCs w:val="21"/>
                    </w:rPr>
                  </w:pPr>
                  <w:r>
                    <w:rPr>
                      <w:rFonts w:eastAsiaTheme="minorEastAsia"/>
                      <w:kern w:val="0"/>
                      <w:szCs w:val="21"/>
                    </w:rPr>
                    <w:t>7</w:t>
                  </w:r>
                </w:p>
              </w:tc>
              <w:tc>
                <w:tcPr>
                  <w:tcW w:w="864" w:type="pct"/>
                  <w:vMerge w:val="continue"/>
                  <w:vAlign w:val="center"/>
                </w:tcPr>
                <w:p w14:paraId="56D07433">
                  <w:pPr>
                    <w:adjustRightInd w:val="0"/>
                    <w:snapToGrid w:val="0"/>
                    <w:spacing w:line="320" w:lineRule="exact"/>
                    <w:jc w:val="center"/>
                    <w:rPr>
                      <w:rFonts w:eastAsiaTheme="minorEastAsia"/>
                      <w:kern w:val="0"/>
                      <w:szCs w:val="21"/>
                    </w:rPr>
                  </w:pPr>
                </w:p>
              </w:tc>
              <w:tc>
                <w:tcPr>
                  <w:tcW w:w="1296" w:type="pct"/>
                  <w:vAlign w:val="center"/>
                </w:tcPr>
                <w:p w14:paraId="1606ADFC">
                  <w:pPr>
                    <w:adjustRightInd w:val="0"/>
                    <w:snapToGrid w:val="0"/>
                    <w:spacing w:line="320" w:lineRule="exact"/>
                    <w:jc w:val="center"/>
                    <w:rPr>
                      <w:rFonts w:eastAsiaTheme="minorEastAsia"/>
                      <w:kern w:val="0"/>
                      <w:szCs w:val="21"/>
                    </w:rPr>
                  </w:pPr>
                  <w:r>
                    <w:rPr>
                      <w:rFonts w:eastAsiaTheme="minorEastAsia"/>
                      <w:kern w:val="0"/>
                      <w:szCs w:val="21"/>
                    </w:rPr>
                    <w:t>点火废气</w:t>
                  </w:r>
                </w:p>
              </w:tc>
              <w:tc>
                <w:tcPr>
                  <w:tcW w:w="2078" w:type="pct"/>
                  <w:vAlign w:val="center"/>
                </w:tcPr>
                <w:p w14:paraId="194D4DC7">
                  <w:pPr>
                    <w:adjustRightInd w:val="0"/>
                    <w:snapToGrid w:val="0"/>
                    <w:spacing w:line="320" w:lineRule="exact"/>
                    <w:jc w:val="center"/>
                    <w:rPr>
                      <w:rFonts w:eastAsiaTheme="minorEastAsia"/>
                      <w:kern w:val="0"/>
                      <w:szCs w:val="21"/>
                    </w:rPr>
                  </w:pPr>
                  <w:r>
                    <w:rPr>
                      <w:rFonts w:eastAsiaTheme="minorEastAsia"/>
                      <w:kern w:val="0"/>
                      <w:szCs w:val="21"/>
                    </w:rPr>
                    <w:t>颗粒物、SO</w:t>
                  </w:r>
                  <w:r>
                    <w:rPr>
                      <w:rFonts w:eastAsiaTheme="minorEastAsia"/>
                      <w:kern w:val="0"/>
                      <w:szCs w:val="21"/>
                      <w:vertAlign w:val="subscript"/>
                    </w:rPr>
                    <w:t>2</w:t>
                  </w:r>
                  <w:r>
                    <w:rPr>
                      <w:rFonts w:eastAsiaTheme="minorEastAsia"/>
                      <w:kern w:val="0"/>
                      <w:szCs w:val="21"/>
                    </w:rPr>
                    <w:t>、NO</w:t>
                  </w:r>
                  <w:r>
                    <w:rPr>
                      <w:rFonts w:eastAsiaTheme="minorEastAsia"/>
                      <w:kern w:val="0"/>
                      <w:szCs w:val="21"/>
                      <w:vertAlign w:val="subscript"/>
                    </w:rPr>
                    <w:t>x</w:t>
                  </w:r>
                </w:p>
              </w:tc>
            </w:tr>
            <w:tr w14:paraId="7ECB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2DD666DE">
                  <w:pPr>
                    <w:adjustRightInd w:val="0"/>
                    <w:snapToGrid w:val="0"/>
                    <w:spacing w:line="320" w:lineRule="exact"/>
                    <w:jc w:val="center"/>
                    <w:rPr>
                      <w:rFonts w:eastAsiaTheme="minorEastAsia"/>
                      <w:kern w:val="0"/>
                      <w:szCs w:val="21"/>
                    </w:rPr>
                  </w:pPr>
                  <w:r>
                    <w:rPr>
                      <w:rFonts w:eastAsiaTheme="minorEastAsia"/>
                      <w:kern w:val="0"/>
                      <w:szCs w:val="21"/>
                    </w:rPr>
                    <w:t>8</w:t>
                  </w:r>
                </w:p>
              </w:tc>
              <w:tc>
                <w:tcPr>
                  <w:tcW w:w="2160" w:type="pct"/>
                  <w:gridSpan w:val="2"/>
                  <w:vAlign w:val="center"/>
                </w:tcPr>
                <w:p w14:paraId="153515A3">
                  <w:pPr>
                    <w:adjustRightInd w:val="0"/>
                    <w:snapToGrid w:val="0"/>
                    <w:spacing w:line="320" w:lineRule="exact"/>
                    <w:jc w:val="center"/>
                    <w:rPr>
                      <w:rFonts w:eastAsiaTheme="minorEastAsia"/>
                      <w:kern w:val="0"/>
                      <w:szCs w:val="21"/>
                    </w:rPr>
                  </w:pPr>
                  <w:r>
                    <w:rPr>
                      <w:rFonts w:eastAsiaTheme="minorEastAsia"/>
                      <w:kern w:val="0"/>
                      <w:szCs w:val="21"/>
                    </w:rPr>
                    <w:t>脱硫剂入仓和出仓粉尘</w:t>
                  </w:r>
                </w:p>
              </w:tc>
              <w:tc>
                <w:tcPr>
                  <w:tcW w:w="2078" w:type="pct"/>
                  <w:vAlign w:val="center"/>
                </w:tcPr>
                <w:p w14:paraId="308BD087">
                  <w:pPr>
                    <w:adjustRightInd w:val="0"/>
                    <w:snapToGrid w:val="0"/>
                    <w:spacing w:line="320" w:lineRule="exact"/>
                    <w:jc w:val="center"/>
                    <w:rPr>
                      <w:rFonts w:eastAsiaTheme="minorEastAsia"/>
                      <w:kern w:val="0"/>
                      <w:szCs w:val="21"/>
                    </w:rPr>
                  </w:pPr>
                  <w:r>
                    <w:rPr>
                      <w:rFonts w:eastAsiaTheme="minorEastAsia"/>
                      <w:kern w:val="0"/>
                      <w:szCs w:val="21"/>
                    </w:rPr>
                    <w:t>颗粒物</w:t>
                  </w:r>
                </w:p>
              </w:tc>
            </w:tr>
            <w:tr w14:paraId="75A8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64143432">
                  <w:pPr>
                    <w:adjustRightInd w:val="0"/>
                    <w:snapToGrid w:val="0"/>
                    <w:spacing w:line="320" w:lineRule="exact"/>
                    <w:jc w:val="center"/>
                    <w:rPr>
                      <w:rFonts w:eastAsiaTheme="minorEastAsia"/>
                      <w:kern w:val="0"/>
                      <w:szCs w:val="21"/>
                    </w:rPr>
                  </w:pPr>
                  <w:r>
                    <w:rPr>
                      <w:rFonts w:eastAsiaTheme="minorEastAsia"/>
                      <w:kern w:val="0"/>
                      <w:szCs w:val="21"/>
                    </w:rPr>
                    <w:t>9</w:t>
                  </w:r>
                </w:p>
              </w:tc>
              <w:tc>
                <w:tcPr>
                  <w:tcW w:w="2160" w:type="pct"/>
                  <w:gridSpan w:val="2"/>
                  <w:vAlign w:val="center"/>
                </w:tcPr>
                <w:p w14:paraId="76235447">
                  <w:pPr>
                    <w:adjustRightInd w:val="0"/>
                    <w:snapToGrid w:val="0"/>
                    <w:spacing w:line="320" w:lineRule="exact"/>
                    <w:jc w:val="center"/>
                    <w:rPr>
                      <w:rFonts w:eastAsiaTheme="minorEastAsia"/>
                      <w:kern w:val="0"/>
                      <w:szCs w:val="21"/>
                    </w:rPr>
                  </w:pPr>
                  <w:r>
                    <w:rPr>
                      <w:rFonts w:eastAsiaTheme="minorEastAsia"/>
                      <w:kern w:val="0"/>
                      <w:szCs w:val="21"/>
                    </w:rPr>
                    <w:t>原料装卸粉尘</w:t>
                  </w:r>
                </w:p>
              </w:tc>
              <w:tc>
                <w:tcPr>
                  <w:tcW w:w="2078" w:type="pct"/>
                  <w:vAlign w:val="center"/>
                </w:tcPr>
                <w:p w14:paraId="44651A22">
                  <w:pPr>
                    <w:adjustRightInd w:val="0"/>
                    <w:snapToGrid w:val="0"/>
                    <w:spacing w:line="320" w:lineRule="exact"/>
                    <w:jc w:val="center"/>
                    <w:rPr>
                      <w:rFonts w:eastAsiaTheme="minorEastAsia"/>
                      <w:kern w:val="0"/>
                      <w:szCs w:val="21"/>
                    </w:rPr>
                  </w:pPr>
                  <w:r>
                    <w:rPr>
                      <w:rFonts w:eastAsiaTheme="minorEastAsia"/>
                      <w:kern w:val="0"/>
                      <w:szCs w:val="21"/>
                    </w:rPr>
                    <w:t>颗粒物</w:t>
                  </w:r>
                </w:p>
              </w:tc>
            </w:tr>
            <w:tr w14:paraId="44DD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5E83CC24">
                  <w:pPr>
                    <w:adjustRightInd w:val="0"/>
                    <w:snapToGrid w:val="0"/>
                    <w:spacing w:line="320" w:lineRule="exact"/>
                    <w:jc w:val="center"/>
                    <w:rPr>
                      <w:rFonts w:eastAsiaTheme="minorEastAsia"/>
                      <w:kern w:val="0"/>
                      <w:szCs w:val="21"/>
                    </w:rPr>
                  </w:pPr>
                  <w:r>
                    <w:rPr>
                      <w:rFonts w:eastAsiaTheme="minorEastAsia"/>
                      <w:kern w:val="0"/>
                      <w:szCs w:val="21"/>
                    </w:rPr>
                    <w:t>10</w:t>
                  </w:r>
                </w:p>
              </w:tc>
              <w:tc>
                <w:tcPr>
                  <w:tcW w:w="2160" w:type="pct"/>
                  <w:gridSpan w:val="2"/>
                  <w:vAlign w:val="center"/>
                </w:tcPr>
                <w:p w14:paraId="013B6017">
                  <w:pPr>
                    <w:adjustRightInd w:val="0"/>
                    <w:snapToGrid w:val="0"/>
                    <w:spacing w:line="320" w:lineRule="exact"/>
                    <w:jc w:val="center"/>
                    <w:rPr>
                      <w:rFonts w:eastAsiaTheme="minorEastAsia"/>
                      <w:kern w:val="0"/>
                      <w:szCs w:val="21"/>
                    </w:rPr>
                  </w:pPr>
                  <w:r>
                    <w:rPr>
                      <w:szCs w:val="21"/>
                    </w:rPr>
                    <w:t>污泥储存恶臭</w:t>
                  </w:r>
                </w:p>
              </w:tc>
              <w:tc>
                <w:tcPr>
                  <w:tcW w:w="2078" w:type="pct"/>
                  <w:vAlign w:val="center"/>
                </w:tcPr>
                <w:p w14:paraId="5DE2121E">
                  <w:pPr>
                    <w:adjustRightInd w:val="0"/>
                    <w:snapToGrid w:val="0"/>
                    <w:spacing w:line="320" w:lineRule="exact"/>
                    <w:jc w:val="center"/>
                    <w:rPr>
                      <w:rFonts w:eastAsiaTheme="minorEastAsia"/>
                      <w:kern w:val="0"/>
                      <w:szCs w:val="21"/>
                    </w:rPr>
                  </w:pPr>
                  <w:r>
                    <w:rPr>
                      <w:szCs w:val="21"/>
                    </w:rPr>
                    <w:t>氨、硫化氢</w:t>
                  </w:r>
                </w:p>
              </w:tc>
            </w:tr>
            <w:tr w14:paraId="7E9B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592C710E">
                  <w:pPr>
                    <w:adjustRightInd w:val="0"/>
                    <w:snapToGrid w:val="0"/>
                    <w:spacing w:line="320" w:lineRule="exact"/>
                    <w:jc w:val="center"/>
                    <w:rPr>
                      <w:rFonts w:eastAsiaTheme="minorEastAsia"/>
                      <w:kern w:val="0"/>
                      <w:szCs w:val="21"/>
                    </w:rPr>
                  </w:pPr>
                  <w:r>
                    <w:rPr>
                      <w:rFonts w:eastAsiaTheme="minorEastAsia"/>
                      <w:kern w:val="0"/>
                      <w:szCs w:val="21"/>
                    </w:rPr>
                    <w:t>11</w:t>
                  </w:r>
                </w:p>
              </w:tc>
              <w:tc>
                <w:tcPr>
                  <w:tcW w:w="2160" w:type="pct"/>
                  <w:gridSpan w:val="2"/>
                  <w:vAlign w:val="center"/>
                </w:tcPr>
                <w:p w14:paraId="18FA1A01">
                  <w:pPr>
                    <w:adjustRightInd w:val="0"/>
                    <w:snapToGrid w:val="0"/>
                    <w:spacing w:line="320" w:lineRule="exact"/>
                    <w:jc w:val="center"/>
                    <w:rPr>
                      <w:rFonts w:eastAsiaTheme="minorEastAsia"/>
                      <w:kern w:val="0"/>
                      <w:szCs w:val="21"/>
                    </w:rPr>
                  </w:pPr>
                  <w:r>
                    <w:rPr>
                      <w:rFonts w:eastAsiaTheme="minorEastAsia"/>
                      <w:kern w:val="0"/>
                      <w:szCs w:val="21"/>
                    </w:rPr>
                    <w:t>车辆运输扬尘</w:t>
                  </w:r>
                </w:p>
              </w:tc>
              <w:tc>
                <w:tcPr>
                  <w:tcW w:w="2078" w:type="pct"/>
                  <w:vAlign w:val="center"/>
                </w:tcPr>
                <w:p w14:paraId="4DC44BC3">
                  <w:pPr>
                    <w:adjustRightInd w:val="0"/>
                    <w:snapToGrid w:val="0"/>
                    <w:spacing w:line="320" w:lineRule="exact"/>
                    <w:jc w:val="center"/>
                    <w:rPr>
                      <w:rFonts w:eastAsiaTheme="minorEastAsia"/>
                      <w:kern w:val="0"/>
                      <w:szCs w:val="21"/>
                    </w:rPr>
                  </w:pPr>
                  <w:r>
                    <w:rPr>
                      <w:rFonts w:eastAsiaTheme="minorEastAsia"/>
                      <w:kern w:val="0"/>
                      <w:szCs w:val="21"/>
                    </w:rPr>
                    <w:t>颗粒物</w:t>
                  </w:r>
                </w:p>
              </w:tc>
            </w:tr>
            <w:tr w14:paraId="4A73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vAlign w:val="center"/>
                </w:tcPr>
                <w:p w14:paraId="4A4BC90F">
                  <w:pPr>
                    <w:adjustRightInd w:val="0"/>
                    <w:snapToGrid w:val="0"/>
                    <w:spacing w:line="320" w:lineRule="exact"/>
                    <w:jc w:val="center"/>
                    <w:rPr>
                      <w:rFonts w:eastAsiaTheme="minorEastAsia"/>
                      <w:kern w:val="0"/>
                      <w:szCs w:val="21"/>
                    </w:rPr>
                  </w:pPr>
                  <w:r>
                    <w:rPr>
                      <w:rFonts w:eastAsiaTheme="minorEastAsia"/>
                      <w:kern w:val="0"/>
                      <w:szCs w:val="21"/>
                    </w:rPr>
                    <w:t>12</w:t>
                  </w:r>
                </w:p>
              </w:tc>
              <w:tc>
                <w:tcPr>
                  <w:tcW w:w="2160" w:type="pct"/>
                  <w:gridSpan w:val="2"/>
                  <w:vAlign w:val="center"/>
                </w:tcPr>
                <w:p w14:paraId="586D1BAA">
                  <w:pPr>
                    <w:adjustRightInd w:val="0"/>
                    <w:snapToGrid w:val="0"/>
                    <w:spacing w:line="320" w:lineRule="exact"/>
                    <w:jc w:val="center"/>
                    <w:rPr>
                      <w:rFonts w:eastAsiaTheme="minorEastAsia"/>
                      <w:kern w:val="0"/>
                      <w:szCs w:val="21"/>
                    </w:rPr>
                  </w:pPr>
                  <w:r>
                    <w:rPr>
                      <w:rFonts w:eastAsiaTheme="minorEastAsia"/>
                      <w:kern w:val="0"/>
                      <w:szCs w:val="21"/>
                    </w:rPr>
                    <w:t>员工食堂</w:t>
                  </w:r>
                </w:p>
              </w:tc>
              <w:tc>
                <w:tcPr>
                  <w:tcW w:w="2078" w:type="pct"/>
                  <w:vAlign w:val="center"/>
                </w:tcPr>
                <w:p w14:paraId="6CCB3314">
                  <w:pPr>
                    <w:adjustRightInd w:val="0"/>
                    <w:snapToGrid w:val="0"/>
                    <w:spacing w:line="320" w:lineRule="exact"/>
                    <w:jc w:val="center"/>
                    <w:rPr>
                      <w:rFonts w:eastAsiaTheme="minorEastAsia"/>
                      <w:kern w:val="0"/>
                      <w:szCs w:val="21"/>
                    </w:rPr>
                  </w:pPr>
                  <w:r>
                    <w:rPr>
                      <w:rFonts w:eastAsiaTheme="minorEastAsia"/>
                      <w:kern w:val="0"/>
                      <w:szCs w:val="21"/>
                    </w:rPr>
                    <w:t>食堂油烟</w:t>
                  </w:r>
                </w:p>
              </w:tc>
            </w:tr>
          </w:tbl>
          <w:p w14:paraId="512F23D2">
            <w:pPr>
              <w:adjustRightInd w:val="0"/>
              <w:snapToGrid w:val="0"/>
              <w:spacing w:line="520" w:lineRule="exact"/>
              <w:rPr>
                <w:rFonts w:eastAsia="黑体"/>
                <w:kern w:val="0"/>
                <w:sz w:val="24"/>
              </w:rPr>
            </w:pPr>
            <w:r>
              <w:rPr>
                <w:rFonts w:eastAsia="黑体"/>
                <w:kern w:val="0"/>
                <w:sz w:val="24"/>
              </w:rPr>
              <w:t>1.2运营期废气产排过程源强核算</w:t>
            </w:r>
          </w:p>
          <w:p w14:paraId="0A9B5CF5">
            <w:pPr>
              <w:autoSpaceDE w:val="0"/>
              <w:autoSpaceDN w:val="0"/>
              <w:adjustRightInd w:val="0"/>
              <w:spacing w:line="500" w:lineRule="exact"/>
              <w:ind w:firstLine="480" w:firstLineChars="200"/>
              <w:jc w:val="left"/>
              <w:rPr>
                <w:kern w:val="0"/>
                <w:sz w:val="24"/>
              </w:rPr>
            </w:pPr>
            <w:bookmarkStart w:id="28" w:name="_Hlk217857029"/>
            <w:r>
              <w:rPr>
                <w:kern w:val="0"/>
                <w:sz w:val="24"/>
              </w:rPr>
              <w:t>（1）原料制备工序粉尘</w:t>
            </w:r>
          </w:p>
          <w:p w14:paraId="0549D728">
            <w:pPr>
              <w:autoSpaceDE w:val="0"/>
              <w:autoSpaceDN w:val="0"/>
              <w:adjustRightInd w:val="0"/>
              <w:spacing w:line="500" w:lineRule="exact"/>
              <w:ind w:firstLine="480" w:firstLineChars="200"/>
              <w:jc w:val="left"/>
              <w:rPr>
                <w:kern w:val="0"/>
                <w:sz w:val="24"/>
              </w:rPr>
            </w:pPr>
            <w:r>
              <w:rPr>
                <w:kern w:val="0"/>
                <w:sz w:val="24"/>
              </w:rPr>
              <w:fldChar w:fldCharType="begin"/>
            </w:r>
            <w:r>
              <w:rPr>
                <w:kern w:val="0"/>
                <w:sz w:val="24"/>
              </w:rPr>
              <w:instrText xml:space="preserve"> = 1 \* GB3 </w:instrText>
            </w:r>
            <w:r>
              <w:rPr>
                <w:kern w:val="0"/>
                <w:sz w:val="24"/>
              </w:rPr>
              <w:fldChar w:fldCharType="separate"/>
            </w:r>
            <w:r>
              <w:rPr>
                <w:rFonts w:ascii="Cambria Math" w:hAnsi="Cambria Math" w:cs="Cambria Math"/>
                <w:kern w:val="0"/>
                <w:sz w:val="24"/>
              </w:rPr>
              <w:t>①</w:t>
            </w:r>
            <w:r>
              <w:rPr>
                <w:kern w:val="0"/>
                <w:sz w:val="24"/>
              </w:rPr>
              <w:fldChar w:fldCharType="end"/>
            </w:r>
            <w:r>
              <w:rPr>
                <w:kern w:val="0"/>
                <w:sz w:val="24"/>
              </w:rPr>
              <w:t>原料制备工序粉尘产生情况</w:t>
            </w:r>
          </w:p>
          <w:bookmarkEnd w:id="28"/>
          <w:p w14:paraId="2D9506E2">
            <w:pPr>
              <w:autoSpaceDE w:val="0"/>
              <w:autoSpaceDN w:val="0"/>
              <w:adjustRightInd w:val="0"/>
              <w:spacing w:line="500" w:lineRule="exact"/>
              <w:ind w:firstLine="480" w:firstLineChars="200"/>
              <w:jc w:val="left"/>
              <w:rPr>
                <w:kern w:val="0"/>
                <w:sz w:val="24"/>
              </w:rPr>
            </w:pPr>
            <w:r>
              <w:rPr>
                <w:kern w:val="0"/>
                <w:sz w:val="24"/>
              </w:rPr>
              <w:t>项目原料制备工序喂料、破碎、筛分、一次搅拌过程会产生工业粉尘。其中喂料产尘参照《逸散性工业粉尘控制技术》中粒料加工厂P276页矿渣进料产污系数，破碎、筛分、一次搅拌过程产尘参照《排放源统计调查产排污核算方法和系数手册》中《工业源产排污核算方法和系数手册—303砖瓦、石材等建筑材料制造行业系数手册》中的“3031粘土砖瓦及建筑砌块制造”—“破碎、筛分、成型、干燥等”工艺环节颗粒物产污系数，如表4-2所示。</w:t>
            </w:r>
          </w:p>
          <w:p w14:paraId="4935DE39">
            <w:pPr>
              <w:autoSpaceDE w:val="0"/>
              <w:autoSpaceDN w:val="0"/>
              <w:adjustRightInd w:val="0"/>
              <w:spacing w:line="500" w:lineRule="exact"/>
              <w:ind w:firstLine="240" w:firstLineChars="100"/>
              <w:jc w:val="center"/>
              <w:rPr>
                <w:kern w:val="0"/>
                <w:sz w:val="24"/>
              </w:rPr>
            </w:pPr>
            <w:r>
              <w:rPr>
                <w:rFonts w:eastAsia="黑体"/>
                <w:kern w:val="0"/>
                <w:sz w:val="24"/>
              </w:rPr>
              <w:t>表4-2       喂料、破碎、筛分、一次搅拌粉尘产生情况</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225"/>
              <w:gridCol w:w="2433"/>
              <w:gridCol w:w="1866"/>
            </w:tblGrid>
            <w:tr w14:paraId="12C7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pct"/>
                  <w:vAlign w:val="center"/>
                </w:tcPr>
                <w:p w14:paraId="329B0D8B">
                  <w:pPr>
                    <w:adjustRightInd w:val="0"/>
                    <w:snapToGrid w:val="0"/>
                    <w:spacing w:line="320" w:lineRule="exact"/>
                    <w:jc w:val="center"/>
                    <w:rPr>
                      <w:rFonts w:eastAsiaTheme="minorEastAsia"/>
                      <w:szCs w:val="21"/>
                    </w:rPr>
                  </w:pPr>
                  <w:r>
                    <w:rPr>
                      <w:rFonts w:eastAsiaTheme="minorEastAsia"/>
                      <w:szCs w:val="21"/>
                    </w:rPr>
                    <w:t>产污环节</w:t>
                  </w:r>
                </w:p>
              </w:tc>
              <w:tc>
                <w:tcPr>
                  <w:tcW w:w="1346" w:type="pct"/>
                  <w:vAlign w:val="center"/>
                </w:tcPr>
                <w:p w14:paraId="0163695D">
                  <w:pPr>
                    <w:adjustRightInd w:val="0"/>
                    <w:snapToGrid w:val="0"/>
                    <w:spacing w:line="320" w:lineRule="exact"/>
                    <w:jc w:val="center"/>
                    <w:rPr>
                      <w:rFonts w:eastAsiaTheme="minorEastAsia"/>
                      <w:szCs w:val="21"/>
                    </w:rPr>
                  </w:pPr>
                  <w:r>
                    <w:rPr>
                      <w:rFonts w:eastAsiaTheme="minorEastAsia"/>
                      <w:szCs w:val="21"/>
                    </w:rPr>
                    <w:t>产污系数</w:t>
                  </w:r>
                </w:p>
              </w:tc>
              <w:tc>
                <w:tcPr>
                  <w:tcW w:w="1472" w:type="pct"/>
                  <w:vAlign w:val="center"/>
                </w:tcPr>
                <w:p w14:paraId="5DCDBC6C">
                  <w:pPr>
                    <w:adjustRightInd w:val="0"/>
                    <w:snapToGrid w:val="0"/>
                    <w:spacing w:line="320" w:lineRule="exact"/>
                    <w:jc w:val="center"/>
                    <w:rPr>
                      <w:rFonts w:eastAsiaTheme="minorEastAsia"/>
                      <w:szCs w:val="21"/>
                    </w:rPr>
                  </w:pPr>
                  <w:r>
                    <w:rPr>
                      <w:rFonts w:eastAsiaTheme="minorEastAsia"/>
                      <w:szCs w:val="21"/>
                    </w:rPr>
                    <w:t>产品规模/原料用量</w:t>
                  </w:r>
                </w:p>
              </w:tc>
              <w:tc>
                <w:tcPr>
                  <w:tcW w:w="1129" w:type="pct"/>
                  <w:vAlign w:val="center"/>
                </w:tcPr>
                <w:p w14:paraId="38C25872">
                  <w:pPr>
                    <w:adjustRightInd w:val="0"/>
                    <w:snapToGrid w:val="0"/>
                    <w:spacing w:line="320" w:lineRule="exact"/>
                    <w:jc w:val="center"/>
                    <w:rPr>
                      <w:rFonts w:eastAsiaTheme="minorEastAsia"/>
                      <w:szCs w:val="21"/>
                    </w:rPr>
                  </w:pPr>
                  <w:r>
                    <w:rPr>
                      <w:rFonts w:eastAsiaTheme="minorEastAsia"/>
                      <w:szCs w:val="21"/>
                    </w:rPr>
                    <w:t>污染物产生量</w:t>
                  </w:r>
                </w:p>
              </w:tc>
            </w:tr>
            <w:tr w14:paraId="5A8F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pct"/>
                  <w:vAlign w:val="center"/>
                </w:tcPr>
                <w:p w14:paraId="1B7DC916">
                  <w:pPr>
                    <w:adjustRightInd w:val="0"/>
                    <w:snapToGrid w:val="0"/>
                    <w:spacing w:line="320" w:lineRule="exact"/>
                    <w:jc w:val="center"/>
                    <w:rPr>
                      <w:rFonts w:eastAsiaTheme="minorEastAsia"/>
                      <w:szCs w:val="21"/>
                    </w:rPr>
                  </w:pPr>
                  <w:r>
                    <w:rPr>
                      <w:rFonts w:eastAsiaTheme="minorEastAsia"/>
                      <w:szCs w:val="21"/>
                    </w:rPr>
                    <w:t>喂料</w:t>
                  </w:r>
                </w:p>
              </w:tc>
              <w:tc>
                <w:tcPr>
                  <w:tcW w:w="1346" w:type="pct"/>
                  <w:vAlign w:val="center"/>
                </w:tcPr>
                <w:p w14:paraId="43981F5E">
                  <w:pPr>
                    <w:adjustRightInd w:val="0"/>
                    <w:snapToGrid w:val="0"/>
                    <w:spacing w:line="320" w:lineRule="exact"/>
                    <w:jc w:val="center"/>
                    <w:rPr>
                      <w:rFonts w:eastAsiaTheme="minorEastAsia"/>
                      <w:szCs w:val="21"/>
                    </w:rPr>
                  </w:pPr>
                  <w:r>
                    <w:rPr>
                      <w:rFonts w:eastAsiaTheme="minorEastAsia"/>
                      <w:szCs w:val="21"/>
                    </w:rPr>
                    <w:t>0.0029kg/t（进料）</w:t>
                  </w:r>
                </w:p>
              </w:tc>
              <w:tc>
                <w:tcPr>
                  <w:tcW w:w="1472" w:type="pct"/>
                  <w:vAlign w:val="center"/>
                </w:tcPr>
                <w:p w14:paraId="3DF832D7">
                  <w:pPr>
                    <w:adjustRightInd w:val="0"/>
                    <w:snapToGrid w:val="0"/>
                    <w:spacing w:line="320" w:lineRule="exact"/>
                    <w:jc w:val="center"/>
                    <w:rPr>
                      <w:rFonts w:eastAsiaTheme="minorEastAsia"/>
                      <w:szCs w:val="21"/>
                    </w:rPr>
                  </w:pPr>
                  <w:r>
                    <w:rPr>
                      <w:rFonts w:eastAsiaTheme="minorEastAsia"/>
                      <w:szCs w:val="21"/>
                    </w:rPr>
                    <w:t>进料量约236000t/a</w:t>
                  </w:r>
                </w:p>
              </w:tc>
              <w:tc>
                <w:tcPr>
                  <w:tcW w:w="1129" w:type="pct"/>
                  <w:vAlign w:val="center"/>
                </w:tcPr>
                <w:p w14:paraId="75C325D6">
                  <w:pPr>
                    <w:adjustRightInd w:val="0"/>
                    <w:snapToGrid w:val="0"/>
                    <w:spacing w:line="320" w:lineRule="exact"/>
                    <w:jc w:val="center"/>
                    <w:rPr>
                      <w:rFonts w:eastAsiaTheme="minorEastAsia"/>
                      <w:szCs w:val="21"/>
                    </w:rPr>
                  </w:pPr>
                  <w:r>
                    <w:rPr>
                      <w:rFonts w:eastAsiaTheme="minorEastAsia"/>
                      <w:szCs w:val="21"/>
                    </w:rPr>
                    <w:t>0.68t/a</w:t>
                  </w:r>
                </w:p>
              </w:tc>
            </w:tr>
            <w:tr w14:paraId="7B09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pct"/>
                  <w:vAlign w:val="center"/>
                </w:tcPr>
                <w:p w14:paraId="4FCA4236">
                  <w:pPr>
                    <w:adjustRightInd w:val="0"/>
                    <w:snapToGrid w:val="0"/>
                    <w:spacing w:line="320" w:lineRule="exact"/>
                    <w:jc w:val="center"/>
                    <w:rPr>
                      <w:rFonts w:eastAsiaTheme="minorEastAsia"/>
                      <w:szCs w:val="21"/>
                    </w:rPr>
                  </w:pPr>
                  <w:r>
                    <w:rPr>
                      <w:rFonts w:eastAsiaTheme="minorEastAsia"/>
                      <w:szCs w:val="21"/>
                    </w:rPr>
                    <w:t>破碎</w:t>
                  </w:r>
                </w:p>
              </w:tc>
              <w:tc>
                <w:tcPr>
                  <w:tcW w:w="1346" w:type="pct"/>
                  <w:vAlign w:val="center"/>
                </w:tcPr>
                <w:p w14:paraId="1D5AEB62">
                  <w:pPr>
                    <w:adjustRightInd w:val="0"/>
                    <w:snapToGrid w:val="0"/>
                    <w:spacing w:line="320" w:lineRule="exact"/>
                    <w:jc w:val="center"/>
                    <w:rPr>
                      <w:rFonts w:eastAsiaTheme="minorEastAsia"/>
                      <w:szCs w:val="21"/>
                    </w:rPr>
                  </w:pPr>
                  <w:r>
                    <w:rPr>
                      <w:rFonts w:eastAsiaTheme="minorEastAsia"/>
                      <w:szCs w:val="21"/>
                    </w:rPr>
                    <w:t>1.23kg/万块标砖</w:t>
                  </w:r>
                </w:p>
              </w:tc>
              <w:tc>
                <w:tcPr>
                  <w:tcW w:w="1472" w:type="pct"/>
                  <w:vAlign w:val="center"/>
                </w:tcPr>
                <w:p w14:paraId="4404D94E">
                  <w:pPr>
                    <w:adjustRightInd w:val="0"/>
                    <w:snapToGrid w:val="0"/>
                    <w:spacing w:line="320" w:lineRule="exact"/>
                    <w:jc w:val="center"/>
                    <w:rPr>
                      <w:rFonts w:eastAsiaTheme="minorEastAsia"/>
                      <w:szCs w:val="21"/>
                    </w:rPr>
                  </w:pPr>
                  <w:r>
                    <w:rPr>
                      <w:rFonts w:eastAsiaTheme="minorEastAsia"/>
                      <w:szCs w:val="21"/>
                    </w:rPr>
                    <w:t>年产12000万块标砖</w:t>
                  </w:r>
                </w:p>
              </w:tc>
              <w:tc>
                <w:tcPr>
                  <w:tcW w:w="1129" w:type="pct"/>
                  <w:vAlign w:val="center"/>
                </w:tcPr>
                <w:p w14:paraId="091162DA">
                  <w:pPr>
                    <w:adjustRightInd w:val="0"/>
                    <w:snapToGrid w:val="0"/>
                    <w:spacing w:line="320" w:lineRule="exact"/>
                    <w:jc w:val="center"/>
                    <w:rPr>
                      <w:rFonts w:eastAsiaTheme="minorEastAsia"/>
                      <w:szCs w:val="21"/>
                    </w:rPr>
                  </w:pPr>
                  <w:r>
                    <w:rPr>
                      <w:rFonts w:eastAsiaTheme="minorEastAsia"/>
                      <w:szCs w:val="21"/>
                    </w:rPr>
                    <w:t>14.76t/a</w:t>
                  </w:r>
                </w:p>
              </w:tc>
            </w:tr>
            <w:tr w14:paraId="0FCC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pct"/>
                  <w:vAlign w:val="center"/>
                </w:tcPr>
                <w:p w14:paraId="46C9C4D9">
                  <w:pPr>
                    <w:adjustRightInd w:val="0"/>
                    <w:snapToGrid w:val="0"/>
                    <w:spacing w:line="320" w:lineRule="exact"/>
                    <w:jc w:val="center"/>
                    <w:rPr>
                      <w:rFonts w:eastAsiaTheme="minorEastAsia"/>
                      <w:szCs w:val="21"/>
                    </w:rPr>
                  </w:pPr>
                  <w:r>
                    <w:rPr>
                      <w:rFonts w:eastAsiaTheme="minorEastAsia"/>
                      <w:szCs w:val="21"/>
                    </w:rPr>
                    <w:t>筛分</w:t>
                  </w:r>
                </w:p>
              </w:tc>
              <w:tc>
                <w:tcPr>
                  <w:tcW w:w="1346" w:type="pct"/>
                  <w:vAlign w:val="center"/>
                </w:tcPr>
                <w:p w14:paraId="45919990">
                  <w:pPr>
                    <w:adjustRightInd w:val="0"/>
                    <w:snapToGrid w:val="0"/>
                    <w:spacing w:line="320" w:lineRule="exact"/>
                    <w:jc w:val="center"/>
                    <w:rPr>
                      <w:rFonts w:eastAsiaTheme="minorEastAsia"/>
                      <w:szCs w:val="21"/>
                    </w:rPr>
                  </w:pPr>
                  <w:r>
                    <w:rPr>
                      <w:rFonts w:eastAsiaTheme="minorEastAsia"/>
                      <w:szCs w:val="21"/>
                    </w:rPr>
                    <w:t>1.23kg/万块标砖</w:t>
                  </w:r>
                </w:p>
              </w:tc>
              <w:tc>
                <w:tcPr>
                  <w:tcW w:w="1472" w:type="pct"/>
                  <w:vAlign w:val="center"/>
                </w:tcPr>
                <w:p w14:paraId="7DBD1641">
                  <w:pPr>
                    <w:adjustRightInd w:val="0"/>
                    <w:snapToGrid w:val="0"/>
                    <w:spacing w:line="320" w:lineRule="exact"/>
                    <w:jc w:val="center"/>
                    <w:rPr>
                      <w:rFonts w:eastAsiaTheme="minorEastAsia"/>
                      <w:szCs w:val="21"/>
                    </w:rPr>
                  </w:pPr>
                  <w:r>
                    <w:rPr>
                      <w:rFonts w:eastAsiaTheme="minorEastAsia"/>
                      <w:szCs w:val="21"/>
                    </w:rPr>
                    <w:t>年产12000万块标砖</w:t>
                  </w:r>
                </w:p>
              </w:tc>
              <w:tc>
                <w:tcPr>
                  <w:tcW w:w="1129" w:type="pct"/>
                  <w:vAlign w:val="center"/>
                </w:tcPr>
                <w:p w14:paraId="5A0BBFDC">
                  <w:pPr>
                    <w:adjustRightInd w:val="0"/>
                    <w:snapToGrid w:val="0"/>
                    <w:spacing w:line="320" w:lineRule="exact"/>
                    <w:jc w:val="center"/>
                    <w:rPr>
                      <w:rFonts w:eastAsiaTheme="minorEastAsia"/>
                      <w:szCs w:val="21"/>
                    </w:rPr>
                  </w:pPr>
                  <w:r>
                    <w:rPr>
                      <w:rFonts w:eastAsiaTheme="minorEastAsia"/>
                      <w:szCs w:val="21"/>
                    </w:rPr>
                    <w:t>14.76t/a</w:t>
                  </w:r>
                </w:p>
              </w:tc>
            </w:tr>
            <w:tr w14:paraId="5DF3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pct"/>
                  <w:vAlign w:val="center"/>
                </w:tcPr>
                <w:p w14:paraId="2B8086F1">
                  <w:pPr>
                    <w:adjustRightInd w:val="0"/>
                    <w:snapToGrid w:val="0"/>
                    <w:spacing w:line="320" w:lineRule="exact"/>
                    <w:jc w:val="center"/>
                    <w:rPr>
                      <w:rFonts w:eastAsiaTheme="minorEastAsia"/>
                      <w:szCs w:val="21"/>
                    </w:rPr>
                  </w:pPr>
                  <w:r>
                    <w:rPr>
                      <w:rFonts w:eastAsiaTheme="minorEastAsia"/>
                      <w:szCs w:val="21"/>
                    </w:rPr>
                    <w:t>一次搅拌</w:t>
                  </w:r>
                </w:p>
              </w:tc>
              <w:tc>
                <w:tcPr>
                  <w:tcW w:w="1346" w:type="pct"/>
                  <w:vAlign w:val="center"/>
                </w:tcPr>
                <w:p w14:paraId="7CC58385">
                  <w:pPr>
                    <w:adjustRightInd w:val="0"/>
                    <w:snapToGrid w:val="0"/>
                    <w:spacing w:line="320" w:lineRule="exact"/>
                    <w:jc w:val="center"/>
                    <w:rPr>
                      <w:rFonts w:eastAsiaTheme="minorEastAsia"/>
                      <w:szCs w:val="21"/>
                    </w:rPr>
                  </w:pPr>
                  <w:r>
                    <w:rPr>
                      <w:rFonts w:eastAsiaTheme="minorEastAsia"/>
                      <w:szCs w:val="21"/>
                    </w:rPr>
                    <w:t>1.23kg/万块标砖</w:t>
                  </w:r>
                </w:p>
              </w:tc>
              <w:tc>
                <w:tcPr>
                  <w:tcW w:w="1472" w:type="pct"/>
                  <w:vAlign w:val="center"/>
                </w:tcPr>
                <w:p w14:paraId="40537975">
                  <w:pPr>
                    <w:adjustRightInd w:val="0"/>
                    <w:snapToGrid w:val="0"/>
                    <w:spacing w:line="320" w:lineRule="exact"/>
                    <w:jc w:val="center"/>
                    <w:rPr>
                      <w:rFonts w:eastAsiaTheme="minorEastAsia"/>
                      <w:szCs w:val="21"/>
                    </w:rPr>
                  </w:pPr>
                  <w:r>
                    <w:rPr>
                      <w:rFonts w:eastAsiaTheme="minorEastAsia"/>
                      <w:szCs w:val="21"/>
                    </w:rPr>
                    <w:t>年产12000万块标砖</w:t>
                  </w:r>
                </w:p>
              </w:tc>
              <w:tc>
                <w:tcPr>
                  <w:tcW w:w="1129" w:type="pct"/>
                  <w:vAlign w:val="center"/>
                </w:tcPr>
                <w:p w14:paraId="5D6745F5">
                  <w:pPr>
                    <w:adjustRightInd w:val="0"/>
                    <w:snapToGrid w:val="0"/>
                    <w:spacing w:line="320" w:lineRule="exact"/>
                    <w:jc w:val="center"/>
                    <w:rPr>
                      <w:rFonts w:eastAsiaTheme="minorEastAsia"/>
                      <w:szCs w:val="21"/>
                    </w:rPr>
                  </w:pPr>
                  <w:r>
                    <w:rPr>
                      <w:rFonts w:eastAsiaTheme="minorEastAsia"/>
                      <w:szCs w:val="21"/>
                    </w:rPr>
                    <w:t>14.76t/a</w:t>
                  </w:r>
                </w:p>
              </w:tc>
            </w:tr>
          </w:tbl>
          <w:p w14:paraId="6A4C2255">
            <w:pPr>
              <w:autoSpaceDE w:val="0"/>
              <w:autoSpaceDN w:val="0"/>
              <w:adjustRightInd w:val="0"/>
              <w:spacing w:line="500" w:lineRule="exact"/>
              <w:ind w:firstLine="480" w:firstLineChars="200"/>
              <w:jc w:val="left"/>
              <w:rPr>
                <w:kern w:val="0"/>
                <w:sz w:val="24"/>
              </w:rPr>
            </w:pPr>
            <w:r>
              <w:rPr>
                <w:kern w:val="0"/>
                <w:sz w:val="24"/>
              </w:rPr>
              <w:fldChar w:fldCharType="begin"/>
            </w:r>
            <w:r>
              <w:rPr>
                <w:kern w:val="0"/>
                <w:sz w:val="24"/>
              </w:rPr>
              <w:instrText xml:space="preserve"> = 2 \* GB3 </w:instrText>
            </w:r>
            <w:r>
              <w:rPr>
                <w:kern w:val="0"/>
                <w:sz w:val="24"/>
              </w:rPr>
              <w:fldChar w:fldCharType="separate"/>
            </w:r>
            <w:r>
              <w:rPr>
                <w:rFonts w:ascii="Cambria Math" w:hAnsi="Cambria Math" w:cs="Cambria Math"/>
                <w:kern w:val="0"/>
                <w:sz w:val="24"/>
              </w:rPr>
              <w:t>②</w:t>
            </w:r>
            <w:r>
              <w:rPr>
                <w:kern w:val="0"/>
                <w:sz w:val="24"/>
              </w:rPr>
              <w:fldChar w:fldCharType="end"/>
            </w:r>
            <w:r>
              <w:rPr>
                <w:kern w:val="0"/>
                <w:sz w:val="24"/>
              </w:rPr>
              <w:t>窑车清理粉尘产生情况</w:t>
            </w:r>
          </w:p>
          <w:p w14:paraId="05CE0148">
            <w:pPr>
              <w:autoSpaceDE w:val="0"/>
              <w:autoSpaceDN w:val="0"/>
              <w:adjustRightInd w:val="0"/>
              <w:spacing w:line="500" w:lineRule="exact"/>
              <w:ind w:firstLine="480" w:firstLineChars="200"/>
              <w:jc w:val="left"/>
              <w:rPr>
                <w:kern w:val="0"/>
                <w:sz w:val="24"/>
                <w:u w:val="single"/>
              </w:rPr>
            </w:pPr>
            <w:r>
              <w:rPr>
                <w:kern w:val="0"/>
                <w:sz w:val="24"/>
              </w:rPr>
              <w:t>本项目窑车卸砖后，窑车需要进行清灰作业。窑车上的灰尘主要来源于以下三个方面：a、砖坯自身残留物：在码坯和烧结过程中，砖坯因边角碰撞、摩擦产生碎屑与粉末；在快速升降温阶段，因热应力导致表面爆裂或剥落，产生碎屑；出窑时因碰撞或强度不足导致砖块破损，形成碎片与粉尘。b、燃料挥发凝结物：煤矸石原料在高温焙烧过程中挥发出的物质，随烟气流动并在窑车冷却段冷凝沉降，形成粘附性烟尘混合物。c、窑体结构掉落物：隧道窑窑顶与内壁长期积聚的灰尘因振动或气流变化而掉落；同时，窑内耐火材料在长期高温下发生老化或轻微剥落，产生的碎屑也随之落至窑车表面。窑车卸砖后，因窑车表面携带的灰尘量本身不大，窑车清理时颗粒物产生量小于原料破碎、筛分、成型、干燥等工序颗粒物产生量。参考《排放源统计调查产排污核算方法和系数手册》（生态环境部 公告 2021 年 第24 号）中“303 砖瓦、石材等建筑材料制造行业系数手册”-“3031 粘土砖瓦及建筑砌块制造”中产排污系数及《逸散性工业粉尘控制技术》中第二十章砖和粘土产品制造厂污染物排放因子，窑车清理时颗粒物产生系数取0.02kg/t-产品。项目产品总重约22.53万吨，则窑车清理颗粒物产生量为4.51</w:t>
            </w:r>
            <w:r>
              <w:rPr>
                <w:rFonts w:eastAsiaTheme="minorEastAsia"/>
                <w:kern w:val="0"/>
                <w:szCs w:val="21"/>
              </w:rPr>
              <w:t>t/a。</w:t>
            </w:r>
          </w:p>
          <w:p w14:paraId="4B13D7EF">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fldChar w:fldCharType="begin"/>
            </w:r>
            <w:r>
              <w:rPr>
                <w:color w:val="EE0000"/>
                <w:kern w:val="0"/>
                <w:sz w:val="24"/>
                <w:u w:val="single"/>
              </w:rPr>
              <w:instrText xml:space="preserve"> = 3 \* GB3 </w:instrText>
            </w:r>
            <w:r>
              <w:rPr>
                <w:color w:val="EE0000"/>
                <w:kern w:val="0"/>
                <w:sz w:val="24"/>
                <w:u w:val="single"/>
              </w:rPr>
              <w:fldChar w:fldCharType="separate"/>
            </w:r>
            <w:r>
              <w:rPr>
                <w:rFonts w:ascii="Cambria Math" w:hAnsi="Cambria Math" w:cs="Cambria Math"/>
                <w:color w:val="EE0000"/>
                <w:kern w:val="0"/>
                <w:sz w:val="24"/>
                <w:u w:val="single"/>
              </w:rPr>
              <w:t>③</w:t>
            </w:r>
            <w:r>
              <w:rPr>
                <w:color w:val="EE0000"/>
                <w:kern w:val="0"/>
                <w:sz w:val="24"/>
                <w:u w:val="single"/>
              </w:rPr>
              <w:fldChar w:fldCharType="end"/>
            </w:r>
            <w:r>
              <w:rPr>
                <w:color w:val="EE0000"/>
                <w:kern w:val="0"/>
                <w:sz w:val="24"/>
                <w:u w:val="single"/>
              </w:rPr>
              <w:t>粉尘治理及排放情况</w:t>
            </w:r>
          </w:p>
          <w:p w14:paraId="534FCF2E">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项目依托三兴建材现有车间进行建设，在三兴建材现有混料车间内增加破碎机、筛分机，并新增配套的集气及除尘设施。原料制备工序设1台给料机、2台破碎机、2台筛分机、1台搅拌机。其中喂料机上方喂料口三面围挡封闭；破碎机、筛分机、搅拌机对设备设二次封闭隔罩，各工序间的物料中转采用密闭输送皮带，各落料点、产尘点根据情况设置集气管道封闭集气，采取上述措施后，喂料粉尘集气效率90%，破碎、筛分、搅拌集气效率95%。</w:t>
            </w:r>
          </w:p>
          <w:p w14:paraId="37CBEC02">
            <w:pPr>
              <w:autoSpaceDE w:val="0"/>
              <w:autoSpaceDN w:val="0"/>
              <w:adjustRightInd w:val="0"/>
              <w:spacing w:line="500" w:lineRule="exact"/>
              <w:ind w:firstLine="480" w:firstLineChars="200"/>
              <w:jc w:val="left"/>
              <w:rPr>
                <w:kern w:val="0"/>
                <w:sz w:val="24"/>
              </w:rPr>
            </w:pPr>
            <w:r>
              <w:rPr>
                <w:kern w:val="0"/>
                <w:sz w:val="24"/>
              </w:rPr>
              <w:t>其中一台喂料机、两台破碎机产尘经收集后进入一台袋式除尘器处理，处理后的废气经1根15m高排气筒DA002排放。</w:t>
            </w:r>
          </w:p>
          <w:p w14:paraId="2529C977">
            <w:pPr>
              <w:autoSpaceDE w:val="0"/>
              <w:autoSpaceDN w:val="0"/>
              <w:adjustRightInd w:val="0"/>
              <w:spacing w:line="500" w:lineRule="exact"/>
              <w:ind w:firstLine="480" w:firstLineChars="200"/>
              <w:jc w:val="left"/>
              <w:rPr>
                <w:kern w:val="0"/>
                <w:sz w:val="24"/>
              </w:rPr>
            </w:pPr>
            <w:r>
              <w:rPr>
                <w:kern w:val="0"/>
                <w:sz w:val="24"/>
              </w:rPr>
              <w:t>两台筛分机、一台搅拌机产尘经收集后进入一台袋式除尘器处理，处理后的废气经1根15m高排气筒DA001排放。</w:t>
            </w:r>
          </w:p>
          <w:p w14:paraId="4F22B1AC">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根据《局部排风设施控制风速检测与评估技术规范》(AQ/T4274-2016)中相关规定，上吸式排风罩控制风速为1.0~1.2m/s、评价取1.0m/s，密闭集气罩控制风速为0.4m/s。</w:t>
            </w:r>
          </w:p>
          <w:p w14:paraId="0106EC5A">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根据《排风罩的分类及技术件》(GB/T16758-2008)：排风罩的排风量计算公式:Q=Fv，式中：Q—排风罩的排风量，单位为m</w:t>
            </w:r>
            <w:r>
              <w:rPr>
                <w:color w:val="EE0000"/>
                <w:kern w:val="0"/>
                <w:sz w:val="24"/>
                <w:u w:val="single"/>
                <w:vertAlign w:val="superscript"/>
              </w:rPr>
              <w:t>3</w:t>
            </w:r>
            <w:r>
              <w:rPr>
                <w:color w:val="EE0000"/>
                <w:kern w:val="0"/>
                <w:sz w:val="24"/>
                <w:u w:val="single"/>
              </w:rPr>
              <w:t>/s，F—排风罩罩口面积，单位为m</w:t>
            </w:r>
            <w:r>
              <w:rPr>
                <w:color w:val="EE0000"/>
                <w:kern w:val="0"/>
                <w:sz w:val="24"/>
                <w:u w:val="single"/>
                <w:vertAlign w:val="superscript"/>
              </w:rPr>
              <w:t>2</w:t>
            </w:r>
            <w:r>
              <w:rPr>
                <w:color w:val="EE0000"/>
                <w:kern w:val="0"/>
                <w:sz w:val="24"/>
                <w:u w:val="single"/>
              </w:rPr>
              <w:t>，v—排风罩罩口平均风速，单位为m/s。</w:t>
            </w:r>
          </w:p>
          <w:p w14:paraId="01A5FC82">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本项目喂料机上吸集气罩的面积约为4.5m</w:t>
            </w:r>
            <w:r>
              <w:rPr>
                <w:color w:val="EE0000"/>
                <w:kern w:val="0"/>
                <w:sz w:val="24"/>
                <w:u w:val="single"/>
                <w:vertAlign w:val="superscript"/>
              </w:rPr>
              <w:t>2</w:t>
            </w:r>
            <w:r>
              <w:rPr>
                <w:color w:val="EE0000"/>
                <w:kern w:val="0"/>
                <w:sz w:val="24"/>
                <w:u w:val="single"/>
              </w:rPr>
              <w:t>(长约3m，宽约1.5m)。经核算，单台喂料机集气罩所需风量约为16200m</w:t>
            </w:r>
            <w:r>
              <w:rPr>
                <w:color w:val="EE0000"/>
                <w:kern w:val="0"/>
                <w:sz w:val="24"/>
                <w:u w:val="single"/>
                <w:vertAlign w:val="superscript"/>
              </w:rPr>
              <w:t>3</w:t>
            </w:r>
            <w:r>
              <w:rPr>
                <w:color w:val="EE0000"/>
                <w:kern w:val="0"/>
                <w:sz w:val="24"/>
                <w:u w:val="single"/>
              </w:rPr>
              <w:t>/h。每台破碎机密闭隔罩长、宽均为2m，单个破碎机集气装置所需风量约为5760m</w:t>
            </w:r>
            <w:r>
              <w:rPr>
                <w:color w:val="EE0000"/>
                <w:kern w:val="0"/>
                <w:sz w:val="24"/>
                <w:u w:val="single"/>
                <w:vertAlign w:val="superscript"/>
              </w:rPr>
              <w:t>3</w:t>
            </w:r>
            <w:r>
              <w:rPr>
                <w:color w:val="EE0000"/>
                <w:kern w:val="0"/>
                <w:sz w:val="24"/>
                <w:u w:val="single"/>
              </w:rPr>
              <w:t>/h；两台筛分机位于同一位置，整体密闭，在每台筛分机上方设吸风口，密闭隔罩长4m、宽3.5m，筛分机所需风量20160m</w:t>
            </w:r>
            <w:r>
              <w:rPr>
                <w:color w:val="EE0000"/>
                <w:kern w:val="0"/>
                <w:sz w:val="24"/>
                <w:u w:val="single"/>
                <w:vertAlign w:val="superscript"/>
              </w:rPr>
              <w:t>3</w:t>
            </w:r>
            <w:r>
              <w:rPr>
                <w:color w:val="EE0000"/>
                <w:kern w:val="0"/>
                <w:sz w:val="24"/>
                <w:u w:val="single"/>
              </w:rPr>
              <w:t>/h。搅拌机密闭隔罩长1.5m，宽1m，搅拌机所需风量2160m</w:t>
            </w:r>
            <w:r>
              <w:rPr>
                <w:color w:val="EE0000"/>
                <w:kern w:val="0"/>
                <w:sz w:val="24"/>
                <w:u w:val="single"/>
                <w:vertAlign w:val="superscript"/>
              </w:rPr>
              <w:t>3</w:t>
            </w:r>
            <w:r>
              <w:rPr>
                <w:color w:val="EE0000"/>
                <w:kern w:val="0"/>
                <w:sz w:val="24"/>
                <w:u w:val="single"/>
              </w:rPr>
              <w:t>/h。经核算，项目喂料、破碎工序集尘风量27720m</w:t>
            </w:r>
            <w:r>
              <w:rPr>
                <w:color w:val="EE0000"/>
                <w:kern w:val="0"/>
                <w:sz w:val="24"/>
                <w:u w:val="single"/>
                <w:vertAlign w:val="superscript"/>
              </w:rPr>
              <w:t>3</w:t>
            </w:r>
            <w:r>
              <w:rPr>
                <w:color w:val="EE0000"/>
                <w:kern w:val="0"/>
                <w:sz w:val="24"/>
                <w:u w:val="single"/>
              </w:rPr>
              <w:t>/h，筛分、搅拌工序集尘风量22320m</w:t>
            </w:r>
            <w:r>
              <w:rPr>
                <w:color w:val="EE0000"/>
                <w:kern w:val="0"/>
                <w:sz w:val="24"/>
                <w:u w:val="single"/>
                <w:vertAlign w:val="superscript"/>
              </w:rPr>
              <w:t>3</w:t>
            </w:r>
            <w:r>
              <w:rPr>
                <w:color w:val="EE0000"/>
                <w:kern w:val="0"/>
                <w:sz w:val="24"/>
                <w:u w:val="single"/>
              </w:rPr>
              <w:t>/h。</w:t>
            </w:r>
          </w:p>
          <w:p w14:paraId="57D4C977">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本次技改工程窑车清理工序位置不变，粉尘依托现有清理工序上方集气罩收集后进入现有一台袋式除尘器处理，集尘风量5000m</w:t>
            </w:r>
            <w:r>
              <w:rPr>
                <w:color w:val="EE0000"/>
                <w:kern w:val="0"/>
                <w:sz w:val="24"/>
                <w:u w:val="single"/>
                <w:vertAlign w:val="superscript"/>
              </w:rPr>
              <w:t>3</w:t>
            </w:r>
            <w:r>
              <w:rPr>
                <w:color w:val="EE0000"/>
                <w:kern w:val="0"/>
                <w:sz w:val="24"/>
                <w:u w:val="single"/>
              </w:rPr>
              <w:t>/h，废气收集效率85%，处理后的废气引入经15m高排气筒DA004排放。</w:t>
            </w:r>
          </w:p>
          <w:p w14:paraId="1941AF16">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原料制备及窑车清理工作时间约5280h/a，袋式除尘器去除效率97%，粉尘产排情况见表4-3：</w:t>
            </w:r>
          </w:p>
          <w:p w14:paraId="07E6A9D9">
            <w:pPr>
              <w:autoSpaceDE w:val="0"/>
              <w:autoSpaceDN w:val="0"/>
              <w:adjustRightInd w:val="0"/>
              <w:spacing w:line="500" w:lineRule="exact"/>
              <w:ind w:firstLine="240" w:firstLineChars="100"/>
              <w:jc w:val="center"/>
              <w:rPr>
                <w:color w:val="FF0000"/>
                <w:kern w:val="0"/>
                <w:sz w:val="24"/>
                <w:u w:val="single"/>
              </w:rPr>
            </w:pPr>
            <w:r>
              <w:rPr>
                <w:rFonts w:eastAsia="黑体"/>
                <w:color w:val="FF0000"/>
                <w:kern w:val="0"/>
                <w:sz w:val="24"/>
                <w:u w:val="single"/>
              </w:rPr>
              <w:t>表4-3    原料制备及窑车清理粉尘产排情况一览表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000"/>
              <w:gridCol w:w="714"/>
              <w:gridCol w:w="714"/>
              <w:gridCol w:w="856"/>
              <w:gridCol w:w="749"/>
              <w:gridCol w:w="1248"/>
              <w:gridCol w:w="714"/>
              <w:gridCol w:w="721"/>
              <w:gridCol w:w="858"/>
            </w:tblGrid>
            <w:tr w14:paraId="664C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1023" w:type="pct"/>
                  <w:gridSpan w:val="2"/>
                  <w:vAlign w:val="center"/>
                </w:tcPr>
                <w:p w14:paraId="370EAEEB">
                  <w:pPr>
                    <w:jc w:val="center"/>
                    <w:rPr>
                      <w:color w:val="EE0000"/>
                      <w:sz w:val="18"/>
                      <w:szCs w:val="18"/>
                      <w:u w:val="single"/>
                    </w:rPr>
                  </w:pPr>
                  <w:bookmarkStart w:id="29" w:name="_Hlk219449450"/>
                  <w:r>
                    <w:rPr>
                      <w:color w:val="EE0000"/>
                      <w:sz w:val="18"/>
                      <w:szCs w:val="18"/>
                      <w:u w:val="single"/>
                    </w:rPr>
                    <w:t>产污环节</w:t>
                  </w:r>
                </w:p>
              </w:tc>
              <w:tc>
                <w:tcPr>
                  <w:tcW w:w="432" w:type="pct"/>
                  <w:vAlign w:val="center"/>
                </w:tcPr>
                <w:p w14:paraId="495932FB">
                  <w:pPr>
                    <w:jc w:val="center"/>
                    <w:rPr>
                      <w:color w:val="EE0000"/>
                      <w:sz w:val="18"/>
                      <w:szCs w:val="18"/>
                      <w:u w:val="single"/>
                    </w:rPr>
                  </w:pPr>
                  <w:r>
                    <w:rPr>
                      <w:color w:val="EE0000"/>
                      <w:sz w:val="18"/>
                      <w:szCs w:val="18"/>
                      <w:u w:val="single"/>
                    </w:rPr>
                    <w:t>废气量m</w:t>
                  </w:r>
                  <w:r>
                    <w:rPr>
                      <w:color w:val="EE0000"/>
                      <w:sz w:val="18"/>
                      <w:szCs w:val="18"/>
                      <w:u w:val="single"/>
                      <w:vertAlign w:val="superscript"/>
                    </w:rPr>
                    <w:t>3</w:t>
                  </w:r>
                  <w:r>
                    <w:rPr>
                      <w:color w:val="EE0000"/>
                      <w:sz w:val="18"/>
                      <w:szCs w:val="18"/>
                      <w:u w:val="single"/>
                    </w:rPr>
                    <w:t>/h</w:t>
                  </w:r>
                </w:p>
              </w:tc>
              <w:tc>
                <w:tcPr>
                  <w:tcW w:w="432" w:type="pct"/>
                  <w:vAlign w:val="center"/>
                </w:tcPr>
                <w:p w14:paraId="7E059734">
                  <w:pPr>
                    <w:jc w:val="center"/>
                    <w:rPr>
                      <w:color w:val="EE0000"/>
                      <w:sz w:val="18"/>
                      <w:szCs w:val="18"/>
                      <w:u w:val="single"/>
                    </w:rPr>
                  </w:pPr>
                  <w:r>
                    <w:rPr>
                      <w:color w:val="EE0000"/>
                      <w:sz w:val="18"/>
                      <w:szCs w:val="18"/>
                      <w:u w:val="single"/>
                    </w:rPr>
                    <w:t>产生量</w:t>
                  </w:r>
                </w:p>
                <w:p w14:paraId="3786A5CB">
                  <w:pPr>
                    <w:jc w:val="center"/>
                    <w:rPr>
                      <w:color w:val="EE0000"/>
                      <w:sz w:val="18"/>
                      <w:szCs w:val="18"/>
                      <w:u w:val="single"/>
                    </w:rPr>
                  </w:pPr>
                  <w:r>
                    <w:rPr>
                      <w:color w:val="EE0000"/>
                      <w:sz w:val="18"/>
                      <w:szCs w:val="18"/>
                      <w:u w:val="single"/>
                    </w:rPr>
                    <w:t>t/a</w:t>
                  </w:r>
                </w:p>
              </w:tc>
              <w:tc>
                <w:tcPr>
                  <w:tcW w:w="518" w:type="pct"/>
                  <w:vAlign w:val="center"/>
                </w:tcPr>
                <w:p w14:paraId="439338FC">
                  <w:pPr>
                    <w:jc w:val="center"/>
                    <w:rPr>
                      <w:color w:val="EE0000"/>
                      <w:sz w:val="18"/>
                      <w:szCs w:val="18"/>
                      <w:u w:val="single"/>
                    </w:rPr>
                  </w:pPr>
                  <w:r>
                    <w:rPr>
                      <w:color w:val="EE0000"/>
                      <w:sz w:val="18"/>
                      <w:szCs w:val="18"/>
                      <w:u w:val="single"/>
                    </w:rPr>
                    <w:t>产生</w:t>
                  </w:r>
                </w:p>
                <w:p w14:paraId="01FDE608">
                  <w:pPr>
                    <w:jc w:val="center"/>
                    <w:rPr>
                      <w:color w:val="EE0000"/>
                      <w:sz w:val="18"/>
                      <w:szCs w:val="18"/>
                      <w:u w:val="single"/>
                    </w:rPr>
                  </w:pPr>
                  <w:r>
                    <w:rPr>
                      <w:color w:val="EE0000"/>
                      <w:sz w:val="18"/>
                      <w:szCs w:val="18"/>
                      <w:u w:val="single"/>
                    </w:rPr>
                    <w:t>速率kg/h</w:t>
                  </w:r>
                </w:p>
              </w:tc>
              <w:tc>
                <w:tcPr>
                  <w:tcW w:w="453" w:type="pct"/>
                  <w:vAlign w:val="center"/>
                </w:tcPr>
                <w:p w14:paraId="046E6327">
                  <w:pPr>
                    <w:jc w:val="center"/>
                    <w:rPr>
                      <w:color w:val="EE0000"/>
                      <w:sz w:val="18"/>
                      <w:szCs w:val="18"/>
                      <w:u w:val="single"/>
                    </w:rPr>
                  </w:pPr>
                  <w:r>
                    <w:rPr>
                      <w:color w:val="EE0000"/>
                      <w:sz w:val="18"/>
                      <w:szCs w:val="18"/>
                      <w:u w:val="single"/>
                    </w:rPr>
                    <w:t>产生</w:t>
                  </w:r>
                </w:p>
                <w:p w14:paraId="19DE8306">
                  <w:pPr>
                    <w:jc w:val="center"/>
                    <w:rPr>
                      <w:color w:val="EE0000"/>
                      <w:sz w:val="18"/>
                      <w:szCs w:val="18"/>
                      <w:u w:val="single"/>
                    </w:rPr>
                  </w:pPr>
                  <w:r>
                    <w:rPr>
                      <w:color w:val="EE0000"/>
                      <w:sz w:val="18"/>
                      <w:szCs w:val="18"/>
                      <w:u w:val="single"/>
                    </w:rPr>
                    <w:t>浓度</w:t>
                  </w:r>
                </w:p>
                <w:p w14:paraId="08553BF7">
                  <w:pPr>
                    <w:jc w:val="center"/>
                    <w:rPr>
                      <w:color w:val="EE0000"/>
                      <w:sz w:val="18"/>
                      <w:szCs w:val="18"/>
                      <w:u w:val="single"/>
                    </w:rPr>
                  </w:pPr>
                  <w:r>
                    <w:rPr>
                      <w:color w:val="EE0000"/>
                      <w:sz w:val="18"/>
                      <w:szCs w:val="18"/>
                      <w:u w:val="single"/>
                    </w:rPr>
                    <w:t>mg/m</w:t>
                  </w:r>
                  <w:r>
                    <w:rPr>
                      <w:color w:val="EE0000"/>
                      <w:sz w:val="18"/>
                      <w:szCs w:val="18"/>
                      <w:u w:val="single"/>
                      <w:vertAlign w:val="superscript"/>
                    </w:rPr>
                    <w:t>3</w:t>
                  </w:r>
                </w:p>
              </w:tc>
              <w:tc>
                <w:tcPr>
                  <w:tcW w:w="755" w:type="pct"/>
                  <w:vAlign w:val="center"/>
                </w:tcPr>
                <w:p w14:paraId="48EA1F33">
                  <w:pPr>
                    <w:jc w:val="center"/>
                    <w:rPr>
                      <w:color w:val="EE0000"/>
                      <w:sz w:val="18"/>
                      <w:szCs w:val="18"/>
                      <w:u w:val="single"/>
                    </w:rPr>
                  </w:pPr>
                  <w:r>
                    <w:rPr>
                      <w:color w:val="EE0000"/>
                      <w:sz w:val="18"/>
                      <w:szCs w:val="18"/>
                      <w:u w:val="single"/>
                    </w:rPr>
                    <w:t>处理</w:t>
                  </w:r>
                </w:p>
                <w:p w14:paraId="58BBCD04">
                  <w:pPr>
                    <w:jc w:val="center"/>
                    <w:rPr>
                      <w:color w:val="EE0000"/>
                      <w:sz w:val="18"/>
                      <w:szCs w:val="18"/>
                      <w:u w:val="single"/>
                    </w:rPr>
                  </w:pPr>
                  <w:r>
                    <w:rPr>
                      <w:color w:val="EE0000"/>
                      <w:sz w:val="18"/>
                      <w:szCs w:val="18"/>
                      <w:u w:val="single"/>
                    </w:rPr>
                    <w:t>措施</w:t>
                  </w:r>
                </w:p>
              </w:tc>
              <w:tc>
                <w:tcPr>
                  <w:tcW w:w="432" w:type="pct"/>
                  <w:vAlign w:val="center"/>
                </w:tcPr>
                <w:p w14:paraId="37B500C0">
                  <w:pPr>
                    <w:jc w:val="center"/>
                    <w:rPr>
                      <w:color w:val="EE0000"/>
                      <w:sz w:val="18"/>
                      <w:szCs w:val="18"/>
                      <w:u w:val="single"/>
                    </w:rPr>
                  </w:pPr>
                  <w:r>
                    <w:rPr>
                      <w:color w:val="EE0000"/>
                      <w:sz w:val="18"/>
                      <w:szCs w:val="18"/>
                      <w:u w:val="single"/>
                    </w:rPr>
                    <w:t>排放量</w:t>
                  </w:r>
                </w:p>
                <w:p w14:paraId="35EA879D">
                  <w:pPr>
                    <w:jc w:val="center"/>
                    <w:rPr>
                      <w:color w:val="EE0000"/>
                      <w:sz w:val="18"/>
                      <w:szCs w:val="18"/>
                      <w:u w:val="single"/>
                    </w:rPr>
                  </w:pPr>
                  <w:r>
                    <w:rPr>
                      <w:color w:val="EE0000"/>
                      <w:sz w:val="18"/>
                      <w:szCs w:val="18"/>
                      <w:u w:val="single"/>
                    </w:rPr>
                    <w:t>t/a</w:t>
                  </w:r>
                </w:p>
              </w:tc>
              <w:tc>
                <w:tcPr>
                  <w:tcW w:w="436" w:type="pct"/>
                  <w:vAlign w:val="center"/>
                </w:tcPr>
                <w:p w14:paraId="01615EEA">
                  <w:pPr>
                    <w:jc w:val="center"/>
                    <w:rPr>
                      <w:color w:val="EE0000"/>
                      <w:sz w:val="18"/>
                      <w:szCs w:val="18"/>
                      <w:u w:val="single"/>
                    </w:rPr>
                  </w:pPr>
                  <w:r>
                    <w:rPr>
                      <w:color w:val="EE0000"/>
                      <w:sz w:val="18"/>
                      <w:szCs w:val="18"/>
                      <w:u w:val="single"/>
                    </w:rPr>
                    <w:t>排放</w:t>
                  </w:r>
                </w:p>
                <w:p w14:paraId="0F82F86C">
                  <w:pPr>
                    <w:jc w:val="center"/>
                    <w:rPr>
                      <w:color w:val="EE0000"/>
                      <w:sz w:val="18"/>
                      <w:szCs w:val="18"/>
                      <w:u w:val="single"/>
                    </w:rPr>
                  </w:pPr>
                  <w:r>
                    <w:rPr>
                      <w:color w:val="EE0000"/>
                      <w:sz w:val="18"/>
                      <w:szCs w:val="18"/>
                      <w:u w:val="single"/>
                    </w:rPr>
                    <w:t>速率kg/h</w:t>
                  </w:r>
                </w:p>
              </w:tc>
              <w:tc>
                <w:tcPr>
                  <w:tcW w:w="519" w:type="pct"/>
                  <w:vAlign w:val="center"/>
                </w:tcPr>
                <w:p w14:paraId="2E8110AB">
                  <w:pPr>
                    <w:jc w:val="center"/>
                    <w:rPr>
                      <w:color w:val="EE0000"/>
                      <w:sz w:val="18"/>
                      <w:szCs w:val="18"/>
                      <w:u w:val="single"/>
                    </w:rPr>
                  </w:pPr>
                  <w:r>
                    <w:rPr>
                      <w:color w:val="EE0000"/>
                      <w:sz w:val="18"/>
                      <w:szCs w:val="18"/>
                      <w:u w:val="single"/>
                    </w:rPr>
                    <w:t>排放</w:t>
                  </w:r>
                </w:p>
                <w:p w14:paraId="28692F66">
                  <w:pPr>
                    <w:jc w:val="center"/>
                    <w:rPr>
                      <w:color w:val="EE0000"/>
                      <w:sz w:val="18"/>
                      <w:szCs w:val="18"/>
                      <w:u w:val="single"/>
                    </w:rPr>
                  </w:pPr>
                  <w:r>
                    <w:rPr>
                      <w:color w:val="EE0000"/>
                      <w:sz w:val="18"/>
                      <w:szCs w:val="18"/>
                      <w:u w:val="single"/>
                    </w:rPr>
                    <w:t>浓度mg/m</w:t>
                  </w:r>
                  <w:r>
                    <w:rPr>
                      <w:color w:val="EE0000"/>
                      <w:sz w:val="18"/>
                      <w:szCs w:val="18"/>
                      <w:u w:val="single"/>
                      <w:vertAlign w:val="superscript"/>
                    </w:rPr>
                    <w:t>3</w:t>
                  </w:r>
                </w:p>
              </w:tc>
            </w:tr>
            <w:tr w14:paraId="1712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023" w:type="pct"/>
                  <w:gridSpan w:val="2"/>
                  <w:vAlign w:val="center"/>
                </w:tcPr>
                <w:p w14:paraId="14229AC9">
                  <w:pPr>
                    <w:jc w:val="center"/>
                    <w:rPr>
                      <w:color w:val="EE0000"/>
                      <w:sz w:val="18"/>
                      <w:szCs w:val="18"/>
                      <w:u w:val="single"/>
                    </w:rPr>
                  </w:pPr>
                  <w:r>
                    <w:rPr>
                      <w:color w:val="EE0000"/>
                      <w:sz w:val="18"/>
                      <w:szCs w:val="18"/>
                      <w:u w:val="single"/>
                    </w:rPr>
                    <w:t>/</w:t>
                  </w:r>
                </w:p>
              </w:tc>
              <w:tc>
                <w:tcPr>
                  <w:tcW w:w="3977" w:type="pct"/>
                  <w:gridSpan w:val="8"/>
                  <w:vAlign w:val="center"/>
                </w:tcPr>
                <w:p w14:paraId="0E98CD91">
                  <w:pPr>
                    <w:jc w:val="center"/>
                    <w:rPr>
                      <w:color w:val="EE0000"/>
                      <w:sz w:val="18"/>
                      <w:szCs w:val="18"/>
                      <w:u w:val="single"/>
                    </w:rPr>
                  </w:pPr>
                  <w:r>
                    <w:rPr>
                      <w:color w:val="EE0000"/>
                      <w:sz w:val="18"/>
                      <w:szCs w:val="18"/>
                      <w:u w:val="single"/>
                    </w:rPr>
                    <w:t>有组织废气</w:t>
                  </w:r>
                </w:p>
              </w:tc>
            </w:tr>
            <w:tr w14:paraId="492D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18" w:type="pct"/>
                  <w:vMerge w:val="restart"/>
                  <w:vAlign w:val="center"/>
                </w:tcPr>
                <w:p w14:paraId="49E1A45C">
                  <w:pPr>
                    <w:jc w:val="center"/>
                    <w:rPr>
                      <w:color w:val="EE0000"/>
                      <w:sz w:val="18"/>
                      <w:szCs w:val="18"/>
                      <w:u w:val="single"/>
                    </w:rPr>
                  </w:pPr>
                  <w:r>
                    <w:rPr>
                      <w:color w:val="EE0000"/>
                      <w:sz w:val="18"/>
                      <w:szCs w:val="18"/>
                      <w:u w:val="single"/>
                    </w:rPr>
                    <w:t>原料制备</w:t>
                  </w:r>
                </w:p>
              </w:tc>
              <w:tc>
                <w:tcPr>
                  <w:tcW w:w="605" w:type="pct"/>
                  <w:vAlign w:val="center"/>
                </w:tcPr>
                <w:p w14:paraId="706B329D">
                  <w:pPr>
                    <w:jc w:val="center"/>
                    <w:rPr>
                      <w:color w:val="EE0000"/>
                      <w:sz w:val="18"/>
                      <w:szCs w:val="18"/>
                      <w:u w:val="single"/>
                    </w:rPr>
                  </w:pPr>
                  <w:r>
                    <w:rPr>
                      <w:color w:val="EE0000"/>
                      <w:sz w:val="18"/>
                      <w:szCs w:val="18"/>
                      <w:u w:val="single"/>
                    </w:rPr>
                    <w:t>喂料粉尘</w:t>
                  </w:r>
                </w:p>
              </w:tc>
              <w:tc>
                <w:tcPr>
                  <w:tcW w:w="432" w:type="pct"/>
                  <w:vMerge w:val="restart"/>
                  <w:vAlign w:val="center"/>
                </w:tcPr>
                <w:p w14:paraId="5B819F07">
                  <w:pPr>
                    <w:jc w:val="center"/>
                    <w:rPr>
                      <w:color w:val="EE0000"/>
                      <w:sz w:val="18"/>
                      <w:szCs w:val="18"/>
                      <w:u w:val="single"/>
                    </w:rPr>
                  </w:pPr>
                  <w:r>
                    <w:rPr>
                      <w:color w:val="EE0000"/>
                      <w:sz w:val="18"/>
                      <w:szCs w:val="18"/>
                      <w:u w:val="single"/>
                    </w:rPr>
                    <w:t>27720</w:t>
                  </w:r>
                </w:p>
              </w:tc>
              <w:tc>
                <w:tcPr>
                  <w:tcW w:w="432" w:type="pct"/>
                  <w:vAlign w:val="center"/>
                </w:tcPr>
                <w:p w14:paraId="16BEC243">
                  <w:pPr>
                    <w:jc w:val="center"/>
                    <w:rPr>
                      <w:color w:val="EE0000"/>
                      <w:sz w:val="18"/>
                      <w:szCs w:val="18"/>
                      <w:u w:val="single"/>
                    </w:rPr>
                  </w:pPr>
                  <w:r>
                    <w:rPr>
                      <w:color w:val="EE0000"/>
                      <w:sz w:val="18"/>
                      <w:szCs w:val="18"/>
                      <w:u w:val="single"/>
                    </w:rPr>
                    <w:t>0.61</w:t>
                  </w:r>
                </w:p>
              </w:tc>
              <w:tc>
                <w:tcPr>
                  <w:tcW w:w="518" w:type="pct"/>
                  <w:vMerge w:val="restart"/>
                  <w:vAlign w:val="center"/>
                </w:tcPr>
                <w:p w14:paraId="2F2F3B57">
                  <w:pPr>
                    <w:jc w:val="center"/>
                    <w:rPr>
                      <w:color w:val="EE0000"/>
                      <w:sz w:val="18"/>
                      <w:szCs w:val="18"/>
                      <w:u w:val="single"/>
                    </w:rPr>
                  </w:pPr>
                  <w:r>
                    <w:rPr>
                      <w:color w:val="EE0000"/>
                      <w:sz w:val="18"/>
                      <w:szCs w:val="18"/>
                      <w:u w:val="single"/>
                    </w:rPr>
                    <w:t>2.77</w:t>
                  </w:r>
                </w:p>
              </w:tc>
              <w:tc>
                <w:tcPr>
                  <w:tcW w:w="453" w:type="pct"/>
                  <w:vMerge w:val="restart"/>
                  <w:vAlign w:val="center"/>
                </w:tcPr>
                <w:p w14:paraId="42043885">
                  <w:pPr>
                    <w:jc w:val="center"/>
                    <w:rPr>
                      <w:color w:val="EE0000"/>
                      <w:sz w:val="18"/>
                      <w:szCs w:val="18"/>
                      <w:u w:val="single"/>
                    </w:rPr>
                  </w:pPr>
                  <w:r>
                    <w:rPr>
                      <w:color w:val="EE0000"/>
                      <w:sz w:val="18"/>
                      <w:szCs w:val="18"/>
                      <w:u w:val="single"/>
                    </w:rPr>
                    <w:t>99.9</w:t>
                  </w:r>
                </w:p>
              </w:tc>
              <w:tc>
                <w:tcPr>
                  <w:tcW w:w="755" w:type="pct"/>
                  <w:vMerge w:val="restart"/>
                  <w:vAlign w:val="center"/>
                </w:tcPr>
                <w:p w14:paraId="36F91DD5">
                  <w:pPr>
                    <w:jc w:val="center"/>
                    <w:rPr>
                      <w:color w:val="EE0000"/>
                      <w:sz w:val="18"/>
                      <w:szCs w:val="18"/>
                      <w:u w:val="single"/>
                    </w:rPr>
                  </w:pPr>
                  <w:r>
                    <w:rPr>
                      <w:color w:val="EE0000"/>
                      <w:sz w:val="18"/>
                      <w:szCs w:val="18"/>
                      <w:u w:val="single"/>
                    </w:rPr>
                    <w:t>1座袋式除尘器+排气筒DA002</w:t>
                  </w:r>
                </w:p>
              </w:tc>
              <w:tc>
                <w:tcPr>
                  <w:tcW w:w="432" w:type="pct"/>
                  <w:vMerge w:val="restart"/>
                  <w:vAlign w:val="center"/>
                </w:tcPr>
                <w:p w14:paraId="0DFA5437">
                  <w:pPr>
                    <w:jc w:val="center"/>
                    <w:rPr>
                      <w:color w:val="EE0000"/>
                      <w:sz w:val="18"/>
                      <w:szCs w:val="18"/>
                      <w:u w:val="single"/>
                    </w:rPr>
                  </w:pPr>
                  <w:r>
                    <w:rPr>
                      <w:color w:val="EE0000"/>
                      <w:sz w:val="18"/>
                      <w:szCs w:val="18"/>
                      <w:u w:val="single"/>
                    </w:rPr>
                    <w:t>0.44</w:t>
                  </w:r>
                </w:p>
              </w:tc>
              <w:tc>
                <w:tcPr>
                  <w:tcW w:w="436" w:type="pct"/>
                  <w:vMerge w:val="restart"/>
                  <w:vAlign w:val="center"/>
                </w:tcPr>
                <w:p w14:paraId="577D81AB">
                  <w:pPr>
                    <w:jc w:val="center"/>
                    <w:rPr>
                      <w:color w:val="EE0000"/>
                      <w:sz w:val="18"/>
                      <w:szCs w:val="18"/>
                      <w:u w:val="single"/>
                    </w:rPr>
                  </w:pPr>
                  <w:r>
                    <w:rPr>
                      <w:color w:val="EE0000"/>
                      <w:sz w:val="18"/>
                      <w:szCs w:val="18"/>
                      <w:u w:val="single"/>
                    </w:rPr>
                    <w:t xml:space="preserve">0.083 </w:t>
                  </w:r>
                </w:p>
              </w:tc>
              <w:tc>
                <w:tcPr>
                  <w:tcW w:w="519" w:type="pct"/>
                  <w:vMerge w:val="restart"/>
                  <w:vAlign w:val="center"/>
                </w:tcPr>
                <w:p w14:paraId="04E46619">
                  <w:pPr>
                    <w:jc w:val="center"/>
                    <w:rPr>
                      <w:color w:val="EE0000"/>
                      <w:sz w:val="18"/>
                      <w:szCs w:val="18"/>
                      <w:u w:val="single"/>
                    </w:rPr>
                  </w:pPr>
                  <w:r>
                    <w:rPr>
                      <w:color w:val="EE0000"/>
                      <w:sz w:val="18"/>
                      <w:szCs w:val="18"/>
                      <w:u w:val="single"/>
                    </w:rPr>
                    <w:t>3.0</w:t>
                  </w:r>
                </w:p>
              </w:tc>
            </w:tr>
            <w:tr w14:paraId="6650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18" w:type="pct"/>
                  <w:vMerge w:val="continue"/>
                  <w:vAlign w:val="center"/>
                </w:tcPr>
                <w:p w14:paraId="7469FFEF">
                  <w:pPr>
                    <w:jc w:val="center"/>
                    <w:rPr>
                      <w:color w:val="EE0000"/>
                      <w:sz w:val="18"/>
                      <w:szCs w:val="18"/>
                      <w:u w:val="single"/>
                    </w:rPr>
                  </w:pPr>
                </w:p>
              </w:tc>
              <w:tc>
                <w:tcPr>
                  <w:tcW w:w="605" w:type="pct"/>
                  <w:vAlign w:val="center"/>
                </w:tcPr>
                <w:p w14:paraId="218C675E">
                  <w:pPr>
                    <w:jc w:val="center"/>
                    <w:rPr>
                      <w:color w:val="EE0000"/>
                      <w:sz w:val="18"/>
                      <w:szCs w:val="18"/>
                      <w:u w:val="single"/>
                    </w:rPr>
                  </w:pPr>
                  <w:r>
                    <w:rPr>
                      <w:color w:val="EE0000"/>
                      <w:sz w:val="18"/>
                      <w:szCs w:val="18"/>
                      <w:u w:val="single"/>
                    </w:rPr>
                    <w:t>破碎粉尘</w:t>
                  </w:r>
                </w:p>
              </w:tc>
              <w:tc>
                <w:tcPr>
                  <w:tcW w:w="432" w:type="pct"/>
                  <w:vMerge w:val="continue"/>
                  <w:vAlign w:val="center"/>
                </w:tcPr>
                <w:p w14:paraId="22663839">
                  <w:pPr>
                    <w:jc w:val="center"/>
                    <w:rPr>
                      <w:color w:val="EE0000"/>
                      <w:sz w:val="18"/>
                      <w:szCs w:val="18"/>
                      <w:u w:val="single"/>
                    </w:rPr>
                  </w:pPr>
                </w:p>
              </w:tc>
              <w:tc>
                <w:tcPr>
                  <w:tcW w:w="432" w:type="pct"/>
                  <w:vAlign w:val="center"/>
                </w:tcPr>
                <w:p w14:paraId="4687A997">
                  <w:pPr>
                    <w:jc w:val="center"/>
                    <w:rPr>
                      <w:color w:val="EE0000"/>
                      <w:sz w:val="18"/>
                      <w:szCs w:val="18"/>
                      <w:u w:val="single"/>
                    </w:rPr>
                  </w:pPr>
                  <w:r>
                    <w:rPr>
                      <w:color w:val="EE0000"/>
                      <w:sz w:val="18"/>
                      <w:szCs w:val="18"/>
                      <w:u w:val="single"/>
                    </w:rPr>
                    <w:t>14.02</w:t>
                  </w:r>
                </w:p>
              </w:tc>
              <w:tc>
                <w:tcPr>
                  <w:tcW w:w="518" w:type="pct"/>
                  <w:vMerge w:val="continue"/>
                  <w:vAlign w:val="center"/>
                </w:tcPr>
                <w:p w14:paraId="5D81D940">
                  <w:pPr>
                    <w:jc w:val="center"/>
                    <w:rPr>
                      <w:color w:val="EE0000"/>
                      <w:sz w:val="18"/>
                      <w:szCs w:val="18"/>
                      <w:u w:val="single"/>
                    </w:rPr>
                  </w:pPr>
                </w:p>
              </w:tc>
              <w:tc>
                <w:tcPr>
                  <w:tcW w:w="453" w:type="pct"/>
                  <w:vMerge w:val="continue"/>
                  <w:vAlign w:val="center"/>
                </w:tcPr>
                <w:p w14:paraId="59784C75">
                  <w:pPr>
                    <w:jc w:val="center"/>
                    <w:rPr>
                      <w:color w:val="EE0000"/>
                      <w:sz w:val="18"/>
                      <w:szCs w:val="18"/>
                      <w:u w:val="single"/>
                    </w:rPr>
                  </w:pPr>
                </w:p>
              </w:tc>
              <w:tc>
                <w:tcPr>
                  <w:tcW w:w="755" w:type="pct"/>
                  <w:vMerge w:val="continue"/>
                  <w:vAlign w:val="center"/>
                </w:tcPr>
                <w:p w14:paraId="771A0708">
                  <w:pPr>
                    <w:jc w:val="center"/>
                    <w:rPr>
                      <w:color w:val="EE0000"/>
                      <w:sz w:val="18"/>
                      <w:szCs w:val="18"/>
                      <w:u w:val="single"/>
                    </w:rPr>
                  </w:pPr>
                </w:p>
              </w:tc>
              <w:tc>
                <w:tcPr>
                  <w:tcW w:w="432" w:type="pct"/>
                  <w:vMerge w:val="continue"/>
                  <w:vAlign w:val="center"/>
                </w:tcPr>
                <w:p w14:paraId="3C8CB8A4">
                  <w:pPr>
                    <w:jc w:val="center"/>
                    <w:rPr>
                      <w:color w:val="EE0000"/>
                      <w:sz w:val="18"/>
                      <w:szCs w:val="18"/>
                      <w:u w:val="single"/>
                    </w:rPr>
                  </w:pPr>
                </w:p>
              </w:tc>
              <w:tc>
                <w:tcPr>
                  <w:tcW w:w="436" w:type="pct"/>
                  <w:vMerge w:val="continue"/>
                  <w:vAlign w:val="center"/>
                </w:tcPr>
                <w:p w14:paraId="7D94336E">
                  <w:pPr>
                    <w:jc w:val="center"/>
                    <w:rPr>
                      <w:color w:val="EE0000"/>
                      <w:sz w:val="18"/>
                      <w:szCs w:val="18"/>
                      <w:u w:val="single"/>
                    </w:rPr>
                  </w:pPr>
                </w:p>
              </w:tc>
              <w:tc>
                <w:tcPr>
                  <w:tcW w:w="519" w:type="pct"/>
                  <w:vMerge w:val="continue"/>
                  <w:vAlign w:val="center"/>
                </w:tcPr>
                <w:p w14:paraId="39860A95">
                  <w:pPr>
                    <w:jc w:val="center"/>
                    <w:rPr>
                      <w:color w:val="EE0000"/>
                      <w:sz w:val="18"/>
                      <w:szCs w:val="18"/>
                      <w:u w:val="single"/>
                    </w:rPr>
                  </w:pPr>
                </w:p>
              </w:tc>
            </w:tr>
            <w:tr w14:paraId="6448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18" w:type="pct"/>
                  <w:vMerge w:val="continue"/>
                  <w:vAlign w:val="center"/>
                </w:tcPr>
                <w:p w14:paraId="43F9BDC4">
                  <w:pPr>
                    <w:jc w:val="center"/>
                    <w:rPr>
                      <w:color w:val="EE0000"/>
                      <w:sz w:val="18"/>
                      <w:szCs w:val="18"/>
                      <w:u w:val="single"/>
                    </w:rPr>
                  </w:pPr>
                </w:p>
              </w:tc>
              <w:tc>
                <w:tcPr>
                  <w:tcW w:w="605" w:type="pct"/>
                  <w:vAlign w:val="center"/>
                </w:tcPr>
                <w:p w14:paraId="5EF1F346">
                  <w:pPr>
                    <w:jc w:val="center"/>
                    <w:rPr>
                      <w:color w:val="EE0000"/>
                      <w:sz w:val="18"/>
                      <w:szCs w:val="18"/>
                      <w:u w:val="single"/>
                    </w:rPr>
                  </w:pPr>
                  <w:r>
                    <w:rPr>
                      <w:color w:val="EE0000"/>
                      <w:sz w:val="18"/>
                      <w:szCs w:val="18"/>
                      <w:u w:val="single"/>
                    </w:rPr>
                    <w:t>筛分粉尘</w:t>
                  </w:r>
                </w:p>
              </w:tc>
              <w:tc>
                <w:tcPr>
                  <w:tcW w:w="432" w:type="pct"/>
                  <w:vMerge w:val="restart"/>
                  <w:vAlign w:val="center"/>
                </w:tcPr>
                <w:p w14:paraId="030EB3ED">
                  <w:pPr>
                    <w:jc w:val="center"/>
                    <w:rPr>
                      <w:color w:val="EE0000"/>
                      <w:sz w:val="18"/>
                      <w:szCs w:val="18"/>
                      <w:u w:val="single"/>
                    </w:rPr>
                  </w:pPr>
                  <w:r>
                    <w:rPr>
                      <w:color w:val="EE0000"/>
                      <w:sz w:val="18"/>
                      <w:szCs w:val="18"/>
                      <w:u w:val="single"/>
                    </w:rPr>
                    <w:t>22320</w:t>
                  </w:r>
                </w:p>
              </w:tc>
              <w:tc>
                <w:tcPr>
                  <w:tcW w:w="432" w:type="pct"/>
                  <w:vAlign w:val="center"/>
                </w:tcPr>
                <w:p w14:paraId="6619495C">
                  <w:pPr>
                    <w:jc w:val="center"/>
                    <w:rPr>
                      <w:color w:val="EE0000"/>
                      <w:sz w:val="18"/>
                      <w:szCs w:val="18"/>
                      <w:u w:val="single"/>
                    </w:rPr>
                  </w:pPr>
                  <w:r>
                    <w:rPr>
                      <w:color w:val="EE0000"/>
                      <w:sz w:val="18"/>
                      <w:szCs w:val="18"/>
                      <w:u w:val="single"/>
                    </w:rPr>
                    <w:t>14.02</w:t>
                  </w:r>
                </w:p>
              </w:tc>
              <w:tc>
                <w:tcPr>
                  <w:tcW w:w="518" w:type="pct"/>
                  <w:vMerge w:val="restart"/>
                  <w:vAlign w:val="center"/>
                </w:tcPr>
                <w:p w14:paraId="73204C73">
                  <w:pPr>
                    <w:jc w:val="center"/>
                    <w:rPr>
                      <w:color w:val="EE0000"/>
                      <w:sz w:val="18"/>
                      <w:szCs w:val="18"/>
                      <w:u w:val="single"/>
                    </w:rPr>
                  </w:pPr>
                  <w:r>
                    <w:rPr>
                      <w:color w:val="EE0000"/>
                      <w:sz w:val="18"/>
                      <w:szCs w:val="18"/>
                      <w:u w:val="single"/>
                    </w:rPr>
                    <w:t>5.31</w:t>
                  </w:r>
                </w:p>
              </w:tc>
              <w:tc>
                <w:tcPr>
                  <w:tcW w:w="453" w:type="pct"/>
                  <w:vMerge w:val="restart"/>
                  <w:vAlign w:val="center"/>
                </w:tcPr>
                <w:p w14:paraId="3921DC8D">
                  <w:pPr>
                    <w:jc w:val="center"/>
                    <w:rPr>
                      <w:color w:val="EE0000"/>
                      <w:sz w:val="18"/>
                      <w:szCs w:val="18"/>
                      <w:u w:val="single"/>
                    </w:rPr>
                  </w:pPr>
                  <w:r>
                    <w:rPr>
                      <w:color w:val="EE0000"/>
                      <w:sz w:val="18"/>
                      <w:szCs w:val="18"/>
                      <w:u w:val="single"/>
                    </w:rPr>
                    <w:t>237.9</w:t>
                  </w:r>
                </w:p>
              </w:tc>
              <w:tc>
                <w:tcPr>
                  <w:tcW w:w="755" w:type="pct"/>
                  <w:vMerge w:val="restart"/>
                  <w:vAlign w:val="center"/>
                </w:tcPr>
                <w:p w14:paraId="6316E1F7">
                  <w:pPr>
                    <w:jc w:val="center"/>
                    <w:rPr>
                      <w:color w:val="EE0000"/>
                      <w:sz w:val="18"/>
                      <w:szCs w:val="18"/>
                      <w:u w:val="single"/>
                    </w:rPr>
                  </w:pPr>
                  <w:r>
                    <w:rPr>
                      <w:color w:val="EE0000"/>
                      <w:sz w:val="18"/>
                      <w:szCs w:val="18"/>
                      <w:u w:val="single"/>
                    </w:rPr>
                    <w:t>1座袋式除尘器+排气筒DA001</w:t>
                  </w:r>
                </w:p>
              </w:tc>
              <w:tc>
                <w:tcPr>
                  <w:tcW w:w="432" w:type="pct"/>
                  <w:vMerge w:val="restart"/>
                  <w:vAlign w:val="center"/>
                </w:tcPr>
                <w:p w14:paraId="7FE7AB46">
                  <w:pPr>
                    <w:jc w:val="center"/>
                    <w:rPr>
                      <w:color w:val="EE0000"/>
                      <w:sz w:val="18"/>
                      <w:szCs w:val="18"/>
                      <w:u w:val="single"/>
                    </w:rPr>
                  </w:pPr>
                  <w:r>
                    <w:rPr>
                      <w:color w:val="EE0000"/>
                      <w:sz w:val="18"/>
                      <w:szCs w:val="18"/>
                      <w:u w:val="single"/>
                    </w:rPr>
                    <w:t>0.84</w:t>
                  </w:r>
                </w:p>
              </w:tc>
              <w:tc>
                <w:tcPr>
                  <w:tcW w:w="436" w:type="pct"/>
                  <w:vMerge w:val="restart"/>
                  <w:vAlign w:val="center"/>
                </w:tcPr>
                <w:p w14:paraId="75A2A7DE">
                  <w:pPr>
                    <w:jc w:val="center"/>
                    <w:rPr>
                      <w:color w:val="EE0000"/>
                      <w:sz w:val="18"/>
                      <w:szCs w:val="18"/>
                      <w:u w:val="single"/>
                    </w:rPr>
                  </w:pPr>
                  <w:r>
                    <w:rPr>
                      <w:color w:val="EE0000"/>
                      <w:sz w:val="18"/>
                      <w:szCs w:val="18"/>
                      <w:u w:val="single"/>
                    </w:rPr>
                    <w:t xml:space="preserve">0.16 </w:t>
                  </w:r>
                </w:p>
              </w:tc>
              <w:tc>
                <w:tcPr>
                  <w:tcW w:w="519" w:type="pct"/>
                  <w:vMerge w:val="restart"/>
                  <w:vAlign w:val="center"/>
                </w:tcPr>
                <w:p w14:paraId="7C0EF132">
                  <w:pPr>
                    <w:jc w:val="center"/>
                    <w:rPr>
                      <w:color w:val="EE0000"/>
                      <w:sz w:val="18"/>
                      <w:szCs w:val="18"/>
                      <w:u w:val="single"/>
                    </w:rPr>
                  </w:pPr>
                  <w:r>
                    <w:rPr>
                      <w:color w:val="EE0000"/>
                      <w:sz w:val="18"/>
                      <w:szCs w:val="18"/>
                      <w:u w:val="single"/>
                    </w:rPr>
                    <w:t>7.2</w:t>
                  </w:r>
                </w:p>
              </w:tc>
            </w:tr>
            <w:tr w14:paraId="0A1D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18" w:type="pct"/>
                  <w:vMerge w:val="continue"/>
                  <w:vAlign w:val="center"/>
                </w:tcPr>
                <w:p w14:paraId="3B3F2304">
                  <w:pPr>
                    <w:jc w:val="center"/>
                    <w:rPr>
                      <w:color w:val="EE0000"/>
                      <w:sz w:val="18"/>
                      <w:szCs w:val="18"/>
                      <w:u w:val="single"/>
                    </w:rPr>
                  </w:pPr>
                </w:p>
              </w:tc>
              <w:tc>
                <w:tcPr>
                  <w:tcW w:w="605" w:type="pct"/>
                  <w:vAlign w:val="center"/>
                </w:tcPr>
                <w:p w14:paraId="002F2846">
                  <w:pPr>
                    <w:jc w:val="center"/>
                    <w:rPr>
                      <w:color w:val="EE0000"/>
                      <w:sz w:val="18"/>
                      <w:szCs w:val="18"/>
                      <w:u w:val="single"/>
                    </w:rPr>
                  </w:pPr>
                  <w:r>
                    <w:rPr>
                      <w:color w:val="EE0000"/>
                      <w:sz w:val="18"/>
                      <w:szCs w:val="18"/>
                      <w:u w:val="single"/>
                    </w:rPr>
                    <w:t>搅拌粉尘</w:t>
                  </w:r>
                </w:p>
              </w:tc>
              <w:tc>
                <w:tcPr>
                  <w:tcW w:w="432" w:type="pct"/>
                  <w:vMerge w:val="continue"/>
                  <w:vAlign w:val="center"/>
                </w:tcPr>
                <w:p w14:paraId="2C28B469">
                  <w:pPr>
                    <w:jc w:val="center"/>
                    <w:rPr>
                      <w:color w:val="EE0000"/>
                      <w:sz w:val="18"/>
                      <w:szCs w:val="18"/>
                      <w:u w:val="single"/>
                    </w:rPr>
                  </w:pPr>
                </w:p>
              </w:tc>
              <w:tc>
                <w:tcPr>
                  <w:tcW w:w="432" w:type="pct"/>
                  <w:vAlign w:val="center"/>
                </w:tcPr>
                <w:p w14:paraId="309DF5B7">
                  <w:pPr>
                    <w:jc w:val="center"/>
                    <w:rPr>
                      <w:color w:val="EE0000"/>
                      <w:sz w:val="18"/>
                      <w:szCs w:val="18"/>
                      <w:u w:val="single"/>
                    </w:rPr>
                  </w:pPr>
                  <w:r>
                    <w:rPr>
                      <w:color w:val="EE0000"/>
                      <w:sz w:val="18"/>
                      <w:szCs w:val="18"/>
                      <w:u w:val="single"/>
                    </w:rPr>
                    <w:t>14.02</w:t>
                  </w:r>
                </w:p>
              </w:tc>
              <w:tc>
                <w:tcPr>
                  <w:tcW w:w="518" w:type="pct"/>
                  <w:vMerge w:val="continue"/>
                  <w:vAlign w:val="center"/>
                </w:tcPr>
                <w:p w14:paraId="36E83FFA">
                  <w:pPr>
                    <w:jc w:val="center"/>
                    <w:rPr>
                      <w:color w:val="EE0000"/>
                      <w:sz w:val="18"/>
                      <w:szCs w:val="18"/>
                      <w:u w:val="single"/>
                    </w:rPr>
                  </w:pPr>
                </w:p>
              </w:tc>
              <w:tc>
                <w:tcPr>
                  <w:tcW w:w="453" w:type="pct"/>
                  <w:vMerge w:val="continue"/>
                  <w:vAlign w:val="center"/>
                </w:tcPr>
                <w:p w14:paraId="06EB3323">
                  <w:pPr>
                    <w:jc w:val="center"/>
                    <w:rPr>
                      <w:color w:val="EE0000"/>
                      <w:sz w:val="18"/>
                      <w:szCs w:val="18"/>
                      <w:u w:val="single"/>
                    </w:rPr>
                  </w:pPr>
                </w:p>
              </w:tc>
              <w:tc>
                <w:tcPr>
                  <w:tcW w:w="755" w:type="pct"/>
                  <w:vMerge w:val="continue"/>
                  <w:vAlign w:val="center"/>
                </w:tcPr>
                <w:p w14:paraId="08158CFA">
                  <w:pPr>
                    <w:jc w:val="center"/>
                    <w:rPr>
                      <w:color w:val="EE0000"/>
                      <w:sz w:val="18"/>
                      <w:szCs w:val="18"/>
                      <w:u w:val="single"/>
                    </w:rPr>
                  </w:pPr>
                </w:p>
              </w:tc>
              <w:tc>
                <w:tcPr>
                  <w:tcW w:w="432" w:type="pct"/>
                  <w:vMerge w:val="continue"/>
                  <w:vAlign w:val="center"/>
                </w:tcPr>
                <w:p w14:paraId="3DCDFC55">
                  <w:pPr>
                    <w:jc w:val="center"/>
                    <w:rPr>
                      <w:color w:val="EE0000"/>
                      <w:sz w:val="18"/>
                      <w:szCs w:val="18"/>
                      <w:u w:val="single"/>
                    </w:rPr>
                  </w:pPr>
                </w:p>
              </w:tc>
              <w:tc>
                <w:tcPr>
                  <w:tcW w:w="436" w:type="pct"/>
                  <w:vMerge w:val="continue"/>
                  <w:vAlign w:val="center"/>
                </w:tcPr>
                <w:p w14:paraId="2256147C">
                  <w:pPr>
                    <w:jc w:val="center"/>
                    <w:rPr>
                      <w:color w:val="EE0000"/>
                      <w:sz w:val="18"/>
                      <w:szCs w:val="18"/>
                      <w:u w:val="single"/>
                    </w:rPr>
                  </w:pPr>
                </w:p>
              </w:tc>
              <w:tc>
                <w:tcPr>
                  <w:tcW w:w="519" w:type="pct"/>
                  <w:vMerge w:val="continue"/>
                  <w:vAlign w:val="center"/>
                </w:tcPr>
                <w:p w14:paraId="5B5C9716">
                  <w:pPr>
                    <w:jc w:val="center"/>
                    <w:rPr>
                      <w:color w:val="EE0000"/>
                      <w:sz w:val="18"/>
                      <w:szCs w:val="18"/>
                      <w:u w:val="single"/>
                    </w:rPr>
                  </w:pPr>
                </w:p>
              </w:tc>
            </w:tr>
            <w:tr w14:paraId="3F62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23" w:type="pct"/>
                  <w:gridSpan w:val="2"/>
                  <w:vAlign w:val="center"/>
                </w:tcPr>
                <w:p w14:paraId="180022AC">
                  <w:pPr>
                    <w:jc w:val="center"/>
                    <w:rPr>
                      <w:color w:val="EE0000"/>
                      <w:sz w:val="18"/>
                      <w:szCs w:val="18"/>
                      <w:u w:val="single"/>
                    </w:rPr>
                  </w:pPr>
                  <w:r>
                    <w:rPr>
                      <w:color w:val="EE0000"/>
                      <w:sz w:val="18"/>
                      <w:szCs w:val="18"/>
                      <w:u w:val="single"/>
                    </w:rPr>
                    <w:t>窑车清理粉尘</w:t>
                  </w:r>
                </w:p>
              </w:tc>
              <w:tc>
                <w:tcPr>
                  <w:tcW w:w="432" w:type="pct"/>
                  <w:vAlign w:val="center"/>
                </w:tcPr>
                <w:p w14:paraId="583ED6CE">
                  <w:pPr>
                    <w:jc w:val="center"/>
                    <w:rPr>
                      <w:color w:val="EE0000"/>
                      <w:sz w:val="18"/>
                      <w:szCs w:val="18"/>
                      <w:u w:val="single"/>
                    </w:rPr>
                  </w:pPr>
                  <w:r>
                    <w:rPr>
                      <w:color w:val="EE0000"/>
                      <w:sz w:val="18"/>
                      <w:szCs w:val="18"/>
                      <w:u w:val="single"/>
                    </w:rPr>
                    <w:t>5000</w:t>
                  </w:r>
                </w:p>
              </w:tc>
              <w:tc>
                <w:tcPr>
                  <w:tcW w:w="432" w:type="pct"/>
                  <w:vAlign w:val="center"/>
                </w:tcPr>
                <w:p w14:paraId="7DC3911F">
                  <w:pPr>
                    <w:jc w:val="center"/>
                    <w:rPr>
                      <w:color w:val="EE0000"/>
                      <w:sz w:val="18"/>
                      <w:szCs w:val="18"/>
                      <w:u w:val="single"/>
                    </w:rPr>
                  </w:pPr>
                  <w:r>
                    <w:rPr>
                      <w:color w:val="EE0000"/>
                      <w:sz w:val="18"/>
                      <w:szCs w:val="18"/>
                      <w:u w:val="single"/>
                    </w:rPr>
                    <w:t>3.70</w:t>
                  </w:r>
                </w:p>
              </w:tc>
              <w:tc>
                <w:tcPr>
                  <w:tcW w:w="518" w:type="pct"/>
                  <w:vAlign w:val="center"/>
                </w:tcPr>
                <w:p w14:paraId="52A34EDE">
                  <w:pPr>
                    <w:jc w:val="center"/>
                    <w:rPr>
                      <w:color w:val="EE0000"/>
                      <w:sz w:val="18"/>
                      <w:szCs w:val="18"/>
                      <w:u w:val="single"/>
                    </w:rPr>
                  </w:pPr>
                  <w:r>
                    <w:rPr>
                      <w:color w:val="EE0000"/>
                      <w:sz w:val="18"/>
                      <w:szCs w:val="18"/>
                      <w:u w:val="single"/>
                    </w:rPr>
                    <w:t>0.70</w:t>
                  </w:r>
                </w:p>
              </w:tc>
              <w:tc>
                <w:tcPr>
                  <w:tcW w:w="453" w:type="pct"/>
                  <w:vAlign w:val="center"/>
                </w:tcPr>
                <w:p w14:paraId="5E15772F">
                  <w:pPr>
                    <w:jc w:val="center"/>
                    <w:rPr>
                      <w:color w:val="EE0000"/>
                      <w:sz w:val="18"/>
                      <w:szCs w:val="18"/>
                      <w:u w:val="single"/>
                    </w:rPr>
                  </w:pPr>
                  <w:r>
                    <w:rPr>
                      <w:color w:val="EE0000"/>
                      <w:sz w:val="18"/>
                      <w:szCs w:val="18"/>
                      <w:u w:val="single"/>
                    </w:rPr>
                    <w:t>140</w:t>
                  </w:r>
                </w:p>
              </w:tc>
              <w:tc>
                <w:tcPr>
                  <w:tcW w:w="755" w:type="pct"/>
                  <w:vAlign w:val="center"/>
                </w:tcPr>
                <w:p w14:paraId="788A2C6C">
                  <w:pPr>
                    <w:jc w:val="center"/>
                    <w:rPr>
                      <w:color w:val="EE0000"/>
                      <w:sz w:val="18"/>
                      <w:szCs w:val="18"/>
                      <w:u w:val="single"/>
                    </w:rPr>
                  </w:pPr>
                  <w:r>
                    <w:rPr>
                      <w:color w:val="EE0000"/>
                      <w:sz w:val="18"/>
                      <w:szCs w:val="18"/>
                      <w:u w:val="single"/>
                    </w:rPr>
                    <w:t>1座袋式除尘器+排气筒DA004</w:t>
                  </w:r>
                </w:p>
              </w:tc>
              <w:tc>
                <w:tcPr>
                  <w:tcW w:w="432" w:type="pct"/>
                  <w:vAlign w:val="center"/>
                </w:tcPr>
                <w:p w14:paraId="67D73015">
                  <w:pPr>
                    <w:jc w:val="center"/>
                    <w:rPr>
                      <w:color w:val="EE0000"/>
                      <w:sz w:val="18"/>
                      <w:szCs w:val="18"/>
                      <w:u w:val="single"/>
                    </w:rPr>
                  </w:pPr>
                  <w:r>
                    <w:rPr>
                      <w:color w:val="EE0000"/>
                      <w:sz w:val="18"/>
                      <w:szCs w:val="18"/>
                      <w:u w:val="single"/>
                    </w:rPr>
                    <w:t>0.11</w:t>
                  </w:r>
                </w:p>
              </w:tc>
              <w:tc>
                <w:tcPr>
                  <w:tcW w:w="436" w:type="pct"/>
                  <w:vAlign w:val="center"/>
                </w:tcPr>
                <w:p w14:paraId="455C716B">
                  <w:pPr>
                    <w:jc w:val="center"/>
                    <w:rPr>
                      <w:color w:val="EE0000"/>
                      <w:sz w:val="18"/>
                      <w:szCs w:val="18"/>
                      <w:u w:val="single"/>
                    </w:rPr>
                  </w:pPr>
                  <w:r>
                    <w:rPr>
                      <w:color w:val="EE0000"/>
                      <w:sz w:val="18"/>
                      <w:szCs w:val="18"/>
                      <w:u w:val="single"/>
                    </w:rPr>
                    <w:t xml:space="preserve">0.021 </w:t>
                  </w:r>
                </w:p>
              </w:tc>
              <w:tc>
                <w:tcPr>
                  <w:tcW w:w="519" w:type="pct"/>
                  <w:vAlign w:val="center"/>
                </w:tcPr>
                <w:p w14:paraId="0677DCE8">
                  <w:pPr>
                    <w:jc w:val="center"/>
                    <w:rPr>
                      <w:color w:val="EE0000"/>
                      <w:sz w:val="18"/>
                      <w:szCs w:val="18"/>
                      <w:u w:val="single"/>
                    </w:rPr>
                  </w:pPr>
                  <w:r>
                    <w:rPr>
                      <w:color w:val="EE0000"/>
                      <w:sz w:val="18"/>
                      <w:szCs w:val="18"/>
                      <w:u w:val="single"/>
                    </w:rPr>
                    <w:t>4.2</w:t>
                  </w:r>
                </w:p>
              </w:tc>
            </w:tr>
            <w:tr w14:paraId="0BBE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23" w:type="pct"/>
                  <w:gridSpan w:val="2"/>
                  <w:vAlign w:val="center"/>
                </w:tcPr>
                <w:p w14:paraId="3DB94E37">
                  <w:pPr>
                    <w:jc w:val="center"/>
                    <w:rPr>
                      <w:color w:val="EE0000"/>
                      <w:sz w:val="18"/>
                      <w:szCs w:val="18"/>
                      <w:u w:val="single"/>
                    </w:rPr>
                  </w:pPr>
                  <w:r>
                    <w:rPr>
                      <w:color w:val="EE0000"/>
                      <w:sz w:val="18"/>
                      <w:szCs w:val="18"/>
                      <w:u w:val="single"/>
                    </w:rPr>
                    <w:t>/</w:t>
                  </w:r>
                </w:p>
              </w:tc>
              <w:tc>
                <w:tcPr>
                  <w:tcW w:w="3977" w:type="pct"/>
                  <w:gridSpan w:val="8"/>
                  <w:vAlign w:val="center"/>
                </w:tcPr>
                <w:p w14:paraId="08FA7744">
                  <w:pPr>
                    <w:jc w:val="center"/>
                    <w:rPr>
                      <w:color w:val="EE0000"/>
                      <w:sz w:val="18"/>
                      <w:szCs w:val="18"/>
                      <w:u w:val="single"/>
                    </w:rPr>
                  </w:pPr>
                  <w:r>
                    <w:rPr>
                      <w:color w:val="EE0000"/>
                      <w:sz w:val="18"/>
                      <w:szCs w:val="18"/>
                      <w:u w:val="single"/>
                    </w:rPr>
                    <w:t>无组织废气</w:t>
                  </w:r>
                </w:p>
              </w:tc>
            </w:tr>
            <w:tr w14:paraId="7EA6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23" w:type="pct"/>
                  <w:gridSpan w:val="2"/>
                  <w:vAlign w:val="center"/>
                </w:tcPr>
                <w:p w14:paraId="15DEEEFC">
                  <w:pPr>
                    <w:jc w:val="center"/>
                    <w:rPr>
                      <w:color w:val="EE0000"/>
                      <w:sz w:val="18"/>
                      <w:szCs w:val="18"/>
                      <w:u w:val="single"/>
                    </w:rPr>
                  </w:pPr>
                  <w:r>
                    <w:rPr>
                      <w:color w:val="EE0000"/>
                      <w:sz w:val="18"/>
                      <w:szCs w:val="18"/>
                      <w:u w:val="single"/>
                    </w:rPr>
                    <w:t>原料制备粉尘</w:t>
                  </w:r>
                </w:p>
              </w:tc>
              <w:tc>
                <w:tcPr>
                  <w:tcW w:w="432" w:type="pct"/>
                  <w:vAlign w:val="center"/>
                </w:tcPr>
                <w:p w14:paraId="2482EA41">
                  <w:pPr>
                    <w:jc w:val="center"/>
                    <w:rPr>
                      <w:color w:val="EE0000"/>
                      <w:sz w:val="18"/>
                      <w:szCs w:val="18"/>
                      <w:u w:val="single"/>
                    </w:rPr>
                  </w:pPr>
                  <w:r>
                    <w:rPr>
                      <w:color w:val="EE0000"/>
                      <w:sz w:val="18"/>
                      <w:szCs w:val="18"/>
                      <w:u w:val="single"/>
                    </w:rPr>
                    <w:t>/</w:t>
                  </w:r>
                </w:p>
              </w:tc>
              <w:tc>
                <w:tcPr>
                  <w:tcW w:w="432" w:type="pct"/>
                  <w:vAlign w:val="center"/>
                </w:tcPr>
                <w:p w14:paraId="4D6175A3">
                  <w:pPr>
                    <w:jc w:val="center"/>
                    <w:rPr>
                      <w:color w:val="EE0000"/>
                      <w:sz w:val="18"/>
                      <w:szCs w:val="18"/>
                      <w:u w:val="single"/>
                    </w:rPr>
                  </w:pPr>
                  <w:r>
                    <w:rPr>
                      <w:color w:val="EE0000"/>
                      <w:sz w:val="18"/>
                      <w:szCs w:val="18"/>
                      <w:u w:val="single"/>
                    </w:rPr>
                    <w:t>2.29</w:t>
                  </w:r>
                </w:p>
              </w:tc>
              <w:tc>
                <w:tcPr>
                  <w:tcW w:w="518" w:type="pct"/>
                  <w:vAlign w:val="center"/>
                </w:tcPr>
                <w:p w14:paraId="2EEAC6A2">
                  <w:pPr>
                    <w:jc w:val="center"/>
                    <w:rPr>
                      <w:color w:val="EE0000"/>
                      <w:sz w:val="18"/>
                      <w:szCs w:val="18"/>
                      <w:u w:val="single"/>
                    </w:rPr>
                  </w:pPr>
                  <w:r>
                    <w:rPr>
                      <w:color w:val="EE0000"/>
                      <w:sz w:val="18"/>
                      <w:szCs w:val="18"/>
                      <w:u w:val="single"/>
                    </w:rPr>
                    <w:t>0.43</w:t>
                  </w:r>
                </w:p>
              </w:tc>
              <w:tc>
                <w:tcPr>
                  <w:tcW w:w="453" w:type="pct"/>
                  <w:vAlign w:val="center"/>
                </w:tcPr>
                <w:p w14:paraId="7FD2F536">
                  <w:pPr>
                    <w:jc w:val="center"/>
                    <w:rPr>
                      <w:color w:val="EE0000"/>
                      <w:sz w:val="18"/>
                      <w:szCs w:val="18"/>
                      <w:u w:val="single"/>
                    </w:rPr>
                  </w:pPr>
                  <w:r>
                    <w:rPr>
                      <w:color w:val="EE0000"/>
                      <w:sz w:val="18"/>
                      <w:szCs w:val="18"/>
                      <w:u w:val="single"/>
                    </w:rPr>
                    <w:t>/</w:t>
                  </w:r>
                </w:p>
              </w:tc>
              <w:tc>
                <w:tcPr>
                  <w:tcW w:w="755" w:type="pct"/>
                  <w:vAlign w:val="center"/>
                </w:tcPr>
                <w:p w14:paraId="5B1619F1">
                  <w:pPr>
                    <w:jc w:val="center"/>
                    <w:rPr>
                      <w:color w:val="EE0000"/>
                      <w:sz w:val="18"/>
                      <w:szCs w:val="18"/>
                      <w:u w:val="single"/>
                    </w:rPr>
                  </w:pPr>
                  <w:r>
                    <w:rPr>
                      <w:color w:val="EE0000"/>
                      <w:sz w:val="18"/>
                      <w:szCs w:val="18"/>
                      <w:u w:val="single"/>
                    </w:rPr>
                    <w:t>车间封闭+雾化喷淋装置</w:t>
                  </w:r>
                </w:p>
              </w:tc>
              <w:tc>
                <w:tcPr>
                  <w:tcW w:w="432" w:type="pct"/>
                  <w:vAlign w:val="center"/>
                </w:tcPr>
                <w:p w14:paraId="79EE202B">
                  <w:pPr>
                    <w:jc w:val="center"/>
                    <w:rPr>
                      <w:color w:val="EE0000"/>
                      <w:sz w:val="18"/>
                      <w:szCs w:val="18"/>
                      <w:u w:val="single"/>
                    </w:rPr>
                  </w:pPr>
                  <w:r>
                    <w:rPr>
                      <w:color w:val="EE0000"/>
                      <w:sz w:val="18"/>
                      <w:szCs w:val="18"/>
                      <w:u w:val="single"/>
                    </w:rPr>
                    <w:t>0.23</w:t>
                  </w:r>
                </w:p>
              </w:tc>
              <w:tc>
                <w:tcPr>
                  <w:tcW w:w="436" w:type="pct"/>
                  <w:vAlign w:val="center"/>
                </w:tcPr>
                <w:p w14:paraId="3F5507DC">
                  <w:pPr>
                    <w:jc w:val="center"/>
                    <w:rPr>
                      <w:color w:val="EE0000"/>
                      <w:sz w:val="18"/>
                      <w:szCs w:val="18"/>
                      <w:u w:val="single"/>
                    </w:rPr>
                  </w:pPr>
                  <w:r>
                    <w:rPr>
                      <w:color w:val="EE0000"/>
                      <w:sz w:val="18"/>
                      <w:szCs w:val="18"/>
                      <w:u w:val="single"/>
                    </w:rPr>
                    <w:t>0.043</w:t>
                  </w:r>
                </w:p>
              </w:tc>
              <w:tc>
                <w:tcPr>
                  <w:tcW w:w="519" w:type="pct"/>
                  <w:vAlign w:val="center"/>
                </w:tcPr>
                <w:p w14:paraId="3C1B4EAD">
                  <w:pPr>
                    <w:jc w:val="center"/>
                    <w:rPr>
                      <w:color w:val="EE0000"/>
                      <w:sz w:val="18"/>
                      <w:szCs w:val="18"/>
                      <w:u w:val="single"/>
                    </w:rPr>
                  </w:pPr>
                  <w:r>
                    <w:rPr>
                      <w:color w:val="EE0000"/>
                      <w:sz w:val="18"/>
                      <w:szCs w:val="18"/>
                      <w:u w:val="single"/>
                    </w:rPr>
                    <w:t>/</w:t>
                  </w:r>
                </w:p>
              </w:tc>
            </w:tr>
            <w:tr w14:paraId="294F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23" w:type="pct"/>
                  <w:gridSpan w:val="2"/>
                  <w:vAlign w:val="center"/>
                </w:tcPr>
                <w:p w14:paraId="43939589">
                  <w:pPr>
                    <w:jc w:val="center"/>
                    <w:rPr>
                      <w:color w:val="EE0000"/>
                      <w:sz w:val="18"/>
                      <w:szCs w:val="18"/>
                      <w:u w:val="single"/>
                    </w:rPr>
                  </w:pPr>
                  <w:r>
                    <w:rPr>
                      <w:color w:val="EE0000"/>
                      <w:sz w:val="18"/>
                      <w:szCs w:val="18"/>
                      <w:u w:val="single"/>
                    </w:rPr>
                    <w:t>窑车清理粉尘</w:t>
                  </w:r>
                </w:p>
              </w:tc>
              <w:tc>
                <w:tcPr>
                  <w:tcW w:w="432" w:type="pct"/>
                  <w:vAlign w:val="center"/>
                </w:tcPr>
                <w:p w14:paraId="0FDC7D5E">
                  <w:pPr>
                    <w:jc w:val="center"/>
                    <w:rPr>
                      <w:color w:val="EE0000"/>
                      <w:sz w:val="18"/>
                      <w:szCs w:val="18"/>
                      <w:u w:val="single"/>
                    </w:rPr>
                  </w:pPr>
                  <w:r>
                    <w:rPr>
                      <w:color w:val="EE0000"/>
                      <w:sz w:val="18"/>
                      <w:szCs w:val="18"/>
                      <w:u w:val="single"/>
                    </w:rPr>
                    <w:t>/</w:t>
                  </w:r>
                </w:p>
              </w:tc>
              <w:tc>
                <w:tcPr>
                  <w:tcW w:w="432" w:type="pct"/>
                  <w:vAlign w:val="center"/>
                </w:tcPr>
                <w:p w14:paraId="18C23566">
                  <w:pPr>
                    <w:jc w:val="center"/>
                    <w:rPr>
                      <w:color w:val="EE0000"/>
                      <w:sz w:val="18"/>
                      <w:szCs w:val="18"/>
                      <w:u w:val="single"/>
                    </w:rPr>
                  </w:pPr>
                  <w:r>
                    <w:rPr>
                      <w:color w:val="EE0000"/>
                      <w:sz w:val="18"/>
                      <w:szCs w:val="18"/>
                      <w:u w:val="single"/>
                    </w:rPr>
                    <w:t>0.81</w:t>
                  </w:r>
                </w:p>
              </w:tc>
              <w:tc>
                <w:tcPr>
                  <w:tcW w:w="518" w:type="pct"/>
                  <w:vAlign w:val="center"/>
                </w:tcPr>
                <w:p w14:paraId="6D875102">
                  <w:pPr>
                    <w:jc w:val="center"/>
                    <w:rPr>
                      <w:color w:val="EE0000"/>
                      <w:sz w:val="18"/>
                      <w:szCs w:val="18"/>
                      <w:u w:val="single"/>
                    </w:rPr>
                  </w:pPr>
                  <w:r>
                    <w:rPr>
                      <w:color w:val="EE0000"/>
                      <w:sz w:val="18"/>
                      <w:szCs w:val="18"/>
                      <w:u w:val="single"/>
                    </w:rPr>
                    <w:t>0.15</w:t>
                  </w:r>
                </w:p>
              </w:tc>
              <w:tc>
                <w:tcPr>
                  <w:tcW w:w="453" w:type="pct"/>
                  <w:vAlign w:val="center"/>
                </w:tcPr>
                <w:p w14:paraId="7B3BBA73">
                  <w:pPr>
                    <w:jc w:val="center"/>
                    <w:rPr>
                      <w:color w:val="EE0000"/>
                      <w:sz w:val="18"/>
                      <w:szCs w:val="18"/>
                      <w:u w:val="single"/>
                    </w:rPr>
                  </w:pPr>
                  <w:r>
                    <w:rPr>
                      <w:color w:val="EE0000"/>
                      <w:sz w:val="18"/>
                      <w:szCs w:val="18"/>
                      <w:u w:val="single"/>
                    </w:rPr>
                    <w:t>/</w:t>
                  </w:r>
                </w:p>
              </w:tc>
              <w:tc>
                <w:tcPr>
                  <w:tcW w:w="755" w:type="pct"/>
                  <w:vAlign w:val="center"/>
                </w:tcPr>
                <w:p w14:paraId="3D6CD061">
                  <w:pPr>
                    <w:jc w:val="center"/>
                    <w:rPr>
                      <w:color w:val="EE0000"/>
                      <w:sz w:val="18"/>
                      <w:szCs w:val="18"/>
                      <w:u w:val="single"/>
                    </w:rPr>
                  </w:pPr>
                  <w:r>
                    <w:rPr>
                      <w:color w:val="EE0000"/>
                      <w:sz w:val="18"/>
                      <w:szCs w:val="18"/>
                      <w:u w:val="single"/>
                    </w:rPr>
                    <w:t>/</w:t>
                  </w:r>
                </w:p>
              </w:tc>
              <w:tc>
                <w:tcPr>
                  <w:tcW w:w="432" w:type="pct"/>
                  <w:vAlign w:val="center"/>
                </w:tcPr>
                <w:p w14:paraId="1282E3CC">
                  <w:pPr>
                    <w:jc w:val="center"/>
                    <w:rPr>
                      <w:color w:val="EE0000"/>
                      <w:sz w:val="18"/>
                      <w:szCs w:val="18"/>
                      <w:u w:val="single"/>
                    </w:rPr>
                  </w:pPr>
                  <w:r>
                    <w:rPr>
                      <w:color w:val="EE0000"/>
                      <w:sz w:val="18"/>
                      <w:szCs w:val="18"/>
                      <w:u w:val="single"/>
                    </w:rPr>
                    <w:t>0.81</w:t>
                  </w:r>
                </w:p>
              </w:tc>
              <w:tc>
                <w:tcPr>
                  <w:tcW w:w="436" w:type="pct"/>
                  <w:vAlign w:val="center"/>
                </w:tcPr>
                <w:p w14:paraId="4269B252">
                  <w:pPr>
                    <w:jc w:val="center"/>
                    <w:rPr>
                      <w:color w:val="EE0000"/>
                      <w:sz w:val="18"/>
                      <w:szCs w:val="18"/>
                      <w:u w:val="single"/>
                    </w:rPr>
                  </w:pPr>
                  <w:r>
                    <w:rPr>
                      <w:color w:val="EE0000"/>
                      <w:sz w:val="18"/>
                      <w:szCs w:val="18"/>
                      <w:u w:val="single"/>
                    </w:rPr>
                    <w:t>0.15</w:t>
                  </w:r>
                </w:p>
              </w:tc>
              <w:tc>
                <w:tcPr>
                  <w:tcW w:w="519" w:type="pct"/>
                  <w:vAlign w:val="center"/>
                </w:tcPr>
                <w:p w14:paraId="6BEAC9E1">
                  <w:pPr>
                    <w:jc w:val="center"/>
                    <w:rPr>
                      <w:color w:val="EE0000"/>
                      <w:sz w:val="18"/>
                      <w:szCs w:val="18"/>
                      <w:u w:val="single"/>
                    </w:rPr>
                  </w:pPr>
                  <w:r>
                    <w:rPr>
                      <w:color w:val="EE0000"/>
                      <w:sz w:val="18"/>
                      <w:szCs w:val="18"/>
                      <w:u w:val="single"/>
                    </w:rPr>
                    <w:t>/</w:t>
                  </w:r>
                </w:p>
              </w:tc>
            </w:tr>
            <w:bookmarkEnd w:id="29"/>
          </w:tbl>
          <w:p w14:paraId="715E2EC0">
            <w:pPr>
              <w:autoSpaceDE w:val="0"/>
              <w:autoSpaceDN w:val="0"/>
              <w:adjustRightInd w:val="0"/>
              <w:spacing w:line="500" w:lineRule="exact"/>
              <w:ind w:firstLine="480" w:firstLineChars="200"/>
              <w:jc w:val="left"/>
              <w:rPr>
                <w:kern w:val="0"/>
                <w:sz w:val="24"/>
              </w:rPr>
            </w:pPr>
            <w:r>
              <w:rPr>
                <w:sz w:val="24"/>
              </w:rPr>
              <w:t>由上表可知，项目原料制备及窑车清理粉尘颗粒物排放浓度可满足河南省《砖瓦工业大气污染物排放标准》（DB41/2234-2022）中原料制备、成型工段颗粒物排放限值10mg/m</w:t>
            </w:r>
            <w:r>
              <w:rPr>
                <w:sz w:val="24"/>
                <w:vertAlign w:val="superscript"/>
              </w:rPr>
              <w:t>3</w:t>
            </w:r>
            <w:r>
              <w:rPr>
                <w:sz w:val="24"/>
              </w:rPr>
              <w:t>的要求，也满足《重污染天气重点行业应急减排措施制定技术指南(2020年修订版)》中“</w:t>
            </w:r>
            <w:r>
              <w:rPr>
                <w:bCs/>
                <w:sz w:val="24"/>
              </w:rPr>
              <w:t>烧结砖瓦制品企业绩效分级指标</w:t>
            </w:r>
            <w:r>
              <w:rPr>
                <w:sz w:val="24"/>
              </w:rPr>
              <w:t>”A 级企业相应排放标准要求（破碎、成型等其他产尘点PM 排放浓度不高于30mg/m</w:t>
            </w:r>
            <w:r>
              <w:rPr>
                <w:sz w:val="24"/>
                <w:vertAlign w:val="superscript"/>
              </w:rPr>
              <w:t>3</w:t>
            </w:r>
            <w:r>
              <w:rPr>
                <w:sz w:val="24"/>
              </w:rPr>
              <w:t>）。</w:t>
            </w:r>
          </w:p>
          <w:p w14:paraId="45345D9B">
            <w:pPr>
              <w:tabs>
                <w:tab w:val="left" w:pos="5929"/>
              </w:tabs>
              <w:autoSpaceDE w:val="0"/>
              <w:autoSpaceDN w:val="0"/>
              <w:adjustRightInd w:val="0"/>
              <w:spacing w:line="500" w:lineRule="exact"/>
              <w:ind w:firstLine="480" w:firstLineChars="200"/>
              <w:jc w:val="left"/>
              <w:rPr>
                <w:color w:val="EE0000"/>
                <w:kern w:val="0"/>
                <w:sz w:val="24"/>
              </w:rPr>
            </w:pPr>
            <w:r>
              <w:rPr>
                <w:color w:val="EE0000"/>
                <w:kern w:val="0"/>
                <w:sz w:val="24"/>
              </w:rPr>
              <w:t>（2）窑炉烟气</w:t>
            </w:r>
            <w:r>
              <w:rPr>
                <w:color w:val="EE0000"/>
                <w:kern w:val="0"/>
                <w:sz w:val="24"/>
              </w:rPr>
              <w:tab/>
            </w:r>
          </w:p>
          <w:p w14:paraId="04F7E5D8">
            <w:pPr>
              <w:pStyle w:val="189"/>
              <w:adjustRightInd w:val="0"/>
              <w:snapToGrid w:val="0"/>
              <w:spacing w:before="0" w:after="0" w:line="500" w:lineRule="exact"/>
              <w:rPr>
                <w:rFonts w:ascii="Times New Roman" w:hAnsi="Times New Roman"/>
                <w:color w:val="EE0000"/>
                <w:u w:val="single"/>
              </w:rPr>
            </w:pPr>
            <w:r>
              <w:rPr>
                <w:rFonts w:ascii="Times New Roman" w:hAnsi="Times New Roman"/>
                <w:color w:val="EE0000"/>
                <w:u w:val="single"/>
              </w:rPr>
              <w:fldChar w:fldCharType="begin"/>
            </w:r>
            <w:r>
              <w:rPr>
                <w:rFonts w:ascii="Times New Roman" w:hAnsi="Times New Roman"/>
                <w:color w:val="EE0000"/>
                <w:u w:val="single"/>
              </w:rPr>
              <w:instrText xml:space="preserve"> = 1 \* GB3 </w:instrText>
            </w:r>
            <w:r>
              <w:rPr>
                <w:rFonts w:ascii="Times New Roman" w:hAnsi="Times New Roman"/>
                <w:color w:val="EE0000"/>
                <w:u w:val="single"/>
              </w:rPr>
              <w:fldChar w:fldCharType="separate"/>
            </w:r>
            <w:r>
              <w:rPr>
                <w:rFonts w:ascii="Cambria Math" w:hAnsi="Cambria Math" w:cs="Cambria Math"/>
                <w:color w:val="EE0000"/>
                <w:u w:val="single"/>
              </w:rPr>
              <w:t>①</w:t>
            </w:r>
            <w:r>
              <w:rPr>
                <w:rFonts w:ascii="Times New Roman" w:hAnsi="Times New Roman"/>
                <w:color w:val="EE0000"/>
                <w:u w:val="single"/>
              </w:rPr>
              <w:fldChar w:fldCharType="end"/>
            </w:r>
            <w:r>
              <w:rPr>
                <w:rFonts w:ascii="Times New Roman" w:hAnsi="Times New Roman"/>
                <w:color w:val="EE0000"/>
                <w:u w:val="single"/>
              </w:rPr>
              <w:t>窑炉烟气产生情况</w:t>
            </w:r>
          </w:p>
          <w:p w14:paraId="35393D7A">
            <w:pPr>
              <w:pStyle w:val="189"/>
              <w:adjustRightInd w:val="0"/>
              <w:snapToGrid w:val="0"/>
              <w:spacing w:before="0" w:after="0" w:line="500" w:lineRule="exact"/>
              <w:rPr>
                <w:rFonts w:ascii="Times New Roman" w:hAnsi="Times New Roman"/>
                <w:color w:val="EE0000"/>
                <w:u w:val="single"/>
              </w:rPr>
            </w:pPr>
            <w:r>
              <w:rPr>
                <w:rFonts w:ascii="Times New Roman" w:hAnsi="Times New Roman"/>
                <w:color w:val="EE0000"/>
                <w:u w:val="single"/>
              </w:rPr>
              <w:fldChar w:fldCharType="begin"/>
            </w:r>
            <w:r>
              <w:rPr>
                <w:rFonts w:ascii="Times New Roman" w:hAnsi="Times New Roman"/>
                <w:color w:val="EE0000"/>
                <w:u w:val="single"/>
              </w:rPr>
              <w:instrText xml:space="preserve"> = 1 \* roman </w:instrText>
            </w:r>
            <w:r>
              <w:rPr>
                <w:rFonts w:ascii="Times New Roman" w:hAnsi="Times New Roman"/>
                <w:color w:val="EE0000"/>
                <w:u w:val="single"/>
              </w:rPr>
              <w:fldChar w:fldCharType="separate"/>
            </w:r>
            <w:r>
              <w:rPr>
                <w:rFonts w:ascii="Times New Roman" w:hAnsi="Times New Roman"/>
                <w:color w:val="EE0000"/>
                <w:u w:val="single"/>
              </w:rPr>
              <w:t>i</w:t>
            </w:r>
            <w:r>
              <w:rPr>
                <w:rFonts w:ascii="Times New Roman" w:hAnsi="Times New Roman"/>
                <w:color w:val="EE0000"/>
                <w:u w:val="single"/>
              </w:rPr>
              <w:fldChar w:fldCharType="end"/>
            </w:r>
            <w:r>
              <w:rPr>
                <w:rFonts w:ascii="Times New Roman" w:hAnsi="Times New Roman"/>
                <w:color w:val="EE0000"/>
                <w:u w:val="single"/>
              </w:rPr>
              <w:t>：颗粒物、氮氧化物产生情况</w:t>
            </w:r>
          </w:p>
          <w:p w14:paraId="6FF83906">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颗粒物、NO</w:t>
            </w:r>
            <w:r>
              <w:rPr>
                <w:color w:val="EE0000"/>
                <w:kern w:val="0"/>
                <w:sz w:val="24"/>
                <w:u w:val="single"/>
                <w:vertAlign w:val="subscript"/>
              </w:rPr>
              <w:t>x</w:t>
            </w:r>
            <w:r>
              <w:rPr>
                <w:color w:val="EE0000"/>
                <w:kern w:val="0"/>
                <w:sz w:val="24"/>
                <w:u w:val="single"/>
              </w:rPr>
              <w:t>产生量根据《排放源统计调查产排污核算方法和系数手册》（生态环境部 公告2021年第24号）中“303 砖瓦、石材等建筑材料制造行业系数手册”—“3031 粘土砖瓦及建筑砌块制造”中产排污系数核算，污染物产生情况见表4-4：</w:t>
            </w:r>
          </w:p>
          <w:p w14:paraId="20B094DE">
            <w:pPr>
              <w:autoSpaceDE w:val="0"/>
              <w:autoSpaceDN w:val="0"/>
              <w:adjustRightInd w:val="0"/>
              <w:spacing w:line="500" w:lineRule="exact"/>
              <w:ind w:firstLine="240" w:firstLineChars="100"/>
              <w:jc w:val="center"/>
              <w:rPr>
                <w:color w:val="EE0000"/>
                <w:kern w:val="0"/>
                <w:sz w:val="24"/>
                <w:u w:val="single"/>
              </w:rPr>
            </w:pPr>
            <w:r>
              <w:rPr>
                <w:rFonts w:eastAsia="黑体"/>
                <w:color w:val="EE0000"/>
                <w:kern w:val="0"/>
                <w:sz w:val="24"/>
                <w:u w:val="single"/>
              </w:rPr>
              <w:t>表4-4       窑炉烟气中颗粒物、NO</w:t>
            </w:r>
            <w:r>
              <w:rPr>
                <w:rFonts w:eastAsia="黑体"/>
                <w:color w:val="EE0000"/>
                <w:kern w:val="0"/>
                <w:sz w:val="24"/>
                <w:u w:val="single"/>
                <w:vertAlign w:val="subscript"/>
              </w:rPr>
              <w:t>x</w:t>
            </w:r>
            <w:r>
              <w:rPr>
                <w:rFonts w:eastAsia="黑体"/>
                <w:color w:val="EE0000"/>
                <w:kern w:val="0"/>
                <w:sz w:val="24"/>
                <w:u w:val="single"/>
              </w:rPr>
              <w:t>产生情况</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44"/>
              <w:gridCol w:w="1273"/>
              <w:gridCol w:w="1270"/>
              <w:gridCol w:w="1546"/>
              <w:gridCol w:w="1701"/>
              <w:gridCol w:w="929"/>
            </w:tblGrid>
            <w:tr w14:paraId="09FD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14BBB87">
                  <w:pPr>
                    <w:adjustRightInd w:val="0"/>
                    <w:snapToGrid w:val="0"/>
                    <w:spacing w:line="320" w:lineRule="exact"/>
                    <w:jc w:val="center"/>
                    <w:rPr>
                      <w:color w:val="EE0000"/>
                      <w:szCs w:val="21"/>
                      <w:u w:val="single"/>
                    </w:rPr>
                  </w:pPr>
                  <w:r>
                    <w:rPr>
                      <w:color w:val="EE0000"/>
                      <w:szCs w:val="21"/>
                      <w:u w:val="single"/>
                    </w:rPr>
                    <w:t>产品名称</w:t>
                  </w:r>
                </w:p>
              </w:tc>
              <w:tc>
                <w:tcPr>
                  <w:tcW w:w="511" w:type="pct"/>
                  <w:vAlign w:val="center"/>
                </w:tcPr>
                <w:p w14:paraId="4165EA55">
                  <w:pPr>
                    <w:adjustRightInd w:val="0"/>
                    <w:snapToGrid w:val="0"/>
                    <w:spacing w:line="320" w:lineRule="exact"/>
                    <w:jc w:val="center"/>
                    <w:rPr>
                      <w:color w:val="EE0000"/>
                      <w:szCs w:val="21"/>
                      <w:u w:val="single"/>
                    </w:rPr>
                  </w:pPr>
                  <w:r>
                    <w:rPr>
                      <w:color w:val="EE0000"/>
                      <w:szCs w:val="21"/>
                      <w:u w:val="single"/>
                    </w:rPr>
                    <w:t>原料名称</w:t>
                  </w:r>
                </w:p>
              </w:tc>
              <w:tc>
                <w:tcPr>
                  <w:tcW w:w="770" w:type="pct"/>
                  <w:vAlign w:val="center"/>
                </w:tcPr>
                <w:p w14:paraId="7DDB92DF">
                  <w:pPr>
                    <w:adjustRightInd w:val="0"/>
                    <w:snapToGrid w:val="0"/>
                    <w:spacing w:line="320" w:lineRule="exact"/>
                    <w:jc w:val="center"/>
                    <w:rPr>
                      <w:color w:val="EE0000"/>
                      <w:szCs w:val="21"/>
                      <w:u w:val="single"/>
                    </w:rPr>
                  </w:pPr>
                  <w:r>
                    <w:rPr>
                      <w:color w:val="EE0000"/>
                      <w:szCs w:val="21"/>
                      <w:u w:val="single"/>
                    </w:rPr>
                    <w:t>工艺名称</w:t>
                  </w:r>
                </w:p>
              </w:tc>
              <w:tc>
                <w:tcPr>
                  <w:tcW w:w="768" w:type="pct"/>
                  <w:vAlign w:val="center"/>
                </w:tcPr>
                <w:p w14:paraId="6B9E669A">
                  <w:pPr>
                    <w:adjustRightInd w:val="0"/>
                    <w:snapToGrid w:val="0"/>
                    <w:spacing w:line="320" w:lineRule="exact"/>
                    <w:jc w:val="center"/>
                    <w:rPr>
                      <w:color w:val="EE0000"/>
                      <w:szCs w:val="21"/>
                      <w:u w:val="single"/>
                    </w:rPr>
                  </w:pPr>
                  <w:r>
                    <w:rPr>
                      <w:color w:val="EE0000"/>
                      <w:szCs w:val="21"/>
                      <w:u w:val="single"/>
                    </w:rPr>
                    <w:t>污染物指标</w:t>
                  </w:r>
                </w:p>
              </w:tc>
              <w:tc>
                <w:tcPr>
                  <w:tcW w:w="935" w:type="pct"/>
                  <w:vAlign w:val="center"/>
                </w:tcPr>
                <w:p w14:paraId="36D309DF">
                  <w:pPr>
                    <w:adjustRightInd w:val="0"/>
                    <w:snapToGrid w:val="0"/>
                    <w:spacing w:line="320" w:lineRule="exact"/>
                    <w:jc w:val="center"/>
                    <w:rPr>
                      <w:color w:val="EE0000"/>
                      <w:szCs w:val="21"/>
                      <w:u w:val="single"/>
                    </w:rPr>
                  </w:pPr>
                  <w:r>
                    <w:rPr>
                      <w:color w:val="EE0000"/>
                      <w:szCs w:val="21"/>
                      <w:u w:val="single"/>
                    </w:rPr>
                    <w:t>产污系数</w:t>
                  </w:r>
                </w:p>
              </w:tc>
              <w:tc>
                <w:tcPr>
                  <w:tcW w:w="1029" w:type="pct"/>
                  <w:vAlign w:val="center"/>
                </w:tcPr>
                <w:p w14:paraId="592E8774">
                  <w:pPr>
                    <w:adjustRightInd w:val="0"/>
                    <w:snapToGrid w:val="0"/>
                    <w:spacing w:line="320" w:lineRule="exact"/>
                    <w:jc w:val="center"/>
                    <w:rPr>
                      <w:color w:val="EE0000"/>
                      <w:szCs w:val="21"/>
                      <w:u w:val="single"/>
                    </w:rPr>
                  </w:pPr>
                  <w:r>
                    <w:rPr>
                      <w:color w:val="EE0000"/>
                      <w:szCs w:val="21"/>
                      <w:u w:val="single"/>
                    </w:rPr>
                    <w:t>本项目建设规模</w:t>
                  </w:r>
                </w:p>
              </w:tc>
              <w:tc>
                <w:tcPr>
                  <w:tcW w:w="562" w:type="pct"/>
                  <w:vAlign w:val="center"/>
                </w:tcPr>
                <w:p w14:paraId="690F4601">
                  <w:pPr>
                    <w:adjustRightInd w:val="0"/>
                    <w:snapToGrid w:val="0"/>
                    <w:spacing w:line="320" w:lineRule="exact"/>
                    <w:jc w:val="center"/>
                    <w:rPr>
                      <w:color w:val="EE0000"/>
                      <w:szCs w:val="21"/>
                      <w:u w:val="single"/>
                    </w:rPr>
                  </w:pPr>
                  <w:r>
                    <w:rPr>
                      <w:color w:val="EE0000"/>
                      <w:szCs w:val="21"/>
                      <w:u w:val="single"/>
                    </w:rPr>
                    <w:t>污染物产生量</w:t>
                  </w:r>
                </w:p>
              </w:tc>
            </w:tr>
            <w:tr w14:paraId="73DD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restart"/>
                  <w:vAlign w:val="center"/>
                </w:tcPr>
                <w:p w14:paraId="5CEC365E">
                  <w:pPr>
                    <w:adjustRightInd w:val="0"/>
                    <w:snapToGrid w:val="0"/>
                    <w:spacing w:line="320" w:lineRule="exact"/>
                    <w:jc w:val="center"/>
                    <w:rPr>
                      <w:color w:val="EE0000"/>
                      <w:szCs w:val="21"/>
                      <w:u w:val="single"/>
                    </w:rPr>
                  </w:pPr>
                  <w:r>
                    <w:rPr>
                      <w:color w:val="EE0000"/>
                      <w:szCs w:val="21"/>
                      <w:u w:val="single"/>
                    </w:rPr>
                    <w:t>煤矸石砖</w:t>
                  </w:r>
                </w:p>
              </w:tc>
              <w:tc>
                <w:tcPr>
                  <w:tcW w:w="511" w:type="pct"/>
                  <w:vMerge w:val="restart"/>
                  <w:vAlign w:val="center"/>
                </w:tcPr>
                <w:p w14:paraId="6CEEA3DD">
                  <w:pPr>
                    <w:adjustRightInd w:val="0"/>
                    <w:snapToGrid w:val="0"/>
                    <w:spacing w:line="320" w:lineRule="exact"/>
                    <w:jc w:val="center"/>
                    <w:rPr>
                      <w:color w:val="EE0000"/>
                      <w:szCs w:val="21"/>
                      <w:u w:val="single"/>
                    </w:rPr>
                  </w:pPr>
                  <w:r>
                    <w:rPr>
                      <w:color w:val="EE0000"/>
                      <w:szCs w:val="21"/>
                      <w:u w:val="single"/>
                    </w:rPr>
                    <w:t>煤矸石、污泥等</w:t>
                  </w:r>
                </w:p>
              </w:tc>
              <w:tc>
                <w:tcPr>
                  <w:tcW w:w="770" w:type="pct"/>
                  <w:vMerge w:val="restart"/>
                  <w:vAlign w:val="center"/>
                </w:tcPr>
                <w:p w14:paraId="1A114ED2">
                  <w:pPr>
                    <w:adjustRightInd w:val="0"/>
                    <w:snapToGrid w:val="0"/>
                    <w:spacing w:line="320" w:lineRule="exact"/>
                    <w:jc w:val="center"/>
                    <w:rPr>
                      <w:color w:val="EE0000"/>
                      <w:szCs w:val="21"/>
                      <w:u w:val="single"/>
                    </w:rPr>
                  </w:pPr>
                  <w:r>
                    <w:rPr>
                      <w:color w:val="EE0000"/>
                      <w:szCs w:val="21"/>
                      <w:u w:val="single"/>
                    </w:rPr>
                    <w:t>砖瓦工业焙烧窑炉（硬塑成型等）</w:t>
                  </w:r>
                </w:p>
              </w:tc>
              <w:tc>
                <w:tcPr>
                  <w:tcW w:w="768" w:type="pct"/>
                  <w:vAlign w:val="center"/>
                </w:tcPr>
                <w:p w14:paraId="250999BE">
                  <w:pPr>
                    <w:adjustRightInd w:val="0"/>
                    <w:snapToGrid w:val="0"/>
                    <w:spacing w:line="320" w:lineRule="exact"/>
                    <w:jc w:val="center"/>
                    <w:rPr>
                      <w:color w:val="EE0000"/>
                      <w:szCs w:val="21"/>
                      <w:u w:val="single"/>
                    </w:rPr>
                  </w:pPr>
                  <w:r>
                    <w:rPr>
                      <w:color w:val="EE0000"/>
                      <w:szCs w:val="21"/>
                      <w:u w:val="single"/>
                    </w:rPr>
                    <w:t>颗粒物</w:t>
                  </w:r>
                </w:p>
              </w:tc>
              <w:tc>
                <w:tcPr>
                  <w:tcW w:w="935" w:type="pct"/>
                  <w:vAlign w:val="center"/>
                </w:tcPr>
                <w:p w14:paraId="7C5BE47D">
                  <w:pPr>
                    <w:adjustRightInd w:val="0"/>
                    <w:snapToGrid w:val="0"/>
                    <w:spacing w:line="320" w:lineRule="exact"/>
                    <w:jc w:val="center"/>
                    <w:rPr>
                      <w:color w:val="EE0000"/>
                      <w:szCs w:val="21"/>
                      <w:u w:val="single"/>
                    </w:rPr>
                  </w:pPr>
                  <w:r>
                    <w:rPr>
                      <w:color w:val="EE0000"/>
                      <w:szCs w:val="21"/>
                      <w:u w:val="single"/>
                    </w:rPr>
                    <w:t>6.50千克/万块标砖</w:t>
                  </w:r>
                </w:p>
              </w:tc>
              <w:tc>
                <w:tcPr>
                  <w:tcW w:w="1029" w:type="pct"/>
                  <w:vAlign w:val="center"/>
                </w:tcPr>
                <w:p w14:paraId="6C5980C6">
                  <w:pPr>
                    <w:adjustRightInd w:val="0"/>
                    <w:snapToGrid w:val="0"/>
                    <w:spacing w:line="320" w:lineRule="exact"/>
                    <w:jc w:val="center"/>
                    <w:rPr>
                      <w:color w:val="EE0000"/>
                      <w:szCs w:val="21"/>
                      <w:u w:val="single"/>
                    </w:rPr>
                  </w:pPr>
                  <w:r>
                    <w:rPr>
                      <w:color w:val="EE0000"/>
                      <w:szCs w:val="21"/>
                      <w:u w:val="single"/>
                    </w:rPr>
                    <w:t>12000万块标砖/年</w:t>
                  </w:r>
                </w:p>
              </w:tc>
              <w:tc>
                <w:tcPr>
                  <w:tcW w:w="562" w:type="pct"/>
                  <w:vAlign w:val="center"/>
                </w:tcPr>
                <w:p w14:paraId="40AE2564">
                  <w:pPr>
                    <w:adjustRightInd w:val="0"/>
                    <w:snapToGrid w:val="0"/>
                    <w:spacing w:line="320" w:lineRule="exact"/>
                    <w:jc w:val="center"/>
                    <w:rPr>
                      <w:color w:val="EE0000"/>
                      <w:szCs w:val="21"/>
                      <w:u w:val="single"/>
                    </w:rPr>
                  </w:pPr>
                  <w:r>
                    <w:rPr>
                      <w:color w:val="EE0000"/>
                      <w:szCs w:val="21"/>
                      <w:u w:val="single"/>
                    </w:rPr>
                    <w:t>78t/a</w:t>
                  </w:r>
                </w:p>
              </w:tc>
            </w:tr>
            <w:tr w14:paraId="3EB7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vAlign w:val="center"/>
                </w:tcPr>
                <w:p w14:paraId="07C9F349">
                  <w:pPr>
                    <w:adjustRightInd w:val="0"/>
                    <w:snapToGrid w:val="0"/>
                    <w:spacing w:line="320" w:lineRule="exact"/>
                    <w:jc w:val="center"/>
                    <w:rPr>
                      <w:color w:val="EE0000"/>
                      <w:szCs w:val="21"/>
                      <w:u w:val="single"/>
                    </w:rPr>
                  </w:pPr>
                </w:p>
              </w:tc>
              <w:tc>
                <w:tcPr>
                  <w:tcW w:w="511" w:type="pct"/>
                  <w:vMerge w:val="continue"/>
                  <w:vAlign w:val="center"/>
                </w:tcPr>
                <w:p w14:paraId="6986DFE7">
                  <w:pPr>
                    <w:adjustRightInd w:val="0"/>
                    <w:snapToGrid w:val="0"/>
                    <w:spacing w:line="320" w:lineRule="exact"/>
                    <w:jc w:val="center"/>
                    <w:rPr>
                      <w:color w:val="EE0000"/>
                      <w:szCs w:val="21"/>
                      <w:u w:val="single"/>
                    </w:rPr>
                  </w:pPr>
                </w:p>
              </w:tc>
              <w:tc>
                <w:tcPr>
                  <w:tcW w:w="770" w:type="pct"/>
                  <w:vMerge w:val="continue"/>
                  <w:vAlign w:val="center"/>
                </w:tcPr>
                <w:p w14:paraId="76489D72">
                  <w:pPr>
                    <w:adjustRightInd w:val="0"/>
                    <w:snapToGrid w:val="0"/>
                    <w:spacing w:line="320" w:lineRule="exact"/>
                    <w:jc w:val="center"/>
                    <w:rPr>
                      <w:color w:val="EE0000"/>
                      <w:szCs w:val="21"/>
                      <w:u w:val="single"/>
                    </w:rPr>
                  </w:pPr>
                </w:p>
              </w:tc>
              <w:tc>
                <w:tcPr>
                  <w:tcW w:w="768" w:type="pct"/>
                  <w:vAlign w:val="center"/>
                </w:tcPr>
                <w:p w14:paraId="5ACD1A45">
                  <w:pPr>
                    <w:adjustRightInd w:val="0"/>
                    <w:snapToGrid w:val="0"/>
                    <w:spacing w:line="320" w:lineRule="exact"/>
                    <w:jc w:val="center"/>
                    <w:rPr>
                      <w:color w:val="EE0000"/>
                      <w:szCs w:val="21"/>
                      <w:u w:val="single"/>
                    </w:rPr>
                  </w:pPr>
                  <w:r>
                    <w:rPr>
                      <w:color w:val="EE0000"/>
                      <w:szCs w:val="21"/>
                      <w:u w:val="single"/>
                    </w:rPr>
                    <w:t>氮氧化物</w:t>
                  </w:r>
                </w:p>
              </w:tc>
              <w:tc>
                <w:tcPr>
                  <w:tcW w:w="935" w:type="pct"/>
                  <w:vAlign w:val="center"/>
                </w:tcPr>
                <w:p w14:paraId="0975ACA6">
                  <w:pPr>
                    <w:adjustRightInd w:val="0"/>
                    <w:snapToGrid w:val="0"/>
                    <w:spacing w:line="320" w:lineRule="exact"/>
                    <w:jc w:val="center"/>
                    <w:rPr>
                      <w:color w:val="EE0000"/>
                      <w:szCs w:val="21"/>
                      <w:u w:val="single"/>
                    </w:rPr>
                  </w:pPr>
                  <w:r>
                    <w:rPr>
                      <w:color w:val="EE0000"/>
                      <w:szCs w:val="21"/>
                      <w:u w:val="single"/>
                    </w:rPr>
                    <w:t>8.16千克/万块标砖</w:t>
                  </w:r>
                </w:p>
              </w:tc>
              <w:tc>
                <w:tcPr>
                  <w:tcW w:w="1029" w:type="pct"/>
                  <w:vAlign w:val="center"/>
                </w:tcPr>
                <w:p w14:paraId="026D1F25">
                  <w:pPr>
                    <w:adjustRightInd w:val="0"/>
                    <w:snapToGrid w:val="0"/>
                    <w:spacing w:line="320" w:lineRule="exact"/>
                    <w:jc w:val="center"/>
                    <w:rPr>
                      <w:color w:val="EE0000"/>
                      <w:szCs w:val="21"/>
                      <w:u w:val="single"/>
                    </w:rPr>
                  </w:pPr>
                  <w:r>
                    <w:rPr>
                      <w:color w:val="EE0000"/>
                      <w:szCs w:val="21"/>
                      <w:u w:val="single"/>
                    </w:rPr>
                    <w:t>12000万块标砖/年</w:t>
                  </w:r>
                </w:p>
              </w:tc>
              <w:tc>
                <w:tcPr>
                  <w:tcW w:w="562" w:type="pct"/>
                  <w:vAlign w:val="center"/>
                </w:tcPr>
                <w:p w14:paraId="2F5082D1">
                  <w:pPr>
                    <w:adjustRightInd w:val="0"/>
                    <w:snapToGrid w:val="0"/>
                    <w:spacing w:line="320" w:lineRule="exact"/>
                    <w:jc w:val="center"/>
                    <w:rPr>
                      <w:color w:val="EE0000"/>
                      <w:szCs w:val="21"/>
                      <w:u w:val="single"/>
                    </w:rPr>
                  </w:pPr>
                  <w:r>
                    <w:rPr>
                      <w:color w:val="EE0000"/>
                      <w:szCs w:val="21"/>
                      <w:u w:val="single"/>
                    </w:rPr>
                    <w:t>97.92t/a</w:t>
                  </w:r>
                </w:p>
              </w:tc>
            </w:tr>
          </w:tbl>
          <w:p w14:paraId="1C971B14">
            <w:pPr>
              <w:autoSpaceDE w:val="0"/>
              <w:autoSpaceDN w:val="0"/>
              <w:adjustRightInd w:val="0"/>
              <w:spacing w:line="520" w:lineRule="exact"/>
              <w:ind w:firstLine="480" w:firstLineChars="200"/>
              <w:jc w:val="left"/>
              <w:rPr>
                <w:color w:val="EE0000"/>
                <w:kern w:val="0"/>
                <w:sz w:val="24"/>
                <w:u w:val="single"/>
              </w:rPr>
            </w:pPr>
            <w:r>
              <w:rPr>
                <w:color w:val="EE0000"/>
                <w:kern w:val="0"/>
                <w:sz w:val="24"/>
                <w:u w:val="single"/>
              </w:rPr>
              <w:fldChar w:fldCharType="begin"/>
            </w:r>
            <w:r>
              <w:rPr>
                <w:color w:val="EE0000"/>
                <w:kern w:val="0"/>
                <w:sz w:val="24"/>
                <w:u w:val="single"/>
              </w:rPr>
              <w:instrText xml:space="preserve"> = 2 \* roman </w:instrText>
            </w:r>
            <w:r>
              <w:rPr>
                <w:color w:val="EE0000"/>
                <w:kern w:val="0"/>
                <w:sz w:val="24"/>
                <w:u w:val="single"/>
              </w:rPr>
              <w:fldChar w:fldCharType="separate"/>
            </w:r>
            <w:r>
              <w:rPr>
                <w:color w:val="EE0000"/>
                <w:kern w:val="0"/>
                <w:sz w:val="24"/>
                <w:u w:val="single"/>
              </w:rPr>
              <w:t>ii</w:t>
            </w:r>
            <w:r>
              <w:rPr>
                <w:color w:val="EE0000"/>
                <w:kern w:val="0"/>
                <w:sz w:val="24"/>
                <w:u w:val="single"/>
              </w:rPr>
              <w:fldChar w:fldCharType="end"/>
            </w:r>
            <w:r>
              <w:rPr>
                <w:color w:val="EE0000"/>
                <w:kern w:val="0"/>
                <w:sz w:val="24"/>
                <w:u w:val="single"/>
              </w:rPr>
              <w:t>：二氧化硫产生情况</w:t>
            </w:r>
          </w:p>
          <w:p w14:paraId="6BF697EB">
            <w:pPr>
              <w:autoSpaceDE w:val="0"/>
              <w:autoSpaceDN w:val="0"/>
              <w:adjustRightInd w:val="0"/>
              <w:spacing w:line="520" w:lineRule="exact"/>
              <w:ind w:firstLine="480" w:firstLineChars="200"/>
              <w:jc w:val="left"/>
              <w:rPr>
                <w:color w:val="EE0000"/>
                <w:kern w:val="0"/>
                <w:sz w:val="24"/>
                <w:u w:val="single"/>
              </w:rPr>
            </w:pPr>
            <w:r>
              <w:rPr>
                <w:color w:val="EE0000"/>
                <w:kern w:val="0"/>
                <w:sz w:val="24"/>
                <w:u w:val="single"/>
              </w:rPr>
              <w:t>本项目废气污染物SO</w:t>
            </w:r>
            <w:r>
              <w:rPr>
                <w:color w:val="EE0000"/>
                <w:kern w:val="0"/>
                <w:sz w:val="24"/>
                <w:u w:val="single"/>
                <w:vertAlign w:val="subscript"/>
              </w:rPr>
              <w:t xml:space="preserve">2 </w:t>
            </w:r>
            <w:r>
              <w:rPr>
                <w:color w:val="EE0000"/>
                <w:kern w:val="0"/>
                <w:sz w:val="24"/>
                <w:u w:val="single"/>
              </w:rPr>
              <w:t>主要来源于煤矸石燃烧。根据企业生产期间的原料分析报送单，项目用煤矸石含硫量在0.12%~0.4%之间，本次评价按0.4%进行核算。根据化学工业出版社1986年出版的《煤矸石砖》，不同焙烧温度下煤矸石中硫的残留量见表4-5。</w:t>
            </w:r>
          </w:p>
          <w:p w14:paraId="6E2F016A">
            <w:pPr>
              <w:autoSpaceDE w:val="0"/>
              <w:autoSpaceDN w:val="0"/>
              <w:adjustRightInd w:val="0"/>
              <w:spacing w:line="500" w:lineRule="exact"/>
              <w:ind w:firstLine="240" w:firstLineChars="100"/>
              <w:jc w:val="center"/>
              <w:rPr>
                <w:color w:val="EE0000"/>
                <w:kern w:val="0"/>
                <w:sz w:val="24"/>
                <w:u w:val="single"/>
              </w:rPr>
            </w:pPr>
            <w:r>
              <w:rPr>
                <w:rFonts w:eastAsia="黑体"/>
                <w:color w:val="EE0000"/>
                <w:kern w:val="0"/>
                <w:sz w:val="24"/>
                <w:u w:val="single"/>
              </w:rPr>
              <w:t>表4-5       焙烧温度与（℃）残存硫量的关系内容</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857"/>
              <w:gridCol w:w="999"/>
              <w:gridCol w:w="856"/>
              <w:gridCol w:w="998"/>
              <w:gridCol w:w="1142"/>
              <w:gridCol w:w="856"/>
              <w:gridCol w:w="724"/>
            </w:tblGrid>
            <w:tr w14:paraId="4BE3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14:paraId="1C5620D8">
                  <w:pPr>
                    <w:adjustRightInd w:val="0"/>
                    <w:snapToGrid w:val="0"/>
                    <w:spacing w:line="320" w:lineRule="exact"/>
                    <w:jc w:val="center"/>
                    <w:rPr>
                      <w:color w:val="EE0000"/>
                      <w:szCs w:val="21"/>
                      <w:u w:val="single"/>
                    </w:rPr>
                  </w:pPr>
                  <w:r>
                    <w:rPr>
                      <w:color w:val="EE0000"/>
                      <w:szCs w:val="21"/>
                      <w:u w:val="single"/>
                    </w:rPr>
                    <w:t>焙烧温度（℃）</w:t>
                  </w:r>
                </w:p>
              </w:tc>
              <w:tc>
                <w:tcPr>
                  <w:tcW w:w="518" w:type="pct"/>
                  <w:vAlign w:val="center"/>
                </w:tcPr>
                <w:p w14:paraId="2F36B026">
                  <w:pPr>
                    <w:adjustRightInd w:val="0"/>
                    <w:snapToGrid w:val="0"/>
                    <w:spacing w:line="320" w:lineRule="exact"/>
                    <w:jc w:val="center"/>
                    <w:rPr>
                      <w:color w:val="EE0000"/>
                      <w:szCs w:val="21"/>
                      <w:u w:val="single"/>
                    </w:rPr>
                  </w:pPr>
                  <w:r>
                    <w:rPr>
                      <w:color w:val="EE0000"/>
                      <w:szCs w:val="21"/>
                      <w:u w:val="single"/>
                    </w:rPr>
                    <w:t>850</w:t>
                  </w:r>
                </w:p>
              </w:tc>
              <w:tc>
                <w:tcPr>
                  <w:tcW w:w="604" w:type="pct"/>
                  <w:vAlign w:val="center"/>
                </w:tcPr>
                <w:p w14:paraId="601065B0">
                  <w:pPr>
                    <w:adjustRightInd w:val="0"/>
                    <w:snapToGrid w:val="0"/>
                    <w:spacing w:line="320" w:lineRule="exact"/>
                    <w:jc w:val="center"/>
                    <w:rPr>
                      <w:color w:val="EE0000"/>
                      <w:szCs w:val="21"/>
                      <w:u w:val="single"/>
                    </w:rPr>
                  </w:pPr>
                  <w:r>
                    <w:rPr>
                      <w:color w:val="EE0000"/>
                      <w:szCs w:val="21"/>
                      <w:u w:val="single"/>
                    </w:rPr>
                    <w:t>900</w:t>
                  </w:r>
                </w:p>
              </w:tc>
              <w:tc>
                <w:tcPr>
                  <w:tcW w:w="518" w:type="pct"/>
                  <w:vAlign w:val="center"/>
                </w:tcPr>
                <w:p w14:paraId="701A0081">
                  <w:pPr>
                    <w:adjustRightInd w:val="0"/>
                    <w:snapToGrid w:val="0"/>
                    <w:spacing w:line="320" w:lineRule="exact"/>
                    <w:jc w:val="center"/>
                    <w:rPr>
                      <w:color w:val="EE0000"/>
                      <w:szCs w:val="21"/>
                      <w:u w:val="single"/>
                    </w:rPr>
                  </w:pPr>
                  <w:r>
                    <w:rPr>
                      <w:color w:val="EE0000"/>
                      <w:szCs w:val="21"/>
                      <w:u w:val="single"/>
                    </w:rPr>
                    <w:t>950</w:t>
                  </w:r>
                </w:p>
              </w:tc>
              <w:tc>
                <w:tcPr>
                  <w:tcW w:w="604" w:type="pct"/>
                  <w:vAlign w:val="center"/>
                </w:tcPr>
                <w:p w14:paraId="30924076">
                  <w:pPr>
                    <w:adjustRightInd w:val="0"/>
                    <w:snapToGrid w:val="0"/>
                    <w:spacing w:line="320" w:lineRule="exact"/>
                    <w:jc w:val="center"/>
                    <w:rPr>
                      <w:color w:val="EE0000"/>
                      <w:szCs w:val="21"/>
                      <w:u w:val="single"/>
                    </w:rPr>
                  </w:pPr>
                  <w:r>
                    <w:rPr>
                      <w:color w:val="EE0000"/>
                      <w:szCs w:val="21"/>
                      <w:u w:val="single"/>
                    </w:rPr>
                    <w:t>1000</w:t>
                  </w:r>
                </w:p>
              </w:tc>
              <w:tc>
                <w:tcPr>
                  <w:tcW w:w="691" w:type="pct"/>
                  <w:vAlign w:val="center"/>
                </w:tcPr>
                <w:p w14:paraId="75BFC269">
                  <w:pPr>
                    <w:adjustRightInd w:val="0"/>
                    <w:snapToGrid w:val="0"/>
                    <w:spacing w:line="320" w:lineRule="exact"/>
                    <w:jc w:val="center"/>
                    <w:rPr>
                      <w:color w:val="EE0000"/>
                      <w:szCs w:val="21"/>
                      <w:u w:val="single"/>
                    </w:rPr>
                  </w:pPr>
                  <w:r>
                    <w:rPr>
                      <w:color w:val="EE0000"/>
                      <w:szCs w:val="21"/>
                      <w:u w:val="single"/>
                    </w:rPr>
                    <w:t>1050</w:t>
                  </w:r>
                </w:p>
              </w:tc>
              <w:tc>
                <w:tcPr>
                  <w:tcW w:w="518" w:type="pct"/>
                  <w:vAlign w:val="center"/>
                </w:tcPr>
                <w:p w14:paraId="5892244A">
                  <w:pPr>
                    <w:adjustRightInd w:val="0"/>
                    <w:snapToGrid w:val="0"/>
                    <w:spacing w:line="320" w:lineRule="exact"/>
                    <w:jc w:val="center"/>
                    <w:rPr>
                      <w:color w:val="EE0000"/>
                      <w:szCs w:val="21"/>
                      <w:u w:val="single"/>
                    </w:rPr>
                  </w:pPr>
                  <w:r>
                    <w:rPr>
                      <w:color w:val="EE0000"/>
                      <w:szCs w:val="21"/>
                      <w:u w:val="single"/>
                    </w:rPr>
                    <w:t>1100</w:t>
                  </w:r>
                </w:p>
              </w:tc>
              <w:tc>
                <w:tcPr>
                  <w:tcW w:w="438" w:type="pct"/>
                  <w:vAlign w:val="center"/>
                </w:tcPr>
                <w:p w14:paraId="79870551">
                  <w:pPr>
                    <w:adjustRightInd w:val="0"/>
                    <w:snapToGrid w:val="0"/>
                    <w:spacing w:line="320" w:lineRule="exact"/>
                    <w:jc w:val="center"/>
                    <w:rPr>
                      <w:color w:val="EE0000"/>
                      <w:szCs w:val="21"/>
                      <w:u w:val="single"/>
                    </w:rPr>
                  </w:pPr>
                  <w:r>
                    <w:rPr>
                      <w:color w:val="EE0000"/>
                      <w:szCs w:val="21"/>
                      <w:u w:val="single"/>
                    </w:rPr>
                    <w:t>1050</w:t>
                  </w:r>
                </w:p>
              </w:tc>
            </w:tr>
            <w:tr w14:paraId="58F8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14:paraId="048E2668">
                  <w:pPr>
                    <w:adjustRightInd w:val="0"/>
                    <w:snapToGrid w:val="0"/>
                    <w:spacing w:line="320" w:lineRule="exact"/>
                    <w:jc w:val="center"/>
                    <w:rPr>
                      <w:color w:val="EE0000"/>
                      <w:szCs w:val="21"/>
                      <w:u w:val="single"/>
                    </w:rPr>
                  </w:pPr>
                  <w:r>
                    <w:rPr>
                      <w:color w:val="EE0000"/>
                      <w:szCs w:val="21"/>
                      <w:u w:val="single"/>
                    </w:rPr>
                    <w:t>残存硫量（%）</w:t>
                  </w:r>
                </w:p>
              </w:tc>
              <w:tc>
                <w:tcPr>
                  <w:tcW w:w="518" w:type="pct"/>
                  <w:vAlign w:val="center"/>
                </w:tcPr>
                <w:p w14:paraId="5C641C93">
                  <w:pPr>
                    <w:adjustRightInd w:val="0"/>
                    <w:snapToGrid w:val="0"/>
                    <w:spacing w:line="320" w:lineRule="exact"/>
                    <w:jc w:val="center"/>
                    <w:rPr>
                      <w:color w:val="EE0000"/>
                      <w:szCs w:val="21"/>
                      <w:u w:val="single"/>
                    </w:rPr>
                  </w:pPr>
                  <w:r>
                    <w:rPr>
                      <w:color w:val="EE0000"/>
                      <w:szCs w:val="21"/>
                      <w:u w:val="single"/>
                    </w:rPr>
                    <w:t>100</w:t>
                  </w:r>
                </w:p>
              </w:tc>
              <w:tc>
                <w:tcPr>
                  <w:tcW w:w="604" w:type="pct"/>
                  <w:vAlign w:val="center"/>
                </w:tcPr>
                <w:p w14:paraId="07A92778">
                  <w:pPr>
                    <w:adjustRightInd w:val="0"/>
                    <w:snapToGrid w:val="0"/>
                    <w:spacing w:line="320" w:lineRule="exact"/>
                    <w:jc w:val="center"/>
                    <w:rPr>
                      <w:color w:val="EE0000"/>
                      <w:szCs w:val="21"/>
                      <w:u w:val="single"/>
                    </w:rPr>
                  </w:pPr>
                  <w:r>
                    <w:rPr>
                      <w:color w:val="EE0000"/>
                      <w:szCs w:val="21"/>
                      <w:u w:val="single"/>
                    </w:rPr>
                    <w:t>68.42</w:t>
                  </w:r>
                </w:p>
              </w:tc>
              <w:tc>
                <w:tcPr>
                  <w:tcW w:w="518" w:type="pct"/>
                  <w:vAlign w:val="center"/>
                </w:tcPr>
                <w:p w14:paraId="7F5BE7ED">
                  <w:pPr>
                    <w:adjustRightInd w:val="0"/>
                    <w:snapToGrid w:val="0"/>
                    <w:spacing w:line="320" w:lineRule="exact"/>
                    <w:jc w:val="center"/>
                    <w:rPr>
                      <w:color w:val="EE0000"/>
                      <w:szCs w:val="21"/>
                      <w:u w:val="single"/>
                    </w:rPr>
                  </w:pPr>
                  <w:r>
                    <w:rPr>
                      <w:color w:val="EE0000"/>
                      <w:szCs w:val="21"/>
                      <w:u w:val="single"/>
                    </w:rPr>
                    <w:t>47.37</w:t>
                  </w:r>
                </w:p>
              </w:tc>
              <w:tc>
                <w:tcPr>
                  <w:tcW w:w="604" w:type="pct"/>
                  <w:vAlign w:val="center"/>
                </w:tcPr>
                <w:p w14:paraId="03DD7E4A">
                  <w:pPr>
                    <w:adjustRightInd w:val="0"/>
                    <w:snapToGrid w:val="0"/>
                    <w:spacing w:line="320" w:lineRule="exact"/>
                    <w:jc w:val="center"/>
                    <w:rPr>
                      <w:color w:val="EE0000"/>
                      <w:szCs w:val="21"/>
                      <w:u w:val="single"/>
                    </w:rPr>
                  </w:pPr>
                  <w:r>
                    <w:rPr>
                      <w:color w:val="EE0000"/>
                      <w:szCs w:val="21"/>
                      <w:u w:val="single"/>
                    </w:rPr>
                    <w:t>30.26</w:t>
                  </w:r>
                </w:p>
              </w:tc>
              <w:tc>
                <w:tcPr>
                  <w:tcW w:w="691" w:type="pct"/>
                  <w:vAlign w:val="center"/>
                </w:tcPr>
                <w:p w14:paraId="634294DA">
                  <w:pPr>
                    <w:adjustRightInd w:val="0"/>
                    <w:snapToGrid w:val="0"/>
                    <w:spacing w:line="320" w:lineRule="exact"/>
                    <w:jc w:val="center"/>
                    <w:rPr>
                      <w:color w:val="EE0000"/>
                      <w:szCs w:val="21"/>
                      <w:u w:val="single"/>
                    </w:rPr>
                  </w:pPr>
                  <w:r>
                    <w:rPr>
                      <w:color w:val="EE0000"/>
                      <w:szCs w:val="21"/>
                      <w:u w:val="single"/>
                    </w:rPr>
                    <w:t>17.11</w:t>
                  </w:r>
                </w:p>
              </w:tc>
              <w:tc>
                <w:tcPr>
                  <w:tcW w:w="518" w:type="pct"/>
                  <w:vAlign w:val="center"/>
                </w:tcPr>
                <w:p w14:paraId="0C556356">
                  <w:pPr>
                    <w:adjustRightInd w:val="0"/>
                    <w:snapToGrid w:val="0"/>
                    <w:spacing w:line="320" w:lineRule="exact"/>
                    <w:jc w:val="center"/>
                    <w:rPr>
                      <w:color w:val="EE0000"/>
                      <w:szCs w:val="21"/>
                      <w:u w:val="single"/>
                    </w:rPr>
                  </w:pPr>
                  <w:r>
                    <w:rPr>
                      <w:color w:val="EE0000"/>
                      <w:szCs w:val="21"/>
                      <w:u w:val="single"/>
                    </w:rPr>
                    <w:t>6.58</w:t>
                  </w:r>
                </w:p>
              </w:tc>
              <w:tc>
                <w:tcPr>
                  <w:tcW w:w="438" w:type="pct"/>
                  <w:vAlign w:val="center"/>
                </w:tcPr>
                <w:p w14:paraId="42D0A28C">
                  <w:pPr>
                    <w:adjustRightInd w:val="0"/>
                    <w:snapToGrid w:val="0"/>
                    <w:spacing w:line="320" w:lineRule="exact"/>
                    <w:jc w:val="center"/>
                    <w:rPr>
                      <w:color w:val="EE0000"/>
                      <w:szCs w:val="21"/>
                      <w:u w:val="single"/>
                    </w:rPr>
                  </w:pPr>
                  <w:r>
                    <w:rPr>
                      <w:color w:val="EE0000"/>
                      <w:szCs w:val="21"/>
                      <w:u w:val="single"/>
                    </w:rPr>
                    <w:t>0</w:t>
                  </w:r>
                </w:p>
              </w:tc>
            </w:tr>
          </w:tbl>
          <w:p w14:paraId="58F3A7F2">
            <w:pPr>
              <w:autoSpaceDE w:val="0"/>
              <w:autoSpaceDN w:val="0"/>
              <w:adjustRightInd w:val="0"/>
              <w:spacing w:line="520" w:lineRule="exact"/>
              <w:ind w:firstLine="480" w:firstLineChars="200"/>
              <w:jc w:val="left"/>
              <w:rPr>
                <w:color w:val="EE0000"/>
                <w:kern w:val="0"/>
                <w:sz w:val="24"/>
                <w:u w:val="single"/>
              </w:rPr>
            </w:pPr>
            <w:r>
              <w:rPr>
                <w:color w:val="EE0000"/>
                <w:kern w:val="0"/>
                <w:sz w:val="24"/>
                <w:u w:val="single"/>
              </w:rPr>
              <w:t>本项目营运后煤矸石用量为20.7万t/a，煤矸石含硫量为0.4%，焙烧隧道窑烧成温度控制在940～1000℃之间，本次评价焙烧温度按最大值1000℃计，则产品中残存硫量为30.26%，即69.74%的硫转化为SO</w:t>
            </w:r>
            <w:r>
              <w:rPr>
                <w:color w:val="EE0000"/>
                <w:kern w:val="0"/>
                <w:sz w:val="24"/>
                <w:u w:val="single"/>
                <w:vertAlign w:val="subscript"/>
              </w:rPr>
              <w:t>2</w:t>
            </w:r>
            <w:r>
              <w:rPr>
                <w:color w:val="EE0000"/>
                <w:kern w:val="0"/>
                <w:sz w:val="24"/>
                <w:u w:val="single"/>
              </w:rPr>
              <w:t>，根据物料衡算，转换为SO</w:t>
            </w:r>
            <w:r>
              <w:rPr>
                <w:color w:val="EE0000"/>
                <w:kern w:val="0"/>
                <w:sz w:val="24"/>
                <w:u w:val="single"/>
                <w:vertAlign w:val="subscript"/>
              </w:rPr>
              <w:t>2</w:t>
            </w:r>
            <w:r>
              <w:rPr>
                <w:color w:val="EE0000"/>
                <w:kern w:val="0"/>
                <w:sz w:val="24"/>
                <w:u w:val="single"/>
              </w:rPr>
              <w:t>的硫量为577.45t/a，SO</w:t>
            </w:r>
            <w:r>
              <w:rPr>
                <w:color w:val="EE0000"/>
                <w:kern w:val="0"/>
                <w:sz w:val="24"/>
                <w:u w:val="single"/>
                <w:vertAlign w:val="subscript"/>
              </w:rPr>
              <w:t>2</w:t>
            </w:r>
            <w:r>
              <w:rPr>
                <w:color w:val="EE0000"/>
                <w:kern w:val="0"/>
                <w:sz w:val="24"/>
                <w:u w:val="single"/>
              </w:rPr>
              <w:t>的产生量为1154.9t/a。</w:t>
            </w:r>
          </w:p>
          <w:p w14:paraId="167ED891">
            <w:pPr>
              <w:pStyle w:val="189"/>
              <w:adjustRightInd w:val="0"/>
              <w:snapToGrid w:val="0"/>
              <w:spacing w:before="0" w:after="0" w:line="500" w:lineRule="exact"/>
              <w:rPr>
                <w:rFonts w:ascii="Times New Roman" w:hAnsi="Times New Roman"/>
                <w:bCs w:val="0"/>
                <w:color w:val="EE0000"/>
                <w:szCs w:val="22"/>
                <w:u w:val="single"/>
              </w:rPr>
            </w:pPr>
            <w:r>
              <w:rPr>
                <w:rFonts w:ascii="Times New Roman" w:hAnsi="Times New Roman"/>
                <w:bCs w:val="0"/>
                <w:color w:val="EE0000"/>
                <w:szCs w:val="22"/>
                <w:u w:val="single"/>
              </w:rPr>
              <w:fldChar w:fldCharType="begin"/>
            </w:r>
            <w:r>
              <w:rPr>
                <w:rFonts w:ascii="Times New Roman" w:hAnsi="Times New Roman"/>
                <w:bCs w:val="0"/>
                <w:color w:val="EE0000"/>
                <w:szCs w:val="22"/>
                <w:u w:val="single"/>
              </w:rPr>
              <w:instrText xml:space="preserve"> = 3 \* roman </w:instrText>
            </w:r>
            <w:r>
              <w:rPr>
                <w:rFonts w:ascii="Times New Roman" w:hAnsi="Times New Roman"/>
                <w:bCs w:val="0"/>
                <w:color w:val="EE0000"/>
                <w:szCs w:val="22"/>
                <w:u w:val="single"/>
              </w:rPr>
              <w:fldChar w:fldCharType="separate"/>
            </w:r>
            <w:r>
              <w:rPr>
                <w:rFonts w:ascii="Times New Roman" w:hAnsi="Times New Roman"/>
                <w:bCs w:val="0"/>
                <w:color w:val="EE0000"/>
                <w:szCs w:val="22"/>
                <w:u w:val="single"/>
              </w:rPr>
              <w:t>iii</w:t>
            </w:r>
            <w:r>
              <w:rPr>
                <w:rFonts w:ascii="Times New Roman" w:hAnsi="Times New Roman"/>
                <w:bCs w:val="0"/>
                <w:color w:val="EE0000"/>
                <w:szCs w:val="22"/>
                <w:u w:val="single"/>
              </w:rPr>
              <w:fldChar w:fldCharType="end"/>
            </w:r>
            <w:r>
              <w:rPr>
                <w:rFonts w:ascii="Times New Roman" w:hAnsi="Times New Roman"/>
                <w:bCs w:val="0"/>
                <w:color w:val="EE0000"/>
                <w:szCs w:val="22"/>
                <w:u w:val="single"/>
              </w:rPr>
              <w:t>：氟化物产生情况</w:t>
            </w:r>
          </w:p>
          <w:p w14:paraId="1B46EA80">
            <w:pPr>
              <w:autoSpaceDE w:val="0"/>
              <w:autoSpaceDN w:val="0"/>
              <w:adjustRightInd w:val="0"/>
              <w:spacing w:line="520" w:lineRule="exact"/>
              <w:ind w:firstLine="480" w:firstLineChars="200"/>
              <w:jc w:val="left"/>
              <w:rPr>
                <w:color w:val="EE0000"/>
                <w:kern w:val="0"/>
                <w:sz w:val="24"/>
                <w:u w:val="single"/>
              </w:rPr>
            </w:pPr>
            <w:r>
              <w:rPr>
                <w:color w:val="EE0000"/>
                <w:kern w:val="0"/>
                <w:sz w:val="24"/>
                <w:u w:val="single"/>
              </w:rPr>
              <w:t>氟化物产生主要来源于煤矸石燃烧，类比现有工程在线检测数据，满负荷工况下（年产1.2亿块折标砖）氟化物排放量为1.344t/a，氟化物为酸性物质，现有钠钙双碱法脱硫塔在运行过程中不仅对SO</w:t>
            </w:r>
            <w:r>
              <w:rPr>
                <w:color w:val="EE0000"/>
                <w:kern w:val="0"/>
                <w:sz w:val="24"/>
                <w:u w:val="single"/>
                <w:vertAlign w:val="subscript"/>
              </w:rPr>
              <w:t>2</w:t>
            </w:r>
            <w:r>
              <w:rPr>
                <w:color w:val="EE0000"/>
                <w:kern w:val="0"/>
                <w:sz w:val="24"/>
                <w:u w:val="single"/>
              </w:rPr>
              <w:t>具有很高的去除率，对氟化物也有很高的去除率，约为90%，由此推算，整合后氟化物产生量约为13.44 t/a。</w:t>
            </w:r>
          </w:p>
          <w:p w14:paraId="0A9EF058">
            <w:pPr>
              <w:tabs>
                <w:tab w:val="left" w:pos="210"/>
              </w:tabs>
              <w:spacing w:line="520" w:lineRule="exact"/>
              <w:ind w:firstLine="420" w:firstLineChars="200"/>
              <w:rPr>
                <w:color w:val="EE0000"/>
                <w:kern w:val="0"/>
                <w:sz w:val="24"/>
                <w:u w:val="single"/>
              </w:rPr>
            </w:pPr>
            <w:r>
              <w:rPr>
                <w:color w:val="EE0000"/>
                <w:u w:val="single"/>
              </w:rPr>
              <w:fldChar w:fldCharType="begin"/>
            </w:r>
            <w:r>
              <w:rPr>
                <w:color w:val="EE0000"/>
                <w:u w:val="single"/>
              </w:rPr>
              <w:instrText xml:space="preserve"> = 4 \* roman </w:instrText>
            </w:r>
            <w:r>
              <w:rPr>
                <w:color w:val="EE0000"/>
                <w:u w:val="single"/>
              </w:rPr>
              <w:fldChar w:fldCharType="separate"/>
            </w:r>
            <w:r>
              <w:rPr>
                <w:color w:val="EE0000"/>
                <w:u w:val="single"/>
              </w:rPr>
              <w:t>iv</w:t>
            </w:r>
            <w:r>
              <w:rPr>
                <w:color w:val="EE0000"/>
                <w:u w:val="single"/>
              </w:rPr>
              <w:fldChar w:fldCharType="end"/>
            </w:r>
            <w:r>
              <w:rPr>
                <w:color w:val="EE0000"/>
                <w:u w:val="single"/>
              </w:rPr>
              <w:t>：</w:t>
            </w:r>
            <w:r>
              <w:rPr>
                <w:color w:val="EE0000"/>
                <w:kern w:val="0"/>
                <w:sz w:val="24"/>
                <w:u w:val="single"/>
              </w:rPr>
              <w:t>氯化氢产生情况</w:t>
            </w:r>
          </w:p>
          <w:p w14:paraId="0E770A28">
            <w:pPr>
              <w:tabs>
                <w:tab w:val="left" w:pos="210"/>
              </w:tabs>
              <w:spacing w:line="520" w:lineRule="exact"/>
              <w:ind w:firstLine="480" w:firstLineChars="200"/>
              <w:rPr>
                <w:color w:val="EE0000"/>
                <w:kern w:val="0"/>
                <w:sz w:val="24"/>
                <w:u w:val="single"/>
              </w:rPr>
            </w:pPr>
            <w:r>
              <w:rPr>
                <w:color w:val="EE0000"/>
                <w:kern w:val="0"/>
                <w:sz w:val="24"/>
                <w:u w:val="single"/>
              </w:rPr>
              <w:t>根据《烟煤掺烧污泥HC1的排放和脱除实验研究》《城市生活垃圾与煤矸石混烧特性及其HC1排放特性研究》《水基钻井岩屑烧结砖的制备及性能研究》，生活污泥中氯含量约0.8907g/kg，煤矸石氯含量约0.01%，废水基泥浆、岩屑氯含量为0.72%。制砖过程中氯化物以HCl计，产生的HC1同烟气排出。本项目氯化氢产生情况如下表：</w:t>
            </w:r>
          </w:p>
          <w:p w14:paraId="07CD5E20">
            <w:pPr>
              <w:autoSpaceDE w:val="0"/>
              <w:autoSpaceDN w:val="0"/>
              <w:adjustRightInd w:val="0"/>
              <w:spacing w:line="500" w:lineRule="exact"/>
              <w:ind w:firstLine="240" w:firstLineChars="100"/>
              <w:jc w:val="center"/>
              <w:rPr>
                <w:color w:val="EE0000"/>
                <w:kern w:val="0"/>
                <w:sz w:val="24"/>
                <w:u w:val="single"/>
              </w:rPr>
            </w:pPr>
            <w:r>
              <w:rPr>
                <w:rFonts w:eastAsia="黑体"/>
                <w:color w:val="EE0000"/>
                <w:kern w:val="0"/>
                <w:sz w:val="24"/>
                <w:u w:val="single"/>
              </w:rPr>
              <w:t>表4-6    氯化氢产生量一览表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972"/>
              <w:gridCol w:w="1686"/>
              <w:gridCol w:w="1408"/>
              <w:gridCol w:w="1501"/>
            </w:tblGrid>
            <w:tr w14:paraId="2970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1027" w:type="pct"/>
                  <w:vAlign w:val="center"/>
                </w:tcPr>
                <w:p w14:paraId="6CA0B0F0">
                  <w:pPr>
                    <w:adjustRightInd w:val="0"/>
                    <w:snapToGrid w:val="0"/>
                    <w:spacing w:line="320" w:lineRule="exact"/>
                    <w:jc w:val="center"/>
                    <w:rPr>
                      <w:color w:val="EE0000"/>
                      <w:szCs w:val="21"/>
                      <w:u w:val="single"/>
                    </w:rPr>
                  </w:pPr>
                  <w:r>
                    <w:rPr>
                      <w:color w:val="EE0000"/>
                      <w:szCs w:val="21"/>
                      <w:u w:val="single"/>
                    </w:rPr>
                    <w:t>原料名称</w:t>
                  </w:r>
                </w:p>
              </w:tc>
              <w:tc>
                <w:tcPr>
                  <w:tcW w:w="1193" w:type="pct"/>
                  <w:vAlign w:val="center"/>
                </w:tcPr>
                <w:p w14:paraId="6BB0D3AE">
                  <w:pPr>
                    <w:adjustRightInd w:val="0"/>
                    <w:snapToGrid w:val="0"/>
                    <w:spacing w:line="320" w:lineRule="exact"/>
                    <w:jc w:val="center"/>
                    <w:rPr>
                      <w:color w:val="EE0000"/>
                      <w:szCs w:val="21"/>
                      <w:u w:val="single"/>
                    </w:rPr>
                  </w:pPr>
                  <w:r>
                    <w:rPr>
                      <w:color w:val="EE0000"/>
                      <w:szCs w:val="21"/>
                      <w:u w:val="single"/>
                    </w:rPr>
                    <w:t>年用量</w:t>
                  </w:r>
                </w:p>
              </w:tc>
              <w:tc>
                <w:tcPr>
                  <w:tcW w:w="1871" w:type="pct"/>
                  <w:gridSpan w:val="2"/>
                  <w:vAlign w:val="center"/>
                </w:tcPr>
                <w:p w14:paraId="79B5BB02">
                  <w:pPr>
                    <w:adjustRightInd w:val="0"/>
                    <w:snapToGrid w:val="0"/>
                    <w:spacing w:line="320" w:lineRule="exact"/>
                    <w:jc w:val="center"/>
                    <w:rPr>
                      <w:color w:val="EE0000"/>
                      <w:szCs w:val="21"/>
                      <w:u w:val="single"/>
                    </w:rPr>
                  </w:pPr>
                  <w:r>
                    <w:rPr>
                      <w:color w:val="EE0000"/>
                      <w:szCs w:val="21"/>
                      <w:u w:val="single"/>
                    </w:rPr>
                    <w:t>氯含量</w:t>
                  </w:r>
                </w:p>
              </w:tc>
              <w:tc>
                <w:tcPr>
                  <w:tcW w:w="908" w:type="pct"/>
                  <w:vAlign w:val="center"/>
                </w:tcPr>
                <w:p w14:paraId="4BD44538">
                  <w:pPr>
                    <w:adjustRightInd w:val="0"/>
                    <w:snapToGrid w:val="0"/>
                    <w:spacing w:line="320" w:lineRule="exact"/>
                    <w:jc w:val="center"/>
                    <w:rPr>
                      <w:color w:val="EE0000"/>
                      <w:szCs w:val="21"/>
                      <w:u w:val="single"/>
                    </w:rPr>
                  </w:pPr>
                  <w:r>
                    <w:rPr>
                      <w:color w:val="EE0000"/>
                      <w:szCs w:val="21"/>
                      <w:u w:val="single"/>
                    </w:rPr>
                    <w:t>HCL产生量</w:t>
                  </w:r>
                </w:p>
              </w:tc>
            </w:tr>
            <w:tr w14:paraId="7C84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27" w:type="pct"/>
                  <w:vAlign w:val="center"/>
                </w:tcPr>
                <w:p w14:paraId="56667B0E">
                  <w:pPr>
                    <w:adjustRightInd w:val="0"/>
                    <w:snapToGrid w:val="0"/>
                    <w:spacing w:line="320" w:lineRule="exact"/>
                    <w:jc w:val="center"/>
                    <w:rPr>
                      <w:color w:val="EE0000"/>
                      <w:szCs w:val="21"/>
                      <w:u w:val="single"/>
                    </w:rPr>
                  </w:pPr>
                  <w:r>
                    <w:rPr>
                      <w:color w:val="EE0000"/>
                      <w:szCs w:val="21"/>
                      <w:u w:val="single"/>
                    </w:rPr>
                    <w:t>污泥</w:t>
                  </w:r>
                </w:p>
              </w:tc>
              <w:tc>
                <w:tcPr>
                  <w:tcW w:w="1193" w:type="pct"/>
                  <w:vAlign w:val="center"/>
                </w:tcPr>
                <w:p w14:paraId="348B9A49">
                  <w:pPr>
                    <w:adjustRightInd w:val="0"/>
                    <w:snapToGrid w:val="0"/>
                    <w:spacing w:line="320" w:lineRule="exact"/>
                    <w:jc w:val="center"/>
                    <w:rPr>
                      <w:color w:val="EE0000"/>
                      <w:szCs w:val="21"/>
                      <w:u w:val="single"/>
                    </w:rPr>
                  </w:pPr>
                  <w:r>
                    <w:rPr>
                      <w:color w:val="EE0000"/>
                      <w:szCs w:val="21"/>
                      <w:u w:val="single"/>
                    </w:rPr>
                    <w:t>6855t（折干）</w:t>
                  </w:r>
                </w:p>
              </w:tc>
              <w:tc>
                <w:tcPr>
                  <w:tcW w:w="1020" w:type="pct"/>
                  <w:tcBorders>
                    <w:right w:val="single" w:color="000000" w:sz="4" w:space="0"/>
                  </w:tcBorders>
                  <w:vAlign w:val="center"/>
                </w:tcPr>
                <w:p w14:paraId="6AAA9FF5">
                  <w:pPr>
                    <w:adjustRightInd w:val="0"/>
                    <w:snapToGrid w:val="0"/>
                    <w:spacing w:line="320" w:lineRule="exact"/>
                    <w:jc w:val="center"/>
                    <w:rPr>
                      <w:color w:val="EE0000"/>
                      <w:szCs w:val="21"/>
                      <w:u w:val="single"/>
                    </w:rPr>
                  </w:pPr>
                  <w:r>
                    <w:rPr>
                      <w:color w:val="EE0000"/>
                      <w:szCs w:val="21"/>
                      <w:u w:val="single"/>
                    </w:rPr>
                    <w:t>0.8907g/kg</w:t>
                  </w:r>
                </w:p>
              </w:tc>
              <w:tc>
                <w:tcPr>
                  <w:tcW w:w="851" w:type="pct"/>
                  <w:tcBorders>
                    <w:left w:val="single" w:color="000000" w:sz="4" w:space="0"/>
                  </w:tcBorders>
                  <w:vAlign w:val="center"/>
                </w:tcPr>
                <w:p w14:paraId="2EC7781C">
                  <w:pPr>
                    <w:adjustRightInd w:val="0"/>
                    <w:snapToGrid w:val="0"/>
                    <w:spacing w:line="320" w:lineRule="exact"/>
                    <w:jc w:val="center"/>
                    <w:rPr>
                      <w:color w:val="EE0000"/>
                      <w:szCs w:val="21"/>
                      <w:u w:val="single"/>
                    </w:rPr>
                  </w:pPr>
                  <w:r>
                    <w:rPr>
                      <w:color w:val="EE0000"/>
                      <w:szCs w:val="21"/>
                      <w:u w:val="single"/>
                    </w:rPr>
                    <w:t>6.106t</w:t>
                  </w:r>
                </w:p>
              </w:tc>
              <w:tc>
                <w:tcPr>
                  <w:tcW w:w="908" w:type="pct"/>
                  <w:vAlign w:val="center"/>
                </w:tcPr>
                <w:p w14:paraId="3557988C">
                  <w:pPr>
                    <w:adjustRightInd w:val="0"/>
                    <w:snapToGrid w:val="0"/>
                    <w:spacing w:line="320" w:lineRule="exact"/>
                    <w:jc w:val="center"/>
                    <w:rPr>
                      <w:color w:val="EE0000"/>
                      <w:szCs w:val="21"/>
                      <w:u w:val="single"/>
                    </w:rPr>
                  </w:pPr>
                  <w:r>
                    <w:rPr>
                      <w:color w:val="EE0000"/>
                      <w:szCs w:val="21"/>
                      <w:u w:val="single"/>
                    </w:rPr>
                    <w:t>6.3t/a</w:t>
                  </w:r>
                </w:p>
              </w:tc>
            </w:tr>
            <w:tr w14:paraId="692B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27" w:type="pct"/>
                  <w:vAlign w:val="center"/>
                </w:tcPr>
                <w:p w14:paraId="70E240F5">
                  <w:pPr>
                    <w:adjustRightInd w:val="0"/>
                    <w:snapToGrid w:val="0"/>
                    <w:spacing w:line="320" w:lineRule="exact"/>
                    <w:jc w:val="center"/>
                    <w:rPr>
                      <w:color w:val="EE0000"/>
                      <w:szCs w:val="21"/>
                      <w:u w:val="single"/>
                    </w:rPr>
                  </w:pPr>
                  <w:r>
                    <w:rPr>
                      <w:color w:val="EE0000"/>
                      <w:szCs w:val="21"/>
                      <w:u w:val="single"/>
                    </w:rPr>
                    <w:t>煤矸石</w:t>
                  </w:r>
                </w:p>
              </w:tc>
              <w:tc>
                <w:tcPr>
                  <w:tcW w:w="1193" w:type="pct"/>
                  <w:vAlign w:val="center"/>
                </w:tcPr>
                <w:p w14:paraId="32E2D8A3">
                  <w:pPr>
                    <w:adjustRightInd w:val="0"/>
                    <w:snapToGrid w:val="0"/>
                    <w:spacing w:line="320" w:lineRule="exact"/>
                    <w:jc w:val="center"/>
                    <w:rPr>
                      <w:color w:val="EE0000"/>
                      <w:szCs w:val="21"/>
                      <w:u w:val="single"/>
                    </w:rPr>
                  </w:pPr>
                  <w:r>
                    <w:rPr>
                      <w:color w:val="EE0000"/>
                      <w:szCs w:val="21"/>
                      <w:u w:val="single"/>
                    </w:rPr>
                    <w:t>207000</w:t>
                  </w:r>
                </w:p>
              </w:tc>
              <w:tc>
                <w:tcPr>
                  <w:tcW w:w="1020" w:type="pct"/>
                  <w:tcBorders>
                    <w:right w:val="single" w:color="000000" w:sz="4" w:space="0"/>
                  </w:tcBorders>
                  <w:vAlign w:val="center"/>
                </w:tcPr>
                <w:p w14:paraId="439DB2C4">
                  <w:pPr>
                    <w:adjustRightInd w:val="0"/>
                    <w:snapToGrid w:val="0"/>
                    <w:spacing w:line="320" w:lineRule="exact"/>
                    <w:jc w:val="center"/>
                    <w:rPr>
                      <w:color w:val="EE0000"/>
                      <w:szCs w:val="21"/>
                      <w:u w:val="single"/>
                    </w:rPr>
                  </w:pPr>
                  <w:r>
                    <w:rPr>
                      <w:color w:val="EE0000"/>
                      <w:szCs w:val="21"/>
                      <w:u w:val="single"/>
                    </w:rPr>
                    <w:t>0.01%</w:t>
                  </w:r>
                </w:p>
              </w:tc>
              <w:tc>
                <w:tcPr>
                  <w:tcW w:w="851" w:type="pct"/>
                  <w:tcBorders>
                    <w:left w:val="single" w:color="000000" w:sz="4" w:space="0"/>
                  </w:tcBorders>
                  <w:vAlign w:val="center"/>
                </w:tcPr>
                <w:p w14:paraId="13DFE2F8">
                  <w:pPr>
                    <w:adjustRightInd w:val="0"/>
                    <w:snapToGrid w:val="0"/>
                    <w:spacing w:line="320" w:lineRule="exact"/>
                    <w:jc w:val="center"/>
                    <w:rPr>
                      <w:color w:val="EE0000"/>
                      <w:szCs w:val="21"/>
                      <w:u w:val="single"/>
                    </w:rPr>
                  </w:pPr>
                  <w:r>
                    <w:rPr>
                      <w:color w:val="EE0000"/>
                      <w:szCs w:val="21"/>
                      <w:u w:val="single"/>
                    </w:rPr>
                    <w:t>20.7tt</w:t>
                  </w:r>
                </w:p>
              </w:tc>
              <w:tc>
                <w:tcPr>
                  <w:tcW w:w="908" w:type="pct"/>
                  <w:vAlign w:val="center"/>
                </w:tcPr>
                <w:p w14:paraId="0F130ECD">
                  <w:pPr>
                    <w:adjustRightInd w:val="0"/>
                    <w:snapToGrid w:val="0"/>
                    <w:spacing w:line="320" w:lineRule="exact"/>
                    <w:jc w:val="center"/>
                    <w:rPr>
                      <w:color w:val="EE0000"/>
                      <w:szCs w:val="21"/>
                      <w:u w:val="single"/>
                    </w:rPr>
                  </w:pPr>
                  <w:r>
                    <w:rPr>
                      <w:color w:val="EE0000"/>
                      <w:szCs w:val="21"/>
                      <w:u w:val="single"/>
                    </w:rPr>
                    <w:t>21.3t/a</w:t>
                  </w:r>
                </w:p>
              </w:tc>
            </w:tr>
            <w:tr w14:paraId="0270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2" w:type="pct"/>
                  <w:gridSpan w:val="4"/>
                  <w:vAlign w:val="center"/>
                </w:tcPr>
                <w:p w14:paraId="45B1F29D">
                  <w:pPr>
                    <w:adjustRightInd w:val="0"/>
                    <w:snapToGrid w:val="0"/>
                    <w:spacing w:line="320" w:lineRule="exact"/>
                    <w:jc w:val="center"/>
                    <w:rPr>
                      <w:color w:val="EE0000"/>
                      <w:szCs w:val="21"/>
                      <w:u w:val="single"/>
                    </w:rPr>
                  </w:pPr>
                  <w:r>
                    <w:rPr>
                      <w:color w:val="EE0000"/>
                      <w:szCs w:val="21"/>
                      <w:u w:val="single"/>
                    </w:rPr>
                    <w:t>合计</w:t>
                  </w:r>
                </w:p>
              </w:tc>
              <w:tc>
                <w:tcPr>
                  <w:tcW w:w="908" w:type="pct"/>
                  <w:vAlign w:val="center"/>
                </w:tcPr>
                <w:p w14:paraId="56B5404F">
                  <w:pPr>
                    <w:adjustRightInd w:val="0"/>
                    <w:snapToGrid w:val="0"/>
                    <w:spacing w:line="320" w:lineRule="exact"/>
                    <w:jc w:val="center"/>
                    <w:rPr>
                      <w:color w:val="EE0000"/>
                      <w:szCs w:val="21"/>
                      <w:u w:val="single"/>
                    </w:rPr>
                  </w:pPr>
                  <w:r>
                    <w:rPr>
                      <w:color w:val="EE0000"/>
                      <w:szCs w:val="21"/>
                      <w:u w:val="single"/>
                    </w:rPr>
                    <w:t>27.6t/a</w:t>
                  </w:r>
                </w:p>
              </w:tc>
            </w:tr>
          </w:tbl>
          <w:p w14:paraId="42CB642A">
            <w:pPr>
              <w:pStyle w:val="189"/>
              <w:adjustRightInd w:val="0"/>
              <w:snapToGrid w:val="0"/>
              <w:spacing w:before="0" w:after="0" w:line="500" w:lineRule="exact"/>
              <w:rPr>
                <w:rFonts w:ascii="Times New Roman" w:hAnsi="Times New Roman"/>
                <w:color w:val="EE0000"/>
                <w:u w:val="single"/>
              </w:rPr>
            </w:pPr>
            <w:r>
              <w:rPr>
                <w:rFonts w:ascii="Times New Roman" w:hAnsi="Times New Roman"/>
                <w:color w:val="EE0000"/>
                <w:u w:val="single"/>
              </w:rPr>
              <w:fldChar w:fldCharType="begin"/>
            </w:r>
            <w:r>
              <w:rPr>
                <w:rFonts w:ascii="Times New Roman" w:hAnsi="Times New Roman"/>
                <w:color w:val="EE0000"/>
                <w:u w:val="single"/>
              </w:rPr>
              <w:instrText xml:space="preserve"> = 5 \* roman </w:instrText>
            </w:r>
            <w:r>
              <w:rPr>
                <w:rFonts w:ascii="Times New Roman" w:hAnsi="Times New Roman"/>
                <w:color w:val="EE0000"/>
                <w:u w:val="single"/>
              </w:rPr>
              <w:fldChar w:fldCharType="separate"/>
            </w:r>
            <w:r>
              <w:rPr>
                <w:rFonts w:ascii="Times New Roman" w:hAnsi="Times New Roman"/>
                <w:color w:val="EE0000"/>
                <w:u w:val="single"/>
              </w:rPr>
              <w:t>v</w:t>
            </w:r>
            <w:r>
              <w:rPr>
                <w:rFonts w:ascii="Times New Roman" w:hAnsi="Times New Roman"/>
                <w:color w:val="EE0000"/>
                <w:u w:val="single"/>
              </w:rPr>
              <w:fldChar w:fldCharType="end"/>
            </w:r>
            <w:r>
              <w:rPr>
                <w:rFonts w:ascii="Times New Roman" w:hAnsi="Times New Roman"/>
                <w:color w:val="EE0000"/>
                <w:u w:val="single"/>
              </w:rPr>
              <w:t>：二噁英类产生情况</w:t>
            </w:r>
          </w:p>
          <w:p w14:paraId="0FCE8564">
            <w:pPr>
              <w:pStyle w:val="189"/>
              <w:adjustRightInd w:val="0"/>
              <w:snapToGrid w:val="0"/>
              <w:spacing w:before="0" w:after="0" w:line="500" w:lineRule="exact"/>
              <w:rPr>
                <w:rFonts w:ascii="Times New Roman" w:hAnsi="Times New Roman"/>
                <w:color w:val="EE0000"/>
                <w:u w:val="single"/>
              </w:rPr>
            </w:pPr>
            <w:r>
              <w:rPr>
                <w:rFonts w:ascii="Times New Roman" w:hAnsi="Times New Roman"/>
                <w:color w:val="EE0000"/>
                <w:u w:val="single"/>
              </w:rPr>
              <w:t>本项目原料污泥中可能含有能产生二噁英的有机物PCDDs/PCDFs、含氯前体物等，前体物包括聚氯乙烯、氯代苯、五氯苯酚等，在燃烧中前体物分子通过重排、自由基缩合、脱氯或其他分子反应等过程会生成二噁英，这部分二噁英在高温燃烧条件下大部分会被分解。</w:t>
            </w:r>
          </w:p>
          <w:p w14:paraId="00E0078D">
            <w:pPr>
              <w:pStyle w:val="189"/>
              <w:adjustRightInd w:val="0"/>
              <w:snapToGrid w:val="0"/>
              <w:spacing w:before="0" w:after="0" w:line="500" w:lineRule="exact"/>
              <w:rPr>
                <w:rFonts w:ascii="Times New Roman" w:hAnsi="Times New Roman"/>
                <w:color w:val="EE0000"/>
                <w:u w:val="single"/>
              </w:rPr>
            </w:pPr>
            <w:r>
              <w:rPr>
                <w:rFonts w:ascii="Times New Roman" w:hAnsi="Times New Roman"/>
                <w:color w:val="EE0000"/>
                <w:u w:val="single"/>
              </w:rPr>
              <w:t>本次二噁英废气源强类比《眉县长达科技环保建材有限公司污泥和一般固废制砖资源化利用项目竣工环境保护验收监测报告》中对干燥、焙烧废气的检测,该项目添加污泥和建筑垃圾制砖，其中污泥添加量为42000t吨(含水率60%)，该项目采用市政污泥，窑型为隧道窑，污泥类型及生产工艺与本项目基本一致，根据该验收监测报告，验收期间该项目生产负荷86%，隧道窑出口二噁英的排放浓度和排放速率为0.0033ngTEO/Nm</w:t>
            </w:r>
            <w:r>
              <w:rPr>
                <w:rFonts w:ascii="Times New Roman" w:hAnsi="Times New Roman"/>
                <w:color w:val="EE0000"/>
                <w:u w:val="single"/>
                <w:vertAlign w:val="superscript"/>
              </w:rPr>
              <w:t>3</w:t>
            </w:r>
            <w:r>
              <w:rPr>
                <w:rFonts w:ascii="Times New Roman" w:hAnsi="Times New Roman"/>
                <w:color w:val="EE0000"/>
                <w:u w:val="single"/>
              </w:rPr>
              <w:t>、179.507ngTEO/h，该项目采用布袋除尘器+钠钙双碱法脱硫处理废气，无针对二噁英类的废气处理设施，对二噁英以无处理效率计，经核算二噁英产生量约为98.4ng/t干污泥，本项目干污泥添加量为6855t/a，经类比可知，本项目窑炉烟气中二噁英产生量为85.2ngTEO/h(0.675mgTEO/a)。</w:t>
            </w:r>
          </w:p>
          <w:p w14:paraId="2D8E64DF">
            <w:pPr>
              <w:tabs>
                <w:tab w:val="left" w:pos="210"/>
              </w:tabs>
              <w:spacing w:line="520" w:lineRule="exact"/>
              <w:ind w:firstLine="480" w:firstLineChars="200"/>
              <w:rPr>
                <w:sz w:val="24"/>
              </w:rPr>
            </w:pPr>
            <w:r>
              <w:rPr>
                <w:sz w:val="24"/>
              </w:rPr>
              <w:fldChar w:fldCharType="begin"/>
            </w:r>
            <w:r>
              <w:rPr>
                <w:sz w:val="24"/>
              </w:rPr>
              <w:instrText xml:space="preserve"> = 6 \* roman </w:instrText>
            </w:r>
            <w:r>
              <w:rPr>
                <w:sz w:val="24"/>
              </w:rPr>
              <w:fldChar w:fldCharType="separate"/>
            </w:r>
            <w:r>
              <w:rPr>
                <w:sz w:val="24"/>
              </w:rPr>
              <w:t>vi</w:t>
            </w:r>
            <w:r>
              <w:rPr>
                <w:sz w:val="24"/>
              </w:rPr>
              <w:fldChar w:fldCharType="end"/>
            </w:r>
            <w:r>
              <w:rPr>
                <w:sz w:val="24"/>
              </w:rPr>
              <w:t>：重金属产生情况</w:t>
            </w:r>
          </w:p>
          <w:p w14:paraId="4AC07EC7">
            <w:pPr>
              <w:tabs>
                <w:tab w:val="left" w:pos="210"/>
              </w:tabs>
              <w:spacing w:line="520" w:lineRule="exact"/>
              <w:ind w:firstLine="480" w:firstLineChars="200"/>
              <w:rPr>
                <w:sz w:val="24"/>
              </w:rPr>
            </w:pPr>
            <w:r>
              <w:rPr>
                <w:sz w:val="24"/>
              </w:rPr>
              <w:t>由于项目原料中加入了污泥，根据污泥检验报告，污泥中含有重金属因子。重金属因子部分在焙烧过程中会以颗粒物的形式进入烟气，由于污泥作为原料压制在砖中对重金属离子具有一定的固定作用，故相对于污泥直接烧处理，作为制砖原料焙烧过程中以烟尘形式进入烟气中的重金属含量极少。</w:t>
            </w:r>
          </w:p>
          <w:p w14:paraId="55CC6D5F">
            <w:pPr>
              <w:tabs>
                <w:tab w:val="left" w:pos="210"/>
              </w:tabs>
              <w:spacing w:line="520" w:lineRule="exact"/>
              <w:ind w:firstLine="480" w:firstLineChars="200"/>
              <w:rPr>
                <w:sz w:val="24"/>
              </w:rPr>
            </w:pPr>
            <w:r>
              <w:rPr>
                <w:sz w:val="24"/>
              </w:rPr>
              <w:t>参照浙江大学热能工程研究所于2005 年进行的深圳城市污水处理厂污泥焚烧实验的研究文献《污泥焚烧过程中重金属排放特性研究》，《煤粉炉掺烧干化污泥的污染物排放研究》，得出重金属燃烧后释放比例为Cd60%、Zn28%、Cu28%、Pb27%、Ni12%、Cr10%、Hg90%、As70%。根据污泥用量和污泥检验报告核算出重金属因子的含量（本评价引用污泥报告中数据），砖对重金属固定率参照《无黏土高含量污水厂污泥烧制建筑材料重金属浸出及固化效果的研究》（刘爽，白锡庆，张鹏宇，李赵相，赵磊，滕藤，孙井梅，2016 年）、《污水污泥烧制陶粒对重金属固化效果的试验研究》（雷一楠）中污泥在烧制建筑材料过程中对重金属固化效果的研究，烧制温度为1050℃时，重金属固化效果接近90%。综上，本项目烟气中总金属产生情况见下表所示。</w:t>
            </w:r>
          </w:p>
          <w:p w14:paraId="1E8CCC33">
            <w:pPr>
              <w:spacing w:line="520" w:lineRule="exact"/>
              <w:ind w:firstLine="480" w:firstLineChars="200"/>
              <w:jc w:val="center"/>
              <w:rPr>
                <w:rFonts w:eastAsia="黑体"/>
                <w:color w:val="EE0000"/>
                <w:sz w:val="24"/>
                <w:u w:val="single"/>
                <w:lang w:val="zh-CN"/>
              </w:rPr>
            </w:pPr>
            <w:r>
              <w:rPr>
                <w:rFonts w:eastAsia="黑体"/>
                <w:color w:val="EE0000"/>
                <w:sz w:val="24"/>
                <w:u w:val="single"/>
                <w:lang w:val="zh-CN"/>
              </w:rPr>
              <w:t>表4-7      重金属污染物产生情况一览表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4"/>
              <w:gridCol w:w="1111"/>
              <w:gridCol w:w="1866"/>
              <w:gridCol w:w="1111"/>
              <w:gridCol w:w="1122"/>
              <w:gridCol w:w="1122"/>
              <w:gridCol w:w="1069"/>
            </w:tblGrid>
            <w:tr w14:paraId="56728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522" w:type="pct"/>
                  <w:vAlign w:val="center"/>
                </w:tcPr>
                <w:p w14:paraId="1A828F94">
                  <w:pPr>
                    <w:adjustRightInd w:val="0"/>
                    <w:snapToGrid w:val="0"/>
                    <w:jc w:val="center"/>
                    <w:rPr>
                      <w:bCs/>
                      <w:color w:val="EE0000"/>
                      <w:szCs w:val="21"/>
                      <w:u w:val="single"/>
                    </w:rPr>
                  </w:pPr>
                  <w:r>
                    <w:rPr>
                      <w:bCs/>
                      <w:color w:val="EE0000"/>
                      <w:szCs w:val="21"/>
                      <w:u w:val="single"/>
                    </w:rPr>
                    <w:t>序号</w:t>
                  </w:r>
                </w:p>
              </w:tc>
              <w:tc>
                <w:tcPr>
                  <w:tcW w:w="672" w:type="pct"/>
                  <w:vAlign w:val="center"/>
                </w:tcPr>
                <w:p w14:paraId="1DCAEC72">
                  <w:pPr>
                    <w:adjustRightInd w:val="0"/>
                    <w:snapToGrid w:val="0"/>
                    <w:jc w:val="center"/>
                    <w:rPr>
                      <w:bCs/>
                      <w:color w:val="EE0000"/>
                      <w:szCs w:val="21"/>
                      <w:u w:val="single"/>
                    </w:rPr>
                  </w:pPr>
                  <w:r>
                    <w:rPr>
                      <w:bCs/>
                      <w:color w:val="EE0000"/>
                      <w:szCs w:val="21"/>
                      <w:u w:val="single"/>
                    </w:rPr>
                    <w:t>干污泥用量（t/a）</w:t>
                  </w:r>
                </w:p>
              </w:tc>
              <w:tc>
                <w:tcPr>
                  <w:tcW w:w="1129" w:type="pct"/>
                  <w:tcBorders>
                    <w:left w:val="single" w:color="auto" w:sz="4" w:space="0"/>
                  </w:tcBorders>
                  <w:vAlign w:val="center"/>
                </w:tcPr>
                <w:p w14:paraId="0CDD966D">
                  <w:pPr>
                    <w:adjustRightInd w:val="0"/>
                    <w:snapToGrid w:val="0"/>
                    <w:jc w:val="center"/>
                    <w:rPr>
                      <w:bCs/>
                      <w:color w:val="EE0000"/>
                      <w:szCs w:val="21"/>
                      <w:u w:val="single"/>
                    </w:rPr>
                  </w:pPr>
                  <w:r>
                    <w:rPr>
                      <w:bCs/>
                      <w:color w:val="EE0000"/>
                      <w:szCs w:val="21"/>
                      <w:u w:val="single"/>
                    </w:rPr>
                    <w:t>重金属含量</w:t>
                  </w:r>
                </w:p>
                <w:p w14:paraId="2BE0923D">
                  <w:pPr>
                    <w:adjustRightInd w:val="0"/>
                    <w:snapToGrid w:val="0"/>
                    <w:jc w:val="center"/>
                    <w:rPr>
                      <w:bCs/>
                      <w:color w:val="EE0000"/>
                      <w:szCs w:val="21"/>
                      <w:u w:val="single"/>
                    </w:rPr>
                  </w:pPr>
                  <w:r>
                    <w:rPr>
                      <w:bCs/>
                      <w:color w:val="EE0000"/>
                      <w:szCs w:val="21"/>
                      <w:u w:val="single"/>
                    </w:rPr>
                    <w:t>（mg/kg干基）</w:t>
                  </w:r>
                </w:p>
              </w:tc>
              <w:tc>
                <w:tcPr>
                  <w:tcW w:w="672" w:type="pct"/>
                  <w:vAlign w:val="center"/>
                </w:tcPr>
                <w:p w14:paraId="6157024E">
                  <w:pPr>
                    <w:adjustRightInd w:val="0"/>
                    <w:snapToGrid w:val="0"/>
                    <w:jc w:val="center"/>
                    <w:rPr>
                      <w:bCs/>
                      <w:color w:val="EE0000"/>
                      <w:szCs w:val="21"/>
                      <w:u w:val="single"/>
                    </w:rPr>
                  </w:pPr>
                  <w:r>
                    <w:rPr>
                      <w:bCs/>
                      <w:color w:val="EE0000"/>
                      <w:szCs w:val="21"/>
                      <w:u w:val="single"/>
                    </w:rPr>
                    <w:t>释放比例（%）</w:t>
                  </w:r>
                </w:p>
              </w:tc>
              <w:tc>
                <w:tcPr>
                  <w:tcW w:w="679" w:type="pct"/>
                  <w:vAlign w:val="center"/>
                </w:tcPr>
                <w:p w14:paraId="62004380">
                  <w:pPr>
                    <w:adjustRightInd w:val="0"/>
                    <w:snapToGrid w:val="0"/>
                    <w:jc w:val="center"/>
                    <w:rPr>
                      <w:bCs/>
                      <w:color w:val="EE0000"/>
                      <w:szCs w:val="21"/>
                      <w:u w:val="single"/>
                    </w:rPr>
                  </w:pPr>
                  <w:r>
                    <w:rPr>
                      <w:bCs/>
                      <w:color w:val="EE0000"/>
                      <w:szCs w:val="21"/>
                      <w:u w:val="single"/>
                    </w:rPr>
                    <w:t>释放产生量（t/a）</w:t>
                  </w:r>
                </w:p>
              </w:tc>
              <w:tc>
                <w:tcPr>
                  <w:tcW w:w="679" w:type="pct"/>
                  <w:vAlign w:val="center"/>
                </w:tcPr>
                <w:p w14:paraId="3F2A652F">
                  <w:pPr>
                    <w:adjustRightInd w:val="0"/>
                    <w:snapToGrid w:val="0"/>
                    <w:jc w:val="center"/>
                    <w:rPr>
                      <w:bCs/>
                      <w:color w:val="EE0000"/>
                      <w:szCs w:val="21"/>
                      <w:u w:val="single"/>
                    </w:rPr>
                  </w:pPr>
                  <w:r>
                    <w:rPr>
                      <w:bCs/>
                      <w:color w:val="EE0000"/>
                      <w:szCs w:val="21"/>
                      <w:u w:val="single"/>
                    </w:rPr>
                    <w:t>固化率</w:t>
                  </w:r>
                </w:p>
                <w:p w14:paraId="58789430">
                  <w:pPr>
                    <w:adjustRightInd w:val="0"/>
                    <w:snapToGrid w:val="0"/>
                    <w:jc w:val="center"/>
                    <w:rPr>
                      <w:bCs/>
                      <w:color w:val="EE0000"/>
                      <w:szCs w:val="21"/>
                      <w:u w:val="single"/>
                    </w:rPr>
                  </w:pPr>
                  <w:r>
                    <w:rPr>
                      <w:bCs/>
                      <w:color w:val="EE0000"/>
                      <w:szCs w:val="21"/>
                      <w:u w:val="single"/>
                    </w:rPr>
                    <w:t>（%）</w:t>
                  </w:r>
                </w:p>
              </w:tc>
              <w:tc>
                <w:tcPr>
                  <w:tcW w:w="647" w:type="pct"/>
                  <w:vAlign w:val="center"/>
                </w:tcPr>
                <w:p w14:paraId="24D9E6A8">
                  <w:pPr>
                    <w:adjustRightInd w:val="0"/>
                    <w:snapToGrid w:val="0"/>
                    <w:jc w:val="center"/>
                    <w:rPr>
                      <w:bCs/>
                      <w:color w:val="EE0000"/>
                      <w:szCs w:val="21"/>
                      <w:u w:val="single"/>
                    </w:rPr>
                  </w:pPr>
                  <w:r>
                    <w:rPr>
                      <w:bCs/>
                      <w:color w:val="EE0000"/>
                      <w:szCs w:val="21"/>
                      <w:u w:val="single"/>
                    </w:rPr>
                    <w:t>产生量（t/a）</w:t>
                  </w:r>
                </w:p>
              </w:tc>
            </w:tr>
            <w:tr w14:paraId="55D99E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522" w:type="pct"/>
                  <w:vAlign w:val="center"/>
                </w:tcPr>
                <w:p w14:paraId="01A9C483">
                  <w:pPr>
                    <w:adjustRightInd w:val="0"/>
                    <w:snapToGrid w:val="0"/>
                    <w:jc w:val="center"/>
                    <w:rPr>
                      <w:bCs/>
                      <w:color w:val="EE0000"/>
                      <w:szCs w:val="21"/>
                      <w:u w:val="single"/>
                    </w:rPr>
                  </w:pPr>
                  <w:r>
                    <w:rPr>
                      <w:bCs/>
                      <w:color w:val="EE0000"/>
                      <w:szCs w:val="21"/>
                      <w:u w:val="single"/>
                    </w:rPr>
                    <w:t>总镉</w:t>
                  </w:r>
                </w:p>
              </w:tc>
              <w:tc>
                <w:tcPr>
                  <w:tcW w:w="672" w:type="pct"/>
                  <w:vMerge w:val="restart"/>
                  <w:vAlign w:val="center"/>
                </w:tcPr>
                <w:p w14:paraId="68E47F3F">
                  <w:pPr>
                    <w:adjustRightInd w:val="0"/>
                    <w:snapToGrid w:val="0"/>
                    <w:jc w:val="center"/>
                    <w:rPr>
                      <w:bCs/>
                      <w:color w:val="EE0000"/>
                      <w:szCs w:val="21"/>
                      <w:u w:val="single"/>
                    </w:rPr>
                  </w:pPr>
                  <w:r>
                    <w:rPr>
                      <w:color w:val="EE0000"/>
                      <w:u w:val="single"/>
                    </w:rPr>
                    <w:t>6855</w:t>
                  </w:r>
                </w:p>
              </w:tc>
              <w:tc>
                <w:tcPr>
                  <w:tcW w:w="1129" w:type="pct"/>
                  <w:vAlign w:val="center"/>
                </w:tcPr>
                <w:p w14:paraId="20F293CB">
                  <w:pPr>
                    <w:adjustRightInd w:val="0"/>
                    <w:snapToGrid w:val="0"/>
                    <w:jc w:val="center"/>
                    <w:rPr>
                      <w:bCs/>
                      <w:color w:val="EE0000"/>
                      <w:szCs w:val="21"/>
                      <w:u w:val="single"/>
                    </w:rPr>
                  </w:pPr>
                  <w:r>
                    <w:rPr>
                      <w:bCs/>
                      <w:color w:val="EE0000"/>
                      <w:szCs w:val="21"/>
                      <w:u w:val="single"/>
                    </w:rPr>
                    <w:t>ND</w:t>
                  </w:r>
                </w:p>
              </w:tc>
              <w:tc>
                <w:tcPr>
                  <w:tcW w:w="672" w:type="pct"/>
                  <w:vAlign w:val="center"/>
                </w:tcPr>
                <w:p w14:paraId="151C9403">
                  <w:pPr>
                    <w:adjustRightInd w:val="0"/>
                    <w:snapToGrid w:val="0"/>
                    <w:jc w:val="center"/>
                    <w:rPr>
                      <w:bCs/>
                      <w:color w:val="EE0000"/>
                      <w:szCs w:val="21"/>
                      <w:u w:val="single"/>
                    </w:rPr>
                  </w:pPr>
                  <w:r>
                    <w:rPr>
                      <w:bCs/>
                      <w:color w:val="EE0000"/>
                      <w:szCs w:val="21"/>
                      <w:u w:val="single"/>
                    </w:rPr>
                    <w:t>/</w:t>
                  </w:r>
                </w:p>
              </w:tc>
              <w:tc>
                <w:tcPr>
                  <w:tcW w:w="679" w:type="pct"/>
                  <w:vAlign w:val="center"/>
                </w:tcPr>
                <w:p w14:paraId="0466F296">
                  <w:pPr>
                    <w:adjustRightInd w:val="0"/>
                    <w:snapToGrid w:val="0"/>
                    <w:jc w:val="center"/>
                    <w:rPr>
                      <w:bCs/>
                      <w:color w:val="EE0000"/>
                      <w:szCs w:val="21"/>
                      <w:u w:val="single"/>
                    </w:rPr>
                  </w:pPr>
                  <w:r>
                    <w:rPr>
                      <w:bCs/>
                      <w:color w:val="EE0000"/>
                      <w:szCs w:val="21"/>
                      <w:u w:val="single"/>
                    </w:rPr>
                    <w:t>/</w:t>
                  </w:r>
                </w:p>
              </w:tc>
              <w:tc>
                <w:tcPr>
                  <w:tcW w:w="679" w:type="pct"/>
                  <w:vAlign w:val="center"/>
                </w:tcPr>
                <w:p w14:paraId="7C752082">
                  <w:pPr>
                    <w:adjustRightInd w:val="0"/>
                    <w:snapToGrid w:val="0"/>
                    <w:jc w:val="center"/>
                    <w:rPr>
                      <w:bCs/>
                      <w:color w:val="EE0000"/>
                      <w:szCs w:val="21"/>
                      <w:u w:val="single"/>
                    </w:rPr>
                  </w:pPr>
                  <w:r>
                    <w:rPr>
                      <w:bCs/>
                      <w:color w:val="EE0000"/>
                      <w:szCs w:val="21"/>
                      <w:u w:val="single"/>
                    </w:rPr>
                    <w:t>/</w:t>
                  </w:r>
                </w:p>
              </w:tc>
              <w:tc>
                <w:tcPr>
                  <w:tcW w:w="647" w:type="pct"/>
                  <w:vAlign w:val="center"/>
                </w:tcPr>
                <w:p w14:paraId="346D0806">
                  <w:pPr>
                    <w:adjustRightInd w:val="0"/>
                    <w:snapToGrid w:val="0"/>
                    <w:jc w:val="center"/>
                    <w:rPr>
                      <w:bCs/>
                      <w:color w:val="EE0000"/>
                      <w:szCs w:val="21"/>
                      <w:u w:val="single"/>
                    </w:rPr>
                  </w:pPr>
                  <w:r>
                    <w:rPr>
                      <w:bCs/>
                      <w:color w:val="EE0000"/>
                      <w:szCs w:val="21"/>
                      <w:u w:val="single"/>
                    </w:rPr>
                    <w:t>/</w:t>
                  </w:r>
                </w:p>
              </w:tc>
            </w:tr>
            <w:tr w14:paraId="06882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exact"/>
              </w:trPr>
              <w:tc>
                <w:tcPr>
                  <w:tcW w:w="522" w:type="pct"/>
                  <w:vAlign w:val="center"/>
                </w:tcPr>
                <w:p w14:paraId="18942A90">
                  <w:pPr>
                    <w:adjustRightInd w:val="0"/>
                    <w:snapToGrid w:val="0"/>
                    <w:jc w:val="center"/>
                    <w:rPr>
                      <w:bCs/>
                      <w:color w:val="EE0000"/>
                      <w:szCs w:val="21"/>
                      <w:u w:val="single"/>
                    </w:rPr>
                  </w:pPr>
                  <w:r>
                    <w:rPr>
                      <w:bCs/>
                      <w:color w:val="EE0000"/>
                      <w:szCs w:val="21"/>
                      <w:u w:val="single"/>
                    </w:rPr>
                    <w:t>总汞</w:t>
                  </w:r>
                </w:p>
              </w:tc>
              <w:tc>
                <w:tcPr>
                  <w:tcW w:w="672" w:type="pct"/>
                  <w:vMerge w:val="continue"/>
                  <w:vAlign w:val="center"/>
                </w:tcPr>
                <w:p w14:paraId="0731903C">
                  <w:pPr>
                    <w:adjustRightInd w:val="0"/>
                    <w:snapToGrid w:val="0"/>
                    <w:jc w:val="center"/>
                    <w:rPr>
                      <w:bCs/>
                      <w:color w:val="EE0000"/>
                      <w:szCs w:val="21"/>
                      <w:u w:val="single"/>
                    </w:rPr>
                  </w:pPr>
                </w:p>
              </w:tc>
              <w:tc>
                <w:tcPr>
                  <w:tcW w:w="1129" w:type="pct"/>
                  <w:tcBorders>
                    <w:bottom w:val="single" w:color="auto" w:sz="4" w:space="0"/>
                  </w:tcBorders>
                  <w:vAlign w:val="center"/>
                </w:tcPr>
                <w:p w14:paraId="137710F0">
                  <w:pPr>
                    <w:adjustRightInd w:val="0"/>
                    <w:snapToGrid w:val="0"/>
                    <w:jc w:val="center"/>
                    <w:rPr>
                      <w:bCs/>
                      <w:color w:val="EE0000"/>
                      <w:szCs w:val="21"/>
                      <w:u w:val="single"/>
                    </w:rPr>
                  </w:pPr>
                  <w:r>
                    <w:rPr>
                      <w:bCs/>
                      <w:color w:val="EE0000"/>
                      <w:szCs w:val="21"/>
                      <w:u w:val="single"/>
                    </w:rPr>
                    <w:t>1.73mg/kg</w:t>
                  </w:r>
                </w:p>
              </w:tc>
              <w:tc>
                <w:tcPr>
                  <w:tcW w:w="672" w:type="pct"/>
                  <w:tcBorders>
                    <w:bottom w:val="single" w:color="auto" w:sz="4" w:space="0"/>
                  </w:tcBorders>
                  <w:vAlign w:val="center"/>
                </w:tcPr>
                <w:p w14:paraId="59D17112">
                  <w:pPr>
                    <w:adjustRightInd w:val="0"/>
                    <w:snapToGrid w:val="0"/>
                    <w:jc w:val="center"/>
                    <w:rPr>
                      <w:bCs/>
                      <w:color w:val="EE0000"/>
                      <w:szCs w:val="21"/>
                      <w:u w:val="single"/>
                    </w:rPr>
                  </w:pPr>
                  <w:r>
                    <w:rPr>
                      <w:bCs/>
                      <w:color w:val="EE0000"/>
                      <w:szCs w:val="21"/>
                      <w:u w:val="single"/>
                    </w:rPr>
                    <w:t>90</w:t>
                  </w:r>
                </w:p>
              </w:tc>
              <w:tc>
                <w:tcPr>
                  <w:tcW w:w="679" w:type="pct"/>
                  <w:tcBorders>
                    <w:bottom w:val="single" w:color="auto" w:sz="4" w:space="0"/>
                  </w:tcBorders>
                  <w:vAlign w:val="center"/>
                </w:tcPr>
                <w:p w14:paraId="52EBADFC">
                  <w:pPr>
                    <w:adjustRightInd w:val="0"/>
                    <w:snapToGrid w:val="0"/>
                    <w:jc w:val="center"/>
                    <w:rPr>
                      <w:bCs/>
                      <w:color w:val="EE0000"/>
                      <w:szCs w:val="21"/>
                      <w:u w:val="single"/>
                    </w:rPr>
                  </w:pPr>
                  <w:r>
                    <w:rPr>
                      <w:bCs/>
                      <w:color w:val="EE0000"/>
                      <w:szCs w:val="21"/>
                      <w:u w:val="single"/>
                    </w:rPr>
                    <w:t xml:space="preserve">0.0107 </w:t>
                  </w:r>
                </w:p>
              </w:tc>
              <w:tc>
                <w:tcPr>
                  <w:tcW w:w="679" w:type="pct"/>
                  <w:tcBorders>
                    <w:bottom w:val="single" w:color="auto" w:sz="4" w:space="0"/>
                  </w:tcBorders>
                  <w:vAlign w:val="center"/>
                </w:tcPr>
                <w:p w14:paraId="367E6C59">
                  <w:pPr>
                    <w:adjustRightInd w:val="0"/>
                    <w:snapToGrid w:val="0"/>
                    <w:jc w:val="center"/>
                    <w:rPr>
                      <w:bCs/>
                      <w:color w:val="EE0000"/>
                      <w:szCs w:val="21"/>
                      <w:u w:val="single"/>
                    </w:rPr>
                  </w:pPr>
                  <w:r>
                    <w:rPr>
                      <w:bCs/>
                      <w:color w:val="EE0000"/>
                      <w:szCs w:val="21"/>
                      <w:u w:val="single"/>
                    </w:rPr>
                    <w:t>90</w:t>
                  </w:r>
                </w:p>
              </w:tc>
              <w:tc>
                <w:tcPr>
                  <w:tcW w:w="647" w:type="pct"/>
                  <w:tcBorders>
                    <w:bottom w:val="single" w:color="auto" w:sz="4" w:space="0"/>
                  </w:tcBorders>
                  <w:vAlign w:val="center"/>
                </w:tcPr>
                <w:p w14:paraId="2B0F56F8">
                  <w:pPr>
                    <w:adjustRightInd w:val="0"/>
                    <w:snapToGrid w:val="0"/>
                    <w:jc w:val="center"/>
                    <w:rPr>
                      <w:bCs/>
                      <w:color w:val="EE0000"/>
                      <w:szCs w:val="21"/>
                      <w:u w:val="single"/>
                    </w:rPr>
                  </w:pPr>
                  <w:r>
                    <w:rPr>
                      <w:bCs/>
                      <w:color w:val="EE0000"/>
                      <w:szCs w:val="21"/>
                      <w:u w:val="single"/>
                    </w:rPr>
                    <w:t xml:space="preserve">0.001 </w:t>
                  </w:r>
                </w:p>
              </w:tc>
            </w:tr>
            <w:tr w14:paraId="4BC93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0" w:hRule="exact"/>
              </w:trPr>
              <w:tc>
                <w:tcPr>
                  <w:tcW w:w="522" w:type="pct"/>
                  <w:vAlign w:val="center"/>
                </w:tcPr>
                <w:p w14:paraId="30C9E85D">
                  <w:pPr>
                    <w:adjustRightInd w:val="0"/>
                    <w:snapToGrid w:val="0"/>
                    <w:jc w:val="center"/>
                    <w:rPr>
                      <w:bCs/>
                      <w:color w:val="EE0000"/>
                      <w:szCs w:val="21"/>
                      <w:u w:val="single"/>
                    </w:rPr>
                  </w:pPr>
                  <w:r>
                    <w:rPr>
                      <w:bCs/>
                      <w:color w:val="EE0000"/>
                      <w:szCs w:val="21"/>
                      <w:u w:val="single"/>
                    </w:rPr>
                    <w:t>总铅</w:t>
                  </w:r>
                </w:p>
              </w:tc>
              <w:tc>
                <w:tcPr>
                  <w:tcW w:w="672" w:type="pct"/>
                  <w:vMerge w:val="continue"/>
                  <w:vAlign w:val="center"/>
                </w:tcPr>
                <w:p w14:paraId="4CE40F13">
                  <w:pPr>
                    <w:adjustRightInd w:val="0"/>
                    <w:snapToGrid w:val="0"/>
                    <w:jc w:val="center"/>
                    <w:rPr>
                      <w:bCs/>
                      <w:color w:val="EE0000"/>
                      <w:szCs w:val="21"/>
                      <w:u w:val="single"/>
                    </w:rPr>
                  </w:pPr>
                </w:p>
              </w:tc>
              <w:tc>
                <w:tcPr>
                  <w:tcW w:w="1129" w:type="pct"/>
                  <w:tcBorders>
                    <w:top w:val="single" w:color="auto" w:sz="4" w:space="0"/>
                  </w:tcBorders>
                  <w:vAlign w:val="center"/>
                </w:tcPr>
                <w:p w14:paraId="64233D31">
                  <w:pPr>
                    <w:adjustRightInd w:val="0"/>
                    <w:snapToGrid w:val="0"/>
                    <w:jc w:val="center"/>
                    <w:rPr>
                      <w:bCs/>
                      <w:color w:val="EE0000"/>
                      <w:szCs w:val="21"/>
                      <w:u w:val="single"/>
                    </w:rPr>
                  </w:pPr>
                  <w:r>
                    <w:rPr>
                      <w:bCs/>
                      <w:color w:val="EE0000"/>
                      <w:szCs w:val="21"/>
                      <w:u w:val="single"/>
                    </w:rPr>
                    <w:t>62.4mg/kg</w:t>
                  </w:r>
                </w:p>
              </w:tc>
              <w:tc>
                <w:tcPr>
                  <w:tcW w:w="672" w:type="pct"/>
                  <w:tcBorders>
                    <w:top w:val="single" w:color="auto" w:sz="4" w:space="0"/>
                  </w:tcBorders>
                  <w:vAlign w:val="center"/>
                </w:tcPr>
                <w:p w14:paraId="36EF7338">
                  <w:pPr>
                    <w:adjustRightInd w:val="0"/>
                    <w:snapToGrid w:val="0"/>
                    <w:jc w:val="center"/>
                    <w:rPr>
                      <w:bCs/>
                      <w:color w:val="EE0000"/>
                      <w:szCs w:val="21"/>
                      <w:u w:val="single"/>
                    </w:rPr>
                  </w:pPr>
                  <w:r>
                    <w:rPr>
                      <w:bCs/>
                      <w:color w:val="EE0000"/>
                      <w:szCs w:val="21"/>
                      <w:u w:val="single"/>
                    </w:rPr>
                    <w:t>27</w:t>
                  </w:r>
                </w:p>
              </w:tc>
              <w:tc>
                <w:tcPr>
                  <w:tcW w:w="679" w:type="pct"/>
                  <w:tcBorders>
                    <w:top w:val="single" w:color="auto" w:sz="4" w:space="0"/>
                  </w:tcBorders>
                  <w:vAlign w:val="center"/>
                </w:tcPr>
                <w:p w14:paraId="1B23ECD5">
                  <w:pPr>
                    <w:adjustRightInd w:val="0"/>
                    <w:snapToGrid w:val="0"/>
                    <w:jc w:val="center"/>
                    <w:rPr>
                      <w:bCs/>
                      <w:color w:val="EE0000"/>
                      <w:szCs w:val="21"/>
                      <w:u w:val="single"/>
                    </w:rPr>
                  </w:pPr>
                  <w:r>
                    <w:rPr>
                      <w:bCs/>
                      <w:color w:val="EE0000"/>
                      <w:szCs w:val="21"/>
                      <w:u w:val="single"/>
                    </w:rPr>
                    <w:t xml:space="preserve">0.1155 </w:t>
                  </w:r>
                </w:p>
              </w:tc>
              <w:tc>
                <w:tcPr>
                  <w:tcW w:w="679" w:type="pct"/>
                  <w:tcBorders>
                    <w:top w:val="single" w:color="auto" w:sz="4" w:space="0"/>
                  </w:tcBorders>
                  <w:vAlign w:val="center"/>
                </w:tcPr>
                <w:p w14:paraId="4C4177C7">
                  <w:pPr>
                    <w:adjustRightInd w:val="0"/>
                    <w:snapToGrid w:val="0"/>
                    <w:jc w:val="center"/>
                    <w:rPr>
                      <w:bCs/>
                      <w:color w:val="EE0000"/>
                      <w:szCs w:val="21"/>
                      <w:u w:val="single"/>
                    </w:rPr>
                  </w:pPr>
                  <w:r>
                    <w:rPr>
                      <w:bCs/>
                      <w:color w:val="EE0000"/>
                      <w:szCs w:val="21"/>
                      <w:u w:val="single"/>
                    </w:rPr>
                    <w:t>90</w:t>
                  </w:r>
                </w:p>
              </w:tc>
              <w:tc>
                <w:tcPr>
                  <w:tcW w:w="647" w:type="pct"/>
                  <w:tcBorders>
                    <w:top w:val="single" w:color="auto" w:sz="4" w:space="0"/>
                  </w:tcBorders>
                  <w:vAlign w:val="center"/>
                </w:tcPr>
                <w:p w14:paraId="069CE351">
                  <w:pPr>
                    <w:adjustRightInd w:val="0"/>
                    <w:snapToGrid w:val="0"/>
                    <w:jc w:val="center"/>
                    <w:rPr>
                      <w:bCs/>
                      <w:color w:val="EE0000"/>
                      <w:szCs w:val="21"/>
                      <w:u w:val="single"/>
                    </w:rPr>
                  </w:pPr>
                  <w:r>
                    <w:rPr>
                      <w:bCs/>
                      <w:color w:val="EE0000"/>
                      <w:szCs w:val="21"/>
                      <w:u w:val="single"/>
                    </w:rPr>
                    <w:t>0.012</w:t>
                  </w:r>
                </w:p>
              </w:tc>
            </w:tr>
            <w:tr w14:paraId="43F8D1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exact"/>
              </w:trPr>
              <w:tc>
                <w:tcPr>
                  <w:tcW w:w="522" w:type="pct"/>
                  <w:vAlign w:val="center"/>
                </w:tcPr>
                <w:p w14:paraId="02010826">
                  <w:pPr>
                    <w:adjustRightInd w:val="0"/>
                    <w:snapToGrid w:val="0"/>
                    <w:jc w:val="center"/>
                    <w:rPr>
                      <w:bCs/>
                      <w:color w:val="EE0000"/>
                      <w:szCs w:val="21"/>
                      <w:u w:val="single"/>
                    </w:rPr>
                  </w:pPr>
                  <w:r>
                    <w:rPr>
                      <w:bCs/>
                      <w:color w:val="EE0000"/>
                      <w:szCs w:val="21"/>
                      <w:u w:val="single"/>
                    </w:rPr>
                    <w:t>总铬</w:t>
                  </w:r>
                </w:p>
              </w:tc>
              <w:tc>
                <w:tcPr>
                  <w:tcW w:w="672" w:type="pct"/>
                  <w:vMerge w:val="continue"/>
                  <w:vAlign w:val="center"/>
                </w:tcPr>
                <w:p w14:paraId="7CA254EB">
                  <w:pPr>
                    <w:adjustRightInd w:val="0"/>
                    <w:snapToGrid w:val="0"/>
                    <w:jc w:val="center"/>
                    <w:rPr>
                      <w:bCs/>
                      <w:color w:val="EE0000"/>
                      <w:szCs w:val="21"/>
                      <w:u w:val="single"/>
                    </w:rPr>
                  </w:pPr>
                </w:p>
              </w:tc>
              <w:tc>
                <w:tcPr>
                  <w:tcW w:w="1129" w:type="pct"/>
                  <w:tcBorders>
                    <w:bottom w:val="single" w:color="auto" w:sz="4" w:space="0"/>
                  </w:tcBorders>
                  <w:vAlign w:val="center"/>
                </w:tcPr>
                <w:p w14:paraId="7AA0C7A3">
                  <w:pPr>
                    <w:adjustRightInd w:val="0"/>
                    <w:snapToGrid w:val="0"/>
                    <w:jc w:val="center"/>
                    <w:rPr>
                      <w:bCs/>
                      <w:color w:val="EE0000"/>
                      <w:szCs w:val="21"/>
                      <w:u w:val="single"/>
                    </w:rPr>
                  </w:pPr>
                  <w:r>
                    <w:rPr>
                      <w:bCs/>
                      <w:color w:val="EE0000"/>
                      <w:szCs w:val="21"/>
                      <w:u w:val="single"/>
                    </w:rPr>
                    <w:t>51.3mg/kg</w:t>
                  </w:r>
                </w:p>
              </w:tc>
              <w:tc>
                <w:tcPr>
                  <w:tcW w:w="672" w:type="pct"/>
                  <w:tcBorders>
                    <w:bottom w:val="single" w:color="auto" w:sz="4" w:space="0"/>
                  </w:tcBorders>
                  <w:vAlign w:val="center"/>
                </w:tcPr>
                <w:p w14:paraId="0517AA56">
                  <w:pPr>
                    <w:adjustRightInd w:val="0"/>
                    <w:snapToGrid w:val="0"/>
                    <w:jc w:val="center"/>
                    <w:rPr>
                      <w:bCs/>
                      <w:color w:val="EE0000"/>
                      <w:szCs w:val="21"/>
                      <w:u w:val="single"/>
                    </w:rPr>
                  </w:pPr>
                  <w:r>
                    <w:rPr>
                      <w:bCs/>
                      <w:color w:val="EE0000"/>
                      <w:szCs w:val="21"/>
                      <w:u w:val="single"/>
                    </w:rPr>
                    <w:t>10</w:t>
                  </w:r>
                </w:p>
              </w:tc>
              <w:tc>
                <w:tcPr>
                  <w:tcW w:w="679" w:type="pct"/>
                  <w:tcBorders>
                    <w:bottom w:val="single" w:color="auto" w:sz="4" w:space="0"/>
                  </w:tcBorders>
                  <w:vAlign w:val="center"/>
                </w:tcPr>
                <w:p w14:paraId="77EE4AEE">
                  <w:pPr>
                    <w:adjustRightInd w:val="0"/>
                    <w:snapToGrid w:val="0"/>
                    <w:jc w:val="center"/>
                    <w:rPr>
                      <w:bCs/>
                      <w:color w:val="EE0000"/>
                      <w:szCs w:val="21"/>
                      <w:u w:val="single"/>
                    </w:rPr>
                  </w:pPr>
                  <w:r>
                    <w:rPr>
                      <w:bCs/>
                      <w:color w:val="EE0000"/>
                      <w:szCs w:val="21"/>
                      <w:u w:val="single"/>
                    </w:rPr>
                    <w:t>0.0352</w:t>
                  </w:r>
                </w:p>
              </w:tc>
              <w:tc>
                <w:tcPr>
                  <w:tcW w:w="679" w:type="pct"/>
                  <w:tcBorders>
                    <w:bottom w:val="single" w:color="auto" w:sz="4" w:space="0"/>
                  </w:tcBorders>
                  <w:vAlign w:val="center"/>
                </w:tcPr>
                <w:p w14:paraId="0BBD7451">
                  <w:pPr>
                    <w:adjustRightInd w:val="0"/>
                    <w:snapToGrid w:val="0"/>
                    <w:jc w:val="center"/>
                    <w:rPr>
                      <w:bCs/>
                      <w:color w:val="EE0000"/>
                      <w:szCs w:val="21"/>
                      <w:u w:val="single"/>
                    </w:rPr>
                  </w:pPr>
                  <w:r>
                    <w:rPr>
                      <w:bCs/>
                      <w:color w:val="EE0000"/>
                      <w:szCs w:val="21"/>
                      <w:u w:val="single"/>
                    </w:rPr>
                    <w:t>90</w:t>
                  </w:r>
                </w:p>
              </w:tc>
              <w:tc>
                <w:tcPr>
                  <w:tcW w:w="647" w:type="pct"/>
                  <w:tcBorders>
                    <w:bottom w:val="single" w:color="auto" w:sz="4" w:space="0"/>
                  </w:tcBorders>
                  <w:vAlign w:val="center"/>
                </w:tcPr>
                <w:p w14:paraId="7E23F19B">
                  <w:pPr>
                    <w:adjustRightInd w:val="0"/>
                    <w:snapToGrid w:val="0"/>
                    <w:jc w:val="center"/>
                    <w:rPr>
                      <w:bCs/>
                      <w:color w:val="EE0000"/>
                      <w:szCs w:val="21"/>
                      <w:u w:val="single"/>
                    </w:rPr>
                  </w:pPr>
                  <w:r>
                    <w:rPr>
                      <w:bCs/>
                      <w:color w:val="EE0000"/>
                      <w:szCs w:val="21"/>
                      <w:u w:val="single"/>
                    </w:rPr>
                    <w:t xml:space="preserve">0.004 </w:t>
                  </w:r>
                </w:p>
              </w:tc>
            </w:tr>
            <w:tr w14:paraId="451F2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trPr>
              <w:tc>
                <w:tcPr>
                  <w:tcW w:w="522" w:type="pct"/>
                  <w:vAlign w:val="center"/>
                </w:tcPr>
                <w:p w14:paraId="3B8ECCF4">
                  <w:pPr>
                    <w:adjustRightInd w:val="0"/>
                    <w:snapToGrid w:val="0"/>
                    <w:jc w:val="center"/>
                    <w:rPr>
                      <w:bCs/>
                      <w:color w:val="EE0000"/>
                      <w:szCs w:val="21"/>
                      <w:u w:val="single"/>
                    </w:rPr>
                  </w:pPr>
                  <w:r>
                    <w:rPr>
                      <w:bCs/>
                      <w:color w:val="EE0000"/>
                      <w:szCs w:val="21"/>
                      <w:u w:val="single"/>
                    </w:rPr>
                    <w:t>总砷</w:t>
                  </w:r>
                </w:p>
              </w:tc>
              <w:tc>
                <w:tcPr>
                  <w:tcW w:w="672" w:type="pct"/>
                  <w:vMerge w:val="continue"/>
                  <w:vAlign w:val="center"/>
                </w:tcPr>
                <w:p w14:paraId="705980B5">
                  <w:pPr>
                    <w:adjustRightInd w:val="0"/>
                    <w:snapToGrid w:val="0"/>
                    <w:jc w:val="center"/>
                    <w:rPr>
                      <w:bCs/>
                      <w:color w:val="EE0000"/>
                      <w:szCs w:val="21"/>
                      <w:u w:val="single"/>
                    </w:rPr>
                  </w:pPr>
                </w:p>
              </w:tc>
              <w:tc>
                <w:tcPr>
                  <w:tcW w:w="1129" w:type="pct"/>
                  <w:vAlign w:val="center"/>
                </w:tcPr>
                <w:p w14:paraId="34AB9851">
                  <w:pPr>
                    <w:adjustRightInd w:val="0"/>
                    <w:snapToGrid w:val="0"/>
                    <w:jc w:val="center"/>
                    <w:rPr>
                      <w:bCs/>
                      <w:color w:val="EE0000"/>
                      <w:szCs w:val="21"/>
                      <w:u w:val="single"/>
                    </w:rPr>
                  </w:pPr>
                  <w:r>
                    <w:rPr>
                      <w:bCs/>
                      <w:color w:val="EE0000"/>
                      <w:szCs w:val="21"/>
                      <w:u w:val="single"/>
                    </w:rPr>
                    <w:t>5.19mg/kg</w:t>
                  </w:r>
                </w:p>
              </w:tc>
              <w:tc>
                <w:tcPr>
                  <w:tcW w:w="672" w:type="pct"/>
                  <w:vAlign w:val="center"/>
                </w:tcPr>
                <w:p w14:paraId="35FF18F1">
                  <w:pPr>
                    <w:adjustRightInd w:val="0"/>
                    <w:snapToGrid w:val="0"/>
                    <w:jc w:val="center"/>
                    <w:rPr>
                      <w:bCs/>
                      <w:color w:val="EE0000"/>
                      <w:szCs w:val="21"/>
                      <w:u w:val="single"/>
                    </w:rPr>
                  </w:pPr>
                  <w:r>
                    <w:rPr>
                      <w:bCs/>
                      <w:color w:val="EE0000"/>
                      <w:szCs w:val="21"/>
                      <w:u w:val="single"/>
                    </w:rPr>
                    <w:t>70</w:t>
                  </w:r>
                </w:p>
              </w:tc>
              <w:tc>
                <w:tcPr>
                  <w:tcW w:w="679" w:type="pct"/>
                  <w:vAlign w:val="center"/>
                </w:tcPr>
                <w:p w14:paraId="166CB443">
                  <w:pPr>
                    <w:adjustRightInd w:val="0"/>
                    <w:snapToGrid w:val="0"/>
                    <w:jc w:val="center"/>
                    <w:rPr>
                      <w:bCs/>
                      <w:color w:val="EE0000"/>
                      <w:szCs w:val="21"/>
                      <w:u w:val="single"/>
                    </w:rPr>
                  </w:pPr>
                  <w:r>
                    <w:rPr>
                      <w:bCs/>
                      <w:color w:val="EE0000"/>
                      <w:szCs w:val="21"/>
                      <w:u w:val="single"/>
                    </w:rPr>
                    <w:t>0.0249</w:t>
                  </w:r>
                </w:p>
              </w:tc>
              <w:tc>
                <w:tcPr>
                  <w:tcW w:w="679" w:type="pct"/>
                  <w:vAlign w:val="center"/>
                </w:tcPr>
                <w:p w14:paraId="634C3898">
                  <w:pPr>
                    <w:adjustRightInd w:val="0"/>
                    <w:snapToGrid w:val="0"/>
                    <w:jc w:val="center"/>
                    <w:rPr>
                      <w:bCs/>
                      <w:color w:val="EE0000"/>
                      <w:szCs w:val="21"/>
                      <w:u w:val="single"/>
                    </w:rPr>
                  </w:pPr>
                  <w:r>
                    <w:rPr>
                      <w:bCs/>
                      <w:color w:val="EE0000"/>
                      <w:szCs w:val="21"/>
                      <w:u w:val="single"/>
                    </w:rPr>
                    <w:t>90</w:t>
                  </w:r>
                </w:p>
              </w:tc>
              <w:tc>
                <w:tcPr>
                  <w:tcW w:w="647" w:type="pct"/>
                  <w:vAlign w:val="center"/>
                </w:tcPr>
                <w:p w14:paraId="7E23F947">
                  <w:pPr>
                    <w:adjustRightInd w:val="0"/>
                    <w:snapToGrid w:val="0"/>
                    <w:jc w:val="center"/>
                    <w:rPr>
                      <w:bCs/>
                      <w:color w:val="EE0000"/>
                      <w:szCs w:val="21"/>
                      <w:u w:val="single"/>
                    </w:rPr>
                  </w:pPr>
                  <w:r>
                    <w:rPr>
                      <w:bCs/>
                      <w:color w:val="EE0000"/>
                      <w:szCs w:val="21"/>
                      <w:u w:val="single"/>
                    </w:rPr>
                    <w:t xml:space="preserve">0.002 </w:t>
                  </w:r>
                </w:p>
              </w:tc>
            </w:tr>
            <w:tr w14:paraId="382AD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522" w:type="pct"/>
                  <w:vAlign w:val="center"/>
                </w:tcPr>
                <w:p w14:paraId="56F76A66">
                  <w:pPr>
                    <w:adjustRightInd w:val="0"/>
                    <w:snapToGrid w:val="0"/>
                    <w:jc w:val="center"/>
                    <w:rPr>
                      <w:bCs/>
                      <w:color w:val="EE0000"/>
                      <w:szCs w:val="21"/>
                      <w:u w:val="single"/>
                    </w:rPr>
                  </w:pPr>
                  <w:r>
                    <w:rPr>
                      <w:bCs/>
                      <w:color w:val="EE0000"/>
                      <w:szCs w:val="21"/>
                      <w:u w:val="single"/>
                    </w:rPr>
                    <w:t>总镍</w:t>
                  </w:r>
                </w:p>
              </w:tc>
              <w:tc>
                <w:tcPr>
                  <w:tcW w:w="672" w:type="pct"/>
                  <w:vMerge w:val="continue"/>
                  <w:vAlign w:val="center"/>
                </w:tcPr>
                <w:p w14:paraId="6CB9A15F">
                  <w:pPr>
                    <w:adjustRightInd w:val="0"/>
                    <w:snapToGrid w:val="0"/>
                    <w:jc w:val="center"/>
                    <w:rPr>
                      <w:bCs/>
                      <w:color w:val="EE0000"/>
                      <w:szCs w:val="21"/>
                      <w:u w:val="single"/>
                    </w:rPr>
                  </w:pPr>
                </w:p>
              </w:tc>
              <w:tc>
                <w:tcPr>
                  <w:tcW w:w="1129" w:type="pct"/>
                  <w:vAlign w:val="center"/>
                </w:tcPr>
                <w:p w14:paraId="28709CF1">
                  <w:pPr>
                    <w:adjustRightInd w:val="0"/>
                    <w:snapToGrid w:val="0"/>
                    <w:jc w:val="center"/>
                    <w:rPr>
                      <w:bCs/>
                      <w:color w:val="EE0000"/>
                      <w:szCs w:val="21"/>
                      <w:u w:val="single"/>
                    </w:rPr>
                  </w:pPr>
                  <w:r>
                    <w:rPr>
                      <w:bCs/>
                      <w:color w:val="EE0000"/>
                      <w:szCs w:val="21"/>
                      <w:u w:val="single"/>
                    </w:rPr>
                    <w:t>ND</w:t>
                  </w:r>
                </w:p>
              </w:tc>
              <w:tc>
                <w:tcPr>
                  <w:tcW w:w="672" w:type="pct"/>
                  <w:vAlign w:val="center"/>
                </w:tcPr>
                <w:p w14:paraId="0341A4E4">
                  <w:pPr>
                    <w:adjustRightInd w:val="0"/>
                    <w:snapToGrid w:val="0"/>
                    <w:jc w:val="center"/>
                    <w:rPr>
                      <w:bCs/>
                      <w:color w:val="EE0000"/>
                      <w:szCs w:val="21"/>
                      <w:u w:val="single"/>
                    </w:rPr>
                  </w:pPr>
                  <w:r>
                    <w:rPr>
                      <w:bCs/>
                      <w:color w:val="EE0000"/>
                      <w:szCs w:val="21"/>
                      <w:u w:val="single"/>
                    </w:rPr>
                    <w:t>/</w:t>
                  </w:r>
                </w:p>
              </w:tc>
              <w:tc>
                <w:tcPr>
                  <w:tcW w:w="679" w:type="pct"/>
                  <w:vAlign w:val="center"/>
                </w:tcPr>
                <w:p w14:paraId="085F826B">
                  <w:pPr>
                    <w:adjustRightInd w:val="0"/>
                    <w:snapToGrid w:val="0"/>
                    <w:jc w:val="center"/>
                    <w:rPr>
                      <w:bCs/>
                      <w:color w:val="EE0000"/>
                      <w:szCs w:val="21"/>
                      <w:u w:val="single"/>
                    </w:rPr>
                  </w:pPr>
                  <w:r>
                    <w:rPr>
                      <w:bCs/>
                      <w:color w:val="EE0000"/>
                      <w:szCs w:val="21"/>
                      <w:u w:val="single"/>
                    </w:rPr>
                    <w:t>/</w:t>
                  </w:r>
                </w:p>
              </w:tc>
              <w:tc>
                <w:tcPr>
                  <w:tcW w:w="679" w:type="pct"/>
                  <w:vAlign w:val="center"/>
                </w:tcPr>
                <w:p w14:paraId="531AF034">
                  <w:pPr>
                    <w:adjustRightInd w:val="0"/>
                    <w:snapToGrid w:val="0"/>
                    <w:jc w:val="center"/>
                    <w:rPr>
                      <w:bCs/>
                      <w:color w:val="EE0000"/>
                      <w:szCs w:val="21"/>
                      <w:u w:val="single"/>
                    </w:rPr>
                  </w:pPr>
                  <w:r>
                    <w:rPr>
                      <w:bCs/>
                      <w:color w:val="EE0000"/>
                      <w:szCs w:val="21"/>
                      <w:u w:val="single"/>
                    </w:rPr>
                    <w:t>/</w:t>
                  </w:r>
                </w:p>
              </w:tc>
              <w:tc>
                <w:tcPr>
                  <w:tcW w:w="647" w:type="pct"/>
                  <w:vAlign w:val="center"/>
                </w:tcPr>
                <w:p w14:paraId="4B7DE79A">
                  <w:pPr>
                    <w:adjustRightInd w:val="0"/>
                    <w:snapToGrid w:val="0"/>
                    <w:jc w:val="center"/>
                    <w:rPr>
                      <w:bCs/>
                      <w:color w:val="EE0000"/>
                      <w:szCs w:val="21"/>
                      <w:u w:val="single"/>
                    </w:rPr>
                  </w:pPr>
                  <w:r>
                    <w:rPr>
                      <w:bCs/>
                      <w:color w:val="EE0000"/>
                      <w:szCs w:val="21"/>
                      <w:u w:val="single"/>
                    </w:rPr>
                    <w:t>/</w:t>
                  </w:r>
                </w:p>
              </w:tc>
            </w:tr>
            <w:tr w14:paraId="09870B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522" w:type="pct"/>
                  <w:vAlign w:val="center"/>
                </w:tcPr>
                <w:p w14:paraId="5FB9FDF5">
                  <w:pPr>
                    <w:adjustRightInd w:val="0"/>
                    <w:snapToGrid w:val="0"/>
                    <w:jc w:val="center"/>
                    <w:rPr>
                      <w:bCs/>
                      <w:color w:val="EE0000"/>
                      <w:szCs w:val="21"/>
                      <w:u w:val="single"/>
                    </w:rPr>
                  </w:pPr>
                  <w:r>
                    <w:rPr>
                      <w:bCs/>
                      <w:color w:val="EE0000"/>
                      <w:szCs w:val="21"/>
                      <w:u w:val="single"/>
                    </w:rPr>
                    <w:t>总锌</w:t>
                  </w:r>
                </w:p>
              </w:tc>
              <w:tc>
                <w:tcPr>
                  <w:tcW w:w="672" w:type="pct"/>
                  <w:vMerge w:val="continue"/>
                  <w:vAlign w:val="center"/>
                </w:tcPr>
                <w:p w14:paraId="7D507C9D">
                  <w:pPr>
                    <w:adjustRightInd w:val="0"/>
                    <w:snapToGrid w:val="0"/>
                    <w:jc w:val="center"/>
                    <w:rPr>
                      <w:bCs/>
                      <w:color w:val="EE0000"/>
                      <w:szCs w:val="21"/>
                      <w:u w:val="single"/>
                    </w:rPr>
                  </w:pPr>
                </w:p>
              </w:tc>
              <w:tc>
                <w:tcPr>
                  <w:tcW w:w="1129" w:type="pct"/>
                  <w:vAlign w:val="center"/>
                </w:tcPr>
                <w:p w14:paraId="13C9805C">
                  <w:pPr>
                    <w:adjustRightInd w:val="0"/>
                    <w:snapToGrid w:val="0"/>
                    <w:jc w:val="center"/>
                    <w:rPr>
                      <w:bCs/>
                      <w:color w:val="EE0000"/>
                      <w:szCs w:val="21"/>
                      <w:u w:val="single"/>
                    </w:rPr>
                  </w:pPr>
                  <w:r>
                    <w:rPr>
                      <w:bCs/>
                      <w:color w:val="EE0000"/>
                      <w:szCs w:val="21"/>
                      <w:u w:val="single"/>
                    </w:rPr>
                    <w:t>2120mg/kg</w:t>
                  </w:r>
                </w:p>
              </w:tc>
              <w:tc>
                <w:tcPr>
                  <w:tcW w:w="672" w:type="pct"/>
                  <w:vAlign w:val="center"/>
                </w:tcPr>
                <w:p w14:paraId="344DFD80">
                  <w:pPr>
                    <w:adjustRightInd w:val="0"/>
                    <w:snapToGrid w:val="0"/>
                    <w:jc w:val="center"/>
                    <w:rPr>
                      <w:bCs/>
                      <w:color w:val="EE0000"/>
                      <w:szCs w:val="21"/>
                      <w:u w:val="single"/>
                    </w:rPr>
                  </w:pPr>
                  <w:r>
                    <w:rPr>
                      <w:bCs/>
                      <w:color w:val="EE0000"/>
                      <w:szCs w:val="21"/>
                      <w:u w:val="single"/>
                    </w:rPr>
                    <w:t>28</w:t>
                  </w:r>
                </w:p>
              </w:tc>
              <w:tc>
                <w:tcPr>
                  <w:tcW w:w="679" w:type="pct"/>
                  <w:vAlign w:val="center"/>
                </w:tcPr>
                <w:p w14:paraId="2F02D431">
                  <w:pPr>
                    <w:adjustRightInd w:val="0"/>
                    <w:snapToGrid w:val="0"/>
                    <w:jc w:val="center"/>
                    <w:rPr>
                      <w:bCs/>
                      <w:color w:val="EE0000"/>
                      <w:szCs w:val="21"/>
                      <w:u w:val="single"/>
                    </w:rPr>
                  </w:pPr>
                  <w:r>
                    <w:rPr>
                      <w:bCs/>
                      <w:color w:val="EE0000"/>
                      <w:szCs w:val="21"/>
                      <w:u w:val="single"/>
                    </w:rPr>
                    <w:t xml:space="preserve">4.0691 </w:t>
                  </w:r>
                </w:p>
              </w:tc>
              <w:tc>
                <w:tcPr>
                  <w:tcW w:w="679" w:type="pct"/>
                  <w:vAlign w:val="center"/>
                </w:tcPr>
                <w:p w14:paraId="1A933A96">
                  <w:pPr>
                    <w:adjustRightInd w:val="0"/>
                    <w:snapToGrid w:val="0"/>
                    <w:jc w:val="center"/>
                    <w:rPr>
                      <w:bCs/>
                      <w:color w:val="EE0000"/>
                      <w:szCs w:val="21"/>
                      <w:u w:val="single"/>
                    </w:rPr>
                  </w:pPr>
                  <w:r>
                    <w:rPr>
                      <w:bCs/>
                      <w:color w:val="EE0000"/>
                      <w:szCs w:val="21"/>
                      <w:u w:val="single"/>
                    </w:rPr>
                    <w:t>90</w:t>
                  </w:r>
                </w:p>
              </w:tc>
              <w:tc>
                <w:tcPr>
                  <w:tcW w:w="647" w:type="pct"/>
                  <w:vAlign w:val="center"/>
                </w:tcPr>
                <w:p w14:paraId="1D3B5DB8">
                  <w:pPr>
                    <w:adjustRightInd w:val="0"/>
                    <w:snapToGrid w:val="0"/>
                    <w:jc w:val="center"/>
                    <w:rPr>
                      <w:bCs/>
                      <w:color w:val="EE0000"/>
                      <w:szCs w:val="21"/>
                      <w:u w:val="single"/>
                    </w:rPr>
                  </w:pPr>
                  <w:r>
                    <w:rPr>
                      <w:bCs/>
                      <w:color w:val="EE0000"/>
                      <w:szCs w:val="21"/>
                      <w:u w:val="single"/>
                    </w:rPr>
                    <w:t xml:space="preserve">0.407 </w:t>
                  </w:r>
                </w:p>
              </w:tc>
            </w:tr>
            <w:tr w14:paraId="2F8BE9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exact"/>
              </w:trPr>
              <w:tc>
                <w:tcPr>
                  <w:tcW w:w="522" w:type="pct"/>
                  <w:vAlign w:val="center"/>
                </w:tcPr>
                <w:p w14:paraId="1CCE1530">
                  <w:pPr>
                    <w:adjustRightInd w:val="0"/>
                    <w:snapToGrid w:val="0"/>
                    <w:jc w:val="center"/>
                    <w:rPr>
                      <w:bCs/>
                      <w:color w:val="EE0000"/>
                      <w:szCs w:val="21"/>
                      <w:u w:val="single"/>
                    </w:rPr>
                  </w:pPr>
                  <w:r>
                    <w:rPr>
                      <w:bCs/>
                      <w:color w:val="EE0000"/>
                      <w:szCs w:val="21"/>
                      <w:u w:val="single"/>
                    </w:rPr>
                    <w:t>总铜</w:t>
                  </w:r>
                </w:p>
              </w:tc>
              <w:tc>
                <w:tcPr>
                  <w:tcW w:w="672" w:type="pct"/>
                  <w:vMerge w:val="continue"/>
                  <w:vAlign w:val="center"/>
                </w:tcPr>
                <w:p w14:paraId="290F9BF2">
                  <w:pPr>
                    <w:adjustRightInd w:val="0"/>
                    <w:snapToGrid w:val="0"/>
                    <w:jc w:val="center"/>
                    <w:rPr>
                      <w:bCs/>
                      <w:color w:val="EE0000"/>
                      <w:szCs w:val="21"/>
                      <w:u w:val="single"/>
                    </w:rPr>
                  </w:pPr>
                </w:p>
              </w:tc>
              <w:tc>
                <w:tcPr>
                  <w:tcW w:w="1129" w:type="pct"/>
                  <w:vAlign w:val="center"/>
                </w:tcPr>
                <w:p w14:paraId="56DE4DA8">
                  <w:pPr>
                    <w:adjustRightInd w:val="0"/>
                    <w:snapToGrid w:val="0"/>
                    <w:jc w:val="center"/>
                    <w:rPr>
                      <w:bCs/>
                      <w:color w:val="EE0000"/>
                      <w:szCs w:val="21"/>
                      <w:u w:val="single"/>
                    </w:rPr>
                  </w:pPr>
                  <w:r>
                    <w:rPr>
                      <w:bCs/>
                      <w:color w:val="EE0000"/>
                      <w:szCs w:val="21"/>
                      <w:u w:val="single"/>
                    </w:rPr>
                    <w:t>246mg/kg</w:t>
                  </w:r>
                </w:p>
              </w:tc>
              <w:tc>
                <w:tcPr>
                  <w:tcW w:w="672" w:type="pct"/>
                  <w:vAlign w:val="center"/>
                </w:tcPr>
                <w:p w14:paraId="29560F75">
                  <w:pPr>
                    <w:adjustRightInd w:val="0"/>
                    <w:snapToGrid w:val="0"/>
                    <w:jc w:val="center"/>
                    <w:rPr>
                      <w:bCs/>
                      <w:color w:val="EE0000"/>
                      <w:szCs w:val="21"/>
                      <w:u w:val="single"/>
                    </w:rPr>
                  </w:pPr>
                  <w:r>
                    <w:rPr>
                      <w:bCs/>
                      <w:color w:val="EE0000"/>
                      <w:szCs w:val="21"/>
                      <w:u w:val="single"/>
                    </w:rPr>
                    <w:t>28</w:t>
                  </w:r>
                </w:p>
              </w:tc>
              <w:tc>
                <w:tcPr>
                  <w:tcW w:w="679" w:type="pct"/>
                  <w:vAlign w:val="center"/>
                </w:tcPr>
                <w:p w14:paraId="659BC4C8">
                  <w:pPr>
                    <w:adjustRightInd w:val="0"/>
                    <w:snapToGrid w:val="0"/>
                    <w:jc w:val="center"/>
                    <w:rPr>
                      <w:bCs/>
                      <w:color w:val="EE0000"/>
                      <w:szCs w:val="21"/>
                      <w:u w:val="single"/>
                    </w:rPr>
                  </w:pPr>
                  <w:r>
                    <w:rPr>
                      <w:bCs/>
                      <w:color w:val="EE0000"/>
                      <w:szCs w:val="21"/>
                      <w:u w:val="single"/>
                    </w:rPr>
                    <w:t xml:space="preserve">0.4722 </w:t>
                  </w:r>
                </w:p>
              </w:tc>
              <w:tc>
                <w:tcPr>
                  <w:tcW w:w="679" w:type="pct"/>
                  <w:vAlign w:val="center"/>
                </w:tcPr>
                <w:p w14:paraId="23D91F39">
                  <w:pPr>
                    <w:adjustRightInd w:val="0"/>
                    <w:snapToGrid w:val="0"/>
                    <w:jc w:val="center"/>
                    <w:rPr>
                      <w:bCs/>
                      <w:color w:val="EE0000"/>
                      <w:szCs w:val="21"/>
                      <w:u w:val="single"/>
                    </w:rPr>
                  </w:pPr>
                  <w:r>
                    <w:rPr>
                      <w:bCs/>
                      <w:color w:val="EE0000"/>
                      <w:szCs w:val="21"/>
                      <w:u w:val="single"/>
                    </w:rPr>
                    <w:t>90</w:t>
                  </w:r>
                </w:p>
              </w:tc>
              <w:tc>
                <w:tcPr>
                  <w:tcW w:w="647" w:type="pct"/>
                  <w:vAlign w:val="center"/>
                </w:tcPr>
                <w:p w14:paraId="5B8F9D21">
                  <w:pPr>
                    <w:adjustRightInd w:val="0"/>
                    <w:snapToGrid w:val="0"/>
                    <w:jc w:val="center"/>
                    <w:rPr>
                      <w:bCs/>
                      <w:color w:val="EE0000"/>
                      <w:szCs w:val="21"/>
                      <w:u w:val="single"/>
                    </w:rPr>
                  </w:pPr>
                  <w:r>
                    <w:rPr>
                      <w:bCs/>
                      <w:color w:val="EE0000"/>
                      <w:szCs w:val="21"/>
                      <w:u w:val="single"/>
                    </w:rPr>
                    <w:t>0.047</w:t>
                  </w:r>
                </w:p>
              </w:tc>
            </w:tr>
          </w:tbl>
          <w:p w14:paraId="2589F6FF">
            <w:pPr>
              <w:adjustRightInd w:val="0"/>
              <w:snapToGrid w:val="0"/>
              <w:spacing w:line="500" w:lineRule="exact"/>
              <w:ind w:firstLine="480" w:firstLineChars="200"/>
              <w:rPr>
                <w:bCs/>
                <w:kern w:val="0"/>
                <w:sz w:val="24"/>
              </w:rPr>
            </w:pPr>
            <w:r>
              <w:rPr>
                <w:bCs/>
                <w:kern w:val="0"/>
                <w:sz w:val="24"/>
              </w:rPr>
              <w:fldChar w:fldCharType="begin"/>
            </w:r>
            <w:r>
              <w:rPr>
                <w:bCs/>
                <w:kern w:val="0"/>
                <w:sz w:val="24"/>
              </w:rPr>
              <w:instrText xml:space="preserve"> = 2 \* GB3 </w:instrText>
            </w:r>
            <w:r>
              <w:rPr>
                <w:bCs/>
                <w:kern w:val="0"/>
                <w:sz w:val="24"/>
              </w:rPr>
              <w:fldChar w:fldCharType="separate"/>
            </w:r>
            <w:r>
              <w:rPr>
                <w:rFonts w:ascii="Cambria Math" w:hAnsi="Cambria Math" w:cs="Cambria Math"/>
                <w:bCs/>
                <w:kern w:val="0"/>
                <w:sz w:val="24"/>
              </w:rPr>
              <w:t>②</w:t>
            </w:r>
            <w:r>
              <w:rPr>
                <w:bCs/>
                <w:kern w:val="0"/>
                <w:sz w:val="24"/>
              </w:rPr>
              <w:fldChar w:fldCharType="end"/>
            </w:r>
            <w:r>
              <w:rPr>
                <w:bCs/>
                <w:kern w:val="0"/>
                <w:sz w:val="24"/>
              </w:rPr>
              <w:t>窑炉烟气治理措施及污染物排放情况</w:t>
            </w:r>
          </w:p>
          <w:p w14:paraId="38D55527">
            <w:pPr>
              <w:autoSpaceDE w:val="0"/>
              <w:autoSpaceDN w:val="0"/>
              <w:adjustRightInd w:val="0"/>
              <w:spacing w:line="520" w:lineRule="exact"/>
              <w:ind w:firstLine="480" w:firstLineChars="200"/>
              <w:jc w:val="left"/>
              <w:rPr>
                <w:kern w:val="0"/>
                <w:sz w:val="24"/>
              </w:rPr>
            </w:pPr>
            <w:r>
              <w:rPr>
                <w:kern w:val="0"/>
                <w:sz w:val="24"/>
              </w:rPr>
              <w:t>三兴建材现有工程窑炉烟气采用钠钙双碱法脱硫+湿电除尘装置处理，颗粒物、SO</w:t>
            </w:r>
            <w:r>
              <w:rPr>
                <w:kern w:val="0"/>
                <w:sz w:val="24"/>
                <w:vertAlign w:val="subscript"/>
              </w:rPr>
              <w:t>2</w:t>
            </w:r>
            <w:r>
              <w:rPr>
                <w:kern w:val="0"/>
                <w:sz w:val="24"/>
              </w:rPr>
              <w:t>、NOx 和氟化物排放浓度均满足《砖瓦工业大气污染物排放标准》（DB41/2234-2022）中规定限值要求。</w:t>
            </w:r>
          </w:p>
          <w:p w14:paraId="6B307BB4">
            <w:pPr>
              <w:autoSpaceDE w:val="0"/>
              <w:autoSpaceDN w:val="0"/>
              <w:adjustRightInd w:val="0"/>
              <w:spacing w:line="520" w:lineRule="exact"/>
              <w:ind w:firstLine="480" w:firstLineChars="200"/>
              <w:jc w:val="left"/>
              <w:rPr>
                <w:kern w:val="0"/>
                <w:sz w:val="24"/>
              </w:rPr>
            </w:pPr>
            <w:r>
              <w:rPr>
                <w:kern w:val="0"/>
                <w:sz w:val="24"/>
              </w:rPr>
              <w:t>本次技改工程对窑炉烟气处理措施进一步优化改进，以满足绩效分级A级企业水平，改进方式为淘汰现有钠钙双碱法脱硫设施，增加一座处理能力匹配的石灰-石膏湿法脱硫塔；利用现有一座湿电除尘器，并另外增加一座湿电除尘器，使其满足技改后项目废气处理需求；另外在脱硫除尘前端增加1套SNCR 脱硝装置，SNCR 脱硝工艺是一种向高温烟气中喷射含氮还原剂，在不借助催化剂的情况下，有选择性地将氮氧化物（NOx）还原为无害的氮气（N₂）和水（H₂O）的脱硝技术，本项目所用还原剂为尿素，采用窑内喷雾化尿素溶液（40～50%）脱硝，喷入位置选择在预热段与焙烧段交界处，此处废气温度稳定在850～950℃之间，可以实现高效脱硝、同时避免设备腐蚀和二次污染。根据设计方案，本项目脱硝工艺控制氨逃逸率在5ppm以内，本次评价氨的逃逸率取5ppm，经折算，氨的排放浓度约为3.80mg/m</w:t>
            </w:r>
            <w:r>
              <w:rPr>
                <w:kern w:val="0"/>
                <w:sz w:val="24"/>
                <w:vertAlign w:val="superscript"/>
              </w:rPr>
              <w:t>3</w:t>
            </w:r>
            <w:r>
              <w:rPr>
                <w:kern w:val="0"/>
                <w:sz w:val="24"/>
              </w:rPr>
              <w:t>。</w:t>
            </w:r>
          </w:p>
          <w:p w14:paraId="3E068D9F">
            <w:pPr>
              <w:tabs>
                <w:tab w:val="left" w:pos="210"/>
              </w:tabs>
              <w:spacing w:line="520" w:lineRule="exact"/>
              <w:ind w:firstLine="480" w:firstLineChars="200"/>
              <w:rPr>
                <w:sz w:val="24"/>
              </w:rPr>
            </w:pPr>
            <w:r>
              <w:rPr>
                <w:kern w:val="0"/>
                <w:sz w:val="24"/>
              </w:rPr>
              <w:t>由以上分析可知，技改后项目窑炉烟气采用尿素-SNCR 脱硝+石灰-石膏法脱硫+湿电除尘工艺，SNCR脱硝对氮氧化物的去处效率为55%，石灰—石膏法脱硫工艺对SO</w:t>
            </w:r>
            <w:r>
              <w:rPr>
                <w:kern w:val="0"/>
                <w:sz w:val="24"/>
                <w:vertAlign w:val="subscript"/>
              </w:rPr>
              <w:t>2</w:t>
            </w:r>
            <w:r>
              <w:rPr>
                <w:kern w:val="0"/>
                <w:sz w:val="24"/>
              </w:rPr>
              <w:t>、氟化物、氯化氢的去除率为95%，脱硫塔+湿电除尘工艺对颗粒物的去除率取90%，</w:t>
            </w:r>
            <w:r>
              <w:rPr>
                <w:sz w:val="24"/>
              </w:rPr>
              <w:t>各重金属在废气中主要以颗粒物形式存在，经烟气净化处理过程中重金属的去除效率理论上与除尘效率一致，去除效率约90%</w:t>
            </w:r>
            <w:r>
              <w:rPr>
                <w:kern w:val="0"/>
                <w:sz w:val="24"/>
              </w:rPr>
              <w:t>。</w:t>
            </w:r>
          </w:p>
          <w:p w14:paraId="1C73CF86">
            <w:pPr>
              <w:autoSpaceDE w:val="0"/>
              <w:autoSpaceDN w:val="0"/>
              <w:adjustRightInd w:val="0"/>
              <w:spacing w:line="520" w:lineRule="exact"/>
              <w:ind w:firstLine="480" w:firstLineChars="200"/>
              <w:jc w:val="left"/>
              <w:rPr>
                <w:kern w:val="0"/>
                <w:sz w:val="24"/>
              </w:rPr>
            </w:pPr>
            <w:r>
              <w:rPr>
                <w:kern w:val="0"/>
                <w:sz w:val="24"/>
              </w:rPr>
              <w:t>本项目焙烧隧道窑预热段废气和冷却段废气全部引入干燥窑，作为热源对湿砖坯进行烘干，最终通过引风机将余热利用后的废气引至末端脱硫除尘装置进行处理，根据企业提供资料，烘干窑引风机总风量约为20万m</w:t>
            </w:r>
            <w:r>
              <w:rPr>
                <w:kern w:val="0"/>
                <w:sz w:val="24"/>
                <w:vertAlign w:val="superscript"/>
              </w:rPr>
              <w:t>3</w:t>
            </w:r>
            <w:r>
              <w:rPr>
                <w:kern w:val="0"/>
                <w:sz w:val="24"/>
              </w:rPr>
              <w:t>/h。窑炉烟气废气各污染物产排情况见4-8。</w:t>
            </w:r>
          </w:p>
          <w:p w14:paraId="21ED1B74">
            <w:pPr>
              <w:autoSpaceDE w:val="0"/>
              <w:autoSpaceDN w:val="0"/>
              <w:adjustRightInd w:val="0"/>
              <w:spacing w:line="500" w:lineRule="exact"/>
              <w:ind w:firstLine="240" w:firstLineChars="100"/>
              <w:jc w:val="center"/>
              <w:rPr>
                <w:color w:val="FF0000"/>
                <w:kern w:val="0"/>
                <w:sz w:val="24"/>
                <w:u w:val="single"/>
              </w:rPr>
            </w:pPr>
            <w:r>
              <w:rPr>
                <w:rFonts w:eastAsia="黑体"/>
                <w:color w:val="FF0000"/>
                <w:kern w:val="0"/>
                <w:sz w:val="24"/>
                <w:u w:val="single"/>
              </w:rPr>
              <w:t>表4-8         窑炉烟气产排情况一览表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590"/>
              <w:gridCol w:w="914"/>
              <w:gridCol w:w="787"/>
              <w:gridCol w:w="941"/>
              <w:gridCol w:w="1055"/>
              <w:gridCol w:w="836"/>
              <w:gridCol w:w="798"/>
              <w:gridCol w:w="894"/>
              <w:gridCol w:w="1053"/>
            </w:tblGrid>
            <w:tr w14:paraId="01FD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597" w:type="pct"/>
                  <w:gridSpan w:val="2"/>
                  <w:vAlign w:val="center"/>
                </w:tcPr>
                <w:p w14:paraId="2042E777">
                  <w:pPr>
                    <w:jc w:val="center"/>
                    <w:rPr>
                      <w:color w:val="EE0000"/>
                      <w:sz w:val="18"/>
                      <w:szCs w:val="18"/>
                      <w:u w:val="single"/>
                    </w:rPr>
                  </w:pPr>
                  <w:r>
                    <w:rPr>
                      <w:color w:val="EE0000"/>
                      <w:sz w:val="18"/>
                      <w:szCs w:val="18"/>
                      <w:u w:val="single"/>
                    </w:rPr>
                    <w:t>产污环节</w:t>
                  </w:r>
                </w:p>
              </w:tc>
              <w:tc>
                <w:tcPr>
                  <w:tcW w:w="553" w:type="pct"/>
                  <w:vAlign w:val="center"/>
                </w:tcPr>
                <w:p w14:paraId="41B68E28">
                  <w:pPr>
                    <w:jc w:val="center"/>
                    <w:rPr>
                      <w:color w:val="EE0000"/>
                      <w:sz w:val="18"/>
                      <w:szCs w:val="18"/>
                      <w:u w:val="single"/>
                    </w:rPr>
                  </w:pPr>
                  <w:r>
                    <w:rPr>
                      <w:color w:val="EE0000"/>
                      <w:sz w:val="18"/>
                      <w:szCs w:val="18"/>
                      <w:u w:val="single"/>
                    </w:rPr>
                    <w:t>废气量（m</w:t>
                  </w:r>
                  <w:r>
                    <w:rPr>
                      <w:color w:val="EE0000"/>
                      <w:sz w:val="18"/>
                      <w:szCs w:val="18"/>
                      <w:u w:val="single"/>
                      <w:vertAlign w:val="superscript"/>
                    </w:rPr>
                    <w:t>3</w:t>
                  </w:r>
                  <w:r>
                    <w:rPr>
                      <w:color w:val="EE0000"/>
                      <w:sz w:val="18"/>
                      <w:szCs w:val="18"/>
                      <w:u w:val="single"/>
                    </w:rPr>
                    <w:t>/h）</w:t>
                  </w:r>
                </w:p>
              </w:tc>
              <w:tc>
                <w:tcPr>
                  <w:tcW w:w="476" w:type="pct"/>
                  <w:vAlign w:val="center"/>
                </w:tcPr>
                <w:p w14:paraId="13786AC7">
                  <w:pPr>
                    <w:jc w:val="center"/>
                    <w:rPr>
                      <w:color w:val="EE0000"/>
                      <w:sz w:val="18"/>
                      <w:szCs w:val="18"/>
                      <w:u w:val="single"/>
                    </w:rPr>
                  </w:pPr>
                  <w:r>
                    <w:rPr>
                      <w:color w:val="EE0000"/>
                      <w:sz w:val="18"/>
                      <w:szCs w:val="18"/>
                      <w:u w:val="single"/>
                    </w:rPr>
                    <w:t>产生量</w:t>
                  </w:r>
                </w:p>
                <w:p w14:paraId="0DA50A65">
                  <w:pPr>
                    <w:jc w:val="center"/>
                    <w:rPr>
                      <w:color w:val="EE0000"/>
                      <w:sz w:val="18"/>
                      <w:szCs w:val="18"/>
                      <w:u w:val="single"/>
                    </w:rPr>
                  </w:pPr>
                  <w:r>
                    <w:rPr>
                      <w:color w:val="EE0000"/>
                      <w:sz w:val="18"/>
                      <w:szCs w:val="18"/>
                      <w:u w:val="single"/>
                    </w:rPr>
                    <w:t>（t/a）</w:t>
                  </w:r>
                </w:p>
              </w:tc>
              <w:tc>
                <w:tcPr>
                  <w:tcW w:w="569" w:type="pct"/>
                  <w:vAlign w:val="center"/>
                </w:tcPr>
                <w:p w14:paraId="0F8C7DB7">
                  <w:pPr>
                    <w:jc w:val="center"/>
                    <w:rPr>
                      <w:color w:val="EE0000"/>
                      <w:sz w:val="18"/>
                      <w:szCs w:val="18"/>
                      <w:u w:val="single"/>
                    </w:rPr>
                  </w:pPr>
                  <w:r>
                    <w:rPr>
                      <w:color w:val="EE0000"/>
                      <w:sz w:val="18"/>
                      <w:szCs w:val="18"/>
                      <w:u w:val="single"/>
                    </w:rPr>
                    <w:t>产生</w:t>
                  </w:r>
                </w:p>
                <w:p w14:paraId="1BBF91BA">
                  <w:pPr>
                    <w:jc w:val="center"/>
                    <w:rPr>
                      <w:color w:val="EE0000"/>
                      <w:sz w:val="18"/>
                      <w:szCs w:val="18"/>
                      <w:u w:val="single"/>
                    </w:rPr>
                  </w:pPr>
                  <w:r>
                    <w:rPr>
                      <w:color w:val="EE0000"/>
                      <w:sz w:val="18"/>
                      <w:szCs w:val="18"/>
                      <w:u w:val="single"/>
                    </w:rPr>
                    <w:t>速率（kg/h）</w:t>
                  </w:r>
                </w:p>
              </w:tc>
              <w:tc>
                <w:tcPr>
                  <w:tcW w:w="638" w:type="pct"/>
                  <w:vAlign w:val="center"/>
                </w:tcPr>
                <w:p w14:paraId="1F46418C">
                  <w:pPr>
                    <w:jc w:val="center"/>
                    <w:rPr>
                      <w:color w:val="EE0000"/>
                      <w:sz w:val="18"/>
                      <w:szCs w:val="18"/>
                      <w:u w:val="single"/>
                    </w:rPr>
                  </w:pPr>
                  <w:r>
                    <w:rPr>
                      <w:color w:val="EE0000"/>
                      <w:sz w:val="18"/>
                      <w:szCs w:val="18"/>
                      <w:u w:val="single"/>
                    </w:rPr>
                    <w:t>产生浓度</w:t>
                  </w:r>
                </w:p>
                <w:p w14:paraId="654D5B71">
                  <w:pPr>
                    <w:jc w:val="center"/>
                    <w:rPr>
                      <w:color w:val="EE0000"/>
                      <w:sz w:val="18"/>
                      <w:szCs w:val="18"/>
                      <w:u w:val="single"/>
                    </w:rPr>
                  </w:pPr>
                  <w:r>
                    <w:rPr>
                      <w:color w:val="EE0000"/>
                      <w:sz w:val="18"/>
                      <w:szCs w:val="18"/>
                      <w:u w:val="single"/>
                    </w:rPr>
                    <w:t>（mg/m</w:t>
                  </w:r>
                  <w:r>
                    <w:rPr>
                      <w:color w:val="EE0000"/>
                      <w:sz w:val="18"/>
                      <w:szCs w:val="18"/>
                      <w:u w:val="single"/>
                      <w:vertAlign w:val="superscript"/>
                    </w:rPr>
                    <w:t>3</w:t>
                  </w:r>
                  <w:r>
                    <w:rPr>
                      <w:color w:val="EE0000"/>
                      <w:sz w:val="18"/>
                      <w:szCs w:val="18"/>
                      <w:u w:val="single"/>
                    </w:rPr>
                    <w:t>）</w:t>
                  </w:r>
                </w:p>
              </w:tc>
              <w:tc>
                <w:tcPr>
                  <w:tcW w:w="506" w:type="pct"/>
                  <w:vAlign w:val="center"/>
                </w:tcPr>
                <w:p w14:paraId="63B9F81B">
                  <w:pPr>
                    <w:jc w:val="center"/>
                    <w:rPr>
                      <w:color w:val="EE0000"/>
                      <w:sz w:val="18"/>
                      <w:szCs w:val="18"/>
                      <w:u w:val="single"/>
                    </w:rPr>
                  </w:pPr>
                  <w:r>
                    <w:rPr>
                      <w:color w:val="EE0000"/>
                      <w:sz w:val="18"/>
                      <w:szCs w:val="18"/>
                      <w:u w:val="single"/>
                    </w:rPr>
                    <w:t>处理措施</w:t>
                  </w:r>
                </w:p>
              </w:tc>
              <w:tc>
                <w:tcPr>
                  <w:tcW w:w="483" w:type="pct"/>
                  <w:vAlign w:val="center"/>
                </w:tcPr>
                <w:p w14:paraId="70701FE3">
                  <w:pPr>
                    <w:jc w:val="center"/>
                    <w:rPr>
                      <w:color w:val="EE0000"/>
                      <w:sz w:val="18"/>
                      <w:szCs w:val="18"/>
                      <w:u w:val="single"/>
                    </w:rPr>
                  </w:pPr>
                  <w:r>
                    <w:rPr>
                      <w:color w:val="EE0000"/>
                      <w:sz w:val="18"/>
                      <w:szCs w:val="18"/>
                      <w:u w:val="single"/>
                    </w:rPr>
                    <w:t>排放量</w:t>
                  </w:r>
                </w:p>
                <w:p w14:paraId="18843FE1">
                  <w:pPr>
                    <w:jc w:val="center"/>
                    <w:rPr>
                      <w:color w:val="EE0000"/>
                      <w:sz w:val="18"/>
                      <w:szCs w:val="18"/>
                      <w:u w:val="single"/>
                    </w:rPr>
                  </w:pPr>
                  <w:r>
                    <w:rPr>
                      <w:color w:val="EE0000"/>
                      <w:sz w:val="18"/>
                      <w:szCs w:val="18"/>
                      <w:u w:val="single"/>
                    </w:rPr>
                    <w:t>（t/a）</w:t>
                  </w:r>
                </w:p>
              </w:tc>
              <w:tc>
                <w:tcPr>
                  <w:tcW w:w="541" w:type="pct"/>
                  <w:vAlign w:val="center"/>
                </w:tcPr>
                <w:p w14:paraId="24934A52">
                  <w:pPr>
                    <w:jc w:val="center"/>
                    <w:rPr>
                      <w:color w:val="EE0000"/>
                      <w:sz w:val="18"/>
                      <w:szCs w:val="18"/>
                      <w:u w:val="single"/>
                    </w:rPr>
                  </w:pPr>
                  <w:r>
                    <w:rPr>
                      <w:color w:val="EE0000"/>
                      <w:sz w:val="18"/>
                      <w:szCs w:val="18"/>
                      <w:u w:val="single"/>
                    </w:rPr>
                    <w:t>排放</w:t>
                  </w:r>
                </w:p>
                <w:p w14:paraId="4196EC61">
                  <w:pPr>
                    <w:jc w:val="center"/>
                    <w:rPr>
                      <w:color w:val="EE0000"/>
                      <w:sz w:val="18"/>
                      <w:szCs w:val="18"/>
                      <w:u w:val="single"/>
                    </w:rPr>
                  </w:pPr>
                  <w:r>
                    <w:rPr>
                      <w:color w:val="EE0000"/>
                      <w:sz w:val="18"/>
                      <w:szCs w:val="18"/>
                      <w:u w:val="single"/>
                    </w:rPr>
                    <w:t>速率（kg/h）</w:t>
                  </w:r>
                </w:p>
              </w:tc>
              <w:tc>
                <w:tcPr>
                  <w:tcW w:w="637" w:type="pct"/>
                  <w:vAlign w:val="center"/>
                </w:tcPr>
                <w:p w14:paraId="55F70EBE">
                  <w:pPr>
                    <w:jc w:val="center"/>
                    <w:rPr>
                      <w:color w:val="EE0000"/>
                      <w:sz w:val="18"/>
                      <w:szCs w:val="18"/>
                      <w:u w:val="single"/>
                    </w:rPr>
                  </w:pPr>
                  <w:r>
                    <w:rPr>
                      <w:color w:val="EE0000"/>
                      <w:sz w:val="18"/>
                      <w:szCs w:val="18"/>
                      <w:u w:val="single"/>
                    </w:rPr>
                    <w:t>排放浓度（mg/m</w:t>
                  </w:r>
                  <w:r>
                    <w:rPr>
                      <w:color w:val="EE0000"/>
                      <w:sz w:val="18"/>
                      <w:szCs w:val="18"/>
                      <w:u w:val="single"/>
                      <w:vertAlign w:val="superscript"/>
                    </w:rPr>
                    <w:t>3</w:t>
                  </w:r>
                  <w:r>
                    <w:rPr>
                      <w:color w:val="EE0000"/>
                      <w:sz w:val="18"/>
                      <w:szCs w:val="18"/>
                      <w:u w:val="single"/>
                    </w:rPr>
                    <w:t>）</w:t>
                  </w:r>
                </w:p>
              </w:tc>
            </w:tr>
            <w:tr w14:paraId="7600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0" w:type="pct"/>
                  <w:vMerge w:val="restart"/>
                  <w:vAlign w:val="center"/>
                </w:tcPr>
                <w:p w14:paraId="72C38B69">
                  <w:pPr>
                    <w:jc w:val="center"/>
                    <w:rPr>
                      <w:color w:val="EE0000"/>
                      <w:sz w:val="18"/>
                      <w:szCs w:val="18"/>
                      <w:u w:val="single"/>
                    </w:rPr>
                  </w:pPr>
                  <w:r>
                    <w:rPr>
                      <w:color w:val="EE0000"/>
                      <w:sz w:val="18"/>
                      <w:szCs w:val="18"/>
                      <w:u w:val="single"/>
                    </w:rPr>
                    <w:t>窑炉烟气</w:t>
                  </w:r>
                </w:p>
              </w:tc>
              <w:tc>
                <w:tcPr>
                  <w:tcW w:w="357" w:type="pct"/>
                  <w:vAlign w:val="center"/>
                </w:tcPr>
                <w:p w14:paraId="52C82ACA">
                  <w:pPr>
                    <w:jc w:val="center"/>
                    <w:rPr>
                      <w:color w:val="EE0000"/>
                      <w:sz w:val="18"/>
                      <w:szCs w:val="18"/>
                      <w:u w:val="single"/>
                    </w:rPr>
                  </w:pPr>
                  <w:r>
                    <w:rPr>
                      <w:color w:val="EE0000"/>
                      <w:sz w:val="18"/>
                      <w:szCs w:val="18"/>
                      <w:u w:val="single"/>
                    </w:rPr>
                    <w:t>颗粒物</w:t>
                  </w:r>
                </w:p>
              </w:tc>
              <w:tc>
                <w:tcPr>
                  <w:tcW w:w="553" w:type="pct"/>
                  <w:vMerge w:val="restart"/>
                  <w:vAlign w:val="center"/>
                </w:tcPr>
                <w:p w14:paraId="641E6AA9">
                  <w:pPr>
                    <w:jc w:val="center"/>
                    <w:rPr>
                      <w:color w:val="EE0000"/>
                      <w:sz w:val="18"/>
                      <w:szCs w:val="18"/>
                      <w:u w:val="single"/>
                    </w:rPr>
                  </w:pPr>
                  <w:r>
                    <w:rPr>
                      <w:rFonts w:eastAsiaTheme="minorEastAsia"/>
                      <w:color w:val="EE0000"/>
                      <w:sz w:val="18"/>
                      <w:szCs w:val="18"/>
                      <w:u w:val="single"/>
                    </w:rPr>
                    <w:t>2.0×10</w:t>
                  </w:r>
                  <w:r>
                    <w:rPr>
                      <w:rFonts w:eastAsiaTheme="minorEastAsia"/>
                      <w:color w:val="EE0000"/>
                      <w:sz w:val="18"/>
                      <w:szCs w:val="18"/>
                      <w:u w:val="single"/>
                      <w:vertAlign w:val="superscript"/>
                    </w:rPr>
                    <w:t>5</w:t>
                  </w:r>
                </w:p>
              </w:tc>
              <w:tc>
                <w:tcPr>
                  <w:tcW w:w="476" w:type="pct"/>
                  <w:vAlign w:val="center"/>
                </w:tcPr>
                <w:p w14:paraId="7DEEC915">
                  <w:pPr>
                    <w:jc w:val="center"/>
                    <w:rPr>
                      <w:color w:val="EE0000"/>
                      <w:sz w:val="18"/>
                      <w:szCs w:val="18"/>
                      <w:u w:val="single"/>
                    </w:rPr>
                  </w:pPr>
                  <w:r>
                    <w:rPr>
                      <w:color w:val="EE0000"/>
                      <w:sz w:val="18"/>
                      <w:szCs w:val="18"/>
                      <w:u w:val="single"/>
                    </w:rPr>
                    <w:t>78</w:t>
                  </w:r>
                </w:p>
              </w:tc>
              <w:tc>
                <w:tcPr>
                  <w:tcW w:w="569" w:type="pct"/>
                  <w:vAlign w:val="center"/>
                </w:tcPr>
                <w:p w14:paraId="4CA515DA">
                  <w:pPr>
                    <w:jc w:val="center"/>
                    <w:rPr>
                      <w:color w:val="EE0000"/>
                      <w:sz w:val="18"/>
                      <w:szCs w:val="18"/>
                      <w:u w:val="single"/>
                    </w:rPr>
                  </w:pPr>
                  <w:r>
                    <w:rPr>
                      <w:color w:val="EE0000"/>
                      <w:sz w:val="18"/>
                      <w:szCs w:val="18"/>
                      <w:u w:val="single"/>
                    </w:rPr>
                    <w:t>9.85</w:t>
                  </w:r>
                </w:p>
              </w:tc>
              <w:tc>
                <w:tcPr>
                  <w:tcW w:w="638" w:type="pct"/>
                  <w:vAlign w:val="center"/>
                </w:tcPr>
                <w:p w14:paraId="74442356">
                  <w:pPr>
                    <w:jc w:val="center"/>
                    <w:rPr>
                      <w:color w:val="EE0000"/>
                      <w:sz w:val="18"/>
                      <w:szCs w:val="18"/>
                      <w:u w:val="single"/>
                    </w:rPr>
                  </w:pPr>
                  <w:r>
                    <w:rPr>
                      <w:color w:val="EE0000"/>
                      <w:sz w:val="18"/>
                      <w:szCs w:val="18"/>
                      <w:u w:val="single"/>
                    </w:rPr>
                    <w:t>49.25</w:t>
                  </w:r>
                </w:p>
              </w:tc>
              <w:tc>
                <w:tcPr>
                  <w:tcW w:w="506" w:type="pct"/>
                  <w:vMerge w:val="restart"/>
                  <w:vAlign w:val="center"/>
                </w:tcPr>
                <w:p w14:paraId="750C7D98">
                  <w:pPr>
                    <w:jc w:val="center"/>
                    <w:rPr>
                      <w:color w:val="EE0000"/>
                      <w:sz w:val="18"/>
                      <w:szCs w:val="18"/>
                      <w:u w:val="single"/>
                    </w:rPr>
                  </w:pPr>
                  <w:r>
                    <w:rPr>
                      <w:color w:val="EE0000"/>
                      <w:sz w:val="18"/>
                      <w:szCs w:val="18"/>
                      <w:u w:val="single"/>
                    </w:rPr>
                    <w:t>SNCR脱硝＋石灰-石膏湿法脱硫塔＋湿电除尘器+排气筒DA003</w:t>
                  </w:r>
                </w:p>
              </w:tc>
              <w:tc>
                <w:tcPr>
                  <w:tcW w:w="483" w:type="pct"/>
                  <w:vAlign w:val="center"/>
                </w:tcPr>
                <w:p w14:paraId="7B3B2B06">
                  <w:pPr>
                    <w:jc w:val="center"/>
                    <w:rPr>
                      <w:color w:val="EE0000"/>
                      <w:sz w:val="18"/>
                      <w:szCs w:val="18"/>
                      <w:u w:val="single"/>
                    </w:rPr>
                  </w:pPr>
                  <w:r>
                    <w:rPr>
                      <w:color w:val="EE0000"/>
                      <w:sz w:val="18"/>
                      <w:szCs w:val="18"/>
                      <w:u w:val="single"/>
                    </w:rPr>
                    <w:t>7.80</w:t>
                  </w:r>
                </w:p>
              </w:tc>
              <w:tc>
                <w:tcPr>
                  <w:tcW w:w="541" w:type="pct"/>
                  <w:vAlign w:val="center"/>
                </w:tcPr>
                <w:p w14:paraId="27EE7A4B">
                  <w:pPr>
                    <w:jc w:val="center"/>
                    <w:rPr>
                      <w:color w:val="EE0000"/>
                      <w:sz w:val="18"/>
                      <w:szCs w:val="18"/>
                      <w:u w:val="single"/>
                    </w:rPr>
                  </w:pPr>
                  <w:r>
                    <w:rPr>
                      <w:color w:val="EE0000"/>
                      <w:sz w:val="18"/>
                      <w:szCs w:val="18"/>
                      <w:u w:val="single"/>
                    </w:rPr>
                    <w:t>1.0</w:t>
                  </w:r>
                </w:p>
              </w:tc>
              <w:tc>
                <w:tcPr>
                  <w:tcW w:w="637" w:type="pct"/>
                  <w:vAlign w:val="center"/>
                </w:tcPr>
                <w:p w14:paraId="02D6657E">
                  <w:pPr>
                    <w:jc w:val="center"/>
                    <w:rPr>
                      <w:color w:val="EE0000"/>
                      <w:sz w:val="18"/>
                      <w:szCs w:val="18"/>
                      <w:u w:val="single"/>
                    </w:rPr>
                  </w:pPr>
                  <w:r>
                    <w:rPr>
                      <w:color w:val="EE0000"/>
                      <w:sz w:val="18"/>
                      <w:szCs w:val="18"/>
                      <w:u w:val="single"/>
                    </w:rPr>
                    <w:t>5.0</w:t>
                  </w:r>
                </w:p>
              </w:tc>
            </w:tr>
            <w:tr w14:paraId="2FD8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40" w:type="pct"/>
                  <w:vMerge w:val="continue"/>
                  <w:vAlign w:val="center"/>
                </w:tcPr>
                <w:p w14:paraId="03F87267">
                  <w:pPr>
                    <w:jc w:val="center"/>
                    <w:rPr>
                      <w:color w:val="EE0000"/>
                      <w:sz w:val="18"/>
                      <w:szCs w:val="18"/>
                      <w:u w:val="single"/>
                    </w:rPr>
                  </w:pPr>
                </w:p>
              </w:tc>
              <w:tc>
                <w:tcPr>
                  <w:tcW w:w="357" w:type="pct"/>
                  <w:vAlign w:val="center"/>
                </w:tcPr>
                <w:p w14:paraId="6D49864C">
                  <w:pPr>
                    <w:jc w:val="center"/>
                    <w:rPr>
                      <w:color w:val="EE0000"/>
                      <w:sz w:val="18"/>
                      <w:szCs w:val="18"/>
                      <w:u w:val="single"/>
                    </w:rPr>
                  </w:pPr>
                  <w:r>
                    <w:rPr>
                      <w:color w:val="EE0000"/>
                      <w:sz w:val="18"/>
                      <w:szCs w:val="18"/>
                      <w:u w:val="single"/>
                    </w:rPr>
                    <w:t>二氧化硫</w:t>
                  </w:r>
                </w:p>
              </w:tc>
              <w:tc>
                <w:tcPr>
                  <w:tcW w:w="553" w:type="pct"/>
                  <w:vMerge w:val="continue"/>
                  <w:vAlign w:val="center"/>
                </w:tcPr>
                <w:p w14:paraId="38B20A3F">
                  <w:pPr>
                    <w:jc w:val="center"/>
                    <w:rPr>
                      <w:color w:val="EE0000"/>
                      <w:sz w:val="18"/>
                      <w:szCs w:val="18"/>
                      <w:u w:val="single"/>
                    </w:rPr>
                  </w:pPr>
                </w:p>
              </w:tc>
              <w:tc>
                <w:tcPr>
                  <w:tcW w:w="476" w:type="pct"/>
                  <w:vAlign w:val="center"/>
                </w:tcPr>
                <w:p w14:paraId="213FD773">
                  <w:pPr>
                    <w:jc w:val="center"/>
                    <w:rPr>
                      <w:color w:val="EE0000"/>
                      <w:sz w:val="18"/>
                      <w:szCs w:val="18"/>
                      <w:u w:val="single"/>
                    </w:rPr>
                  </w:pPr>
                  <w:r>
                    <w:rPr>
                      <w:color w:val="EE0000"/>
                      <w:sz w:val="18"/>
                      <w:szCs w:val="18"/>
                      <w:u w:val="single"/>
                    </w:rPr>
                    <w:t>1154.9</w:t>
                  </w:r>
                </w:p>
              </w:tc>
              <w:tc>
                <w:tcPr>
                  <w:tcW w:w="569" w:type="pct"/>
                  <w:vAlign w:val="center"/>
                </w:tcPr>
                <w:p w14:paraId="293911F9">
                  <w:pPr>
                    <w:jc w:val="center"/>
                    <w:rPr>
                      <w:color w:val="EE0000"/>
                      <w:sz w:val="18"/>
                      <w:szCs w:val="18"/>
                      <w:u w:val="single"/>
                    </w:rPr>
                  </w:pPr>
                  <w:r>
                    <w:rPr>
                      <w:color w:val="EE0000"/>
                      <w:sz w:val="18"/>
                      <w:szCs w:val="18"/>
                      <w:u w:val="single"/>
                    </w:rPr>
                    <w:t>145.82</w:t>
                  </w:r>
                </w:p>
              </w:tc>
              <w:tc>
                <w:tcPr>
                  <w:tcW w:w="638" w:type="pct"/>
                  <w:vAlign w:val="center"/>
                </w:tcPr>
                <w:p w14:paraId="0D7343F8">
                  <w:pPr>
                    <w:jc w:val="center"/>
                    <w:rPr>
                      <w:color w:val="EE0000"/>
                      <w:sz w:val="18"/>
                      <w:szCs w:val="18"/>
                      <w:u w:val="single"/>
                    </w:rPr>
                  </w:pPr>
                  <w:r>
                    <w:rPr>
                      <w:color w:val="EE0000"/>
                      <w:sz w:val="18"/>
                      <w:szCs w:val="18"/>
                      <w:u w:val="single"/>
                    </w:rPr>
                    <w:t>729.1</w:t>
                  </w:r>
                </w:p>
              </w:tc>
              <w:tc>
                <w:tcPr>
                  <w:tcW w:w="506" w:type="pct"/>
                  <w:vMerge w:val="continue"/>
                  <w:vAlign w:val="center"/>
                </w:tcPr>
                <w:p w14:paraId="1A0331A6">
                  <w:pPr>
                    <w:jc w:val="center"/>
                    <w:rPr>
                      <w:color w:val="EE0000"/>
                      <w:sz w:val="18"/>
                      <w:szCs w:val="18"/>
                      <w:u w:val="single"/>
                    </w:rPr>
                  </w:pPr>
                </w:p>
              </w:tc>
              <w:tc>
                <w:tcPr>
                  <w:tcW w:w="483" w:type="pct"/>
                  <w:vAlign w:val="center"/>
                </w:tcPr>
                <w:p w14:paraId="07947BC2">
                  <w:pPr>
                    <w:jc w:val="center"/>
                    <w:rPr>
                      <w:color w:val="EE0000"/>
                      <w:sz w:val="18"/>
                      <w:szCs w:val="18"/>
                      <w:u w:val="single"/>
                    </w:rPr>
                  </w:pPr>
                  <w:r>
                    <w:rPr>
                      <w:color w:val="EE0000"/>
                      <w:sz w:val="18"/>
                      <w:szCs w:val="18"/>
                      <w:u w:val="single"/>
                    </w:rPr>
                    <w:t>57.75</w:t>
                  </w:r>
                </w:p>
              </w:tc>
              <w:tc>
                <w:tcPr>
                  <w:tcW w:w="541" w:type="pct"/>
                  <w:vAlign w:val="center"/>
                </w:tcPr>
                <w:p w14:paraId="665C7BC5">
                  <w:pPr>
                    <w:jc w:val="center"/>
                    <w:rPr>
                      <w:color w:val="EE0000"/>
                      <w:sz w:val="18"/>
                      <w:szCs w:val="18"/>
                      <w:u w:val="single"/>
                    </w:rPr>
                  </w:pPr>
                  <w:r>
                    <w:rPr>
                      <w:color w:val="EE0000"/>
                      <w:sz w:val="18"/>
                      <w:szCs w:val="18"/>
                      <w:u w:val="single"/>
                    </w:rPr>
                    <w:t>7.29</w:t>
                  </w:r>
                </w:p>
              </w:tc>
              <w:tc>
                <w:tcPr>
                  <w:tcW w:w="637" w:type="pct"/>
                  <w:vAlign w:val="center"/>
                </w:tcPr>
                <w:p w14:paraId="05051A8C">
                  <w:pPr>
                    <w:jc w:val="center"/>
                    <w:rPr>
                      <w:color w:val="EE0000"/>
                      <w:sz w:val="18"/>
                      <w:szCs w:val="18"/>
                      <w:u w:val="single"/>
                    </w:rPr>
                  </w:pPr>
                  <w:r>
                    <w:rPr>
                      <w:color w:val="EE0000"/>
                      <w:sz w:val="18"/>
                      <w:szCs w:val="18"/>
                      <w:u w:val="single"/>
                    </w:rPr>
                    <w:t>36.45</w:t>
                  </w:r>
                </w:p>
              </w:tc>
            </w:tr>
            <w:tr w14:paraId="3C3B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240" w:type="pct"/>
                  <w:vMerge w:val="continue"/>
                  <w:vAlign w:val="center"/>
                </w:tcPr>
                <w:p w14:paraId="1296A6D2">
                  <w:pPr>
                    <w:jc w:val="center"/>
                    <w:rPr>
                      <w:color w:val="EE0000"/>
                      <w:sz w:val="18"/>
                      <w:szCs w:val="18"/>
                      <w:u w:val="single"/>
                    </w:rPr>
                  </w:pPr>
                </w:p>
              </w:tc>
              <w:tc>
                <w:tcPr>
                  <w:tcW w:w="357" w:type="pct"/>
                  <w:vAlign w:val="center"/>
                </w:tcPr>
                <w:p w14:paraId="388A847B">
                  <w:pPr>
                    <w:jc w:val="center"/>
                    <w:rPr>
                      <w:color w:val="EE0000"/>
                      <w:sz w:val="18"/>
                      <w:szCs w:val="18"/>
                      <w:u w:val="single"/>
                    </w:rPr>
                  </w:pPr>
                  <w:r>
                    <w:rPr>
                      <w:color w:val="EE0000"/>
                      <w:sz w:val="18"/>
                      <w:szCs w:val="18"/>
                      <w:u w:val="single"/>
                    </w:rPr>
                    <w:t>氮氧化物</w:t>
                  </w:r>
                </w:p>
              </w:tc>
              <w:tc>
                <w:tcPr>
                  <w:tcW w:w="553" w:type="pct"/>
                  <w:vMerge w:val="continue"/>
                  <w:vAlign w:val="center"/>
                </w:tcPr>
                <w:p w14:paraId="35093362">
                  <w:pPr>
                    <w:jc w:val="center"/>
                    <w:rPr>
                      <w:color w:val="EE0000"/>
                      <w:sz w:val="18"/>
                      <w:szCs w:val="18"/>
                      <w:u w:val="single"/>
                    </w:rPr>
                  </w:pPr>
                </w:p>
              </w:tc>
              <w:tc>
                <w:tcPr>
                  <w:tcW w:w="476" w:type="pct"/>
                  <w:vAlign w:val="center"/>
                </w:tcPr>
                <w:p w14:paraId="3D050221">
                  <w:pPr>
                    <w:jc w:val="center"/>
                    <w:rPr>
                      <w:color w:val="EE0000"/>
                      <w:sz w:val="18"/>
                      <w:szCs w:val="18"/>
                      <w:u w:val="single"/>
                    </w:rPr>
                  </w:pPr>
                  <w:r>
                    <w:rPr>
                      <w:color w:val="EE0000"/>
                      <w:sz w:val="18"/>
                      <w:szCs w:val="18"/>
                      <w:u w:val="single"/>
                    </w:rPr>
                    <w:t>97.92</w:t>
                  </w:r>
                </w:p>
              </w:tc>
              <w:tc>
                <w:tcPr>
                  <w:tcW w:w="569" w:type="pct"/>
                  <w:vAlign w:val="center"/>
                </w:tcPr>
                <w:p w14:paraId="042F896E">
                  <w:pPr>
                    <w:jc w:val="center"/>
                    <w:rPr>
                      <w:color w:val="EE0000"/>
                      <w:sz w:val="18"/>
                      <w:szCs w:val="18"/>
                      <w:u w:val="single"/>
                    </w:rPr>
                  </w:pPr>
                  <w:r>
                    <w:rPr>
                      <w:color w:val="EE0000"/>
                      <w:sz w:val="18"/>
                      <w:szCs w:val="18"/>
                      <w:u w:val="single"/>
                    </w:rPr>
                    <w:t>12.36</w:t>
                  </w:r>
                </w:p>
              </w:tc>
              <w:tc>
                <w:tcPr>
                  <w:tcW w:w="638" w:type="pct"/>
                  <w:vAlign w:val="center"/>
                </w:tcPr>
                <w:p w14:paraId="2EB7E17B">
                  <w:pPr>
                    <w:jc w:val="center"/>
                    <w:rPr>
                      <w:color w:val="EE0000"/>
                      <w:sz w:val="18"/>
                      <w:szCs w:val="18"/>
                      <w:u w:val="single"/>
                    </w:rPr>
                  </w:pPr>
                  <w:r>
                    <w:rPr>
                      <w:color w:val="EE0000"/>
                      <w:sz w:val="18"/>
                      <w:szCs w:val="18"/>
                      <w:u w:val="single"/>
                    </w:rPr>
                    <w:t>61.8</w:t>
                  </w:r>
                </w:p>
              </w:tc>
              <w:tc>
                <w:tcPr>
                  <w:tcW w:w="506" w:type="pct"/>
                  <w:vMerge w:val="continue"/>
                  <w:vAlign w:val="center"/>
                </w:tcPr>
                <w:p w14:paraId="5F51FF14">
                  <w:pPr>
                    <w:jc w:val="center"/>
                    <w:rPr>
                      <w:color w:val="EE0000"/>
                      <w:sz w:val="18"/>
                      <w:szCs w:val="18"/>
                      <w:u w:val="single"/>
                    </w:rPr>
                  </w:pPr>
                </w:p>
              </w:tc>
              <w:tc>
                <w:tcPr>
                  <w:tcW w:w="483" w:type="pct"/>
                  <w:vAlign w:val="center"/>
                </w:tcPr>
                <w:p w14:paraId="67B38279">
                  <w:pPr>
                    <w:jc w:val="center"/>
                    <w:rPr>
                      <w:color w:val="EE0000"/>
                      <w:sz w:val="18"/>
                      <w:szCs w:val="18"/>
                      <w:u w:val="single"/>
                    </w:rPr>
                  </w:pPr>
                  <w:r>
                    <w:rPr>
                      <w:color w:val="EE0000"/>
                      <w:sz w:val="18"/>
                      <w:szCs w:val="18"/>
                      <w:u w:val="single"/>
                    </w:rPr>
                    <w:t>44.06</w:t>
                  </w:r>
                </w:p>
              </w:tc>
              <w:tc>
                <w:tcPr>
                  <w:tcW w:w="541" w:type="pct"/>
                  <w:vAlign w:val="center"/>
                </w:tcPr>
                <w:p w14:paraId="6CA13E7C">
                  <w:pPr>
                    <w:jc w:val="center"/>
                    <w:rPr>
                      <w:color w:val="EE0000"/>
                      <w:sz w:val="18"/>
                      <w:szCs w:val="18"/>
                      <w:u w:val="single"/>
                    </w:rPr>
                  </w:pPr>
                  <w:r>
                    <w:rPr>
                      <w:color w:val="EE0000"/>
                      <w:sz w:val="18"/>
                      <w:szCs w:val="18"/>
                      <w:u w:val="single"/>
                    </w:rPr>
                    <w:t>5.56</w:t>
                  </w:r>
                </w:p>
              </w:tc>
              <w:tc>
                <w:tcPr>
                  <w:tcW w:w="637" w:type="pct"/>
                  <w:vAlign w:val="center"/>
                </w:tcPr>
                <w:p w14:paraId="00E715C9">
                  <w:pPr>
                    <w:jc w:val="center"/>
                    <w:rPr>
                      <w:color w:val="EE0000"/>
                      <w:sz w:val="18"/>
                      <w:szCs w:val="18"/>
                      <w:u w:val="single"/>
                    </w:rPr>
                  </w:pPr>
                  <w:r>
                    <w:rPr>
                      <w:color w:val="EE0000"/>
                      <w:sz w:val="18"/>
                      <w:szCs w:val="18"/>
                      <w:u w:val="single"/>
                    </w:rPr>
                    <w:t>27.8</w:t>
                  </w:r>
                </w:p>
              </w:tc>
            </w:tr>
            <w:tr w14:paraId="26D2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 w:type="pct"/>
                  <w:vMerge w:val="continue"/>
                  <w:vAlign w:val="center"/>
                </w:tcPr>
                <w:p w14:paraId="4D18BFD9">
                  <w:pPr>
                    <w:jc w:val="center"/>
                    <w:rPr>
                      <w:color w:val="EE0000"/>
                      <w:sz w:val="18"/>
                      <w:szCs w:val="18"/>
                      <w:u w:val="single"/>
                    </w:rPr>
                  </w:pPr>
                </w:p>
              </w:tc>
              <w:tc>
                <w:tcPr>
                  <w:tcW w:w="357" w:type="pct"/>
                  <w:vAlign w:val="center"/>
                </w:tcPr>
                <w:p w14:paraId="4984C44B">
                  <w:pPr>
                    <w:jc w:val="center"/>
                    <w:rPr>
                      <w:color w:val="EE0000"/>
                      <w:sz w:val="18"/>
                      <w:szCs w:val="18"/>
                      <w:u w:val="single"/>
                    </w:rPr>
                  </w:pPr>
                  <w:r>
                    <w:rPr>
                      <w:color w:val="EE0000"/>
                      <w:sz w:val="18"/>
                      <w:szCs w:val="18"/>
                      <w:u w:val="single"/>
                    </w:rPr>
                    <w:t>氟化物</w:t>
                  </w:r>
                </w:p>
              </w:tc>
              <w:tc>
                <w:tcPr>
                  <w:tcW w:w="553" w:type="pct"/>
                  <w:vMerge w:val="continue"/>
                  <w:vAlign w:val="center"/>
                </w:tcPr>
                <w:p w14:paraId="056B50A2">
                  <w:pPr>
                    <w:jc w:val="center"/>
                    <w:rPr>
                      <w:color w:val="EE0000"/>
                      <w:sz w:val="18"/>
                      <w:szCs w:val="18"/>
                      <w:u w:val="single"/>
                    </w:rPr>
                  </w:pPr>
                </w:p>
              </w:tc>
              <w:tc>
                <w:tcPr>
                  <w:tcW w:w="476" w:type="pct"/>
                  <w:vAlign w:val="center"/>
                </w:tcPr>
                <w:p w14:paraId="01011319">
                  <w:pPr>
                    <w:jc w:val="center"/>
                    <w:rPr>
                      <w:color w:val="EE0000"/>
                      <w:sz w:val="18"/>
                      <w:szCs w:val="18"/>
                      <w:u w:val="single"/>
                    </w:rPr>
                  </w:pPr>
                  <w:r>
                    <w:rPr>
                      <w:color w:val="EE0000"/>
                      <w:sz w:val="18"/>
                      <w:szCs w:val="18"/>
                      <w:u w:val="single"/>
                    </w:rPr>
                    <w:t>13.44</w:t>
                  </w:r>
                </w:p>
              </w:tc>
              <w:tc>
                <w:tcPr>
                  <w:tcW w:w="569" w:type="pct"/>
                  <w:vAlign w:val="center"/>
                </w:tcPr>
                <w:p w14:paraId="21465B0F">
                  <w:pPr>
                    <w:jc w:val="center"/>
                    <w:rPr>
                      <w:color w:val="EE0000"/>
                      <w:sz w:val="18"/>
                      <w:szCs w:val="18"/>
                      <w:u w:val="single"/>
                    </w:rPr>
                  </w:pPr>
                  <w:r>
                    <w:rPr>
                      <w:color w:val="EE0000"/>
                      <w:sz w:val="18"/>
                      <w:szCs w:val="18"/>
                      <w:u w:val="single"/>
                    </w:rPr>
                    <w:t>1.70</w:t>
                  </w:r>
                </w:p>
              </w:tc>
              <w:tc>
                <w:tcPr>
                  <w:tcW w:w="638" w:type="pct"/>
                  <w:vAlign w:val="center"/>
                </w:tcPr>
                <w:p w14:paraId="2320120A">
                  <w:pPr>
                    <w:jc w:val="center"/>
                    <w:rPr>
                      <w:color w:val="EE0000"/>
                      <w:sz w:val="18"/>
                      <w:szCs w:val="18"/>
                      <w:u w:val="single"/>
                    </w:rPr>
                  </w:pPr>
                  <w:r>
                    <w:rPr>
                      <w:color w:val="EE0000"/>
                      <w:sz w:val="18"/>
                      <w:szCs w:val="18"/>
                      <w:u w:val="single"/>
                    </w:rPr>
                    <w:t>8.5</w:t>
                  </w:r>
                </w:p>
              </w:tc>
              <w:tc>
                <w:tcPr>
                  <w:tcW w:w="506" w:type="pct"/>
                  <w:vMerge w:val="continue"/>
                  <w:vAlign w:val="center"/>
                </w:tcPr>
                <w:p w14:paraId="2060C278">
                  <w:pPr>
                    <w:jc w:val="center"/>
                    <w:rPr>
                      <w:color w:val="EE0000"/>
                      <w:sz w:val="18"/>
                      <w:szCs w:val="18"/>
                      <w:u w:val="single"/>
                    </w:rPr>
                  </w:pPr>
                </w:p>
              </w:tc>
              <w:tc>
                <w:tcPr>
                  <w:tcW w:w="483" w:type="pct"/>
                  <w:vAlign w:val="center"/>
                </w:tcPr>
                <w:p w14:paraId="3B113399">
                  <w:pPr>
                    <w:jc w:val="center"/>
                    <w:rPr>
                      <w:color w:val="EE0000"/>
                      <w:sz w:val="18"/>
                      <w:szCs w:val="18"/>
                      <w:u w:val="single"/>
                    </w:rPr>
                  </w:pPr>
                  <w:r>
                    <w:rPr>
                      <w:color w:val="EE0000"/>
                      <w:sz w:val="18"/>
                      <w:szCs w:val="18"/>
                      <w:u w:val="single"/>
                    </w:rPr>
                    <w:t>0.67</w:t>
                  </w:r>
                </w:p>
              </w:tc>
              <w:tc>
                <w:tcPr>
                  <w:tcW w:w="541" w:type="pct"/>
                  <w:vAlign w:val="center"/>
                </w:tcPr>
                <w:p w14:paraId="1DF5470B">
                  <w:pPr>
                    <w:jc w:val="center"/>
                    <w:rPr>
                      <w:color w:val="EE0000"/>
                      <w:sz w:val="18"/>
                      <w:szCs w:val="18"/>
                      <w:u w:val="single"/>
                    </w:rPr>
                  </w:pPr>
                  <w:r>
                    <w:rPr>
                      <w:color w:val="EE0000"/>
                      <w:sz w:val="18"/>
                      <w:szCs w:val="18"/>
                      <w:u w:val="single"/>
                    </w:rPr>
                    <w:t>0.085</w:t>
                  </w:r>
                </w:p>
              </w:tc>
              <w:tc>
                <w:tcPr>
                  <w:tcW w:w="637" w:type="pct"/>
                  <w:vAlign w:val="center"/>
                </w:tcPr>
                <w:p w14:paraId="65B333AE">
                  <w:pPr>
                    <w:jc w:val="center"/>
                    <w:rPr>
                      <w:color w:val="EE0000"/>
                      <w:sz w:val="18"/>
                      <w:szCs w:val="18"/>
                      <w:u w:val="single"/>
                    </w:rPr>
                  </w:pPr>
                  <w:r>
                    <w:rPr>
                      <w:color w:val="EE0000"/>
                      <w:sz w:val="18"/>
                      <w:szCs w:val="18"/>
                      <w:u w:val="single"/>
                    </w:rPr>
                    <w:t>0.42</w:t>
                  </w:r>
                </w:p>
              </w:tc>
            </w:tr>
            <w:tr w14:paraId="6F98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 w:type="pct"/>
                  <w:vMerge w:val="continue"/>
                  <w:vAlign w:val="center"/>
                </w:tcPr>
                <w:p w14:paraId="76867CAE">
                  <w:pPr>
                    <w:jc w:val="center"/>
                    <w:rPr>
                      <w:color w:val="EE0000"/>
                      <w:sz w:val="18"/>
                      <w:szCs w:val="18"/>
                      <w:u w:val="single"/>
                    </w:rPr>
                  </w:pPr>
                </w:p>
              </w:tc>
              <w:tc>
                <w:tcPr>
                  <w:tcW w:w="357" w:type="pct"/>
                  <w:vAlign w:val="center"/>
                </w:tcPr>
                <w:p w14:paraId="206A1321">
                  <w:pPr>
                    <w:jc w:val="center"/>
                    <w:rPr>
                      <w:color w:val="EE0000"/>
                      <w:sz w:val="18"/>
                      <w:szCs w:val="18"/>
                      <w:u w:val="single"/>
                    </w:rPr>
                  </w:pPr>
                  <w:r>
                    <w:rPr>
                      <w:color w:val="EE0000"/>
                      <w:sz w:val="18"/>
                      <w:szCs w:val="18"/>
                      <w:u w:val="single"/>
                    </w:rPr>
                    <w:t>HCL</w:t>
                  </w:r>
                </w:p>
              </w:tc>
              <w:tc>
                <w:tcPr>
                  <w:tcW w:w="553" w:type="pct"/>
                  <w:vMerge w:val="continue"/>
                  <w:vAlign w:val="center"/>
                </w:tcPr>
                <w:p w14:paraId="206C8C77">
                  <w:pPr>
                    <w:jc w:val="center"/>
                    <w:rPr>
                      <w:color w:val="EE0000"/>
                      <w:sz w:val="18"/>
                      <w:szCs w:val="18"/>
                      <w:u w:val="single"/>
                    </w:rPr>
                  </w:pPr>
                </w:p>
              </w:tc>
              <w:tc>
                <w:tcPr>
                  <w:tcW w:w="476" w:type="pct"/>
                  <w:vAlign w:val="center"/>
                </w:tcPr>
                <w:p w14:paraId="7F5582E6">
                  <w:pPr>
                    <w:jc w:val="center"/>
                    <w:rPr>
                      <w:color w:val="EE0000"/>
                      <w:sz w:val="18"/>
                      <w:szCs w:val="18"/>
                      <w:u w:val="single"/>
                    </w:rPr>
                  </w:pPr>
                  <w:r>
                    <w:rPr>
                      <w:color w:val="EE0000"/>
                      <w:sz w:val="18"/>
                      <w:szCs w:val="18"/>
                      <w:u w:val="single"/>
                    </w:rPr>
                    <w:t>27.6</w:t>
                  </w:r>
                </w:p>
              </w:tc>
              <w:tc>
                <w:tcPr>
                  <w:tcW w:w="569" w:type="pct"/>
                  <w:vAlign w:val="center"/>
                </w:tcPr>
                <w:p w14:paraId="0E8BB150">
                  <w:pPr>
                    <w:jc w:val="center"/>
                    <w:rPr>
                      <w:color w:val="EE0000"/>
                      <w:sz w:val="18"/>
                      <w:szCs w:val="18"/>
                      <w:u w:val="single"/>
                    </w:rPr>
                  </w:pPr>
                  <w:r>
                    <w:rPr>
                      <w:color w:val="EE0000"/>
                      <w:sz w:val="18"/>
                      <w:szCs w:val="18"/>
                      <w:u w:val="single"/>
                    </w:rPr>
                    <w:t>3.48</w:t>
                  </w:r>
                </w:p>
              </w:tc>
              <w:tc>
                <w:tcPr>
                  <w:tcW w:w="638" w:type="pct"/>
                  <w:vAlign w:val="center"/>
                </w:tcPr>
                <w:p w14:paraId="201DF200">
                  <w:pPr>
                    <w:jc w:val="center"/>
                    <w:rPr>
                      <w:color w:val="EE0000"/>
                      <w:sz w:val="18"/>
                      <w:szCs w:val="18"/>
                      <w:u w:val="single"/>
                    </w:rPr>
                  </w:pPr>
                  <w:r>
                    <w:rPr>
                      <w:color w:val="EE0000"/>
                      <w:sz w:val="18"/>
                      <w:szCs w:val="18"/>
                      <w:u w:val="single"/>
                    </w:rPr>
                    <w:t>17.4</w:t>
                  </w:r>
                </w:p>
              </w:tc>
              <w:tc>
                <w:tcPr>
                  <w:tcW w:w="506" w:type="pct"/>
                  <w:vMerge w:val="continue"/>
                  <w:vAlign w:val="center"/>
                </w:tcPr>
                <w:p w14:paraId="37D9BCB9">
                  <w:pPr>
                    <w:jc w:val="center"/>
                    <w:rPr>
                      <w:color w:val="EE0000"/>
                      <w:sz w:val="18"/>
                      <w:szCs w:val="18"/>
                      <w:u w:val="single"/>
                    </w:rPr>
                  </w:pPr>
                </w:p>
              </w:tc>
              <w:tc>
                <w:tcPr>
                  <w:tcW w:w="483" w:type="pct"/>
                  <w:vAlign w:val="center"/>
                </w:tcPr>
                <w:p w14:paraId="3729CD10">
                  <w:pPr>
                    <w:jc w:val="center"/>
                    <w:rPr>
                      <w:color w:val="EE0000"/>
                      <w:sz w:val="18"/>
                      <w:szCs w:val="18"/>
                      <w:u w:val="single"/>
                    </w:rPr>
                  </w:pPr>
                  <w:r>
                    <w:rPr>
                      <w:color w:val="EE0000"/>
                      <w:sz w:val="18"/>
                      <w:szCs w:val="18"/>
                      <w:u w:val="single"/>
                    </w:rPr>
                    <w:t>1.38</w:t>
                  </w:r>
                </w:p>
              </w:tc>
              <w:tc>
                <w:tcPr>
                  <w:tcW w:w="541" w:type="pct"/>
                  <w:vAlign w:val="center"/>
                </w:tcPr>
                <w:p w14:paraId="59ACC011">
                  <w:pPr>
                    <w:jc w:val="center"/>
                    <w:rPr>
                      <w:color w:val="EE0000"/>
                      <w:sz w:val="18"/>
                      <w:szCs w:val="18"/>
                      <w:u w:val="single"/>
                    </w:rPr>
                  </w:pPr>
                  <w:r>
                    <w:rPr>
                      <w:color w:val="EE0000"/>
                      <w:sz w:val="18"/>
                      <w:szCs w:val="18"/>
                      <w:u w:val="single"/>
                    </w:rPr>
                    <w:t>0.174</w:t>
                  </w:r>
                </w:p>
              </w:tc>
              <w:tc>
                <w:tcPr>
                  <w:tcW w:w="637" w:type="pct"/>
                  <w:vAlign w:val="center"/>
                </w:tcPr>
                <w:p w14:paraId="53514389">
                  <w:pPr>
                    <w:jc w:val="center"/>
                    <w:rPr>
                      <w:color w:val="EE0000"/>
                      <w:sz w:val="18"/>
                      <w:szCs w:val="18"/>
                      <w:u w:val="single"/>
                    </w:rPr>
                  </w:pPr>
                  <w:r>
                    <w:rPr>
                      <w:color w:val="EE0000"/>
                      <w:sz w:val="18"/>
                      <w:szCs w:val="18"/>
                      <w:u w:val="single"/>
                    </w:rPr>
                    <w:t>0.87</w:t>
                  </w:r>
                </w:p>
              </w:tc>
            </w:tr>
            <w:tr w14:paraId="51D2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 w:type="pct"/>
                  <w:vMerge w:val="continue"/>
                  <w:vAlign w:val="center"/>
                </w:tcPr>
                <w:p w14:paraId="52F752EF">
                  <w:pPr>
                    <w:jc w:val="center"/>
                    <w:rPr>
                      <w:color w:val="EE0000"/>
                      <w:sz w:val="18"/>
                      <w:szCs w:val="18"/>
                      <w:u w:val="single"/>
                    </w:rPr>
                  </w:pPr>
                </w:p>
              </w:tc>
              <w:tc>
                <w:tcPr>
                  <w:tcW w:w="357" w:type="pct"/>
                  <w:vAlign w:val="center"/>
                </w:tcPr>
                <w:p w14:paraId="753589A4">
                  <w:pPr>
                    <w:jc w:val="center"/>
                    <w:rPr>
                      <w:color w:val="EE0000"/>
                      <w:sz w:val="18"/>
                      <w:szCs w:val="18"/>
                      <w:u w:val="single"/>
                    </w:rPr>
                  </w:pPr>
                  <w:r>
                    <w:rPr>
                      <w:color w:val="EE0000"/>
                      <w:sz w:val="18"/>
                      <w:szCs w:val="18"/>
                      <w:u w:val="single"/>
                    </w:rPr>
                    <w:t>汞</w:t>
                  </w:r>
                </w:p>
              </w:tc>
              <w:tc>
                <w:tcPr>
                  <w:tcW w:w="553" w:type="pct"/>
                  <w:vMerge w:val="continue"/>
                  <w:vAlign w:val="center"/>
                </w:tcPr>
                <w:p w14:paraId="21EE4B38">
                  <w:pPr>
                    <w:jc w:val="center"/>
                    <w:rPr>
                      <w:color w:val="EE0000"/>
                      <w:sz w:val="18"/>
                      <w:szCs w:val="18"/>
                      <w:u w:val="single"/>
                    </w:rPr>
                  </w:pPr>
                </w:p>
              </w:tc>
              <w:tc>
                <w:tcPr>
                  <w:tcW w:w="476" w:type="pct"/>
                  <w:vAlign w:val="center"/>
                </w:tcPr>
                <w:p w14:paraId="4DC879E3">
                  <w:pPr>
                    <w:jc w:val="center"/>
                    <w:rPr>
                      <w:color w:val="EE0000"/>
                      <w:sz w:val="18"/>
                      <w:szCs w:val="18"/>
                      <w:u w:val="single"/>
                    </w:rPr>
                  </w:pPr>
                  <w:r>
                    <w:rPr>
                      <w:color w:val="EE0000"/>
                      <w:sz w:val="18"/>
                      <w:szCs w:val="18"/>
                      <w:u w:val="single"/>
                    </w:rPr>
                    <w:t>0.001</w:t>
                  </w:r>
                </w:p>
              </w:tc>
              <w:tc>
                <w:tcPr>
                  <w:tcW w:w="569" w:type="pct"/>
                  <w:vAlign w:val="center"/>
                </w:tcPr>
                <w:p w14:paraId="1EF8CB70">
                  <w:pPr>
                    <w:jc w:val="center"/>
                    <w:rPr>
                      <w:color w:val="EE0000"/>
                      <w:sz w:val="18"/>
                      <w:szCs w:val="18"/>
                      <w:u w:val="single"/>
                    </w:rPr>
                  </w:pPr>
                  <w:r>
                    <w:rPr>
                      <w:color w:val="EE0000"/>
                      <w:sz w:val="18"/>
                      <w:szCs w:val="18"/>
                      <w:u w:val="single"/>
                    </w:rPr>
                    <w:t>0.0001</w:t>
                  </w:r>
                </w:p>
              </w:tc>
              <w:tc>
                <w:tcPr>
                  <w:tcW w:w="638" w:type="pct"/>
                  <w:vAlign w:val="center"/>
                </w:tcPr>
                <w:p w14:paraId="49A15696">
                  <w:pPr>
                    <w:jc w:val="center"/>
                    <w:rPr>
                      <w:color w:val="EE0000"/>
                      <w:sz w:val="18"/>
                      <w:szCs w:val="18"/>
                      <w:u w:val="single"/>
                    </w:rPr>
                  </w:pPr>
                  <w:r>
                    <w:rPr>
                      <w:color w:val="EE0000"/>
                      <w:sz w:val="18"/>
                      <w:szCs w:val="18"/>
                      <w:u w:val="single"/>
                    </w:rPr>
                    <w:t>0.0005</w:t>
                  </w:r>
                </w:p>
              </w:tc>
              <w:tc>
                <w:tcPr>
                  <w:tcW w:w="506" w:type="pct"/>
                  <w:vMerge w:val="continue"/>
                  <w:vAlign w:val="center"/>
                </w:tcPr>
                <w:p w14:paraId="4D839C99">
                  <w:pPr>
                    <w:jc w:val="center"/>
                    <w:rPr>
                      <w:color w:val="EE0000"/>
                      <w:sz w:val="18"/>
                      <w:szCs w:val="18"/>
                      <w:u w:val="single"/>
                    </w:rPr>
                  </w:pPr>
                </w:p>
              </w:tc>
              <w:tc>
                <w:tcPr>
                  <w:tcW w:w="483" w:type="pct"/>
                  <w:vAlign w:val="center"/>
                </w:tcPr>
                <w:p w14:paraId="4D1B66D5">
                  <w:pPr>
                    <w:jc w:val="center"/>
                    <w:rPr>
                      <w:color w:val="EE0000"/>
                      <w:sz w:val="18"/>
                      <w:szCs w:val="18"/>
                      <w:u w:val="single"/>
                    </w:rPr>
                  </w:pPr>
                  <w:r>
                    <w:rPr>
                      <w:color w:val="EE0000"/>
                      <w:sz w:val="18"/>
                      <w:szCs w:val="18"/>
                      <w:u w:val="single"/>
                    </w:rPr>
                    <w:t>0.0001</w:t>
                  </w:r>
                </w:p>
              </w:tc>
              <w:tc>
                <w:tcPr>
                  <w:tcW w:w="541" w:type="pct"/>
                  <w:vAlign w:val="center"/>
                </w:tcPr>
                <w:p w14:paraId="2F44DDA2">
                  <w:pPr>
                    <w:jc w:val="center"/>
                    <w:rPr>
                      <w:color w:val="EE0000"/>
                      <w:sz w:val="18"/>
                      <w:szCs w:val="18"/>
                      <w:u w:val="single"/>
                    </w:rPr>
                  </w:pPr>
                  <w:r>
                    <w:rPr>
                      <w:color w:val="EE0000"/>
                      <w:sz w:val="18"/>
                      <w:szCs w:val="18"/>
                      <w:u w:val="single"/>
                    </w:rPr>
                    <w:t>1.0E-05</w:t>
                  </w:r>
                </w:p>
              </w:tc>
              <w:tc>
                <w:tcPr>
                  <w:tcW w:w="637" w:type="pct"/>
                  <w:vAlign w:val="center"/>
                </w:tcPr>
                <w:p w14:paraId="7FF76B09">
                  <w:pPr>
                    <w:jc w:val="center"/>
                    <w:rPr>
                      <w:color w:val="EE0000"/>
                      <w:sz w:val="18"/>
                      <w:szCs w:val="18"/>
                      <w:u w:val="single"/>
                    </w:rPr>
                  </w:pPr>
                  <w:r>
                    <w:rPr>
                      <w:color w:val="EE0000"/>
                      <w:sz w:val="18"/>
                      <w:szCs w:val="18"/>
                      <w:u w:val="single"/>
                    </w:rPr>
                    <w:t>5.0E-05</w:t>
                  </w:r>
                </w:p>
              </w:tc>
            </w:tr>
            <w:tr w14:paraId="48C1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 w:type="pct"/>
                  <w:vMerge w:val="continue"/>
                  <w:vAlign w:val="center"/>
                </w:tcPr>
                <w:p w14:paraId="0920A7E2">
                  <w:pPr>
                    <w:jc w:val="center"/>
                    <w:rPr>
                      <w:color w:val="EE0000"/>
                      <w:sz w:val="18"/>
                      <w:szCs w:val="18"/>
                      <w:u w:val="single"/>
                    </w:rPr>
                  </w:pPr>
                </w:p>
              </w:tc>
              <w:tc>
                <w:tcPr>
                  <w:tcW w:w="357" w:type="pct"/>
                  <w:vAlign w:val="center"/>
                </w:tcPr>
                <w:p w14:paraId="44D537B5">
                  <w:pPr>
                    <w:jc w:val="center"/>
                    <w:rPr>
                      <w:color w:val="EE0000"/>
                      <w:sz w:val="18"/>
                      <w:szCs w:val="18"/>
                      <w:u w:val="single"/>
                    </w:rPr>
                  </w:pPr>
                  <w:r>
                    <w:rPr>
                      <w:color w:val="EE0000"/>
                      <w:sz w:val="18"/>
                      <w:szCs w:val="18"/>
                      <w:u w:val="single"/>
                    </w:rPr>
                    <w:t>铅</w:t>
                  </w:r>
                </w:p>
              </w:tc>
              <w:tc>
                <w:tcPr>
                  <w:tcW w:w="553" w:type="pct"/>
                  <w:vMerge w:val="continue"/>
                  <w:vAlign w:val="center"/>
                </w:tcPr>
                <w:p w14:paraId="42C6F3D8">
                  <w:pPr>
                    <w:jc w:val="center"/>
                    <w:rPr>
                      <w:color w:val="EE0000"/>
                      <w:sz w:val="18"/>
                      <w:szCs w:val="18"/>
                      <w:u w:val="single"/>
                    </w:rPr>
                  </w:pPr>
                </w:p>
              </w:tc>
              <w:tc>
                <w:tcPr>
                  <w:tcW w:w="476" w:type="pct"/>
                  <w:vAlign w:val="center"/>
                </w:tcPr>
                <w:p w14:paraId="65857E2F">
                  <w:pPr>
                    <w:jc w:val="center"/>
                    <w:rPr>
                      <w:color w:val="EE0000"/>
                      <w:sz w:val="18"/>
                      <w:szCs w:val="18"/>
                      <w:u w:val="single"/>
                    </w:rPr>
                  </w:pPr>
                  <w:r>
                    <w:rPr>
                      <w:color w:val="EE0000"/>
                      <w:sz w:val="18"/>
                      <w:szCs w:val="18"/>
                      <w:u w:val="single"/>
                    </w:rPr>
                    <w:t>0.012</w:t>
                  </w:r>
                </w:p>
              </w:tc>
              <w:tc>
                <w:tcPr>
                  <w:tcW w:w="569" w:type="pct"/>
                  <w:vAlign w:val="center"/>
                </w:tcPr>
                <w:p w14:paraId="4D46AD4F">
                  <w:pPr>
                    <w:jc w:val="center"/>
                    <w:rPr>
                      <w:color w:val="EE0000"/>
                      <w:sz w:val="18"/>
                      <w:szCs w:val="18"/>
                      <w:u w:val="single"/>
                    </w:rPr>
                  </w:pPr>
                  <w:r>
                    <w:rPr>
                      <w:color w:val="EE0000"/>
                      <w:sz w:val="18"/>
                      <w:szCs w:val="18"/>
                      <w:u w:val="single"/>
                    </w:rPr>
                    <w:t xml:space="preserve">0.0015 </w:t>
                  </w:r>
                </w:p>
              </w:tc>
              <w:tc>
                <w:tcPr>
                  <w:tcW w:w="638" w:type="pct"/>
                  <w:vAlign w:val="center"/>
                </w:tcPr>
                <w:p w14:paraId="2B73A08B">
                  <w:pPr>
                    <w:jc w:val="center"/>
                    <w:rPr>
                      <w:color w:val="EE0000"/>
                      <w:sz w:val="18"/>
                      <w:szCs w:val="18"/>
                      <w:u w:val="single"/>
                    </w:rPr>
                  </w:pPr>
                  <w:r>
                    <w:rPr>
                      <w:color w:val="EE0000"/>
                      <w:sz w:val="18"/>
                      <w:szCs w:val="18"/>
                      <w:u w:val="single"/>
                    </w:rPr>
                    <w:t>0.0075</w:t>
                  </w:r>
                </w:p>
              </w:tc>
              <w:tc>
                <w:tcPr>
                  <w:tcW w:w="506" w:type="pct"/>
                  <w:vMerge w:val="continue"/>
                  <w:vAlign w:val="center"/>
                </w:tcPr>
                <w:p w14:paraId="0DE2BD1B">
                  <w:pPr>
                    <w:jc w:val="center"/>
                    <w:rPr>
                      <w:color w:val="EE0000"/>
                      <w:sz w:val="18"/>
                      <w:szCs w:val="18"/>
                      <w:u w:val="single"/>
                    </w:rPr>
                  </w:pPr>
                </w:p>
              </w:tc>
              <w:tc>
                <w:tcPr>
                  <w:tcW w:w="483" w:type="pct"/>
                  <w:vAlign w:val="center"/>
                </w:tcPr>
                <w:p w14:paraId="4E7D68A9">
                  <w:pPr>
                    <w:jc w:val="center"/>
                    <w:rPr>
                      <w:color w:val="EE0000"/>
                      <w:sz w:val="18"/>
                      <w:szCs w:val="18"/>
                      <w:u w:val="single"/>
                    </w:rPr>
                  </w:pPr>
                  <w:r>
                    <w:rPr>
                      <w:color w:val="EE0000"/>
                      <w:sz w:val="18"/>
                      <w:szCs w:val="18"/>
                      <w:u w:val="single"/>
                    </w:rPr>
                    <w:t>0.0012</w:t>
                  </w:r>
                </w:p>
              </w:tc>
              <w:tc>
                <w:tcPr>
                  <w:tcW w:w="541" w:type="pct"/>
                  <w:vAlign w:val="center"/>
                </w:tcPr>
                <w:p w14:paraId="3C24E98C">
                  <w:pPr>
                    <w:jc w:val="center"/>
                    <w:rPr>
                      <w:color w:val="EE0000"/>
                      <w:sz w:val="18"/>
                      <w:szCs w:val="18"/>
                      <w:u w:val="single"/>
                    </w:rPr>
                  </w:pPr>
                  <w:r>
                    <w:rPr>
                      <w:color w:val="EE0000"/>
                      <w:sz w:val="18"/>
                      <w:szCs w:val="18"/>
                      <w:u w:val="single"/>
                    </w:rPr>
                    <w:t>1.5E-04</w:t>
                  </w:r>
                </w:p>
              </w:tc>
              <w:tc>
                <w:tcPr>
                  <w:tcW w:w="637" w:type="pct"/>
                  <w:vAlign w:val="center"/>
                </w:tcPr>
                <w:p w14:paraId="6F2064A4">
                  <w:pPr>
                    <w:jc w:val="center"/>
                    <w:rPr>
                      <w:color w:val="EE0000"/>
                      <w:sz w:val="18"/>
                      <w:szCs w:val="18"/>
                      <w:u w:val="single"/>
                    </w:rPr>
                  </w:pPr>
                  <w:r>
                    <w:rPr>
                      <w:color w:val="EE0000"/>
                      <w:sz w:val="18"/>
                      <w:szCs w:val="18"/>
                      <w:u w:val="single"/>
                    </w:rPr>
                    <w:t>7.5E-04</w:t>
                  </w:r>
                </w:p>
              </w:tc>
            </w:tr>
            <w:tr w14:paraId="5A4E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 w:type="pct"/>
                  <w:vMerge w:val="continue"/>
                  <w:vAlign w:val="center"/>
                </w:tcPr>
                <w:p w14:paraId="50700637">
                  <w:pPr>
                    <w:jc w:val="center"/>
                    <w:rPr>
                      <w:color w:val="EE0000"/>
                      <w:sz w:val="18"/>
                      <w:szCs w:val="18"/>
                      <w:u w:val="single"/>
                    </w:rPr>
                  </w:pPr>
                </w:p>
              </w:tc>
              <w:tc>
                <w:tcPr>
                  <w:tcW w:w="357" w:type="pct"/>
                  <w:vAlign w:val="center"/>
                </w:tcPr>
                <w:p w14:paraId="74AB4AFD">
                  <w:pPr>
                    <w:jc w:val="center"/>
                    <w:rPr>
                      <w:color w:val="EE0000"/>
                      <w:sz w:val="18"/>
                      <w:szCs w:val="18"/>
                      <w:u w:val="single"/>
                    </w:rPr>
                  </w:pPr>
                  <w:r>
                    <w:rPr>
                      <w:color w:val="EE0000"/>
                      <w:sz w:val="18"/>
                      <w:szCs w:val="18"/>
                      <w:u w:val="single"/>
                    </w:rPr>
                    <w:t>铬</w:t>
                  </w:r>
                </w:p>
              </w:tc>
              <w:tc>
                <w:tcPr>
                  <w:tcW w:w="553" w:type="pct"/>
                  <w:vMerge w:val="continue"/>
                  <w:vAlign w:val="center"/>
                </w:tcPr>
                <w:p w14:paraId="6A68B209">
                  <w:pPr>
                    <w:jc w:val="center"/>
                    <w:rPr>
                      <w:color w:val="EE0000"/>
                      <w:sz w:val="18"/>
                      <w:szCs w:val="18"/>
                      <w:u w:val="single"/>
                    </w:rPr>
                  </w:pPr>
                </w:p>
              </w:tc>
              <w:tc>
                <w:tcPr>
                  <w:tcW w:w="476" w:type="pct"/>
                  <w:vAlign w:val="center"/>
                </w:tcPr>
                <w:p w14:paraId="4D82F349">
                  <w:pPr>
                    <w:jc w:val="center"/>
                    <w:rPr>
                      <w:color w:val="EE0000"/>
                      <w:sz w:val="18"/>
                      <w:szCs w:val="18"/>
                      <w:u w:val="single"/>
                    </w:rPr>
                  </w:pPr>
                  <w:r>
                    <w:rPr>
                      <w:color w:val="EE0000"/>
                      <w:sz w:val="18"/>
                      <w:szCs w:val="18"/>
                      <w:u w:val="single"/>
                    </w:rPr>
                    <w:t>0.004</w:t>
                  </w:r>
                </w:p>
              </w:tc>
              <w:tc>
                <w:tcPr>
                  <w:tcW w:w="569" w:type="pct"/>
                  <w:vAlign w:val="center"/>
                </w:tcPr>
                <w:p w14:paraId="33BC2690">
                  <w:pPr>
                    <w:jc w:val="center"/>
                    <w:rPr>
                      <w:color w:val="EE0000"/>
                      <w:sz w:val="18"/>
                      <w:szCs w:val="18"/>
                      <w:u w:val="single"/>
                    </w:rPr>
                  </w:pPr>
                  <w:r>
                    <w:rPr>
                      <w:color w:val="EE0000"/>
                      <w:sz w:val="18"/>
                      <w:szCs w:val="18"/>
                      <w:u w:val="single"/>
                    </w:rPr>
                    <w:t>0.0005</w:t>
                  </w:r>
                </w:p>
              </w:tc>
              <w:tc>
                <w:tcPr>
                  <w:tcW w:w="638" w:type="pct"/>
                  <w:vAlign w:val="center"/>
                </w:tcPr>
                <w:p w14:paraId="5420437E">
                  <w:pPr>
                    <w:jc w:val="center"/>
                    <w:rPr>
                      <w:color w:val="EE0000"/>
                      <w:sz w:val="18"/>
                      <w:szCs w:val="18"/>
                      <w:u w:val="single"/>
                    </w:rPr>
                  </w:pPr>
                  <w:r>
                    <w:rPr>
                      <w:color w:val="EE0000"/>
                      <w:sz w:val="18"/>
                      <w:szCs w:val="18"/>
                      <w:u w:val="single"/>
                    </w:rPr>
                    <w:t>0.0025</w:t>
                  </w:r>
                </w:p>
              </w:tc>
              <w:tc>
                <w:tcPr>
                  <w:tcW w:w="506" w:type="pct"/>
                  <w:vMerge w:val="continue"/>
                  <w:vAlign w:val="center"/>
                </w:tcPr>
                <w:p w14:paraId="74CA292A">
                  <w:pPr>
                    <w:jc w:val="center"/>
                    <w:rPr>
                      <w:color w:val="EE0000"/>
                      <w:sz w:val="18"/>
                      <w:szCs w:val="18"/>
                      <w:u w:val="single"/>
                    </w:rPr>
                  </w:pPr>
                </w:p>
              </w:tc>
              <w:tc>
                <w:tcPr>
                  <w:tcW w:w="483" w:type="pct"/>
                  <w:vAlign w:val="center"/>
                </w:tcPr>
                <w:p w14:paraId="0A9A1BC9">
                  <w:pPr>
                    <w:jc w:val="center"/>
                    <w:rPr>
                      <w:color w:val="EE0000"/>
                      <w:sz w:val="18"/>
                      <w:szCs w:val="18"/>
                      <w:u w:val="single"/>
                    </w:rPr>
                  </w:pPr>
                  <w:r>
                    <w:rPr>
                      <w:color w:val="EE0000"/>
                      <w:sz w:val="18"/>
                      <w:szCs w:val="18"/>
                      <w:u w:val="single"/>
                    </w:rPr>
                    <w:t>0.0004</w:t>
                  </w:r>
                </w:p>
              </w:tc>
              <w:tc>
                <w:tcPr>
                  <w:tcW w:w="541" w:type="pct"/>
                  <w:vAlign w:val="center"/>
                </w:tcPr>
                <w:p w14:paraId="5528944F">
                  <w:pPr>
                    <w:jc w:val="center"/>
                    <w:rPr>
                      <w:color w:val="EE0000"/>
                      <w:sz w:val="18"/>
                      <w:szCs w:val="18"/>
                      <w:u w:val="single"/>
                    </w:rPr>
                  </w:pPr>
                  <w:r>
                    <w:rPr>
                      <w:color w:val="EE0000"/>
                      <w:sz w:val="18"/>
                      <w:szCs w:val="18"/>
                      <w:u w:val="single"/>
                    </w:rPr>
                    <w:t>5.0E-05</w:t>
                  </w:r>
                </w:p>
              </w:tc>
              <w:tc>
                <w:tcPr>
                  <w:tcW w:w="637" w:type="pct"/>
                  <w:vAlign w:val="center"/>
                </w:tcPr>
                <w:p w14:paraId="10CE6D93">
                  <w:pPr>
                    <w:jc w:val="center"/>
                    <w:rPr>
                      <w:color w:val="EE0000"/>
                      <w:sz w:val="18"/>
                      <w:szCs w:val="18"/>
                      <w:u w:val="single"/>
                    </w:rPr>
                  </w:pPr>
                  <w:r>
                    <w:rPr>
                      <w:color w:val="EE0000"/>
                      <w:sz w:val="18"/>
                      <w:szCs w:val="18"/>
                      <w:u w:val="single"/>
                    </w:rPr>
                    <w:t>2.5E-04</w:t>
                  </w:r>
                </w:p>
              </w:tc>
            </w:tr>
            <w:tr w14:paraId="597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 w:type="pct"/>
                  <w:vMerge w:val="continue"/>
                  <w:vAlign w:val="center"/>
                </w:tcPr>
                <w:p w14:paraId="09597766">
                  <w:pPr>
                    <w:jc w:val="center"/>
                    <w:rPr>
                      <w:color w:val="EE0000"/>
                      <w:sz w:val="18"/>
                      <w:szCs w:val="18"/>
                      <w:u w:val="single"/>
                    </w:rPr>
                  </w:pPr>
                </w:p>
              </w:tc>
              <w:tc>
                <w:tcPr>
                  <w:tcW w:w="357" w:type="pct"/>
                  <w:vAlign w:val="center"/>
                </w:tcPr>
                <w:p w14:paraId="48462F70">
                  <w:pPr>
                    <w:jc w:val="center"/>
                    <w:rPr>
                      <w:color w:val="EE0000"/>
                      <w:sz w:val="18"/>
                      <w:szCs w:val="18"/>
                      <w:u w:val="single"/>
                    </w:rPr>
                  </w:pPr>
                  <w:r>
                    <w:rPr>
                      <w:bCs/>
                      <w:color w:val="EE0000"/>
                      <w:sz w:val="18"/>
                      <w:szCs w:val="18"/>
                      <w:u w:val="single"/>
                    </w:rPr>
                    <w:t>砷</w:t>
                  </w:r>
                </w:p>
              </w:tc>
              <w:tc>
                <w:tcPr>
                  <w:tcW w:w="553" w:type="pct"/>
                  <w:vMerge w:val="continue"/>
                  <w:vAlign w:val="center"/>
                </w:tcPr>
                <w:p w14:paraId="4796BC0C">
                  <w:pPr>
                    <w:jc w:val="center"/>
                    <w:rPr>
                      <w:color w:val="EE0000"/>
                      <w:sz w:val="18"/>
                      <w:szCs w:val="18"/>
                      <w:u w:val="single"/>
                    </w:rPr>
                  </w:pPr>
                </w:p>
              </w:tc>
              <w:tc>
                <w:tcPr>
                  <w:tcW w:w="476" w:type="pct"/>
                  <w:vAlign w:val="center"/>
                </w:tcPr>
                <w:p w14:paraId="7CB8E276">
                  <w:pPr>
                    <w:jc w:val="center"/>
                    <w:rPr>
                      <w:color w:val="EE0000"/>
                      <w:sz w:val="18"/>
                      <w:szCs w:val="18"/>
                      <w:u w:val="single"/>
                    </w:rPr>
                  </w:pPr>
                  <w:r>
                    <w:rPr>
                      <w:color w:val="EE0000"/>
                      <w:sz w:val="18"/>
                      <w:szCs w:val="18"/>
                      <w:u w:val="single"/>
                    </w:rPr>
                    <w:t>0.002</w:t>
                  </w:r>
                </w:p>
              </w:tc>
              <w:tc>
                <w:tcPr>
                  <w:tcW w:w="569" w:type="pct"/>
                  <w:vAlign w:val="center"/>
                </w:tcPr>
                <w:p w14:paraId="5BD4BB5B">
                  <w:pPr>
                    <w:jc w:val="center"/>
                    <w:rPr>
                      <w:color w:val="EE0000"/>
                      <w:sz w:val="18"/>
                      <w:szCs w:val="18"/>
                      <w:u w:val="single"/>
                    </w:rPr>
                  </w:pPr>
                  <w:r>
                    <w:rPr>
                      <w:color w:val="EE0000"/>
                      <w:sz w:val="18"/>
                      <w:szCs w:val="18"/>
                      <w:u w:val="single"/>
                    </w:rPr>
                    <w:t>0.0003</w:t>
                  </w:r>
                </w:p>
              </w:tc>
              <w:tc>
                <w:tcPr>
                  <w:tcW w:w="638" w:type="pct"/>
                  <w:vAlign w:val="center"/>
                </w:tcPr>
                <w:p w14:paraId="0B2480E2">
                  <w:pPr>
                    <w:jc w:val="center"/>
                    <w:rPr>
                      <w:color w:val="EE0000"/>
                      <w:sz w:val="18"/>
                      <w:szCs w:val="18"/>
                      <w:u w:val="single"/>
                    </w:rPr>
                  </w:pPr>
                  <w:r>
                    <w:rPr>
                      <w:color w:val="EE0000"/>
                      <w:sz w:val="18"/>
                      <w:szCs w:val="18"/>
                      <w:u w:val="single"/>
                    </w:rPr>
                    <w:t>0.0015</w:t>
                  </w:r>
                </w:p>
              </w:tc>
              <w:tc>
                <w:tcPr>
                  <w:tcW w:w="506" w:type="pct"/>
                  <w:vMerge w:val="continue"/>
                  <w:vAlign w:val="center"/>
                </w:tcPr>
                <w:p w14:paraId="12710405">
                  <w:pPr>
                    <w:jc w:val="center"/>
                    <w:rPr>
                      <w:color w:val="EE0000"/>
                      <w:sz w:val="18"/>
                      <w:szCs w:val="18"/>
                      <w:u w:val="single"/>
                    </w:rPr>
                  </w:pPr>
                </w:p>
              </w:tc>
              <w:tc>
                <w:tcPr>
                  <w:tcW w:w="483" w:type="pct"/>
                  <w:vAlign w:val="center"/>
                </w:tcPr>
                <w:p w14:paraId="14B3E3D9">
                  <w:pPr>
                    <w:jc w:val="center"/>
                    <w:rPr>
                      <w:color w:val="EE0000"/>
                      <w:sz w:val="18"/>
                      <w:szCs w:val="18"/>
                      <w:u w:val="single"/>
                    </w:rPr>
                  </w:pPr>
                  <w:r>
                    <w:rPr>
                      <w:color w:val="EE0000"/>
                      <w:sz w:val="18"/>
                      <w:szCs w:val="18"/>
                      <w:u w:val="single"/>
                    </w:rPr>
                    <w:t>0.0002</w:t>
                  </w:r>
                </w:p>
              </w:tc>
              <w:tc>
                <w:tcPr>
                  <w:tcW w:w="541" w:type="pct"/>
                  <w:vAlign w:val="center"/>
                </w:tcPr>
                <w:p w14:paraId="5438BFDE">
                  <w:pPr>
                    <w:jc w:val="center"/>
                    <w:rPr>
                      <w:color w:val="EE0000"/>
                      <w:sz w:val="18"/>
                      <w:szCs w:val="18"/>
                      <w:u w:val="single"/>
                    </w:rPr>
                  </w:pPr>
                  <w:r>
                    <w:rPr>
                      <w:color w:val="EE0000"/>
                      <w:sz w:val="18"/>
                      <w:szCs w:val="18"/>
                      <w:u w:val="single"/>
                    </w:rPr>
                    <w:t>3.0E-05</w:t>
                  </w:r>
                </w:p>
              </w:tc>
              <w:tc>
                <w:tcPr>
                  <w:tcW w:w="637" w:type="pct"/>
                  <w:vAlign w:val="center"/>
                </w:tcPr>
                <w:p w14:paraId="20257ECB">
                  <w:pPr>
                    <w:jc w:val="center"/>
                    <w:rPr>
                      <w:color w:val="EE0000"/>
                      <w:sz w:val="18"/>
                      <w:szCs w:val="18"/>
                      <w:u w:val="single"/>
                    </w:rPr>
                  </w:pPr>
                  <w:r>
                    <w:rPr>
                      <w:color w:val="EE0000"/>
                      <w:sz w:val="18"/>
                      <w:szCs w:val="18"/>
                      <w:u w:val="single"/>
                    </w:rPr>
                    <w:t>1.5E-04</w:t>
                  </w:r>
                </w:p>
              </w:tc>
            </w:tr>
            <w:tr w14:paraId="11E9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 w:type="pct"/>
                  <w:vMerge w:val="continue"/>
                  <w:vAlign w:val="center"/>
                </w:tcPr>
                <w:p w14:paraId="4F3C9CF4">
                  <w:pPr>
                    <w:jc w:val="center"/>
                    <w:rPr>
                      <w:color w:val="EE0000"/>
                      <w:sz w:val="18"/>
                      <w:szCs w:val="18"/>
                      <w:u w:val="single"/>
                    </w:rPr>
                  </w:pPr>
                </w:p>
              </w:tc>
              <w:tc>
                <w:tcPr>
                  <w:tcW w:w="357" w:type="pct"/>
                  <w:vAlign w:val="center"/>
                </w:tcPr>
                <w:p w14:paraId="635E23BD">
                  <w:pPr>
                    <w:jc w:val="center"/>
                    <w:rPr>
                      <w:color w:val="EE0000"/>
                      <w:sz w:val="18"/>
                      <w:szCs w:val="18"/>
                      <w:u w:val="single"/>
                    </w:rPr>
                  </w:pPr>
                  <w:r>
                    <w:rPr>
                      <w:bCs/>
                      <w:color w:val="EE0000"/>
                      <w:sz w:val="18"/>
                      <w:szCs w:val="18"/>
                      <w:u w:val="single"/>
                    </w:rPr>
                    <w:t>锌</w:t>
                  </w:r>
                </w:p>
              </w:tc>
              <w:tc>
                <w:tcPr>
                  <w:tcW w:w="553" w:type="pct"/>
                  <w:vMerge w:val="continue"/>
                  <w:vAlign w:val="center"/>
                </w:tcPr>
                <w:p w14:paraId="2D8E0777">
                  <w:pPr>
                    <w:jc w:val="center"/>
                    <w:rPr>
                      <w:color w:val="EE0000"/>
                      <w:sz w:val="18"/>
                      <w:szCs w:val="18"/>
                      <w:u w:val="single"/>
                    </w:rPr>
                  </w:pPr>
                </w:p>
              </w:tc>
              <w:tc>
                <w:tcPr>
                  <w:tcW w:w="476" w:type="pct"/>
                  <w:vAlign w:val="center"/>
                </w:tcPr>
                <w:p w14:paraId="3CC13919">
                  <w:pPr>
                    <w:jc w:val="center"/>
                    <w:rPr>
                      <w:color w:val="EE0000"/>
                      <w:sz w:val="18"/>
                      <w:szCs w:val="18"/>
                      <w:u w:val="single"/>
                    </w:rPr>
                  </w:pPr>
                  <w:r>
                    <w:rPr>
                      <w:color w:val="EE0000"/>
                      <w:sz w:val="18"/>
                      <w:szCs w:val="18"/>
                      <w:u w:val="single"/>
                    </w:rPr>
                    <w:t>0.407</w:t>
                  </w:r>
                </w:p>
              </w:tc>
              <w:tc>
                <w:tcPr>
                  <w:tcW w:w="569" w:type="pct"/>
                  <w:vAlign w:val="center"/>
                </w:tcPr>
                <w:p w14:paraId="5BB837E4">
                  <w:pPr>
                    <w:jc w:val="center"/>
                    <w:rPr>
                      <w:color w:val="EE0000"/>
                      <w:sz w:val="18"/>
                      <w:szCs w:val="18"/>
                      <w:u w:val="single"/>
                    </w:rPr>
                  </w:pPr>
                  <w:r>
                    <w:rPr>
                      <w:color w:val="EE0000"/>
                      <w:sz w:val="18"/>
                      <w:szCs w:val="18"/>
                      <w:u w:val="single"/>
                    </w:rPr>
                    <w:t xml:space="preserve">0.051 </w:t>
                  </w:r>
                </w:p>
              </w:tc>
              <w:tc>
                <w:tcPr>
                  <w:tcW w:w="638" w:type="pct"/>
                  <w:vAlign w:val="center"/>
                </w:tcPr>
                <w:p w14:paraId="45450E6E">
                  <w:pPr>
                    <w:jc w:val="center"/>
                    <w:rPr>
                      <w:color w:val="EE0000"/>
                      <w:sz w:val="18"/>
                      <w:szCs w:val="18"/>
                      <w:u w:val="single"/>
                    </w:rPr>
                  </w:pPr>
                  <w:r>
                    <w:rPr>
                      <w:color w:val="EE0000"/>
                      <w:sz w:val="18"/>
                      <w:szCs w:val="18"/>
                      <w:u w:val="single"/>
                    </w:rPr>
                    <w:t>0.255</w:t>
                  </w:r>
                </w:p>
              </w:tc>
              <w:tc>
                <w:tcPr>
                  <w:tcW w:w="506" w:type="pct"/>
                  <w:vMerge w:val="continue"/>
                  <w:vAlign w:val="center"/>
                </w:tcPr>
                <w:p w14:paraId="05475B52">
                  <w:pPr>
                    <w:jc w:val="center"/>
                    <w:rPr>
                      <w:color w:val="EE0000"/>
                      <w:sz w:val="18"/>
                      <w:szCs w:val="18"/>
                      <w:u w:val="single"/>
                    </w:rPr>
                  </w:pPr>
                </w:p>
              </w:tc>
              <w:tc>
                <w:tcPr>
                  <w:tcW w:w="483" w:type="pct"/>
                  <w:vAlign w:val="center"/>
                </w:tcPr>
                <w:p w14:paraId="1D870599">
                  <w:pPr>
                    <w:jc w:val="center"/>
                    <w:rPr>
                      <w:color w:val="EE0000"/>
                      <w:sz w:val="18"/>
                      <w:szCs w:val="18"/>
                      <w:u w:val="single"/>
                    </w:rPr>
                  </w:pPr>
                  <w:r>
                    <w:rPr>
                      <w:color w:val="EE0000"/>
                      <w:sz w:val="18"/>
                      <w:szCs w:val="18"/>
                      <w:u w:val="single"/>
                    </w:rPr>
                    <w:t>0.0407</w:t>
                  </w:r>
                </w:p>
              </w:tc>
              <w:tc>
                <w:tcPr>
                  <w:tcW w:w="541" w:type="pct"/>
                  <w:vAlign w:val="center"/>
                </w:tcPr>
                <w:p w14:paraId="5FEE89E2">
                  <w:pPr>
                    <w:jc w:val="center"/>
                    <w:rPr>
                      <w:color w:val="EE0000"/>
                      <w:sz w:val="18"/>
                      <w:szCs w:val="18"/>
                      <w:u w:val="single"/>
                    </w:rPr>
                  </w:pPr>
                  <w:r>
                    <w:rPr>
                      <w:color w:val="EE0000"/>
                      <w:sz w:val="18"/>
                      <w:szCs w:val="18"/>
                      <w:u w:val="single"/>
                    </w:rPr>
                    <w:t>5.1E-03</w:t>
                  </w:r>
                </w:p>
              </w:tc>
              <w:tc>
                <w:tcPr>
                  <w:tcW w:w="637" w:type="pct"/>
                  <w:vAlign w:val="center"/>
                </w:tcPr>
                <w:p w14:paraId="5D2C91FE">
                  <w:pPr>
                    <w:jc w:val="center"/>
                    <w:rPr>
                      <w:color w:val="EE0000"/>
                      <w:sz w:val="18"/>
                      <w:szCs w:val="18"/>
                      <w:u w:val="single"/>
                    </w:rPr>
                  </w:pPr>
                  <w:r>
                    <w:rPr>
                      <w:color w:val="EE0000"/>
                      <w:sz w:val="18"/>
                      <w:szCs w:val="18"/>
                      <w:u w:val="single"/>
                    </w:rPr>
                    <w:t>2.6E-02</w:t>
                  </w:r>
                </w:p>
              </w:tc>
            </w:tr>
            <w:tr w14:paraId="48C6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 w:type="pct"/>
                  <w:vMerge w:val="continue"/>
                  <w:vAlign w:val="center"/>
                </w:tcPr>
                <w:p w14:paraId="4E19CE5F">
                  <w:pPr>
                    <w:jc w:val="center"/>
                    <w:rPr>
                      <w:color w:val="EE0000"/>
                      <w:sz w:val="18"/>
                      <w:szCs w:val="18"/>
                      <w:u w:val="single"/>
                    </w:rPr>
                  </w:pPr>
                </w:p>
              </w:tc>
              <w:tc>
                <w:tcPr>
                  <w:tcW w:w="357" w:type="pct"/>
                  <w:vAlign w:val="center"/>
                </w:tcPr>
                <w:p w14:paraId="4F0EFD49">
                  <w:pPr>
                    <w:jc w:val="center"/>
                    <w:rPr>
                      <w:color w:val="EE0000"/>
                      <w:sz w:val="18"/>
                      <w:szCs w:val="18"/>
                      <w:u w:val="single"/>
                    </w:rPr>
                  </w:pPr>
                  <w:r>
                    <w:rPr>
                      <w:bCs/>
                      <w:color w:val="EE0000"/>
                      <w:sz w:val="18"/>
                      <w:szCs w:val="18"/>
                      <w:u w:val="single"/>
                    </w:rPr>
                    <w:t>铜</w:t>
                  </w:r>
                </w:p>
              </w:tc>
              <w:tc>
                <w:tcPr>
                  <w:tcW w:w="553" w:type="pct"/>
                  <w:vMerge w:val="continue"/>
                  <w:vAlign w:val="center"/>
                </w:tcPr>
                <w:p w14:paraId="0D17AD25">
                  <w:pPr>
                    <w:jc w:val="center"/>
                    <w:rPr>
                      <w:color w:val="EE0000"/>
                      <w:sz w:val="18"/>
                      <w:szCs w:val="18"/>
                      <w:u w:val="single"/>
                    </w:rPr>
                  </w:pPr>
                </w:p>
              </w:tc>
              <w:tc>
                <w:tcPr>
                  <w:tcW w:w="476" w:type="pct"/>
                  <w:vAlign w:val="center"/>
                </w:tcPr>
                <w:p w14:paraId="605A0CD3">
                  <w:pPr>
                    <w:jc w:val="center"/>
                    <w:rPr>
                      <w:color w:val="EE0000"/>
                      <w:sz w:val="18"/>
                      <w:szCs w:val="18"/>
                      <w:u w:val="single"/>
                    </w:rPr>
                  </w:pPr>
                  <w:r>
                    <w:rPr>
                      <w:color w:val="EE0000"/>
                      <w:sz w:val="18"/>
                      <w:szCs w:val="18"/>
                      <w:u w:val="single"/>
                    </w:rPr>
                    <w:t>0.047</w:t>
                  </w:r>
                </w:p>
              </w:tc>
              <w:tc>
                <w:tcPr>
                  <w:tcW w:w="569" w:type="pct"/>
                  <w:vAlign w:val="center"/>
                </w:tcPr>
                <w:p w14:paraId="79AAF72E">
                  <w:pPr>
                    <w:jc w:val="center"/>
                    <w:rPr>
                      <w:color w:val="EE0000"/>
                      <w:sz w:val="18"/>
                      <w:szCs w:val="18"/>
                      <w:u w:val="single"/>
                    </w:rPr>
                  </w:pPr>
                  <w:r>
                    <w:rPr>
                      <w:color w:val="EE0000"/>
                      <w:sz w:val="18"/>
                      <w:szCs w:val="18"/>
                      <w:u w:val="single"/>
                    </w:rPr>
                    <w:t xml:space="preserve">0.0059 </w:t>
                  </w:r>
                </w:p>
              </w:tc>
              <w:tc>
                <w:tcPr>
                  <w:tcW w:w="638" w:type="pct"/>
                  <w:vAlign w:val="center"/>
                </w:tcPr>
                <w:p w14:paraId="2ED99B92">
                  <w:pPr>
                    <w:jc w:val="center"/>
                    <w:rPr>
                      <w:color w:val="EE0000"/>
                      <w:sz w:val="18"/>
                      <w:szCs w:val="18"/>
                      <w:u w:val="single"/>
                    </w:rPr>
                  </w:pPr>
                  <w:r>
                    <w:rPr>
                      <w:color w:val="EE0000"/>
                      <w:sz w:val="18"/>
                      <w:szCs w:val="18"/>
                      <w:u w:val="single"/>
                    </w:rPr>
                    <w:t>0.0295</w:t>
                  </w:r>
                </w:p>
              </w:tc>
              <w:tc>
                <w:tcPr>
                  <w:tcW w:w="506" w:type="pct"/>
                  <w:vMerge w:val="continue"/>
                  <w:vAlign w:val="center"/>
                </w:tcPr>
                <w:p w14:paraId="6D31ED41">
                  <w:pPr>
                    <w:jc w:val="center"/>
                    <w:rPr>
                      <w:color w:val="EE0000"/>
                      <w:sz w:val="18"/>
                      <w:szCs w:val="18"/>
                      <w:u w:val="single"/>
                    </w:rPr>
                  </w:pPr>
                </w:p>
              </w:tc>
              <w:tc>
                <w:tcPr>
                  <w:tcW w:w="483" w:type="pct"/>
                  <w:vAlign w:val="center"/>
                </w:tcPr>
                <w:p w14:paraId="2F67BFD0">
                  <w:pPr>
                    <w:jc w:val="center"/>
                    <w:rPr>
                      <w:color w:val="EE0000"/>
                      <w:sz w:val="18"/>
                      <w:szCs w:val="18"/>
                      <w:u w:val="single"/>
                    </w:rPr>
                  </w:pPr>
                  <w:r>
                    <w:rPr>
                      <w:color w:val="EE0000"/>
                      <w:sz w:val="18"/>
                      <w:szCs w:val="18"/>
                      <w:u w:val="single"/>
                    </w:rPr>
                    <w:t>0.0047</w:t>
                  </w:r>
                </w:p>
              </w:tc>
              <w:tc>
                <w:tcPr>
                  <w:tcW w:w="541" w:type="pct"/>
                  <w:vAlign w:val="center"/>
                </w:tcPr>
                <w:p w14:paraId="3A36694D">
                  <w:pPr>
                    <w:jc w:val="center"/>
                    <w:rPr>
                      <w:color w:val="EE0000"/>
                      <w:sz w:val="18"/>
                      <w:szCs w:val="18"/>
                      <w:u w:val="single"/>
                    </w:rPr>
                  </w:pPr>
                  <w:r>
                    <w:rPr>
                      <w:color w:val="EE0000"/>
                      <w:sz w:val="18"/>
                      <w:szCs w:val="18"/>
                      <w:u w:val="single"/>
                    </w:rPr>
                    <w:t>5.9E-04</w:t>
                  </w:r>
                </w:p>
              </w:tc>
              <w:tc>
                <w:tcPr>
                  <w:tcW w:w="637" w:type="pct"/>
                  <w:vAlign w:val="center"/>
                </w:tcPr>
                <w:p w14:paraId="54728789">
                  <w:pPr>
                    <w:jc w:val="center"/>
                    <w:rPr>
                      <w:color w:val="EE0000"/>
                      <w:sz w:val="18"/>
                      <w:szCs w:val="18"/>
                      <w:u w:val="single"/>
                    </w:rPr>
                  </w:pPr>
                  <w:r>
                    <w:rPr>
                      <w:color w:val="EE0000"/>
                      <w:sz w:val="18"/>
                      <w:szCs w:val="18"/>
                      <w:u w:val="single"/>
                    </w:rPr>
                    <w:t>3.0E-03</w:t>
                  </w:r>
                </w:p>
              </w:tc>
            </w:tr>
            <w:tr w14:paraId="53D7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40" w:type="pct"/>
                  <w:vMerge w:val="continue"/>
                  <w:vAlign w:val="center"/>
                </w:tcPr>
                <w:p w14:paraId="0346800D">
                  <w:pPr>
                    <w:jc w:val="center"/>
                    <w:rPr>
                      <w:color w:val="EE0000"/>
                      <w:sz w:val="18"/>
                      <w:szCs w:val="18"/>
                      <w:u w:val="single"/>
                    </w:rPr>
                  </w:pPr>
                </w:p>
              </w:tc>
              <w:tc>
                <w:tcPr>
                  <w:tcW w:w="357" w:type="pct"/>
                  <w:vAlign w:val="center"/>
                </w:tcPr>
                <w:p w14:paraId="42AB1437">
                  <w:pPr>
                    <w:jc w:val="center"/>
                    <w:rPr>
                      <w:color w:val="EE0000"/>
                      <w:sz w:val="18"/>
                      <w:szCs w:val="18"/>
                      <w:u w:val="single"/>
                    </w:rPr>
                  </w:pPr>
                  <w:r>
                    <w:rPr>
                      <w:color w:val="EE0000"/>
                      <w:sz w:val="18"/>
                      <w:szCs w:val="18"/>
                      <w:u w:val="single"/>
                    </w:rPr>
                    <w:t>二噁英类</w:t>
                  </w:r>
                </w:p>
              </w:tc>
              <w:tc>
                <w:tcPr>
                  <w:tcW w:w="553" w:type="pct"/>
                  <w:vMerge w:val="continue"/>
                  <w:vAlign w:val="center"/>
                </w:tcPr>
                <w:p w14:paraId="3833633E">
                  <w:pPr>
                    <w:jc w:val="center"/>
                    <w:rPr>
                      <w:color w:val="EE0000"/>
                      <w:sz w:val="18"/>
                      <w:szCs w:val="18"/>
                      <w:u w:val="single"/>
                    </w:rPr>
                  </w:pPr>
                </w:p>
              </w:tc>
              <w:tc>
                <w:tcPr>
                  <w:tcW w:w="476" w:type="pct"/>
                  <w:vAlign w:val="center"/>
                </w:tcPr>
                <w:p w14:paraId="2673032A">
                  <w:pPr>
                    <w:jc w:val="center"/>
                    <w:rPr>
                      <w:color w:val="EE0000"/>
                      <w:sz w:val="18"/>
                      <w:szCs w:val="18"/>
                      <w:u w:val="single"/>
                    </w:rPr>
                  </w:pPr>
                  <w:r>
                    <w:rPr>
                      <w:color w:val="EE0000"/>
                      <w:sz w:val="18"/>
                      <w:szCs w:val="18"/>
                      <w:u w:val="single"/>
                    </w:rPr>
                    <w:t>0.675</w:t>
                  </w:r>
                </w:p>
                <w:p w14:paraId="254D1A3B">
                  <w:pPr>
                    <w:jc w:val="center"/>
                    <w:rPr>
                      <w:color w:val="EE0000"/>
                      <w:sz w:val="18"/>
                      <w:szCs w:val="18"/>
                      <w:u w:val="single"/>
                    </w:rPr>
                  </w:pPr>
                  <w:r>
                    <w:rPr>
                      <w:color w:val="EE0000"/>
                      <w:sz w:val="18"/>
                      <w:szCs w:val="18"/>
                      <w:u w:val="single"/>
                    </w:rPr>
                    <w:t>mg/a</w:t>
                  </w:r>
                </w:p>
              </w:tc>
              <w:tc>
                <w:tcPr>
                  <w:tcW w:w="569" w:type="pct"/>
                  <w:vAlign w:val="center"/>
                </w:tcPr>
                <w:p w14:paraId="19F41736">
                  <w:pPr>
                    <w:jc w:val="center"/>
                    <w:rPr>
                      <w:color w:val="EE0000"/>
                      <w:sz w:val="18"/>
                      <w:szCs w:val="18"/>
                      <w:u w:val="single"/>
                    </w:rPr>
                  </w:pPr>
                  <w:r>
                    <w:rPr>
                      <w:color w:val="EE0000"/>
                      <w:sz w:val="18"/>
                      <w:szCs w:val="18"/>
                      <w:u w:val="single"/>
                    </w:rPr>
                    <w:t>85.2ng/h</w:t>
                  </w:r>
                </w:p>
              </w:tc>
              <w:tc>
                <w:tcPr>
                  <w:tcW w:w="638" w:type="pct"/>
                  <w:vAlign w:val="center"/>
                </w:tcPr>
                <w:p w14:paraId="442B3AEC">
                  <w:pPr>
                    <w:jc w:val="center"/>
                    <w:rPr>
                      <w:color w:val="EE0000"/>
                      <w:sz w:val="18"/>
                      <w:szCs w:val="18"/>
                      <w:u w:val="single"/>
                    </w:rPr>
                  </w:pPr>
                  <w:r>
                    <w:rPr>
                      <w:color w:val="EE0000"/>
                      <w:sz w:val="18"/>
                      <w:szCs w:val="18"/>
                      <w:u w:val="single"/>
                    </w:rPr>
                    <w:t>0.0004</w:t>
                  </w:r>
                </w:p>
                <w:p w14:paraId="49805470">
                  <w:pPr>
                    <w:jc w:val="center"/>
                    <w:rPr>
                      <w:color w:val="EE0000"/>
                      <w:sz w:val="18"/>
                      <w:szCs w:val="18"/>
                      <w:u w:val="single"/>
                    </w:rPr>
                  </w:pPr>
                  <w:r>
                    <w:rPr>
                      <w:color w:val="EE0000"/>
                      <w:sz w:val="18"/>
                      <w:szCs w:val="18"/>
                      <w:u w:val="single"/>
                    </w:rPr>
                    <w:t>ng/m</w:t>
                  </w:r>
                  <w:r>
                    <w:rPr>
                      <w:color w:val="EE0000"/>
                      <w:sz w:val="18"/>
                      <w:szCs w:val="18"/>
                      <w:u w:val="single"/>
                      <w:vertAlign w:val="superscript"/>
                    </w:rPr>
                    <w:t>3</w:t>
                  </w:r>
                </w:p>
              </w:tc>
              <w:tc>
                <w:tcPr>
                  <w:tcW w:w="506" w:type="pct"/>
                  <w:vMerge w:val="continue"/>
                  <w:vAlign w:val="center"/>
                </w:tcPr>
                <w:p w14:paraId="5B342B52">
                  <w:pPr>
                    <w:jc w:val="center"/>
                    <w:rPr>
                      <w:color w:val="EE0000"/>
                      <w:sz w:val="18"/>
                      <w:szCs w:val="18"/>
                      <w:u w:val="single"/>
                    </w:rPr>
                  </w:pPr>
                </w:p>
              </w:tc>
              <w:tc>
                <w:tcPr>
                  <w:tcW w:w="483" w:type="pct"/>
                  <w:vAlign w:val="center"/>
                </w:tcPr>
                <w:p w14:paraId="7B6ED26F">
                  <w:pPr>
                    <w:jc w:val="center"/>
                    <w:rPr>
                      <w:color w:val="EE0000"/>
                      <w:sz w:val="18"/>
                      <w:szCs w:val="18"/>
                      <w:u w:val="single"/>
                    </w:rPr>
                  </w:pPr>
                  <w:r>
                    <w:rPr>
                      <w:color w:val="EE0000"/>
                      <w:sz w:val="18"/>
                      <w:szCs w:val="18"/>
                      <w:u w:val="single"/>
                    </w:rPr>
                    <w:t>0.675</w:t>
                  </w:r>
                </w:p>
                <w:p w14:paraId="658BF0DF">
                  <w:pPr>
                    <w:jc w:val="center"/>
                    <w:rPr>
                      <w:color w:val="EE0000"/>
                      <w:sz w:val="18"/>
                      <w:szCs w:val="18"/>
                      <w:u w:val="single"/>
                    </w:rPr>
                  </w:pPr>
                  <w:r>
                    <w:rPr>
                      <w:color w:val="EE0000"/>
                      <w:sz w:val="18"/>
                      <w:szCs w:val="18"/>
                      <w:u w:val="single"/>
                    </w:rPr>
                    <w:t>mg/a</w:t>
                  </w:r>
                </w:p>
              </w:tc>
              <w:tc>
                <w:tcPr>
                  <w:tcW w:w="541" w:type="pct"/>
                  <w:vAlign w:val="center"/>
                </w:tcPr>
                <w:p w14:paraId="44A4814A">
                  <w:pPr>
                    <w:jc w:val="center"/>
                    <w:rPr>
                      <w:color w:val="EE0000"/>
                      <w:sz w:val="18"/>
                      <w:szCs w:val="18"/>
                      <w:u w:val="single"/>
                    </w:rPr>
                  </w:pPr>
                  <w:r>
                    <w:rPr>
                      <w:color w:val="EE0000"/>
                      <w:sz w:val="18"/>
                      <w:szCs w:val="18"/>
                      <w:u w:val="single"/>
                    </w:rPr>
                    <w:t>85.2ng/h</w:t>
                  </w:r>
                </w:p>
              </w:tc>
              <w:tc>
                <w:tcPr>
                  <w:tcW w:w="637" w:type="pct"/>
                  <w:vAlign w:val="center"/>
                </w:tcPr>
                <w:p w14:paraId="7600CB65">
                  <w:pPr>
                    <w:jc w:val="center"/>
                    <w:rPr>
                      <w:color w:val="EE0000"/>
                      <w:sz w:val="18"/>
                      <w:szCs w:val="18"/>
                      <w:u w:val="single"/>
                    </w:rPr>
                  </w:pPr>
                  <w:r>
                    <w:rPr>
                      <w:color w:val="EE0000"/>
                      <w:sz w:val="18"/>
                      <w:szCs w:val="18"/>
                      <w:u w:val="single"/>
                    </w:rPr>
                    <w:t>0.0004</w:t>
                  </w:r>
                </w:p>
                <w:p w14:paraId="1787E7E4">
                  <w:pPr>
                    <w:jc w:val="center"/>
                    <w:rPr>
                      <w:color w:val="EE0000"/>
                      <w:sz w:val="18"/>
                      <w:szCs w:val="18"/>
                      <w:u w:val="single"/>
                    </w:rPr>
                  </w:pPr>
                  <w:r>
                    <w:rPr>
                      <w:color w:val="EE0000"/>
                      <w:sz w:val="18"/>
                      <w:szCs w:val="18"/>
                      <w:u w:val="single"/>
                    </w:rPr>
                    <w:t>ng/m</w:t>
                  </w:r>
                  <w:r>
                    <w:rPr>
                      <w:color w:val="EE0000"/>
                      <w:sz w:val="18"/>
                      <w:szCs w:val="18"/>
                      <w:u w:val="single"/>
                      <w:vertAlign w:val="superscript"/>
                    </w:rPr>
                    <w:t>3</w:t>
                  </w:r>
                </w:p>
              </w:tc>
            </w:tr>
            <w:tr w14:paraId="35D4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0" w:type="pct"/>
                  <w:vMerge w:val="continue"/>
                  <w:vAlign w:val="center"/>
                </w:tcPr>
                <w:p w14:paraId="1A29F1CD">
                  <w:pPr>
                    <w:jc w:val="center"/>
                    <w:rPr>
                      <w:color w:val="EE0000"/>
                      <w:sz w:val="18"/>
                      <w:szCs w:val="18"/>
                      <w:u w:val="single"/>
                    </w:rPr>
                  </w:pPr>
                </w:p>
              </w:tc>
              <w:tc>
                <w:tcPr>
                  <w:tcW w:w="357" w:type="pct"/>
                  <w:vAlign w:val="center"/>
                </w:tcPr>
                <w:p w14:paraId="562E072F">
                  <w:pPr>
                    <w:jc w:val="center"/>
                    <w:rPr>
                      <w:color w:val="EE0000"/>
                      <w:sz w:val="18"/>
                      <w:szCs w:val="18"/>
                      <w:u w:val="single"/>
                    </w:rPr>
                  </w:pPr>
                  <w:r>
                    <w:rPr>
                      <w:color w:val="EE0000"/>
                      <w:sz w:val="18"/>
                      <w:szCs w:val="18"/>
                      <w:u w:val="single"/>
                    </w:rPr>
                    <w:t>NH</w:t>
                  </w:r>
                  <w:r>
                    <w:rPr>
                      <w:color w:val="EE0000"/>
                      <w:sz w:val="18"/>
                      <w:szCs w:val="18"/>
                      <w:u w:val="single"/>
                      <w:vertAlign w:val="subscript"/>
                    </w:rPr>
                    <w:t>3</w:t>
                  </w:r>
                </w:p>
              </w:tc>
              <w:tc>
                <w:tcPr>
                  <w:tcW w:w="553" w:type="pct"/>
                  <w:vMerge w:val="continue"/>
                  <w:vAlign w:val="center"/>
                </w:tcPr>
                <w:p w14:paraId="3ED67B61">
                  <w:pPr>
                    <w:jc w:val="center"/>
                    <w:rPr>
                      <w:color w:val="EE0000"/>
                      <w:sz w:val="18"/>
                      <w:szCs w:val="18"/>
                      <w:u w:val="single"/>
                    </w:rPr>
                  </w:pPr>
                </w:p>
              </w:tc>
              <w:tc>
                <w:tcPr>
                  <w:tcW w:w="476" w:type="pct"/>
                  <w:vAlign w:val="center"/>
                </w:tcPr>
                <w:p w14:paraId="454801E5">
                  <w:pPr>
                    <w:jc w:val="center"/>
                    <w:rPr>
                      <w:color w:val="EE0000"/>
                      <w:sz w:val="18"/>
                      <w:szCs w:val="18"/>
                      <w:u w:val="single"/>
                    </w:rPr>
                  </w:pPr>
                  <w:r>
                    <w:rPr>
                      <w:color w:val="EE0000"/>
                      <w:sz w:val="18"/>
                      <w:szCs w:val="18"/>
                      <w:u w:val="single"/>
                    </w:rPr>
                    <w:t>/</w:t>
                  </w:r>
                </w:p>
              </w:tc>
              <w:tc>
                <w:tcPr>
                  <w:tcW w:w="569" w:type="pct"/>
                  <w:vAlign w:val="center"/>
                </w:tcPr>
                <w:p w14:paraId="767D76DE">
                  <w:pPr>
                    <w:jc w:val="center"/>
                    <w:rPr>
                      <w:color w:val="EE0000"/>
                      <w:sz w:val="18"/>
                      <w:szCs w:val="18"/>
                      <w:u w:val="single"/>
                    </w:rPr>
                  </w:pPr>
                  <w:r>
                    <w:rPr>
                      <w:color w:val="EE0000"/>
                      <w:sz w:val="18"/>
                      <w:szCs w:val="18"/>
                      <w:u w:val="single"/>
                    </w:rPr>
                    <w:t>/</w:t>
                  </w:r>
                </w:p>
              </w:tc>
              <w:tc>
                <w:tcPr>
                  <w:tcW w:w="638" w:type="pct"/>
                  <w:vAlign w:val="center"/>
                </w:tcPr>
                <w:p w14:paraId="46462A32">
                  <w:pPr>
                    <w:jc w:val="center"/>
                    <w:rPr>
                      <w:color w:val="EE0000"/>
                      <w:sz w:val="18"/>
                      <w:szCs w:val="18"/>
                      <w:u w:val="single"/>
                    </w:rPr>
                  </w:pPr>
                  <w:r>
                    <w:rPr>
                      <w:color w:val="EE0000"/>
                      <w:sz w:val="18"/>
                      <w:szCs w:val="18"/>
                      <w:u w:val="single"/>
                    </w:rPr>
                    <w:t>/</w:t>
                  </w:r>
                </w:p>
              </w:tc>
              <w:tc>
                <w:tcPr>
                  <w:tcW w:w="506" w:type="pct"/>
                  <w:vMerge w:val="continue"/>
                  <w:vAlign w:val="center"/>
                </w:tcPr>
                <w:p w14:paraId="0CCD8A46">
                  <w:pPr>
                    <w:jc w:val="center"/>
                    <w:rPr>
                      <w:color w:val="EE0000"/>
                      <w:sz w:val="18"/>
                      <w:szCs w:val="18"/>
                      <w:u w:val="single"/>
                    </w:rPr>
                  </w:pPr>
                </w:p>
              </w:tc>
              <w:tc>
                <w:tcPr>
                  <w:tcW w:w="483" w:type="pct"/>
                  <w:vAlign w:val="center"/>
                </w:tcPr>
                <w:p w14:paraId="443E4532">
                  <w:pPr>
                    <w:jc w:val="center"/>
                    <w:rPr>
                      <w:color w:val="EE0000"/>
                      <w:sz w:val="18"/>
                      <w:szCs w:val="18"/>
                      <w:u w:val="single"/>
                    </w:rPr>
                  </w:pPr>
                  <w:r>
                    <w:rPr>
                      <w:color w:val="EE0000"/>
                      <w:sz w:val="18"/>
                      <w:szCs w:val="18"/>
                      <w:u w:val="single"/>
                    </w:rPr>
                    <w:t>6.02</w:t>
                  </w:r>
                </w:p>
              </w:tc>
              <w:tc>
                <w:tcPr>
                  <w:tcW w:w="541" w:type="pct"/>
                  <w:vAlign w:val="center"/>
                </w:tcPr>
                <w:p w14:paraId="23F1579F">
                  <w:pPr>
                    <w:jc w:val="center"/>
                    <w:rPr>
                      <w:color w:val="EE0000"/>
                      <w:sz w:val="18"/>
                      <w:szCs w:val="18"/>
                      <w:u w:val="single"/>
                    </w:rPr>
                  </w:pPr>
                  <w:r>
                    <w:rPr>
                      <w:color w:val="EE0000"/>
                      <w:sz w:val="18"/>
                      <w:szCs w:val="18"/>
                      <w:u w:val="single"/>
                    </w:rPr>
                    <w:t>0.76</w:t>
                  </w:r>
                </w:p>
              </w:tc>
              <w:tc>
                <w:tcPr>
                  <w:tcW w:w="637" w:type="pct"/>
                  <w:vAlign w:val="center"/>
                </w:tcPr>
                <w:p w14:paraId="7CBB3B09">
                  <w:pPr>
                    <w:jc w:val="center"/>
                    <w:rPr>
                      <w:color w:val="EE0000"/>
                      <w:sz w:val="18"/>
                      <w:szCs w:val="18"/>
                      <w:u w:val="single"/>
                    </w:rPr>
                  </w:pPr>
                  <w:r>
                    <w:rPr>
                      <w:color w:val="EE0000"/>
                      <w:sz w:val="18"/>
                      <w:szCs w:val="18"/>
                      <w:u w:val="single"/>
                    </w:rPr>
                    <w:t>3.8</w:t>
                  </w:r>
                </w:p>
              </w:tc>
            </w:tr>
          </w:tbl>
          <w:p w14:paraId="3E9761A7">
            <w:pPr>
              <w:autoSpaceDE w:val="0"/>
              <w:autoSpaceDN w:val="0"/>
              <w:adjustRightInd w:val="0"/>
              <w:spacing w:line="500" w:lineRule="exact"/>
              <w:ind w:firstLine="480" w:firstLineChars="200"/>
              <w:jc w:val="left"/>
              <w:rPr>
                <w:sz w:val="24"/>
              </w:rPr>
            </w:pPr>
            <w:r>
              <w:rPr>
                <w:sz w:val="24"/>
              </w:rPr>
              <w:t>由上表可知，项目窑炉烟气经处理后烟尘、二氧化硫、氮氧化物、氟化物、氨气排放浓度可满足河南省《砖瓦工业大气污染物排放标准》（DB41/2234-2022）中干燥、焙烧工段颗粒物排放限值10mg/m</w:t>
            </w:r>
            <w:r>
              <w:rPr>
                <w:sz w:val="24"/>
                <w:vertAlign w:val="superscript"/>
              </w:rPr>
              <w:t>3</w:t>
            </w:r>
            <w:r>
              <w:rPr>
                <w:sz w:val="24"/>
              </w:rPr>
              <w:t>、二氧化硫排放限值50mg/m</w:t>
            </w:r>
            <w:r>
              <w:rPr>
                <w:sz w:val="24"/>
                <w:vertAlign w:val="superscript"/>
              </w:rPr>
              <w:t>3</w:t>
            </w:r>
            <w:r>
              <w:rPr>
                <w:sz w:val="24"/>
              </w:rPr>
              <w:t>、氮氧化物排放限值100mg/m</w:t>
            </w:r>
            <w:r>
              <w:rPr>
                <w:sz w:val="24"/>
                <w:vertAlign w:val="superscript"/>
              </w:rPr>
              <w:t>3</w:t>
            </w:r>
            <w:r>
              <w:rPr>
                <w:sz w:val="24"/>
              </w:rPr>
              <w:t>、氟化物排放限值3mg/m</w:t>
            </w:r>
            <w:r>
              <w:rPr>
                <w:sz w:val="24"/>
                <w:vertAlign w:val="superscript"/>
              </w:rPr>
              <w:t>3</w:t>
            </w:r>
            <w:r>
              <w:rPr>
                <w:sz w:val="24"/>
              </w:rPr>
              <w:t>、氨气排放限值8mg/m</w:t>
            </w:r>
            <w:r>
              <w:rPr>
                <w:sz w:val="24"/>
                <w:vertAlign w:val="superscript"/>
              </w:rPr>
              <w:t>3</w:t>
            </w:r>
            <w:r>
              <w:rPr>
                <w:sz w:val="24"/>
              </w:rPr>
              <w:t>的要求，同时满足《重污染天气重点行业应急减排措施制定技术指南(2020年修订版)》中“</w:t>
            </w:r>
            <w:r>
              <w:rPr>
                <w:bCs/>
                <w:sz w:val="24"/>
              </w:rPr>
              <w:t>烧结砖瓦制品企业绩效分级指标</w:t>
            </w:r>
            <w:r>
              <w:rPr>
                <w:sz w:val="24"/>
              </w:rPr>
              <w:t>”A 级企业相应排放标准要求（窑炉：PM、SO</w:t>
            </w:r>
            <w:r>
              <w:rPr>
                <w:sz w:val="24"/>
                <w:vertAlign w:val="subscript"/>
              </w:rPr>
              <w:t>2</w:t>
            </w:r>
            <w:r>
              <w:rPr>
                <w:sz w:val="24"/>
              </w:rPr>
              <w:t>、NO</w:t>
            </w:r>
            <w:r>
              <w:rPr>
                <w:sz w:val="24"/>
                <w:vertAlign w:val="subscript"/>
              </w:rPr>
              <w:t>x</w:t>
            </w:r>
            <w:r>
              <w:rPr>
                <w:sz w:val="24"/>
              </w:rPr>
              <w:t>排放浓度分别不高于20mg/m</w:t>
            </w:r>
            <w:r>
              <w:rPr>
                <w:sz w:val="24"/>
                <w:vertAlign w:val="superscript"/>
              </w:rPr>
              <w:t>3</w:t>
            </w:r>
            <w:r>
              <w:rPr>
                <w:sz w:val="24"/>
              </w:rPr>
              <w:t>、50mg/m</w:t>
            </w:r>
            <w:r>
              <w:rPr>
                <w:sz w:val="24"/>
                <w:vertAlign w:val="superscript"/>
              </w:rPr>
              <w:t>3</w:t>
            </w:r>
            <w:r>
              <w:rPr>
                <w:sz w:val="24"/>
              </w:rPr>
              <w:t>、50mg/m</w:t>
            </w:r>
            <w:r>
              <w:rPr>
                <w:sz w:val="24"/>
                <w:vertAlign w:val="superscript"/>
              </w:rPr>
              <w:t>3</w:t>
            </w:r>
            <w:r>
              <w:rPr>
                <w:sz w:val="24"/>
              </w:rPr>
              <w:t>）。二噁英类、HCL、</w:t>
            </w:r>
            <w:r>
              <w:rPr>
                <w:kern w:val="0"/>
                <w:sz w:val="24"/>
              </w:rPr>
              <w:t>铅、汞</w:t>
            </w:r>
            <w:r>
              <w:rPr>
                <w:sz w:val="24"/>
              </w:rPr>
              <w:t>排放浓度满足《城镇污水处理污泥处置 单独焚烧用泥质》(GB/T26402-2009)表3标准限值要</w:t>
            </w:r>
            <w:r>
              <w:rPr>
                <w:kern w:val="0"/>
                <w:sz w:val="24"/>
              </w:rPr>
              <w:t>；</w:t>
            </w:r>
          </w:p>
          <w:p w14:paraId="508A21C7">
            <w:pPr>
              <w:autoSpaceDE w:val="0"/>
              <w:autoSpaceDN w:val="0"/>
              <w:adjustRightInd w:val="0"/>
              <w:spacing w:line="500" w:lineRule="exact"/>
              <w:ind w:firstLine="480" w:firstLineChars="200"/>
              <w:jc w:val="left"/>
              <w:rPr>
                <w:kern w:val="0"/>
                <w:sz w:val="24"/>
              </w:rPr>
            </w:pPr>
            <w:r>
              <w:rPr>
                <w:kern w:val="0"/>
                <w:sz w:val="24"/>
              </w:rPr>
              <w:t>（3）窑炉点火废气</w:t>
            </w:r>
          </w:p>
          <w:p w14:paraId="5E3EAE86">
            <w:pPr>
              <w:adjustRightInd w:val="0"/>
              <w:snapToGrid w:val="0"/>
              <w:spacing w:line="500" w:lineRule="exact"/>
              <w:ind w:firstLine="480" w:firstLineChars="200"/>
              <w:rPr>
                <w:sz w:val="24"/>
              </w:rPr>
            </w:pPr>
            <w:r>
              <w:rPr>
                <w:bCs/>
                <w:kern w:val="0"/>
                <w:sz w:val="24"/>
              </w:rPr>
              <w:t>本项目技改后窑炉点火采用天然气，点火天然气用量为8000m</w:t>
            </w:r>
            <w:r>
              <w:rPr>
                <w:bCs/>
                <w:kern w:val="0"/>
                <w:sz w:val="24"/>
                <w:vertAlign w:val="superscript"/>
              </w:rPr>
              <w:t>3</w:t>
            </w:r>
            <w:r>
              <w:rPr>
                <w:bCs/>
                <w:kern w:val="0"/>
                <w:sz w:val="24"/>
              </w:rPr>
              <w:t>/a。</w:t>
            </w:r>
            <w:r>
              <w:rPr>
                <w:sz w:val="24"/>
              </w:rPr>
              <w:t>窑炉使用天然气引燃产污系数取自《排放源统计调查产排污核算方法和系数手册》—4430 工业锅炉（热力生产和供应行业）产污系数表-燃气工业锅炉产污系数和《排污许可证申请与核发技术规范  锅炉》（HJ953-2018）附录F-锅炉产排污系数，具体见4-9。</w:t>
            </w:r>
          </w:p>
          <w:p w14:paraId="25BA45B7">
            <w:pPr>
              <w:autoSpaceDE w:val="0"/>
              <w:autoSpaceDN w:val="0"/>
              <w:adjustRightInd w:val="0"/>
              <w:spacing w:line="500" w:lineRule="exact"/>
              <w:ind w:firstLine="240" w:firstLineChars="100"/>
              <w:jc w:val="center"/>
              <w:rPr>
                <w:kern w:val="0"/>
                <w:sz w:val="24"/>
              </w:rPr>
            </w:pPr>
            <w:r>
              <w:rPr>
                <w:rFonts w:eastAsia="黑体"/>
                <w:kern w:val="0"/>
                <w:sz w:val="24"/>
              </w:rPr>
              <w:t>表4-9      窑炉点火废气产排情况</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903"/>
              <w:gridCol w:w="1595"/>
              <w:gridCol w:w="2220"/>
            </w:tblGrid>
            <w:tr w14:paraId="5DDD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pct"/>
                  <w:vAlign w:val="center"/>
                </w:tcPr>
                <w:p w14:paraId="76113AB2">
                  <w:pPr>
                    <w:adjustRightInd w:val="0"/>
                    <w:snapToGrid w:val="0"/>
                    <w:spacing w:line="320" w:lineRule="exact"/>
                    <w:jc w:val="center"/>
                    <w:rPr>
                      <w:szCs w:val="21"/>
                    </w:rPr>
                  </w:pPr>
                  <w:bookmarkStart w:id="30" w:name="_Hlk219065520"/>
                  <w:r>
                    <w:rPr>
                      <w:szCs w:val="21"/>
                    </w:rPr>
                    <w:t>污染物指标</w:t>
                  </w:r>
                </w:p>
              </w:tc>
              <w:tc>
                <w:tcPr>
                  <w:tcW w:w="1756" w:type="pct"/>
                  <w:vAlign w:val="center"/>
                </w:tcPr>
                <w:p w14:paraId="0E05A7DE">
                  <w:pPr>
                    <w:adjustRightInd w:val="0"/>
                    <w:snapToGrid w:val="0"/>
                    <w:spacing w:line="320" w:lineRule="exact"/>
                    <w:jc w:val="center"/>
                    <w:rPr>
                      <w:szCs w:val="21"/>
                    </w:rPr>
                  </w:pPr>
                  <w:r>
                    <w:rPr>
                      <w:szCs w:val="21"/>
                    </w:rPr>
                    <w:t>产污系数</w:t>
                  </w:r>
                </w:p>
              </w:tc>
              <w:tc>
                <w:tcPr>
                  <w:tcW w:w="965" w:type="pct"/>
                  <w:vAlign w:val="center"/>
                </w:tcPr>
                <w:p w14:paraId="0A05A407">
                  <w:pPr>
                    <w:adjustRightInd w:val="0"/>
                    <w:snapToGrid w:val="0"/>
                    <w:spacing w:line="320" w:lineRule="exact"/>
                    <w:jc w:val="center"/>
                    <w:rPr>
                      <w:szCs w:val="21"/>
                    </w:rPr>
                  </w:pPr>
                  <w:r>
                    <w:rPr>
                      <w:szCs w:val="21"/>
                    </w:rPr>
                    <w:t>天然气用量</w:t>
                  </w:r>
                </w:p>
              </w:tc>
              <w:tc>
                <w:tcPr>
                  <w:tcW w:w="1343" w:type="pct"/>
                  <w:vAlign w:val="center"/>
                </w:tcPr>
                <w:p w14:paraId="157252BF">
                  <w:pPr>
                    <w:adjustRightInd w:val="0"/>
                    <w:snapToGrid w:val="0"/>
                    <w:spacing w:line="320" w:lineRule="exact"/>
                    <w:jc w:val="center"/>
                    <w:rPr>
                      <w:szCs w:val="21"/>
                    </w:rPr>
                  </w:pPr>
                  <w:r>
                    <w:rPr>
                      <w:szCs w:val="21"/>
                    </w:rPr>
                    <w:t>本工程窑炉产生量</w:t>
                  </w:r>
                </w:p>
              </w:tc>
            </w:tr>
            <w:tr w14:paraId="1E79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36" w:type="pct"/>
                  <w:vAlign w:val="center"/>
                </w:tcPr>
                <w:p w14:paraId="0AAE2DA9">
                  <w:pPr>
                    <w:adjustRightInd w:val="0"/>
                    <w:snapToGrid w:val="0"/>
                    <w:spacing w:line="320" w:lineRule="exact"/>
                    <w:jc w:val="center"/>
                    <w:rPr>
                      <w:szCs w:val="21"/>
                    </w:rPr>
                  </w:pPr>
                  <w:r>
                    <w:rPr>
                      <w:szCs w:val="21"/>
                    </w:rPr>
                    <w:t>颗粒物</w:t>
                  </w:r>
                </w:p>
              </w:tc>
              <w:tc>
                <w:tcPr>
                  <w:tcW w:w="1756" w:type="pct"/>
                  <w:vAlign w:val="center"/>
                </w:tcPr>
                <w:p w14:paraId="571A7440">
                  <w:pPr>
                    <w:adjustRightInd w:val="0"/>
                    <w:snapToGrid w:val="0"/>
                    <w:spacing w:line="320" w:lineRule="exact"/>
                    <w:jc w:val="center"/>
                    <w:rPr>
                      <w:szCs w:val="21"/>
                    </w:rPr>
                  </w:pPr>
                  <w:r>
                    <w:rPr>
                      <w:szCs w:val="21"/>
                    </w:rPr>
                    <w:t>2.86千克/万立方米-燃料</w:t>
                  </w:r>
                </w:p>
              </w:tc>
              <w:tc>
                <w:tcPr>
                  <w:tcW w:w="965" w:type="pct"/>
                  <w:vAlign w:val="center"/>
                </w:tcPr>
                <w:p w14:paraId="2CEA9C82">
                  <w:pPr>
                    <w:adjustRightInd w:val="0"/>
                    <w:snapToGrid w:val="0"/>
                    <w:spacing w:line="320" w:lineRule="exact"/>
                    <w:jc w:val="center"/>
                    <w:rPr>
                      <w:szCs w:val="21"/>
                    </w:rPr>
                  </w:pPr>
                  <w:r>
                    <w:rPr>
                      <w:bCs/>
                      <w:szCs w:val="21"/>
                    </w:rPr>
                    <w:t>8000m</w:t>
                  </w:r>
                  <w:r>
                    <w:rPr>
                      <w:bCs/>
                      <w:szCs w:val="21"/>
                      <w:vertAlign w:val="superscript"/>
                    </w:rPr>
                    <w:t>3</w:t>
                  </w:r>
                  <w:r>
                    <w:rPr>
                      <w:bCs/>
                      <w:szCs w:val="21"/>
                    </w:rPr>
                    <w:t>/a</w:t>
                  </w:r>
                </w:p>
              </w:tc>
              <w:tc>
                <w:tcPr>
                  <w:tcW w:w="1343" w:type="pct"/>
                  <w:vAlign w:val="center"/>
                </w:tcPr>
                <w:p w14:paraId="3F82F839">
                  <w:pPr>
                    <w:adjustRightInd w:val="0"/>
                    <w:snapToGrid w:val="0"/>
                    <w:spacing w:line="320" w:lineRule="exact"/>
                    <w:jc w:val="center"/>
                    <w:rPr>
                      <w:szCs w:val="21"/>
                    </w:rPr>
                  </w:pPr>
                  <w:r>
                    <w:rPr>
                      <w:szCs w:val="21"/>
                    </w:rPr>
                    <w:t>2.288kg/a</w:t>
                  </w:r>
                </w:p>
              </w:tc>
            </w:tr>
            <w:tr w14:paraId="2EC0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pct"/>
                  <w:vAlign w:val="center"/>
                </w:tcPr>
                <w:p w14:paraId="37B42120">
                  <w:pPr>
                    <w:adjustRightInd w:val="0"/>
                    <w:snapToGrid w:val="0"/>
                    <w:spacing w:line="320" w:lineRule="exact"/>
                    <w:jc w:val="center"/>
                    <w:rPr>
                      <w:szCs w:val="21"/>
                    </w:rPr>
                  </w:pPr>
                  <w:r>
                    <w:rPr>
                      <w:szCs w:val="21"/>
                    </w:rPr>
                    <w:t>二氧化硫</w:t>
                  </w:r>
                </w:p>
              </w:tc>
              <w:tc>
                <w:tcPr>
                  <w:tcW w:w="1756" w:type="pct"/>
                  <w:vAlign w:val="center"/>
                </w:tcPr>
                <w:p w14:paraId="14679102">
                  <w:pPr>
                    <w:adjustRightInd w:val="0"/>
                    <w:snapToGrid w:val="0"/>
                    <w:spacing w:line="320" w:lineRule="exact"/>
                    <w:jc w:val="center"/>
                    <w:rPr>
                      <w:szCs w:val="21"/>
                    </w:rPr>
                  </w:pPr>
                  <w:r>
                    <w:rPr>
                      <w:szCs w:val="21"/>
                    </w:rPr>
                    <w:t>0.02S</w:t>
                  </w:r>
                  <w:r>
                    <w:rPr>
                      <w:rFonts w:ascii="Cambria Math" w:hAnsi="Cambria Math" w:cs="Cambria Math"/>
                      <w:szCs w:val="21"/>
                    </w:rPr>
                    <w:t>①</w:t>
                  </w:r>
                  <w:r>
                    <w:rPr>
                      <w:szCs w:val="21"/>
                    </w:rPr>
                    <w:t>千克/万立方米-燃料</w:t>
                  </w:r>
                </w:p>
              </w:tc>
              <w:tc>
                <w:tcPr>
                  <w:tcW w:w="965" w:type="pct"/>
                  <w:vAlign w:val="center"/>
                </w:tcPr>
                <w:p w14:paraId="6432BF09">
                  <w:pPr>
                    <w:adjustRightInd w:val="0"/>
                    <w:snapToGrid w:val="0"/>
                    <w:spacing w:line="320" w:lineRule="exact"/>
                    <w:jc w:val="center"/>
                    <w:rPr>
                      <w:szCs w:val="21"/>
                    </w:rPr>
                  </w:pPr>
                  <w:r>
                    <w:rPr>
                      <w:bCs/>
                      <w:szCs w:val="21"/>
                    </w:rPr>
                    <w:t>8000m</w:t>
                  </w:r>
                  <w:r>
                    <w:rPr>
                      <w:bCs/>
                      <w:szCs w:val="21"/>
                      <w:vertAlign w:val="superscript"/>
                    </w:rPr>
                    <w:t>3</w:t>
                  </w:r>
                  <w:r>
                    <w:rPr>
                      <w:bCs/>
                      <w:szCs w:val="21"/>
                    </w:rPr>
                    <w:t>/a</w:t>
                  </w:r>
                </w:p>
              </w:tc>
              <w:tc>
                <w:tcPr>
                  <w:tcW w:w="1343" w:type="pct"/>
                  <w:vAlign w:val="center"/>
                </w:tcPr>
                <w:p w14:paraId="09D796C9">
                  <w:pPr>
                    <w:adjustRightInd w:val="0"/>
                    <w:snapToGrid w:val="0"/>
                    <w:spacing w:line="320" w:lineRule="exact"/>
                    <w:jc w:val="center"/>
                    <w:rPr>
                      <w:szCs w:val="21"/>
                    </w:rPr>
                  </w:pPr>
                  <w:r>
                    <w:rPr>
                      <w:szCs w:val="21"/>
                    </w:rPr>
                    <w:t>0.32kg/a</w:t>
                  </w:r>
                </w:p>
              </w:tc>
            </w:tr>
            <w:tr w14:paraId="6C1E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pct"/>
                  <w:vAlign w:val="center"/>
                </w:tcPr>
                <w:p w14:paraId="2549CDE0">
                  <w:pPr>
                    <w:adjustRightInd w:val="0"/>
                    <w:snapToGrid w:val="0"/>
                    <w:spacing w:line="320" w:lineRule="exact"/>
                    <w:jc w:val="center"/>
                    <w:rPr>
                      <w:szCs w:val="21"/>
                    </w:rPr>
                  </w:pPr>
                  <w:r>
                    <w:rPr>
                      <w:szCs w:val="21"/>
                    </w:rPr>
                    <w:t>氮氧化物</w:t>
                  </w:r>
                </w:p>
              </w:tc>
              <w:tc>
                <w:tcPr>
                  <w:tcW w:w="1756" w:type="pct"/>
                  <w:vAlign w:val="center"/>
                </w:tcPr>
                <w:p w14:paraId="1B6BDBF9">
                  <w:pPr>
                    <w:adjustRightInd w:val="0"/>
                    <w:snapToGrid w:val="0"/>
                    <w:spacing w:line="320" w:lineRule="exact"/>
                    <w:jc w:val="center"/>
                    <w:rPr>
                      <w:szCs w:val="21"/>
                    </w:rPr>
                  </w:pPr>
                  <w:r>
                    <w:rPr>
                      <w:szCs w:val="21"/>
                    </w:rPr>
                    <w:t>18.71 千克/万立方米-燃料</w:t>
                  </w:r>
                </w:p>
              </w:tc>
              <w:tc>
                <w:tcPr>
                  <w:tcW w:w="965" w:type="pct"/>
                  <w:vAlign w:val="center"/>
                </w:tcPr>
                <w:p w14:paraId="13E2B1E2">
                  <w:pPr>
                    <w:adjustRightInd w:val="0"/>
                    <w:snapToGrid w:val="0"/>
                    <w:spacing w:line="320" w:lineRule="exact"/>
                    <w:jc w:val="center"/>
                    <w:rPr>
                      <w:szCs w:val="21"/>
                    </w:rPr>
                  </w:pPr>
                  <w:r>
                    <w:rPr>
                      <w:bCs/>
                      <w:szCs w:val="21"/>
                    </w:rPr>
                    <w:t>8000m</w:t>
                  </w:r>
                  <w:r>
                    <w:rPr>
                      <w:bCs/>
                      <w:szCs w:val="21"/>
                      <w:vertAlign w:val="superscript"/>
                    </w:rPr>
                    <w:t>3</w:t>
                  </w:r>
                  <w:r>
                    <w:rPr>
                      <w:bCs/>
                      <w:szCs w:val="21"/>
                    </w:rPr>
                    <w:t>/a</w:t>
                  </w:r>
                </w:p>
              </w:tc>
              <w:tc>
                <w:tcPr>
                  <w:tcW w:w="1343" w:type="pct"/>
                  <w:vAlign w:val="center"/>
                </w:tcPr>
                <w:p w14:paraId="7ACED715">
                  <w:pPr>
                    <w:adjustRightInd w:val="0"/>
                    <w:snapToGrid w:val="0"/>
                    <w:spacing w:line="320" w:lineRule="exact"/>
                    <w:jc w:val="center"/>
                    <w:rPr>
                      <w:szCs w:val="21"/>
                    </w:rPr>
                  </w:pPr>
                  <w:r>
                    <w:rPr>
                      <w:szCs w:val="21"/>
                    </w:rPr>
                    <w:t>14.968kg/a</w:t>
                  </w:r>
                </w:p>
              </w:tc>
            </w:tr>
            <w:bookmarkEnd w:id="30"/>
          </w:tbl>
          <w:p w14:paraId="5D7F3629">
            <w:pPr>
              <w:adjustRightInd w:val="0"/>
              <w:snapToGrid w:val="0"/>
              <w:rPr>
                <w:kern w:val="0"/>
                <w:szCs w:val="21"/>
              </w:rPr>
            </w:pPr>
            <w:r>
              <w:rPr>
                <w:b/>
                <w:bCs/>
                <w:kern w:val="0"/>
                <w:szCs w:val="21"/>
              </w:rPr>
              <w:t>注：</w:t>
            </w:r>
            <w:r>
              <w:rPr>
                <w:kern w:val="0"/>
                <w:szCs w:val="21"/>
              </w:rPr>
              <w:t>液化天然气含硫量取《液化天然气》（GB/T38753-2020）中总硫含量限值20mg/m</w:t>
            </w:r>
            <w:r>
              <w:rPr>
                <w:kern w:val="0"/>
                <w:szCs w:val="21"/>
                <w:vertAlign w:val="superscript"/>
              </w:rPr>
              <w:t>3</w:t>
            </w:r>
            <w:r>
              <w:rPr>
                <w:kern w:val="0"/>
                <w:szCs w:val="21"/>
              </w:rPr>
              <w:t>。</w:t>
            </w:r>
          </w:p>
          <w:p w14:paraId="744DA007">
            <w:pPr>
              <w:autoSpaceDE w:val="0"/>
              <w:autoSpaceDN w:val="0"/>
              <w:adjustRightInd w:val="0"/>
              <w:spacing w:line="500" w:lineRule="exact"/>
              <w:ind w:firstLine="480" w:firstLineChars="200"/>
              <w:jc w:val="left"/>
              <w:rPr>
                <w:kern w:val="0"/>
                <w:sz w:val="24"/>
              </w:rPr>
            </w:pPr>
            <w:r>
              <w:rPr>
                <w:kern w:val="0"/>
                <w:sz w:val="24"/>
              </w:rPr>
              <w:t>由上表可知，本项目营运后窑炉点火以天然气为燃料，因天然气用量较少，燃烧废气颗粒物、二氧化硫、氮氧化物产生本身较小，经脱硝装置和末端脱硫除尘装置处理后，颗粒物、二氧化硫、NO</w:t>
            </w:r>
            <w:r>
              <w:rPr>
                <w:kern w:val="0"/>
                <w:sz w:val="24"/>
                <w:vertAlign w:val="subscript"/>
              </w:rPr>
              <w:t>x</w:t>
            </w:r>
            <w:r>
              <w:rPr>
                <w:kern w:val="0"/>
                <w:sz w:val="24"/>
              </w:rPr>
              <w:t xml:space="preserve"> 排放量进一步降低，本次评价不再对窑炉点火废气颗粒物、二氧化硫、NO</w:t>
            </w:r>
            <w:r>
              <w:rPr>
                <w:kern w:val="0"/>
                <w:sz w:val="24"/>
                <w:vertAlign w:val="subscript"/>
              </w:rPr>
              <w:t>x</w:t>
            </w:r>
            <w:r>
              <w:rPr>
                <w:kern w:val="0"/>
                <w:sz w:val="24"/>
              </w:rPr>
              <w:t xml:space="preserve"> 进行排放量计算。</w:t>
            </w:r>
          </w:p>
          <w:p w14:paraId="61012447">
            <w:pPr>
              <w:autoSpaceDE w:val="0"/>
              <w:autoSpaceDN w:val="0"/>
              <w:adjustRightInd w:val="0"/>
              <w:spacing w:line="500" w:lineRule="exact"/>
              <w:ind w:firstLine="480" w:firstLineChars="200"/>
              <w:jc w:val="left"/>
              <w:rPr>
                <w:kern w:val="0"/>
                <w:sz w:val="24"/>
              </w:rPr>
            </w:pPr>
            <w:r>
              <w:rPr>
                <w:kern w:val="0"/>
                <w:sz w:val="24"/>
              </w:rPr>
              <w:t>（4）污泥储存恶臭</w:t>
            </w:r>
          </w:p>
          <w:p w14:paraId="03D99BD4">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本项目污泥库臭味来源于污泥中腐烂有机质组分的发酵产生的异味组分，如硫化氢、氨等;恶臭组分、强度等与污水处理站的污泥浓缩池、污泥脱水间相类似。因此类比污水处理厂的恶臭污染源相关数据进行估算污泥棚恶臭具有可行性。</w:t>
            </w:r>
          </w:p>
          <w:p w14:paraId="4E3BB3EF">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根据王建明《污水处理厂恶臭污染物控制技术的研究》、席劲瑛《城市污水处理主要恶臭源的排放规律研究》、李居哲《污水处理厂恶臭污染状况分析与评价》中通过对污水处理厂中恶臭污染物中成分及产生浓度进行测定，恶臭污染物中各成分浓度如下表。</w:t>
            </w:r>
          </w:p>
          <w:p w14:paraId="6372C033">
            <w:pPr>
              <w:autoSpaceDE w:val="0"/>
              <w:autoSpaceDN w:val="0"/>
              <w:adjustRightInd w:val="0"/>
              <w:spacing w:line="500" w:lineRule="exact"/>
              <w:ind w:firstLine="240" w:firstLineChars="100"/>
              <w:jc w:val="center"/>
              <w:rPr>
                <w:color w:val="EE0000"/>
                <w:kern w:val="0"/>
                <w:sz w:val="24"/>
                <w:u w:val="single"/>
              </w:rPr>
            </w:pPr>
            <w:r>
              <w:rPr>
                <w:rFonts w:eastAsia="黑体"/>
                <w:color w:val="EE0000"/>
                <w:kern w:val="0"/>
                <w:sz w:val="24"/>
                <w:u w:val="single"/>
              </w:rPr>
              <w:t>表4-10      恶臭污染物浓度</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3666"/>
              <w:gridCol w:w="2483"/>
            </w:tblGrid>
            <w:tr w14:paraId="7695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0" w:type="pct"/>
                  <w:vAlign w:val="center"/>
                </w:tcPr>
                <w:p w14:paraId="44443F57">
                  <w:pPr>
                    <w:adjustRightInd w:val="0"/>
                    <w:snapToGrid w:val="0"/>
                    <w:spacing w:line="320" w:lineRule="exact"/>
                    <w:jc w:val="center"/>
                    <w:rPr>
                      <w:color w:val="EE0000"/>
                      <w:szCs w:val="21"/>
                      <w:u w:val="single"/>
                    </w:rPr>
                  </w:pPr>
                  <w:bookmarkStart w:id="31" w:name="_Hlk219065944"/>
                  <w:r>
                    <w:rPr>
                      <w:color w:val="EE0000"/>
                      <w:szCs w:val="21"/>
                      <w:u w:val="single"/>
                    </w:rPr>
                    <w:t>污染物质</w:t>
                  </w:r>
                </w:p>
              </w:tc>
              <w:tc>
                <w:tcPr>
                  <w:tcW w:w="2218" w:type="pct"/>
                  <w:vAlign w:val="center"/>
                </w:tcPr>
                <w:p w14:paraId="093ECC25">
                  <w:pPr>
                    <w:adjustRightInd w:val="0"/>
                    <w:snapToGrid w:val="0"/>
                    <w:spacing w:line="320" w:lineRule="exact"/>
                    <w:jc w:val="center"/>
                    <w:rPr>
                      <w:color w:val="EE0000"/>
                      <w:szCs w:val="21"/>
                      <w:u w:val="single"/>
                    </w:rPr>
                  </w:pPr>
                  <w:r>
                    <w:rPr>
                      <w:color w:val="EE0000"/>
                      <w:szCs w:val="21"/>
                      <w:u w:val="single"/>
                    </w:rPr>
                    <w:t>浓度范围（mg/m</w:t>
                  </w:r>
                  <w:r>
                    <w:rPr>
                      <w:color w:val="EE0000"/>
                      <w:szCs w:val="21"/>
                      <w:u w:val="single"/>
                      <w:vertAlign w:val="superscript"/>
                    </w:rPr>
                    <w:t>3</w:t>
                  </w:r>
                  <w:r>
                    <w:rPr>
                      <w:color w:val="EE0000"/>
                      <w:szCs w:val="21"/>
                      <w:u w:val="single"/>
                    </w:rPr>
                    <w:t>）</w:t>
                  </w:r>
                </w:p>
              </w:tc>
              <w:tc>
                <w:tcPr>
                  <w:tcW w:w="1502" w:type="pct"/>
                  <w:vAlign w:val="center"/>
                </w:tcPr>
                <w:p w14:paraId="492A4B42">
                  <w:pPr>
                    <w:adjustRightInd w:val="0"/>
                    <w:snapToGrid w:val="0"/>
                    <w:spacing w:line="320" w:lineRule="exact"/>
                    <w:jc w:val="center"/>
                    <w:rPr>
                      <w:color w:val="EE0000"/>
                      <w:szCs w:val="21"/>
                      <w:u w:val="single"/>
                    </w:rPr>
                  </w:pPr>
                  <w:r>
                    <w:rPr>
                      <w:color w:val="EE0000"/>
                      <w:szCs w:val="21"/>
                      <w:u w:val="single"/>
                    </w:rPr>
                    <w:t>平均值（mg/m</w:t>
                  </w:r>
                  <w:r>
                    <w:rPr>
                      <w:color w:val="EE0000"/>
                      <w:szCs w:val="21"/>
                      <w:u w:val="single"/>
                      <w:vertAlign w:val="superscript"/>
                    </w:rPr>
                    <w:t>3</w:t>
                  </w:r>
                  <w:r>
                    <w:rPr>
                      <w:color w:val="EE0000"/>
                      <w:szCs w:val="21"/>
                      <w:u w:val="single"/>
                    </w:rPr>
                    <w:t>）</w:t>
                  </w:r>
                </w:p>
              </w:tc>
            </w:tr>
            <w:tr w14:paraId="0F96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80" w:type="pct"/>
                  <w:vAlign w:val="center"/>
                </w:tcPr>
                <w:p w14:paraId="720DFB3C">
                  <w:pPr>
                    <w:adjustRightInd w:val="0"/>
                    <w:snapToGrid w:val="0"/>
                    <w:spacing w:line="320" w:lineRule="exact"/>
                    <w:jc w:val="center"/>
                    <w:rPr>
                      <w:color w:val="EE0000"/>
                      <w:szCs w:val="21"/>
                      <w:u w:val="single"/>
                    </w:rPr>
                  </w:pPr>
                  <w:r>
                    <w:rPr>
                      <w:color w:val="EE0000"/>
                      <w:szCs w:val="21"/>
                      <w:u w:val="single"/>
                    </w:rPr>
                    <w:t>硫化氢</w:t>
                  </w:r>
                </w:p>
              </w:tc>
              <w:tc>
                <w:tcPr>
                  <w:tcW w:w="2218" w:type="pct"/>
                  <w:vAlign w:val="center"/>
                </w:tcPr>
                <w:p w14:paraId="1D6C1FD0">
                  <w:pPr>
                    <w:adjustRightInd w:val="0"/>
                    <w:snapToGrid w:val="0"/>
                    <w:spacing w:line="320" w:lineRule="exact"/>
                    <w:jc w:val="center"/>
                    <w:rPr>
                      <w:color w:val="EE0000"/>
                      <w:szCs w:val="21"/>
                      <w:u w:val="single"/>
                    </w:rPr>
                  </w:pPr>
                  <w:r>
                    <w:rPr>
                      <w:color w:val="EE0000"/>
                      <w:szCs w:val="21"/>
                      <w:u w:val="single"/>
                    </w:rPr>
                    <w:t>0.003~0.015</w:t>
                  </w:r>
                </w:p>
              </w:tc>
              <w:tc>
                <w:tcPr>
                  <w:tcW w:w="1502" w:type="pct"/>
                  <w:vAlign w:val="center"/>
                </w:tcPr>
                <w:p w14:paraId="580D4182">
                  <w:pPr>
                    <w:adjustRightInd w:val="0"/>
                    <w:snapToGrid w:val="0"/>
                    <w:spacing w:line="320" w:lineRule="exact"/>
                    <w:jc w:val="center"/>
                    <w:rPr>
                      <w:color w:val="EE0000"/>
                      <w:szCs w:val="21"/>
                      <w:u w:val="single"/>
                    </w:rPr>
                  </w:pPr>
                  <w:r>
                    <w:rPr>
                      <w:color w:val="EE0000"/>
                      <w:szCs w:val="21"/>
                      <w:u w:val="single"/>
                    </w:rPr>
                    <w:t>0.005</w:t>
                  </w:r>
                </w:p>
              </w:tc>
            </w:tr>
            <w:tr w14:paraId="7B15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80" w:type="pct"/>
                  <w:vAlign w:val="center"/>
                </w:tcPr>
                <w:p w14:paraId="2D4162CE">
                  <w:pPr>
                    <w:adjustRightInd w:val="0"/>
                    <w:snapToGrid w:val="0"/>
                    <w:spacing w:line="320" w:lineRule="exact"/>
                    <w:jc w:val="center"/>
                    <w:rPr>
                      <w:color w:val="EE0000"/>
                      <w:szCs w:val="21"/>
                      <w:u w:val="single"/>
                    </w:rPr>
                  </w:pPr>
                  <w:r>
                    <w:rPr>
                      <w:color w:val="EE0000"/>
                      <w:szCs w:val="21"/>
                      <w:u w:val="single"/>
                    </w:rPr>
                    <w:t>氨</w:t>
                  </w:r>
                </w:p>
              </w:tc>
              <w:tc>
                <w:tcPr>
                  <w:tcW w:w="2218" w:type="pct"/>
                  <w:vAlign w:val="center"/>
                </w:tcPr>
                <w:p w14:paraId="40784AF5">
                  <w:pPr>
                    <w:adjustRightInd w:val="0"/>
                    <w:snapToGrid w:val="0"/>
                    <w:spacing w:line="320" w:lineRule="exact"/>
                    <w:jc w:val="center"/>
                    <w:rPr>
                      <w:color w:val="EE0000"/>
                      <w:szCs w:val="21"/>
                      <w:u w:val="single"/>
                    </w:rPr>
                  </w:pPr>
                  <w:r>
                    <w:rPr>
                      <w:color w:val="EE0000"/>
                      <w:szCs w:val="21"/>
                      <w:u w:val="single"/>
                    </w:rPr>
                    <w:t>0.04~0.12</w:t>
                  </w:r>
                </w:p>
              </w:tc>
              <w:tc>
                <w:tcPr>
                  <w:tcW w:w="1502" w:type="pct"/>
                  <w:vAlign w:val="center"/>
                </w:tcPr>
                <w:p w14:paraId="61E075D7">
                  <w:pPr>
                    <w:adjustRightInd w:val="0"/>
                    <w:snapToGrid w:val="0"/>
                    <w:spacing w:line="320" w:lineRule="exact"/>
                    <w:jc w:val="center"/>
                    <w:rPr>
                      <w:color w:val="EE0000"/>
                      <w:szCs w:val="21"/>
                      <w:u w:val="single"/>
                    </w:rPr>
                  </w:pPr>
                  <w:r>
                    <w:rPr>
                      <w:color w:val="EE0000"/>
                      <w:szCs w:val="21"/>
                      <w:u w:val="single"/>
                    </w:rPr>
                    <w:t>0.072</w:t>
                  </w:r>
                </w:p>
              </w:tc>
            </w:tr>
            <w:bookmarkEnd w:id="31"/>
          </w:tbl>
          <w:p w14:paraId="0600BC19">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恶臭源污染物排放量可按下式估算(曾向东等《炼油厂恶臭污染物排放量的简易算法》)：</w:t>
            </w:r>
          </w:p>
          <w:p w14:paraId="653CC201">
            <w:pPr>
              <w:autoSpaceDE w:val="0"/>
              <w:autoSpaceDN w:val="0"/>
              <w:adjustRightInd w:val="0"/>
              <w:spacing w:line="500" w:lineRule="exact"/>
              <w:ind w:firstLine="480" w:firstLineChars="200"/>
              <w:jc w:val="center"/>
              <w:rPr>
                <w:color w:val="EE0000"/>
                <w:kern w:val="0"/>
                <w:sz w:val="24"/>
                <w:u w:val="single"/>
              </w:rPr>
            </w:pPr>
            <w:r>
              <w:rPr>
                <w:color w:val="EE0000"/>
                <w:kern w:val="0"/>
                <w:sz w:val="24"/>
                <w:u w:val="single"/>
              </w:rPr>
              <w:t>G=C×U×Q</w:t>
            </w:r>
            <w:r>
              <w:rPr>
                <w:color w:val="EE0000"/>
                <w:kern w:val="0"/>
                <w:sz w:val="24"/>
                <w:u w:val="single"/>
                <w:vertAlign w:val="subscript"/>
              </w:rPr>
              <w:t>r</w:t>
            </w:r>
          </w:p>
          <w:p w14:paraId="66EB7FAC">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上式中，G—面源污染源恶臭物质排放量，kg/h；</w:t>
            </w:r>
          </w:p>
          <w:p w14:paraId="738DC51E">
            <w:pPr>
              <w:autoSpaceDE w:val="0"/>
              <w:autoSpaceDN w:val="0"/>
              <w:adjustRightInd w:val="0"/>
              <w:spacing w:line="500" w:lineRule="exact"/>
              <w:ind w:firstLine="1440" w:firstLineChars="600"/>
              <w:jc w:val="left"/>
              <w:rPr>
                <w:color w:val="EE0000"/>
                <w:kern w:val="0"/>
                <w:sz w:val="24"/>
                <w:u w:val="single"/>
              </w:rPr>
            </w:pPr>
            <w:r>
              <w:rPr>
                <w:color w:val="EE0000"/>
                <w:kern w:val="0"/>
                <w:sz w:val="24"/>
                <w:u w:val="single"/>
              </w:rPr>
              <w:t>C—面源污染源恶臭物质实测浓度，mg/m</w:t>
            </w:r>
            <w:r>
              <w:rPr>
                <w:color w:val="EE0000"/>
                <w:kern w:val="0"/>
                <w:sz w:val="24"/>
                <w:u w:val="single"/>
                <w:vertAlign w:val="superscript"/>
              </w:rPr>
              <w:t>3</w:t>
            </w:r>
            <w:r>
              <w:rPr>
                <w:color w:val="EE0000"/>
                <w:kern w:val="0"/>
                <w:sz w:val="24"/>
                <w:u w:val="single"/>
              </w:rPr>
              <w:t>;(按上表平均值)</w:t>
            </w:r>
          </w:p>
          <w:p w14:paraId="20D015B9">
            <w:pPr>
              <w:autoSpaceDE w:val="0"/>
              <w:autoSpaceDN w:val="0"/>
              <w:adjustRightInd w:val="0"/>
              <w:spacing w:line="500" w:lineRule="exact"/>
              <w:ind w:firstLine="1440" w:firstLineChars="600"/>
              <w:jc w:val="left"/>
              <w:rPr>
                <w:color w:val="EE0000"/>
                <w:kern w:val="0"/>
                <w:sz w:val="24"/>
                <w:u w:val="single"/>
              </w:rPr>
            </w:pPr>
            <w:r>
              <w:rPr>
                <w:color w:val="EE0000"/>
                <w:kern w:val="0"/>
                <w:sz w:val="24"/>
                <w:u w:val="single"/>
              </w:rPr>
              <w:t>U—当地平均风速，2.2m/s；</w:t>
            </w:r>
          </w:p>
          <w:p w14:paraId="69DE1D91">
            <w:pPr>
              <w:autoSpaceDE w:val="0"/>
              <w:autoSpaceDN w:val="0"/>
              <w:adjustRightInd w:val="0"/>
              <w:spacing w:line="500" w:lineRule="exact"/>
              <w:ind w:firstLine="1440" w:firstLineChars="600"/>
              <w:jc w:val="left"/>
              <w:rPr>
                <w:color w:val="EE0000"/>
                <w:kern w:val="0"/>
                <w:sz w:val="24"/>
                <w:u w:val="single"/>
              </w:rPr>
            </w:pPr>
            <w:r>
              <w:rPr>
                <w:color w:val="EE0000"/>
                <w:kern w:val="0"/>
                <w:sz w:val="24"/>
                <w:u w:val="single"/>
              </w:rPr>
              <w:t>Q</w:t>
            </w:r>
            <w:r>
              <w:rPr>
                <w:color w:val="EE0000"/>
                <w:kern w:val="0"/>
                <w:sz w:val="24"/>
                <w:u w:val="single"/>
                <w:vertAlign w:val="subscript"/>
              </w:rPr>
              <w:t>r</w:t>
            </w:r>
            <w:r>
              <w:rPr>
                <w:color w:val="EE0000"/>
                <w:kern w:val="0"/>
                <w:sz w:val="24"/>
                <w:u w:val="single"/>
              </w:rPr>
              <w:t>—面源污染源强计算参数，取值0.2（本项目污泥库面积400m</w:t>
            </w:r>
            <w:r>
              <w:rPr>
                <w:color w:val="EE0000"/>
                <w:kern w:val="0"/>
                <w:sz w:val="24"/>
                <w:u w:val="single"/>
                <w:vertAlign w:val="superscript"/>
              </w:rPr>
              <w:t>2</w:t>
            </w:r>
            <w:r>
              <w:rPr>
                <w:color w:val="EE0000"/>
                <w:kern w:val="0"/>
                <w:sz w:val="24"/>
                <w:u w:val="single"/>
              </w:rPr>
              <w:t>，面源等效半径11.27m），取值方法如下：</w:t>
            </w:r>
          </w:p>
          <w:p w14:paraId="092128D5">
            <w:pPr>
              <w:autoSpaceDE w:val="0"/>
              <w:autoSpaceDN w:val="0"/>
              <w:adjustRightInd w:val="0"/>
              <w:spacing w:line="500" w:lineRule="exact"/>
              <w:ind w:firstLine="240" w:firstLineChars="100"/>
              <w:jc w:val="center"/>
              <w:rPr>
                <w:color w:val="EE0000"/>
                <w:kern w:val="0"/>
                <w:sz w:val="24"/>
                <w:u w:val="single"/>
              </w:rPr>
            </w:pPr>
            <w:r>
              <w:rPr>
                <w:rFonts w:eastAsia="黑体"/>
                <w:color w:val="EE0000"/>
                <w:kern w:val="0"/>
                <w:sz w:val="24"/>
                <w:u w:val="single"/>
              </w:rPr>
              <w:t>表4-11      面源污染源强计算参数取值方法</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70"/>
              <w:gridCol w:w="1491"/>
              <w:gridCol w:w="1713"/>
              <w:gridCol w:w="1312"/>
              <w:gridCol w:w="1213"/>
            </w:tblGrid>
            <w:tr w14:paraId="7E02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65" w:type="pct"/>
                  <w:tcBorders>
                    <w:right w:val="single" w:color="000000" w:sz="4" w:space="0"/>
                  </w:tcBorders>
                  <w:vAlign w:val="center"/>
                </w:tcPr>
                <w:p w14:paraId="58282F18">
                  <w:pPr>
                    <w:adjustRightInd w:val="0"/>
                    <w:snapToGrid w:val="0"/>
                    <w:spacing w:line="320" w:lineRule="exact"/>
                    <w:jc w:val="center"/>
                    <w:rPr>
                      <w:color w:val="EE0000"/>
                      <w:szCs w:val="21"/>
                      <w:u w:val="single"/>
                    </w:rPr>
                  </w:pPr>
                  <w:r>
                    <w:rPr>
                      <w:color w:val="EE0000"/>
                      <w:szCs w:val="21"/>
                      <w:u w:val="single"/>
                    </w:rPr>
                    <w:t>面源等效半径Ra(m)</w:t>
                  </w:r>
                </w:p>
              </w:tc>
              <w:tc>
                <w:tcPr>
                  <w:tcW w:w="768" w:type="pct"/>
                  <w:tcBorders>
                    <w:left w:val="single" w:color="000000" w:sz="4" w:space="0"/>
                  </w:tcBorders>
                  <w:vAlign w:val="center"/>
                </w:tcPr>
                <w:p w14:paraId="18A3A302">
                  <w:pPr>
                    <w:adjustRightInd w:val="0"/>
                    <w:snapToGrid w:val="0"/>
                    <w:spacing w:line="320" w:lineRule="exact"/>
                    <w:jc w:val="center"/>
                    <w:rPr>
                      <w:color w:val="EE0000"/>
                      <w:szCs w:val="21"/>
                      <w:u w:val="single"/>
                    </w:rPr>
                  </w:pPr>
                  <w:r>
                    <w:rPr>
                      <w:color w:val="EE0000"/>
                      <w:szCs w:val="21"/>
                      <w:u w:val="single"/>
                    </w:rPr>
                    <w:t>≤20</w:t>
                  </w:r>
                </w:p>
              </w:tc>
              <w:tc>
                <w:tcPr>
                  <w:tcW w:w="902" w:type="pct"/>
                  <w:tcBorders>
                    <w:right w:val="single" w:color="000000" w:sz="4" w:space="0"/>
                  </w:tcBorders>
                  <w:vAlign w:val="center"/>
                </w:tcPr>
                <w:p w14:paraId="58B13DCB">
                  <w:pPr>
                    <w:adjustRightInd w:val="0"/>
                    <w:snapToGrid w:val="0"/>
                    <w:spacing w:line="320" w:lineRule="exact"/>
                    <w:jc w:val="center"/>
                    <w:rPr>
                      <w:color w:val="EE0000"/>
                      <w:szCs w:val="21"/>
                      <w:u w:val="single"/>
                    </w:rPr>
                  </w:pPr>
                  <w:r>
                    <w:rPr>
                      <w:color w:val="EE0000"/>
                      <w:szCs w:val="21"/>
                      <w:u w:val="single"/>
                    </w:rPr>
                    <w:t>21~40</w:t>
                  </w:r>
                </w:p>
              </w:tc>
              <w:tc>
                <w:tcPr>
                  <w:tcW w:w="1036" w:type="pct"/>
                  <w:tcBorders>
                    <w:left w:val="single" w:color="000000" w:sz="4" w:space="0"/>
                  </w:tcBorders>
                  <w:vAlign w:val="center"/>
                </w:tcPr>
                <w:p w14:paraId="229C8C2F">
                  <w:pPr>
                    <w:adjustRightInd w:val="0"/>
                    <w:snapToGrid w:val="0"/>
                    <w:spacing w:line="320" w:lineRule="exact"/>
                    <w:jc w:val="center"/>
                    <w:rPr>
                      <w:color w:val="EE0000"/>
                      <w:szCs w:val="21"/>
                      <w:u w:val="single"/>
                    </w:rPr>
                  </w:pPr>
                  <w:r>
                    <w:rPr>
                      <w:color w:val="EE0000"/>
                      <w:szCs w:val="21"/>
                      <w:u w:val="single"/>
                    </w:rPr>
                    <w:t>41~60</w:t>
                  </w:r>
                </w:p>
              </w:tc>
              <w:tc>
                <w:tcPr>
                  <w:tcW w:w="794" w:type="pct"/>
                  <w:tcBorders>
                    <w:right w:val="single" w:color="000000" w:sz="4" w:space="0"/>
                  </w:tcBorders>
                  <w:vAlign w:val="center"/>
                </w:tcPr>
                <w:p w14:paraId="6ABAAF14">
                  <w:pPr>
                    <w:adjustRightInd w:val="0"/>
                    <w:snapToGrid w:val="0"/>
                    <w:spacing w:line="320" w:lineRule="exact"/>
                    <w:jc w:val="center"/>
                    <w:rPr>
                      <w:color w:val="EE0000"/>
                      <w:szCs w:val="21"/>
                      <w:u w:val="single"/>
                    </w:rPr>
                  </w:pPr>
                  <w:r>
                    <w:rPr>
                      <w:color w:val="EE0000"/>
                      <w:szCs w:val="21"/>
                      <w:u w:val="single"/>
                    </w:rPr>
                    <w:t>61~80</w:t>
                  </w:r>
                </w:p>
              </w:tc>
              <w:tc>
                <w:tcPr>
                  <w:tcW w:w="734" w:type="pct"/>
                  <w:tcBorders>
                    <w:left w:val="single" w:color="000000" w:sz="4" w:space="0"/>
                  </w:tcBorders>
                  <w:vAlign w:val="center"/>
                </w:tcPr>
                <w:p w14:paraId="16DB8176">
                  <w:pPr>
                    <w:adjustRightInd w:val="0"/>
                    <w:snapToGrid w:val="0"/>
                    <w:spacing w:line="320" w:lineRule="exact"/>
                    <w:jc w:val="center"/>
                    <w:rPr>
                      <w:color w:val="EE0000"/>
                      <w:szCs w:val="21"/>
                      <w:u w:val="single"/>
                    </w:rPr>
                  </w:pPr>
                  <w:r>
                    <w:rPr>
                      <w:color w:val="EE0000"/>
                      <w:szCs w:val="21"/>
                      <w:u w:val="single"/>
                    </w:rPr>
                    <w:t>81~100</w:t>
                  </w:r>
                </w:p>
              </w:tc>
            </w:tr>
            <w:tr w14:paraId="7BDB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65" w:type="pct"/>
                  <w:tcBorders>
                    <w:right w:val="single" w:color="000000" w:sz="4" w:space="0"/>
                  </w:tcBorders>
                  <w:vAlign w:val="center"/>
                </w:tcPr>
                <w:p w14:paraId="3A753FEA">
                  <w:pPr>
                    <w:adjustRightInd w:val="0"/>
                    <w:snapToGrid w:val="0"/>
                    <w:spacing w:line="320" w:lineRule="exact"/>
                    <w:jc w:val="center"/>
                    <w:rPr>
                      <w:color w:val="EE0000"/>
                      <w:szCs w:val="21"/>
                      <w:u w:val="single"/>
                    </w:rPr>
                  </w:pPr>
                  <w:r>
                    <w:rPr>
                      <w:color w:val="EE0000"/>
                      <w:szCs w:val="21"/>
                      <w:u w:val="single"/>
                    </w:rPr>
                    <w:t>计算参数</w:t>
                  </w:r>
                </w:p>
              </w:tc>
              <w:tc>
                <w:tcPr>
                  <w:tcW w:w="768" w:type="pct"/>
                  <w:tcBorders>
                    <w:left w:val="single" w:color="000000" w:sz="4" w:space="0"/>
                  </w:tcBorders>
                  <w:vAlign w:val="center"/>
                </w:tcPr>
                <w:p w14:paraId="3F21BA11">
                  <w:pPr>
                    <w:adjustRightInd w:val="0"/>
                    <w:snapToGrid w:val="0"/>
                    <w:spacing w:line="320" w:lineRule="exact"/>
                    <w:jc w:val="center"/>
                    <w:rPr>
                      <w:color w:val="EE0000"/>
                      <w:szCs w:val="21"/>
                      <w:u w:val="single"/>
                    </w:rPr>
                  </w:pPr>
                  <w:r>
                    <w:rPr>
                      <w:color w:val="EE0000"/>
                      <w:szCs w:val="21"/>
                      <w:u w:val="single"/>
                    </w:rPr>
                    <w:t>0.2</w:t>
                  </w:r>
                </w:p>
              </w:tc>
              <w:tc>
                <w:tcPr>
                  <w:tcW w:w="902" w:type="pct"/>
                  <w:tcBorders>
                    <w:right w:val="single" w:color="000000" w:sz="4" w:space="0"/>
                  </w:tcBorders>
                  <w:vAlign w:val="center"/>
                </w:tcPr>
                <w:p w14:paraId="0BEBF1A6">
                  <w:pPr>
                    <w:adjustRightInd w:val="0"/>
                    <w:snapToGrid w:val="0"/>
                    <w:spacing w:line="320" w:lineRule="exact"/>
                    <w:jc w:val="center"/>
                    <w:rPr>
                      <w:color w:val="EE0000"/>
                      <w:szCs w:val="21"/>
                      <w:u w:val="single"/>
                    </w:rPr>
                  </w:pPr>
                  <w:r>
                    <w:rPr>
                      <w:color w:val="EE0000"/>
                      <w:szCs w:val="21"/>
                      <w:u w:val="single"/>
                    </w:rPr>
                    <w:t>0.5</w:t>
                  </w:r>
                </w:p>
              </w:tc>
              <w:tc>
                <w:tcPr>
                  <w:tcW w:w="1036" w:type="pct"/>
                  <w:tcBorders>
                    <w:left w:val="single" w:color="000000" w:sz="4" w:space="0"/>
                  </w:tcBorders>
                  <w:vAlign w:val="center"/>
                </w:tcPr>
                <w:p w14:paraId="75A22E1D">
                  <w:pPr>
                    <w:adjustRightInd w:val="0"/>
                    <w:snapToGrid w:val="0"/>
                    <w:spacing w:line="320" w:lineRule="exact"/>
                    <w:jc w:val="center"/>
                    <w:rPr>
                      <w:color w:val="EE0000"/>
                      <w:szCs w:val="21"/>
                      <w:u w:val="single"/>
                    </w:rPr>
                  </w:pPr>
                  <w:r>
                    <w:rPr>
                      <w:color w:val="EE0000"/>
                      <w:szCs w:val="21"/>
                      <w:u w:val="single"/>
                    </w:rPr>
                    <w:t>1.0</w:t>
                  </w:r>
                </w:p>
              </w:tc>
              <w:tc>
                <w:tcPr>
                  <w:tcW w:w="794" w:type="pct"/>
                  <w:tcBorders>
                    <w:right w:val="single" w:color="000000" w:sz="4" w:space="0"/>
                  </w:tcBorders>
                  <w:vAlign w:val="center"/>
                </w:tcPr>
                <w:p w14:paraId="69D0134E">
                  <w:pPr>
                    <w:adjustRightInd w:val="0"/>
                    <w:snapToGrid w:val="0"/>
                    <w:spacing w:line="320" w:lineRule="exact"/>
                    <w:jc w:val="center"/>
                    <w:rPr>
                      <w:color w:val="EE0000"/>
                      <w:szCs w:val="21"/>
                      <w:u w:val="single"/>
                    </w:rPr>
                  </w:pPr>
                  <w:r>
                    <w:rPr>
                      <w:color w:val="EE0000"/>
                      <w:szCs w:val="21"/>
                      <w:u w:val="single"/>
                    </w:rPr>
                    <w:t>1.5</w:t>
                  </w:r>
                </w:p>
              </w:tc>
              <w:tc>
                <w:tcPr>
                  <w:tcW w:w="734" w:type="pct"/>
                  <w:tcBorders>
                    <w:left w:val="single" w:color="000000" w:sz="4" w:space="0"/>
                  </w:tcBorders>
                  <w:vAlign w:val="center"/>
                </w:tcPr>
                <w:p w14:paraId="6E819271">
                  <w:pPr>
                    <w:adjustRightInd w:val="0"/>
                    <w:snapToGrid w:val="0"/>
                    <w:spacing w:line="320" w:lineRule="exact"/>
                    <w:jc w:val="center"/>
                    <w:rPr>
                      <w:color w:val="EE0000"/>
                      <w:szCs w:val="21"/>
                      <w:u w:val="single"/>
                    </w:rPr>
                  </w:pPr>
                  <w:r>
                    <w:rPr>
                      <w:color w:val="EE0000"/>
                      <w:szCs w:val="21"/>
                      <w:u w:val="single"/>
                    </w:rPr>
                    <w:t>2.0</w:t>
                  </w:r>
                </w:p>
              </w:tc>
            </w:tr>
          </w:tbl>
          <w:p w14:paraId="3DB749D0">
            <w:pPr>
              <w:autoSpaceDE w:val="0"/>
              <w:autoSpaceDN w:val="0"/>
              <w:adjustRightInd w:val="0"/>
              <w:spacing w:line="500" w:lineRule="exact"/>
              <w:ind w:firstLine="480" w:firstLineChars="200"/>
              <w:jc w:val="left"/>
              <w:rPr>
                <w:color w:val="EE0000"/>
                <w:kern w:val="0"/>
                <w:sz w:val="24"/>
                <w:u w:val="single"/>
              </w:rPr>
            </w:pPr>
            <w:r>
              <w:rPr>
                <w:color w:val="EE0000"/>
                <w:kern w:val="0"/>
                <w:sz w:val="24"/>
                <w:u w:val="single"/>
              </w:rPr>
              <w:t>根据以上公式，估算本项目污泥储存过程氨产生量为0.0317kg/h、0.251t/a，硫化氢产生量为0.0022kg/h、0.0174t/a。</w:t>
            </w:r>
          </w:p>
          <w:p w14:paraId="3B977353">
            <w:pPr>
              <w:spacing w:line="500" w:lineRule="exact"/>
              <w:ind w:firstLine="480" w:firstLineChars="200"/>
              <w:rPr>
                <w:bCs/>
                <w:sz w:val="24"/>
                <w:lang w:bidi="ar"/>
              </w:rPr>
            </w:pPr>
            <w:r>
              <w:rPr>
                <w:bCs/>
                <w:sz w:val="24"/>
                <w:lang w:bidi="ar"/>
              </w:rPr>
              <w:t>评价建议对污泥储存池进行整体封闭（封闭库房20m×20m×5m），采取负压抽风方式收集废气，按照不少于6次/h的换气频次计算，则换气量12000m</w:t>
            </w:r>
            <w:r>
              <w:rPr>
                <w:bCs/>
                <w:sz w:val="24"/>
                <w:vertAlign w:val="superscript"/>
                <w:lang w:bidi="ar"/>
              </w:rPr>
              <w:t>3</w:t>
            </w:r>
            <w:r>
              <w:rPr>
                <w:bCs/>
                <w:sz w:val="24"/>
                <w:lang w:bidi="ar"/>
              </w:rPr>
              <w:t>/h，恶臭气体引至1套活性炭吸附装置进行处理后经1根15m高排气筒（DA005）进行排放。活性炭吸附装置处理效率按80%计，封闭集气设施收集效率以95%计，则污泥储存过程恶臭污染物产排情况见下表。</w:t>
            </w:r>
          </w:p>
          <w:p w14:paraId="3C300AEC">
            <w:pPr>
              <w:autoSpaceDE w:val="0"/>
              <w:autoSpaceDN w:val="0"/>
              <w:adjustRightInd w:val="0"/>
              <w:spacing w:line="500" w:lineRule="exact"/>
              <w:ind w:firstLine="240" w:firstLineChars="100"/>
              <w:jc w:val="center"/>
              <w:rPr>
                <w:color w:val="FF0000"/>
                <w:kern w:val="0"/>
                <w:sz w:val="24"/>
                <w:u w:val="single"/>
              </w:rPr>
            </w:pPr>
            <w:r>
              <w:rPr>
                <w:rFonts w:eastAsia="黑体"/>
                <w:color w:val="FF0000"/>
                <w:kern w:val="0"/>
                <w:sz w:val="24"/>
                <w:u w:val="single"/>
              </w:rPr>
              <w:t>表4-12     污泥储存恶臭污染物产排情况一览表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841"/>
              <w:gridCol w:w="818"/>
              <w:gridCol w:w="805"/>
              <w:gridCol w:w="843"/>
              <w:gridCol w:w="741"/>
              <w:gridCol w:w="1036"/>
              <w:gridCol w:w="856"/>
              <w:gridCol w:w="853"/>
              <w:gridCol w:w="855"/>
            </w:tblGrid>
            <w:tr w14:paraId="673E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882" w:type="pct"/>
                  <w:gridSpan w:val="2"/>
                  <w:vAlign w:val="center"/>
                </w:tcPr>
                <w:p w14:paraId="1A1FDC6C">
                  <w:pPr>
                    <w:jc w:val="center"/>
                    <w:rPr>
                      <w:color w:val="EE0000"/>
                      <w:sz w:val="18"/>
                      <w:szCs w:val="18"/>
                      <w:u w:val="single"/>
                    </w:rPr>
                  </w:pPr>
                  <w:r>
                    <w:rPr>
                      <w:color w:val="EE0000"/>
                      <w:sz w:val="18"/>
                      <w:szCs w:val="18"/>
                      <w:u w:val="single"/>
                    </w:rPr>
                    <w:t>产污环节</w:t>
                  </w:r>
                </w:p>
              </w:tc>
              <w:tc>
                <w:tcPr>
                  <w:tcW w:w="495" w:type="pct"/>
                  <w:vAlign w:val="center"/>
                </w:tcPr>
                <w:p w14:paraId="5357E929">
                  <w:pPr>
                    <w:jc w:val="center"/>
                    <w:rPr>
                      <w:color w:val="EE0000"/>
                      <w:sz w:val="18"/>
                      <w:szCs w:val="18"/>
                      <w:u w:val="single"/>
                    </w:rPr>
                  </w:pPr>
                  <w:r>
                    <w:rPr>
                      <w:color w:val="EE0000"/>
                      <w:sz w:val="18"/>
                      <w:szCs w:val="18"/>
                      <w:u w:val="single"/>
                    </w:rPr>
                    <w:t>废气量m</w:t>
                  </w:r>
                  <w:r>
                    <w:rPr>
                      <w:color w:val="EE0000"/>
                      <w:sz w:val="18"/>
                      <w:szCs w:val="18"/>
                      <w:u w:val="single"/>
                      <w:vertAlign w:val="superscript"/>
                    </w:rPr>
                    <w:t>3</w:t>
                  </w:r>
                  <w:r>
                    <w:rPr>
                      <w:color w:val="EE0000"/>
                      <w:sz w:val="18"/>
                      <w:szCs w:val="18"/>
                      <w:u w:val="single"/>
                    </w:rPr>
                    <w:t>/h</w:t>
                  </w:r>
                </w:p>
              </w:tc>
              <w:tc>
                <w:tcPr>
                  <w:tcW w:w="487" w:type="pct"/>
                  <w:vAlign w:val="center"/>
                </w:tcPr>
                <w:p w14:paraId="6E98A022">
                  <w:pPr>
                    <w:jc w:val="center"/>
                    <w:rPr>
                      <w:color w:val="EE0000"/>
                      <w:sz w:val="18"/>
                      <w:szCs w:val="18"/>
                      <w:u w:val="single"/>
                    </w:rPr>
                  </w:pPr>
                  <w:r>
                    <w:rPr>
                      <w:color w:val="EE0000"/>
                      <w:sz w:val="18"/>
                      <w:szCs w:val="18"/>
                      <w:u w:val="single"/>
                    </w:rPr>
                    <w:t>产生量</w:t>
                  </w:r>
                </w:p>
                <w:p w14:paraId="70443B2C">
                  <w:pPr>
                    <w:jc w:val="center"/>
                    <w:rPr>
                      <w:color w:val="EE0000"/>
                      <w:sz w:val="18"/>
                      <w:szCs w:val="18"/>
                      <w:u w:val="single"/>
                    </w:rPr>
                  </w:pPr>
                  <w:r>
                    <w:rPr>
                      <w:color w:val="EE0000"/>
                      <w:sz w:val="18"/>
                      <w:szCs w:val="18"/>
                      <w:u w:val="single"/>
                    </w:rPr>
                    <w:t>t/a</w:t>
                  </w:r>
                </w:p>
              </w:tc>
              <w:tc>
                <w:tcPr>
                  <w:tcW w:w="510" w:type="pct"/>
                  <w:vAlign w:val="center"/>
                </w:tcPr>
                <w:p w14:paraId="049F0CE3">
                  <w:pPr>
                    <w:jc w:val="center"/>
                    <w:rPr>
                      <w:color w:val="EE0000"/>
                      <w:sz w:val="18"/>
                      <w:szCs w:val="18"/>
                      <w:u w:val="single"/>
                    </w:rPr>
                  </w:pPr>
                  <w:r>
                    <w:rPr>
                      <w:color w:val="EE0000"/>
                      <w:sz w:val="18"/>
                      <w:szCs w:val="18"/>
                      <w:u w:val="single"/>
                    </w:rPr>
                    <w:t>产生</w:t>
                  </w:r>
                </w:p>
                <w:p w14:paraId="64BE045B">
                  <w:pPr>
                    <w:jc w:val="center"/>
                    <w:rPr>
                      <w:color w:val="EE0000"/>
                      <w:sz w:val="18"/>
                      <w:szCs w:val="18"/>
                      <w:u w:val="single"/>
                    </w:rPr>
                  </w:pPr>
                  <w:r>
                    <w:rPr>
                      <w:color w:val="EE0000"/>
                      <w:sz w:val="18"/>
                      <w:szCs w:val="18"/>
                      <w:u w:val="single"/>
                    </w:rPr>
                    <w:t>速率kg/h</w:t>
                  </w:r>
                </w:p>
              </w:tc>
              <w:tc>
                <w:tcPr>
                  <w:tcW w:w="448" w:type="pct"/>
                  <w:vAlign w:val="center"/>
                </w:tcPr>
                <w:p w14:paraId="68B9F11F">
                  <w:pPr>
                    <w:jc w:val="center"/>
                    <w:rPr>
                      <w:color w:val="EE0000"/>
                      <w:sz w:val="18"/>
                      <w:szCs w:val="18"/>
                      <w:u w:val="single"/>
                    </w:rPr>
                  </w:pPr>
                  <w:r>
                    <w:rPr>
                      <w:color w:val="EE0000"/>
                      <w:sz w:val="18"/>
                      <w:szCs w:val="18"/>
                      <w:u w:val="single"/>
                    </w:rPr>
                    <w:t>产生</w:t>
                  </w:r>
                </w:p>
                <w:p w14:paraId="406418D7">
                  <w:pPr>
                    <w:jc w:val="center"/>
                    <w:rPr>
                      <w:color w:val="EE0000"/>
                      <w:sz w:val="18"/>
                      <w:szCs w:val="18"/>
                      <w:u w:val="single"/>
                    </w:rPr>
                  </w:pPr>
                  <w:r>
                    <w:rPr>
                      <w:color w:val="EE0000"/>
                      <w:sz w:val="18"/>
                      <w:szCs w:val="18"/>
                      <w:u w:val="single"/>
                    </w:rPr>
                    <w:t>浓度</w:t>
                  </w:r>
                </w:p>
                <w:p w14:paraId="5B19BD21">
                  <w:pPr>
                    <w:jc w:val="center"/>
                    <w:rPr>
                      <w:color w:val="EE0000"/>
                      <w:sz w:val="18"/>
                      <w:szCs w:val="18"/>
                      <w:u w:val="single"/>
                    </w:rPr>
                  </w:pPr>
                  <w:r>
                    <w:rPr>
                      <w:color w:val="EE0000"/>
                      <w:sz w:val="18"/>
                      <w:szCs w:val="18"/>
                      <w:u w:val="single"/>
                    </w:rPr>
                    <w:t>mg/m</w:t>
                  </w:r>
                  <w:r>
                    <w:rPr>
                      <w:color w:val="EE0000"/>
                      <w:sz w:val="18"/>
                      <w:szCs w:val="18"/>
                      <w:u w:val="single"/>
                      <w:vertAlign w:val="superscript"/>
                    </w:rPr>
                    <w:t>3</w:t>
                  </w:r>
                </w:p>
              </w:tc>
              <w:tc>
                <w:tcPr>
                  <w:tcW w:w="627" w:type="pct"/>
                  <w:vAlign w:val="center"/>
                </w:tcPr>
                <w:p w14:paraId="057990B4">
                  <w:pPr>
                    <w:jc w:val="center"/>
                    <w:rPr>
                      <w:color w:val="EE0000"/>
                      <w:sz w:val="18"/>
                      <w:szCs w:val="18"/>
                      <w:u w:val="single"/>
                    </w:rPr>
                  </w:pPr>
                  <w:r>
                    <w:rPr>
                      <w:color w:val="EE0000"/>
                      <w:sz w:val="18"/>
                      <w:szCs w:val="18"/>
                      <w:u w:val="single"/>
                    </w:rPr>
                    <w:t>处理</w:t>
                  </w:r>
                </w:p>
                <w:p w14:paraId="23B10A95">
                  <w:pPr>
                    <w:jc w:val="center"/>
                    <w:rPr>
                      <w:color w:val="EE0000"/>
                      <w:sz w:val="18"/>
                      <w:szCs w:val="18"/>
                      <w:u w:val="single"/>
                    </w:rPr>
                  </w:pPr>
                  <w:r>
                    <w:rPr>
                      <w:color w:val="EE0000"/>
                      <w:sz w:val="18"/>
                      <w:szCs w:val="18"/>
                      <w:u w:val="single"/>
                    </w:rPr>
                    <w:t>措施</w:t>
                  </w:r>
                </w:p>
              </w:tc>
              <w:tc>
                <w:tcPr>
                  <w:tcW w:w="518" w:type="pct"/>
                  <w:vAlign w:val="center"/>
                </w:tcPr>
                <w:p w14:paraId="59EFAAA7">
                  <w:pPr>
                    <w:jc w:val="center"/>
                    <w:rPr>
                      <w:color w:val="EE0000"/>
                      <w:sz w:val="18"/>
                      <w:szCs w:val="18"/>
                      <w:u w:val="single"/>
                    </w:rPr>
                  </w:pPr>
                  <w:r>
                    <w:rPr>
                      <w:color w:val="EE0000"/>
                      <w:sz w:val="18"/>
                      <w:szCs w:val="18"/>
                      <w:u w:val="single"/>
                    </w:rPr>
                    <w:t>排放量</w:t>
                  </w:r>
                </w:p>
                <w:p w14:paraId="5A72AF2B">
                  <w:pPr>
                    <w:jc w:val="center"/>
                    <w:rPr>
                      <w:color w:val="EE0000"/>
                      <w:sz w:val="18"/>
                      <w:szCs w:val="18"/>
                      <w:u w:val="single"/>
                    </w:rPr>
                  </w:pPr>
                  <w:r>
                    <w:rPr>
                      <w:color w:val="EE0000"/>
                      <w:sz w:val="18"/>
                      <w:szCs w:val="18"/>
                      <w:u w:val="single"/>
                    </w:rPr>
                    <w:t>t/a</w:t>
                  </w:r>
                </w:p>
              </w:tc>
              <w:tc>
                <w:tcPr>
                  <w:tcW w:w="516" w:type="pct"/>
                  <w:vAlign w:val="center"/>
                </w:tcPr>
                <w:p w14:paraId="7CB6F10A">
                  <w:pPr>
                    <w:jc w:val="center"/>
                    <w:rPr>
                      <w:color w:val="EE0000"/>
                      <w:sz w:val="18"/>
                      <w:szCs w:val="18"/>
                      <w:u w:val="single"/>
                    </w:rPr>
                  </w:pPr>
                  <w:r>
                    <w:rPr>
                      <w:color w:val="EE0000"/>
                      <w:sz w:val="18"/>
                      <w:szCs w:val="18"/>
                      <w:u w:val="single"/>
                    </w:rPr>
                    <w:t>排放</w:t>
                  </w:r>
                </w:p>
                <w:p w14:paraId="114A0678">
                  <w:pPr>
                    <w:jc w:val="center"/>
                    <w:rPr>
                      <w:color w:val="EE0000"/>
                      <w:sz w:val="18"/>
                      <w:szCs w:val="18"/>
                      <w:u w:val="single"/>
                    </w:rPr>
                  </w:pPr>
                  <w:r>
                    <w:rPr>
                      <w:color w:val="EE0000"/>
                      <w:sz w:val="18"/>
                      <w:szCs w:val="18"/>
                      <w:u w:val="single"/>
                    </w:rPr>
                    <w:t>速率kg/h</w:t>
                  </w:r>
                </w:p>
              </w:tc>
              <w:tc>
                <w:tcPr>
                  <w:tcW w:w="517" w:type="pct"/>
                  <w:vAlign w:val="center"/>
                </w:tcPr>
                <w:p w14:paraId="5FE6EA8E">
                  <w:pPr>
                    <w:jc w:val="center"/>
                    <w:rPr>
                      <w:color w:val="EE0000"/>
                      <w:sz w:val="18"/>
                      <w:szCs w:val="18"/>
                      <w:u w:val="single"/>
                    </w:rPr>
                  </w:pPr>
                  <w:r>
                    <w:rPr>
                      <w:color w:val="EE0000"/>
                      <w:sz w:val="18"/>
                      <w:szCs w:val="18"/>
                      <w:u w:val="single"/>
                    </w:rPr>
                    <w:t>排放</w:t>
                  </w:r>
                </w:p>
                <w:p w14:paraId="38C135EF">
                  <w:pPr>
                    <w:jc w:val="center"/>
                    <w:rPr>
                      <w:color w:val="EE0000"/>
                      <w:sz w:val="18"/>
                      <w:szCs w:val="18"/>
                      <w:u w:val="single"/>
                    </w:rPr>
                  </w:pPr>
                  <w:r>
                    <w:rPr>
                      <w:color w:val="EE0000"/>
                      <w:sz w:val="18"/>
                      <w:szCs w:val="18"/>
                      <w:u w:val="single"/>
                    </w:rPr>
                    <w:t>浓度mg/m</w:t>
                  </w:r>
                  <w:r>
                    <w:rPr>
                      <w:color w:val="EE0000"/>
                      <w:sz w:val="18"/>
                      <w:szCs w:val="18"/>
                      <w:u w:val="single"/>
                      <w:vertAlign w:val="superscript"/>
                    </w:rPr>
                    <w:t>3</w:t>
                  </w:r>
                </w:p>
              </w:tc>
            </w:tr>
            <w:tr w14:paraId="6C92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882" w:type="pct"/>
                  <w:gridSpan w:val="2"/>
                  <w:vAlign w:val="center"/>
                </w:tcPr>
                <w:p w14:paraId="71E40172">
                  <w:pPr>
                    <w:jc w:val="center"/>
                    <w:rPr>
                      <w:color w:val="EE0000"/>
                      <w:sz w:val="18"/>
                      <w:szCs w:val="18"/>
                      <w:u w:val="single"/>
                    </w:rPr>
                  </w:pPr>
                  <w:r>
                    <w:rPr>
                      <w:color w:val="EE0000"/>
                      <w:sz w:val="18"/>
                      <w:szCs w:val="18"/>
                      <w:u w:val="single"/>
                    </w:rPr>
                    <w:t>/</w:t>
                  </w:r>
                </w:p>
              </w:tc>
              <w:tc>
                <w:tcPr>
                  <w:tcW w:w="4118" w:type="pct"/>
                  <w:gridSpan w:val="8"/>
                  <w:vAlign w:val="center"/>
                </w:tcPr>
                <w:p w14:paraId="531876D0">
                  <w:pPr>
                    <w:jc w:val="center"/>
                    <w:rPr>
                      <w:color w:val="EE0000"/>
                      <w:sz w:val="18"/>
                      <w:szCs w:val="18"/>
                      <w:u w:val="single"/>
                    </w:rPr>
                  </w:pPr>
                  <w:r>
                    <w:rPr>
                      <w:color w:val="EE0000"/>
                      <w:sz w:val="18"/>
                      <w:szCs w:val="18"/>
                      <w:u w:val="single"/>
                    </w:rPr>
                    <w:t>有组织废气</w:t>
                  </w:r>
                </w:p>
              </w:tc>
            </w:tr>
            <w:tr w14:paraId="05A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73" w:type="pct"/>
                  <w:vMerge w:val="restart"/>
                  <w:vAlign w:val="center"/>
                </w:tcPr>
                <w:p w14:paraId="59F13AAD">
                  <w:pPr>
                    <w:jc w:val="center"/>
                    <w:rPr>
                      <w:color w:val="EE0000"/>
                      <w:sz w:val="18"/>
                      <w:szCs w:val="18"/>
                      <w:u w:val="single"/>
                    </w:rPr>
                  </w:pPr>
                  <w:r>
                    <w:rPr>
                      <w:color w:val="EE0000"/>
                      <w:sz w:val="18"/>
                      <w:szCs w:val="18"/>
                      <w:u w:val="single"/>
                    </w:rPr>
                    <w:t>污泥储存</w:t>
                  </w:r>
                </w:p>
              </w:tc>
              <w:tc>
                <w:tcPr>
                  <w:tcW w:w="509" w:type="pct"/>
                  <w:vAlign w:val="center"/>
                </w:tcPr>
                <w:p w14:paraId="1664DE16">
                  <w:pPr>
                    <w:jc w:val="center"/>
                    <w:rPr>
                      <w:color w:val="EE0000"/>
                      <w:sz w:val="18"/>
                      <w:szCs w:val="18"/>
                      <w:u w:val="single"/>
                    </w:rPr>
                  </w:pPr>
                  <w:r>
                    <w:rPr>
                      <w:color w:val="EE0000"/>
                      <w:sz w:val="18"/>
                      <w:szCs w:val="18"/>
                      <w:u w:val="single"/>
                    </w:rPr>
                    <w:t>氨气</w:t>
                  </w:r>
                </w:p>
              </w:tc>
              <w:tc>
                <w:tcPr>
                  <w:tcW w:w="495" w:type="pct"/>
                  <w:vMerge w:val="restart"/>
                  <w:vAlign w:val="center"/>
                </w:tcPr>
                <w:p w14:paraId="36A8A04C">
                  <w:pPr>
                    <w:jc w:val="center"/>
                    <w:rPr>
                      <w:color w:val="EE0000"/>
                      <w:sz w:val="18"/>
                      <w:szCs w:val="18"/>
                      <w:u w:val="single"/>
                    </w:rPr>
                  </w:pPr>
                  <w:r>
                    <w:rPr>
                      <w:color w:val="EE0000"/>
                      <w:sz w:val="18"/>
                      <w:szCs w:val="18"/>
                      <w:u w:val="single"/>
                    </w:rPr>
                    <w:t>12000</w:t>
                  </w:r>
                </w:p>
              </w:tc>
              <w:tc>
                <w:tcPr>
                  <w:tcW w:w="487" w:type="pct"/>
                  <w:vAlign w:val="center"/>
                </w:tcPr>
                <w:p w14:paraId="7E1A6730">
                  <w:pPr>
                    <w:jc w:val="center"/>
                    <w:rPr>
                      <w:color w:val="EE0000"/>
                      <w:sz w:val="18"/>
                      <w:szCs w:val="18"/>
                      <w:u w:val="single"/>
                    </w:rPr>
                  </w:pPr>
                  <w:r>
                    <w:rPr>
                      <w:color w:val="EE0000"/>
                      <w:sz w:val="18"/>
                      <w:szCs w:val="18"/>
                      <w:u w:val="single"/>
                    </w:rPr>
                    <w:t>0.238</w:t>
                  </w:r>
                </w:p>
              </w:tc>
              <w:tc>
                <w:tcPr>
                  <w:tcW w:w="510" w:type="pct"/>
                  <w:vAlign w:val="center"/>
                </w:tcPr>
                <w:p w14:paraId="55F585A3">
                  <w:pPr>
                    <w:jc w:val="center"/>
                    <w:rPr>
                      <w:color w:val="EE0000"/>
                      <w:sz w:val="18"/>
                      <w:szCs w:val="18"/>
                      <w:u w:val="single"/>
                    </w:rPr>
                  </w:pPr>
                  <w:r>
                    <w:rPr>
                      <w:color w:val="EE0000"/>
                      <w:sz w:val="18"/>
                      <w:szCs w:val="18"/>
                      <w:u w:val="single"/>
                    </w:rPr>
                    <w:t>0.03</w:t>
                  </w:r>
                </w:p>
              </w:tc>
              <w:tc>
                <w:tcPr>
                  <w:tcW w:w="448" w:type="pct"/>
                  <w:vAlign w:val="center"/>
                </w:tcPr>
                <w:p w14:paraId="471498F4">
                  <w:pPr>
                    <w:jc w:val="center"/>
                    <w:rPr>
                      <w:color w:val="EE0000"/>
                      <w:sz w:val="18"/>
                      <w:szCs w:val="18"/>
                      <w:u w:val="single"/>
                    </w:rPr>
                  </w:pPr>
                  <w:r>
                    <w:rPr>
                      <w:color w:val="EE0000"/>
                      <w:sz w:val="18"/>
                      <w:szCs w:val="18"/>
                      <w:u w:val="single"/>
                    </w:rPr>
                    <w:t>2.5</w:t>
                  </w:r>
                </w:p>
              </w:tc>
              <w:tc>
                <w:tcPr>
                  <w:tcW w:w="627" w:type="pct"/>
                  <w:vMerge w:val="restart"/>
                  <w:vAlign w:val="center"/>
                </w:tcPr>
                <w:p w14:paraId="7C3CA134">
                  <w:pPr>
                    <w:jc w:val="center"/>
                    <w:rPr>
                      <w:color w:val="EE0000"/>
                      <w:sz w:val="18"/>
                      <w:szCs w:val="18"/>
                      <w:u w:val="single"/>
                    </w:rPr>
                  </w:pPr>
                  <w:r>
                    <w:rPr>
                      <w:color w:val="EE0000"/>
                      <w:sz w:val="18"/>
                      <w:szCs w:val="18"/>
                      <w:u w:val="single"/>
                    </w:rPr>
                    <w:t>1套活性炭吸附装置+排气筒DA005</w:t>
                  </w:r>
                </w:p>
              </w:tc>
              <w:tc>
                <w:tcPr>
                  <w:tcW w:w="518" w:type="pct"/>
                  <w:vAlign w:val="center"/>
                </w:tcPr>
                <w:p w14:paraId="3D013C8E">
                  <w:pPr>
                    <w:jc w:val="center"/>
                    <w:rPr>
                      <w:color w:val="EE0000"/>
                      <w:sz w:val="18"/>
                      <w:szCs w:val="18"/>
                      <w:u w:val="single"/>
                    </w:rPr>
                  </w:pPr>
                  <w:r>
                    <w:rPr>
                      <w:color w:val="EE0000"/>
                      <w:sz w:val="18"/>
                      <w:szCs w:val="18"/>
                      <w:u w:val="single"/>
                    </w:rPr>
                    <w:t>0.048</w:t>
                  </w:r>
                </w:p>
              </w:tc>
              <w:tc>
                <w:tcPr>
                  <w:tcW w:w="516" w:type="pct"/>
                  <w:vAlign w:val="center"/>
                </w:tcPr>
                <w:p w14:paraId="737CE661">
                  <w:pPr>
                    <w:jc w:val="center"/>
                    <w:rPr>
                      <w:color w:val="EE0000"/>
                      <w:sz w:val="18"/>
                      <w:szCs w:val="18"/>
                      <w:u w:val="single"/>
                    </w:rPr>
                  </w:pPr>
                  <w:r>
                    <w:rPr>
                      <w:color w:val="EE0000"/>
                      <w:sz w:val="18"/>
                      <w:szCs w:val="18"/>
                      <w:u w:val="single"/>
                    </w:rPr>
                    <w:t>0.006</w:t>
                  </w:r>
                </w:p>
              </w:tc>
              <w:tc>
                <w:tcPr>
                  <w:tcW w:w="517" w:type="pct"/>
                  <w:vAlign w:val="center"/>
                </w:tcPr>
                <w:p w14:paraId="199F0C6E">
                  <w:pPr>
                    <w:jc w:val="center"/>
                    <w:rPr>
                      <w:color w:val="EE0000"/>
                      <w:sz w:val="18"/>
                      <w:szCs w:val="18"/>
                      <w:u w:val="single"/>
                    </w:rPr>
                  </w:pPr>
                  <w:r>
                    <w:rPr>
                      <w:color w:val="EE0000"/>
                      <w:sz w:val="18"/>
                      <w:szCs w:val="18"/>
                      <w:u w:val="single"/>
                    </w:rPr>
                    <w:t>0.5</w:t>
                  </w:r>
                </w:p>
              </w:tc>
            </w:tr>
            <w:tr w14:paraId="2B1E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73" w:type="pct"/>
                  <w:vMerge w:val="continue"/>
                  <w:vAlign w:val="center"/>
                </w:tcPr>
                <w:p w14:paraId="47EC93AB">
                  <w:pPr>
                    <w:jc w:val="center"/>
                    <w:rPr>
                      <w:color w:val="EE0000"/>
                      <w:sz w:val="18"/>
                      <w:szCs w:val="18"/>
                      <w:u w:val="single"/>
                    </w:rPr>
                  </w:pPr>
                </w:p>
              </w:tc>
              <w:tc>
                <w:tcPr>
                  <w:tcW w:w="509" w:type="pct"/>
                  <w:vAlign w:val="center"/>
                </w:tcPr>
                <w:p w14:paraId="59E9EB00">
                  <w:pPr>
                    <w:jc w:val="center"/>
                    <w:rPr>
                      <w:color w:val="EE0000"/>
                      <w:sz w:val="18"/>
                      <w:szCs w:val="18"/>
                      <w:u w:val="single"/>
                    </w:rPr>
                  </w:pPr>
                  <w:r>
                    <w:rPr>
                      <w:color w:val="EE0000"/>
                      <w:sz w:val="18"/>
                      <w:szCs w:val="18"/>
                      <w:u w:val="single"/>
                    </w:rPr>
                    <w:t>硫化氢</w:t>
                  </w:r>
                </w:p>
              </w:tc>
              <w:tc>
                <w:tcPr>
                  <w:tcW w:w="495" w:type="pct"/>
                  <w:vMerge w:val="continue"/>
                  <w:vAlign w:val="center"/>
                </w:tcPr>
                <w:p w14:paraId="7DE93DB5">
                  <w:pPr>
                    <w:jc w:val="center"/>
                    <w:rPr>
                      <w:color w:val="EE0000"/>
                      <w:sz w:val="18"/>
                      <w:szCs w:val="18"/>
                      <w:u w:val="single"/>
                    </w:rPr>
                  </w:pPr>
                </w:p>
              </w:tc>
              <w:tc>
                <w:tcPr>
                  <w:tcW w:w="487" w:type="pct"/>
                  <w:vAlign w:val="center"/>
                </w:tcPr>
                <w:p w14:paraId="77F1395E">
                  <w:pPr>
                    <w:jc w:val="center"/>
                    <w:rPr>
                      <w:color w:val="EE0000"/>
                      <w:sz w:val="18"/>
                      <w:szCs w:val="18"/>
                      <w:u w:val="single"/>
                    </w:rPr>
                  </w:pPr>
                  <w:r>
                    <w:rPr>
                      <w:color w:val="EE0000"/>
                      <w:sz w:val="18"/>
                      <w:szCs w:val="18"/>
                      <w:u w:val="single"/>
                    </w:rPr>
                    <w:t>0.016</w:t>
                  </w:r>
                </w:p>
              </w:tc>
              <w:tc>
                <w:tcPr>
                  <w:tcW w:w="510" w:type="pct"/>
                  <w:vAlign w:val="center"/>
                </w:tcPr>
                <w:p w14:paraId="7C32CBA6">
                  <w:pPr>
                    <w:jc w:val="center"/>
                    <w:rPr>
                      <w:color w:val="EE0000"/>
                      <w:sz w:val="18"/>
                      <w:szCs w:val="18"/>
                      <w:u w:val="single"/>
                    </w:rPr>
                  </w:pPr>
                  <w:r>
                    <w:rPr>
                      <w:color w:val="EE0000"/>
                      <w:sz w:val="18"/>
                      <w:szCs w:val="18"/>
                      <w:u w:val="single"/>
                    </w:rPr>
                    <w:t>0.002</w:t>
                  </w:r>
                </w:p>
              </w:tc>
              <w:tc>
                <w:tcPr>
                  <w:tcW w:w="448" w:type="pct"/>
                  <w:vAlign w:val="center"/>
                </w:tcPr>
                <w:p w14:paraId="43BB8CED">
                  <w:pPr>
                    <w:jc w:val="center"/>
                    <w:rPr>
                      <w:color w:val="EE0000"/>
                      <w:sz w:val="18"/>
                      <w:szCs w:val="18"/>
                      <w:u w:val="single"/>
                    </w:rPr>
                  </w:pPr>
                  <w:r>
                    <w:rPr>
                      <w:color w:val="EE0000"/>
                      <w:sz w:val="18"/>
                      <w:szCs w:val="18"/>
                      <w:u w:val="single"/>
                    </w:rPr>
                    <w:t>0.17</w:t>
                  </w:r>
                </w:p>
              </w:tc>
              <w:tc>
                <w:tcPr>
                  <w:tcW w:w="627" w:type="pct"/>
                  <w:vMerge w:val="continue"/>
                  <w:vAlign w:val="center"/>
                </w:tcPr>
                <w:p w14:paraId="0D1A300D">
                  <w:pPr>
                    <w:jc w:val="center"/>
                    <w:rPr>
                      <w:color w:val="EE0000"/>
                      <w:sz w:val="18"/>
                      <w:szCs w:val="18"/>
                      <w:u w:val="single"/>
                    </w:rPr>
                  </w:pPr>
                </w:p>
              </w:tc>
              <w:tc>
                <w:tcPr>
                  <w:tcW w:w="518" w:type="pct"/>
                  <w:vAlign w:val="center"/>
                </w:tcPr>
                <w:p w14:paraId="40B20EEE">
                  <w:pPr>
                    <w:jc w:val="center"/>
                    <w:rPr>
                      <w:color w:val="EE0000"/>
                      <w:sz w:val="18"/>
                      <w:szCs w:val="18"/>
                      <w:u w:val="single"/>
                    </w:rPr>
                  </w:pPr>
                  <w:r>
                    <w:rPr>
                      <w:color w:val="EE0000"/>
                      <w:sz w:val="18"/>
                      <w:szCs w:val="18"/>
                      <w:u w:val="single"/>
                    </w:rPr>
                    <w:t>0.0032</w:t>
                  </w:r>
                </w:p>
              </w:tc>
              <w:tc>
                <w:tcPr>
                  <w:tcW w:w="516" w:type="pct"/>
                  <w:vAlign w:val="center"/>
                </w:tcPr>
                <w:p w14:paraId="09F3A0BF">
                  <w:pPr>
                    <w:jc w:val="center"/>
                    <w:rPr>
                      <w:color w:val="EE0000"/>
                      <w:sz w:val="18"/>
                      <w:szCs w:val="18"/>
                      <w:u w:val="single"/>
                    </w:rPr>
                  </w:pPr>
                  <w:r>
                    <w:rPr>
                      <w:color w:val="EE0000"/>
                      <w:sz w:val="18"/>
                      <w:szCs w:val="18"/>
                      <w:u w:val="single"/>
                    </w:rPr>
                    <w:t>0.0004</w:t>
                  </w:r>
                </w:p>
              </w:tc>
              <w:tc>
                <w:tcPr>
                  <w:tcW w:w="517" w:type="pct"/>
                  <w:vAlign w:val="center"/>
                </w:tcPr>
                <w:p w14:paraId="626A8285">
                  <w:pPr>
                    <w:jc w:val="center"/>
                    <w:rPr>
                      <w:color w:val="EE0000"/>
                      <w:sz w:val="18"/>
                      <w:szCs w:val="18"/>
                      <w:u w:val="single"/>
                    </w:rPr>
                  </w:pPr>
                  <w:r>
                    <w:rPr>
                      <w:color w:val="EE0000"/>
                      <w:sz w:val="18"/>
                      <w:szCs w:val="18"/>
                      <w:u w:val="single"/>
                    </w:rPr>
                    <w:t>0.034</w:t>
                  </w:r>
                </w:p>
              </w:tc>
            </w:tr>
            <w:tr w14:paraId="38E2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2" w:type="pct"/>
                  <w:gridSpan w:val="2"/>
                  <w:vAlign w:val="center"/>
                </w:tcPr>
                <w:p w14:paraId="3D95588B">
                  <w:pPr>
                    <w:jc w:val="center"/>
                    <w:rPr>
                      <w:color w:val="EE0000"/>
                      <w:sz w:val="18"/>
                      <w:szCs w:val="18"/>
                      <w:u w:val="single"/>
                    </w:rPr>
                  </w:pPr>
                  <w:r>
                    <w:rPr>
                      <w:color w:val="EE0000"/>
                      <w:sz w:val="18"/>
                      <w:szCs w:val="18"/>
                      <w:u w:val="single"/>
                    </w:rPr>
                    <w:t>/</w:t>
                  </w:r>
                </w:p>
              </w:tc>
              <w:tc>
                <w:tcPr>
                  <w:tcW w:w="4118" w:type="pct"/>
                  <w:gridSpan w:val="8"/>
                  <w:vAlign w:val="center"/>
                </w:tcPr>
                <w:p w14:paraId="25729C4C">
                  <w:pPr>
                    <w:jc w:val="center"/>
                    <w:rPr>
                      <w:color w:val="EE0000"/>
                      <w:sz w:val="18"/>
                      <w:szCs w:val="18"/>
                      <w:u w:val="single"/>
                    </w:rPr>
                  </w:pPr>
                  <w:r>
                    <w:rPr>
                      <w:color w:val="EE0000"/>
                      <w:sz w:val="18"/>
                      <w:szCs w:val="18"/>
                      <w:u w:val="single"/>
                    </w:rPr>
                    <w:t>无组织废气</w:t>
                  </w:r>
                </w:p>
              </w:tc>
            </w:tr>
            <w:tr w14:paraId="100F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73" w:type="pct"/>
                  <w:vMerge w:val="restart"/>
                  <w:vAlign w:val="center"/>
                </w:tcPr>
                <w:p w14:paraId="70F5370C">
                  <w:pPr>
                    <w:jc w:val="center"/>
                    <w:rPr>
                      <w:color w:val="EE0000"/>
                      <w:sz w:val="18"/>
                      <w:szCs w:val="18"/>
                      <w:u w:val="single"/>
                    </w:rPr>
                  </w:pPr>
                  <w:r>
                    <w:rPr>
                      <w:color w:val="EE0000"/>
                      <w:sz w:val="18"/>
                      <w:szCs w:val="18"/>
                      <w:u w:val="single"/>
                    </w:rPr>
                    <w:t>污泥储存</w:t>
                  </w:r>
                </w:p>
              </w:tc>
              <w:tc>
                <w:tcPr>
                  <w:tcW w:w="509" w:type="pct"/>
                  <w:vAlign w:val="center"/>
                </w:tcPr>
                <w:p w14:paraId="0A4DB01D">
                  <w:pPr>
                    <w:jc w:val="center"/>
                    <w:rPr>
                      <w:color w:val="EE0000"/>
                      <w:sz w:val="18"/>
                      <w:szCs w:val="18"/>
                      <w:u w:val="single"/>
                    </w:rPr>
                  </w:pPr>
                  <w:r>
                    <w:rPr>
                      <w:color w:val="EE0000"/>
                      <w:sz w:val="18"/>
                      <w:szCs w:val="18"/>
                      <w:u w:val="single"/>
                    </w:rPr>
                    <w:t>氨气</w:t>
                  </w:r>
                </w:p>
              </w:tc>
              <w:tc>
                <w:tcPr>
                  <w:tcW w:w="495" w:type="pct"/>
                  <w:vAlign w:val="center"/>
                </w:tcPr>
                <w:p w14:paraId="6169F99D">
                  <w:pPr>
                    <w:jc w:val="center"/>
                    <w:rPr>
                      <w:color w:val="EE0000"/>
                      <w:sz w:val="18"/>
                      <w:szCs w:val="18"/>
                      <w:u w:val="single"/>
                    </w:rPr>
                  </w:pPr>
                  <w:r>
                    <w:rPr>
                      <w:color w:val="EE0000"/>
                      <w:sz w:val="18"/>
                      <w:szCs w:val="18"/>
                      <w:u w:val="single"/>
                    </w:rPr>
                    <w:t>/</w:t>
                  </w:r>
                </w:p>
              </w:tc>
              <w:tc>
                <w:tcPr>
                  <w:tcW w:w="487" w:type="pct"/>
                  <w:vAlign w:val="center"/>
                </w:tcPr>
                <w:p w14:paraId="3999D4E7">
                  <w:pPr>
                    <w:jc w:val="center"/>
                    <w:rPr>
                      <w:color w:val="EE0000"/>
                      <w:sz w:val="18"/>
                      <w:szCs w:val="18"/>
                      <w:u w:val="single"/>
                    </w:rPr>
                  </w:pPr>
                  <w:r>
                    <w:rPr>
                      <w:color w:val="EE0000"/>
                      <w:sz w:val="18"/>
                      <w:szCs w:val="18"/>
                      <w:u w:val="single"/>
                    </w:rPr>
                    <w:t>0.013</w:t>
                  </w:r>
                </w:p>
              </w:tc>
              <w:tc>
                <w:tcPr>
                  <w:tcW w:w="510" w:type="pct"/>
                  <w:vAlign w:val="center"/>
                </w:tcPr>
                <w:p w14:paraId="5D8965BA">
                  <w:pPr>
                    <w:jc w:val="center"/>
                    <w:rPr>
                      <w:color w:val="EE0000"/>
                      <w:sz w:val="18"/>
                      <w:szCs w:val="18"/>
                      <w:u w:val="single"/>
                    </w:rPr>
                  </w:pPr>
                  <w:r>
                    <w:rPr>
                      <w:color w:val="EE0000"/>
                      <w:sz w:val="18"/>
                      <w:szCs w:val="18"/>
                      <w:u w:val="single"/>
                    </w:rPr>
                    <w:t>0.0016</w:t>
                  </w:r>
                </w:p>
              </w:tc>
              <w:tc>
                <w:tcPr>
                  <w:tcW w:w="448" w:type="pct"/>
                  <w:vAlign w:val="center"/>
                </w:tcPr>
                <w:p w14:paraId="7B10792B">
                  <w:pPr>
                    <w:jc w:val="center"/>
                    <w:rPr>
                      <w:color w:val="EE0000"/>
                      <w:sz w:val="18"/>
                      <w:szCs w:val="18"/>
                      <w:u w:val="single"/>
                    </w:rPr>
                  </w:pPr>
                  <w:r>
                    <w:rPr>
                      <w:color w:val="EE0000"/>
                      <w:sz w:val="18"/>
                      <w:szCs w:val="18"/>
                      <w:u w:val="single"/>
                    </w:rPr>
                    <w:t>/</w:t>
                  </w:r>
                </w:p>
              </w:tc>
              <w:tc>
                <w:tcPr>
                  <w:tcW w:w="627" w:type="pct"/>
                  <w:vAlign w:val="center"/>
                </w:tcPr>
                <w:p w14:paraId="42055657">
                  <w:pPr>
                    <w:jc w:val="center"/>
                    <w:rPr>
                      <w:color w:val="EE0000"/>
                      <w:sz w:val="18"/>
                      <w:szCs w:val="18"/>
                      <w:u w:val="single"/>
                    </w:rPr>
                  </w:pPr>
                  <w:r>
                    <w:rPr>
                      <w:color w:val="EE0000"/>
                      <w:sz w:val="18"/>
                      <w:szCs w:val="18"/>
                      <w:u w:val="single"/>
                    </w:rPr>
                    <w:t>/</w:t>
                  </w:r>
                </w:p>
              </w:tc>
              <w:tc>
                <w:tcPr>
                  <w:tcW w:w="518" w:type="pct"/>
                  <w:vAlign w:val="center"/>
                </w:tcPr>
                <w:p w14:paraId="61CE1AD9">
                  <w:pPr>
                    <w:jc w:val="center"/>
                    <w:rPr>
                      <w:color w:val="EE0000"/>
                      <w:sz w:val="18"/>
                      <w:szCs w:val="18"/>
                      <w:u w:val="single"/>
                    </w:rPr>
                  </w:pPr>
                  <w:r>
                    <w:rPr>
                      <w:color w:val="EE0000"/>
                      <w:sz w:val="18"/>
                      <w:szCs w:val="18"/>
                      <w:u w:val="single"/>
                    </w:rPr>
                    <w:t>0.013</w:t>
                  </w:r>
                </w:p>
              </w:tc>
              <w:tc>
                <w:tcPr>
                  <w:tcW w:w="516" w:type="pct"/>
                  <w:vAlign w:val="center"/>
                </w:tcPr>
                <w:p w14:paraId="3AE8EF78">
                  <w:pPr>
                    <w:jc w:val="center"/>
                    <w:rPr>
                      <w:color w:val="EE0000"/>
                      <w:sz w:val="18"/>
                      <w:szCs w:val="18"/>
                      <w:u w:val="single"/>
                    </w:rPr>
                  </w:pPr>
                  <w:r>
                    <w:rPr>
                      <w:color w:val="EE0000"/>
                      <w:sz w:val="18"/>
                      <w:szCs w:val="18"/>
                      <w:u w:val="single"/>
                    </w:rPr>
                    <w:t>0.0016</w:t>
                  </w:r>
                </w:p>
              </w:tc>
              <w:tc>
                <w:tcPr>
                  <w:tcW w:w="517" w:type="pct"/>
                  <w:vAlign w:val="center"/>
                </w:tcPr>
                <w:p w14:paraId="15379302">
                  <w:pPr>
                    <w:jc w:val="center"/>
                    <w:rPr>
                      <w:color w:val="EE0000"/>
                      <w:sz w:val="18"/>
                      <w:szCs w:val="18"/>
                      <w:u w:val="single"/>
                    </w:rPr>
                  </w:pPr>
                  <w:r>
                    <w:rPr>
                      <w:color w:val="EE0000"/>
                      <w:sz w:val="18"/>
                      <w:szCs w:val="18"/>
                      <w:u w:val="single"/>
                    </w:rPr>
                    <w:t>/</w:t>
                  </w:r>
                </w:p>
              </w:tc>
            </w:tr>
            <w:tr w14:paraId="6B7D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73" w:type="pct"/>
                  <w:vMerge w:val="continue"/>
                  <w:vAlign w:val="center"/>
                </w:tcPr>
                <w:p w14:paraId="3908724C">
                  <w:pPr>
                    <w:jc w:val="center"/>
                    <w:rPr>
                      <w:color w:val="EE0000"/>
                      <w:sz w:val="18"/>
                      <w:szCs w:val="18"/>
                      <w:u w:val="single"/>
                    </w:rPr>
                  </w:pPr>
                </w:p>
              </w:tc>
              <w:tc>
                <w:tcPr>
                  <w:tcW w:w="509" w:type="pct"/>
                  <w:vAlign w:val="center"/>
                </w:tcPr>
                <w:p w14:paraId="1415A3C8">
                  <w:pPr>
                    <w:jc w:val="center"/>
                    <w:rPr>
                      <w:color w:val="EE0000"/>
                      <w:sz w:val="18"/>
                      <w:szCs w:val="18"/>
                      <w:u w:val="single"/>
                    </w:rPr>
                  </w:pPr>
                  <w:r>
                    <w:rPr>
                      <w:color w:val="EE0000"/>
                      <w:sz w:val="18"/>
                      <w:szCs w:val="18"/>
                      <w:u w:val="single"/>
                    </w:rPr>
                    <w:t>硫化氢</w:t>
                  </w:r>
                </w:p>
              </w:tc>
              <w:tc>
                <w:tcPr>
                  <w:tcW w:w="495" w:type="pct"/>
                  <w:vAlign w:val="center"/>
                </w:tcPr>
                <w:p w14:paraId="1D38DECA">
                  <w:pPr>
                    <w:jc w:val="center"/>
                    <w:rPr>
                      <w:color w:val="EE0000"/>
                      <w:sz w:val="18"/>
                      <w:szCs w:val="18"/>
                      <w:u w:val="single"/>
                    </w:rPr>
                  </w:pPr>
                  <w:r>
                    <w:rPr>
                      <w:color w:val="EE0000"/>
                      <w:sz w:val="18"/>
                      <w:szCs w:val="18"/>
                      <w:u w:val="single"/>
                    </w:rPr>
                    <w:t>/</w:t>
                  </w:r>
                </w:p>
              </w:tc>
              <w:tc>
                <w:tcPr>
                  <w:tcW w:w="487" w:type="pct"/>
                  <w:vAlign w:val="center"/>
                </w:tcPr>
                <w:p w14:paraId="29C7A887">
                  <w:pPr>
                    <w:jc w:val="center"/>
                    <w:rPr>
                      <w:color w:val="EE0000"/>
                      <w:sz w:val="18"/>
                      <w:szCs w:val="18"/>
                      <w:u w:val="single"/>
                    </w:rPr>
                  </w:pPr>
                  <w:r>
                    <w:rPr>
                      <w:color w:val="EE0000"/>
                      <w:sz w:val="18"/>
                      <w:szCs w:val="18"/>
                      <w:u w:val="single"/>
                    </w:rPr>
                    <w:t>0.0014</w:t>
                  </w:r>
                </w:p>
              </w:tc>
              <w:tc>
                <w:tcPr>
                  <w:tcW w:w="510" w:type="pct"/>
                  <w:vAlign w:val="center"/>
                </w:tcPr>
                <w:p w14:paraId="6B98FEE9">
                  <w:pPr>
                    <w:jc w:val="center"/>
                    <w:rPr>
                      <w:color w:val="EE0000"/>
                      <w:sz w:val="18"/>
                      <w:szCs w:val="18"/>
                      <w:u w:val="single"/>
                    </w:rPr>
                  </w:pPr>
                  <w:r>
                    <w:rPr>
                      <w:color w:val="EE0000"/>
                      <w:sz w:val="18"/>
                      <w:szCs w:val="18"/>
                      <w:u w:val="single"/>
                    </w:rPr>
                    <w:t>0.00017</w:t>
                  </w:r>
                </w:p>
              </w:tc>
              <w:tc>
                <w:tcPr>
                  <w:tcW w:w="448" w:type="pct"/>
                  <w:vAlign w:val="center"/>
                </w:tcPr>
                <w:p w14:paraId="67780F80">
                  <w:pPr>
                    <w:jc w:val="center"/>
                    <w:rPr>
                      <w:color w:val="EE0000"/>
                      <w:sz w:val="18"/>
                      <w:szCs w:val="18"/>
                      <w:u w:val="single"/>
                    </w:rPr>
                  </w:pPr>
                  <w:r>
                    <w:rPr>
                      <w:color w:val="EE0000"/>
                      <w:sz w:val="18"/>
                      <w:szCs w:val="18"/>
                      <w:u w:val="single"/>
                    </w:rPr>
                    <w:t>/</w:t>
                  </w:r>
                </w:p>
              </w:tc>
              <w:tc>
                <w:tcPr>
                  <w:tcW w:w="627" w:type="pct"/>
                  <w:vAlign w:val="center"/>
                </w:tcPr>
                <w:p w14:paraId="03F7A035">
                  <w:pPr>
                    <w:jc w:val="center"/>
                    <w:rPr>
                      <w:color w:val="EE0000"/>
                      <w:sz w:val="18"/>
                      <w:szCs w:val="18"/>
                      <w:u w:val="single"/>
                    </w:rPr>
                  </w:pPr>
                  <w:r>
                    <w:rPr>
                      <w:color w:val="EE0000"/>
                      <w:sz w:val="18"/>
                      <w:szCs w:val="18"/>
                      <w:u w:val="single"/>
                    </w:rPr>
                    <w:t>/</w:t>
                  </w:r>
                </w:p>
              </w:tc>
              <w:tc>
                <w:tcPr>
                  <w:tcW w:w="518" w:type="pct"/>
                  <w:vAlign w:val="center"/>
                </w:tcPr>
                <w:p w14:paraId="4DC9CAA6">
                  <w:pPr>
                    <w:jc w:val="center"/>
                    <w:rPr>
                      <w:color w:val="EE0000"/>
                      <w:sz w:val="18"/>
                      <w:szCs w:val="18"/>
                      <w:u w:val="single"/>
                    </w:rPr>
                  </w:pPr>
                  <w:r>
                    <w:rPr>
                      <w:color w:val="EE0000"/>
                      <w:sz w:val="18"/>
                      <w:szCs w:val="18"/>
                      <w:u w:val="single"/>
                    </w:rPr>
                    <w:t>0.0014</w:t>
                  </w:r>
                </w:p>
              </w:tc>
              <w:tc>
                <w:tcPr>
                  <w:tcW w:w="516" w:type="pct"/>
                  <w:vAlign w:val="center"/>
                </w:tcPr>
                <w:p w14:paraId="51702163">
                  <w:pPr>
                    <w:jc w:val="center"/>
                    <w:rPr>
                      <w:color w:val="EE0000"/>
                      <w:sz w:val="18"/>
                      <w:szCs w:val="18"/>
                      <w:u w:val="single"/>
                    </w:rPr>
                  </w:pPr>
                  <w:r>
                    <w:rPr>
                      <w:color w:val="EE0000"/>
                      <w:sz w:val="18"/>
                      <w:szCs w:val="18"/>
                      <w:u w:val="single"/>
                    </w:rPr>
                    <w:t>0.00017</w:t>
                  </w:r>
                </w:p>
              </w:tc>
              <w:tc>
                <w:tcPr>
                  <w:tcW w:w="517" w:type="pct"/>
                  <w:vAlign w:val="center"/>
                </w:tcPr>
                <w:p w14:paraId="55BDC00F">
                  <w:pPr>
                    <w:jc w:val="center"/>
                    <w:rPr>
                      <w:color w:val="EE0000"/>
                      <w:sz w:val="18"/>
                      <w:szCs w:val="18"/>
                      <w:u w:val="single"/>
                    </w:rPr>
                  </w:pPr>
                  <w:r>
                    <w:rPr>
                      <w:color w:val="EE0000"/>
                      <w:sz w:val="18"/>
                      <w:szCs w:val="18"/>
                      <w:u w:val="single"/>
                    </w:rPr>
                    <w:t>/</w:t>
                  </w:r>
                </w:p>
              </w:tc>
            </w:tr>
          </w:tbl>
          <w:p w14:paraId="58B79E84">
            <w:pPr>
              <w:spacing w:line="480" w:lineRule="exact"/>
              <w:ind w:firstLine="480" w:firstLineChars="200"/>
              <w:rPr>
                <w:bCs/>
                <w:sz w:val="24"/>
                <w:lang w:bidi="ar"/>
              </w:rPr>
            </w:pPr>
            <w:r>
              <w:rPr>
                <w:bCs/>
                <w:sz w:val="24"/>
                <w:lang w:bidi="ar"/>
              </w:rPr>
              <w:t>由上表可知，本项目污泥储存过程恶臭污染物可以满足《恶臭污染物排放标准》（GB14554-93）二级标准要求（氨排放速率4.9kg/h，硫化氢排放速率0.33kg/h）达标排放。</w:t>
            </w:r>
          </w:p>
          <w:p w14:paraId="17490FE3">
            <w:pPr>
              <w:autoSpaceDE w:val="0"/>
              <w:autoSpaceDN w:val="0"/>
              <w:adjustRightInd w:val="0"/>
              <w:spacing w:line="500" w:lineRule="exact"/>
              <w:ind w:firstLine="480" w:firstLineChars="200"/>
              <w:jc w:val="left"/>
              <w:rPr>
                <w:kern w:val="0"/>
                <w:sz w:val="24"/>
              </w:rPr>
            </w:pPr>
            <w:r>
              <w:rPr>
                <w:kern w:val="0"/>
                <w:sz w:val="24"/>
              </w:rPr>
              <w:t>（5）脱硫剂入仓和出仓粉尘</w:t>
            </w:r>
          </w:p>
          <w:p w14:paraId="68F33A73">
            <w:pPr>
              <w:autoSpaceDE w:val="0"/>
              <w:autoSpaceDN w:val="0"/>
              <w:adjustRightInd w:val="0"/>
              <w:spacing w:line="500" w:lineRule="exact"/>
              <w:ind w:firstLine="480" w:firstLineChars="200"/>
              <w:jc w:val="left"/>
              <w:rPr>
                <w:color w:val="EE0000"/>
                <w:kern w:val="0"/>
                <w:sz w:val="24"/>
                <w:u w:val="single"/>
              </w:rPr>
            </w:pPr>
            <w:r>
              <w:rPr>
                <w:bCs/>
                <w:sz w:val="24"/>
                <w:lang w:bidi="ar"/>
              </w:rPr>
              <w:t>本项目窑炉烟气脱硫采用石灰-石膏法，所用脱硫剂为石灰粉，采用筒仓储存。本项目在脱硫塔处设置1个石灰粉筒仓，石灰仓采用密闭罐车运送至厂区后，通过气力输送管道输送至筒仓，在配制石灰粉浆料时通过气力输送管道密闭输送至搅拌罐。由此可知，石灰粉在气力输送入仓和出仓过程中均会产生粉尘。参考《逸散性工业粉尘控制技术》中第三章“石灰厂逸散尘排放因子”，石灰粉入仓、出仓时颗粒物产生系数为 0.05kg/t-石灰。本项目石灰粉用量约为</w:t>
            </w:r>
            <w:r>
              <w:rPr>
                <w:color w:val="EE0000"/>
                <w:kern w:val="0"/>
                <w:sz w:val="24"/>
                <w:u w:val="single"/>
              </w:rPr>
              <w:t>1100t/a，经核算，石灰粉在入仓和出仓过程中颗粒物产生量约为0.11t/a。根据企业提供资料，气力输送能力为</w:t>
            </w:r>
            <w:bookmarkStart w:id="32" w:name="_Hlk219472394"/>
            <w:r>
              <w:rPr>
                <w:color w:val="EE0000"/>
                <w:kern w:val="0"/>
                <w:sz w:val="24"/>
                <w:u w:val="single"/>
              </w:rPr>
              <w:t>10t/h，输送风量控制在25m</w:t>
            </w:r>
            <w:r>
              <w:rPr>
                <w:color w:val="EE0000"/>
                <w:kern w:val="0"/>
                <w:sz w:val="24"/>
                <w:u w:val="single"/>
                <w:vertAlign w:val="superscript"/>
              </w:rPr>
              <w:t>3</w:t>
            </w:r>
            <w:r>
              <w:rPr>
                <w:color w:val="EE0000"/>
                <w:kern w:val="0"/>
                <w:sz w:val="24"/>
                <w:u w:val="single"/>
              </w:rPr>
              <w:t>/min左右，</w:t>
            </w:r>
            <w:bookmarkEnd w:id="32"/>
            <w:r>
              <w:rPr>
                <w:color w:val="EE0000"/>
                <w:kern w:val="0"/>
                <w:sz w:val="24"/>
                <w:u w:val="single"/>
              </w:rPr>
              <w:t>则石灰粉入仓、出仓年累计运行时间为220h。本项目现有1座石灰粉筒仓，仓顶设置1台仓顶除尘器，石灰粉入仓、出仓粉尘经仓顶除尘器处理后，通过不低于15m高排气筒DA006排放。</w:t>
            </w:r>
          </w:p>
          <w:p w14:paraId="56163673">
            <w:pPr>
              <w:autoSpaceDE w:val="0"/>
              <w:autoSpaceDN w:val="0"/>
              <w:adjustRightInd w:val="0"/>
              <w:spacing w:line="500" w:lineRule="exact"/>
              <w:ind w:firstLine="240" w:firstLineChars="100"/>
              <w:jc w:val="center"/>
              <w:rPr>
                <w:kern w:val="0"/>
                <w:sz w:val="24"/>
              </w:rPr>
            </w:pPr>
            <w:r>
              <w:rPr>
                <w:rFonts w:eastAsia="黑体"/>
                <w:kern w:val="0"/>
                <w:sz w:val="24"/>
              </w:rPr>
              <w:t>表4-13      石灰粉入仓和出仓环节颗粒物产排情况</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846"/>
              <w:gridCol w:w="848"/>
              <w:gridCol w:w="845"/>
              <w:gridCol w:w="987"/>
              <w:gridCol w:w="1270"/>
              <w:gridCol w:w="764"/>
              <w:gridCol w:w="721"/>
              <w:gridCol w:w="858"/>
            </w:tblGrid>
            <w:tr w14:paraId="4CED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681" w:type="pct"/>
                  <w:vAlign w:val="center"/>
                </w:tcPr>
                <w:p w14:paraId="2D33D077">
                  <w:pPr>
                    <w:jc w:val="center"/>
                    <w:rPr>
                      <w:color w:val="EE0000"/>
                      <w:sz w:val="18"/>
                      <w:szCs w:val="18"/>
                      <w:u w:val="single"/>
                    </w:rPr>
                  </w:pPr>
                  <w:r>
                    <w:rPr>
                      <w:color w:val="EE0000"/>
                      <w:sz w:val="18"/>
                      <w:szCs w:val="18"/>
                      <w:u w:val="single"/>
                    </w:rPr>
                    <w:t>产污环节</w:t>
                  </w:r>
                </w:p>
              </w:tc>
              <w:tc>
                <w:tcPr>
                  <w:tcW w:w="512" w:type="pct"/>
                  <w:vAlign w:val="center"/>
                </w:tcPr>
                <w:p w14:paraId="37D13448">
                  <w:pPr>
                    <w:jc w:val="center"/>
                    <w:rPr>
                      <w:color w:val="EE0000"/>
                      <w:sz w:val="18"/>
                      <w:szCs w:val="18"/>
                      <w:u w:val="single"/>
                    </w:rPr>
                  </w:pPr>
                  <w:r>
                    <w:rPr>
                      <w:color w:val="EE0000"/>
                      <w:sz w:val="18"/>
                      <w:szCs w:val="18"/>
                      <w:u w:val="single"/>
                    </w:rPr>
                    <w:t>废气量m</w:t>
                  </w:r>
                  <w:r>
                    <w:rPr>
                      <w:color w:val="EE0000"/>
                      <w:sz w:val="18"/>
                      <w:szCs w:val="18"/>
                      <w:u w:val="single"/>
                      <w:vertAlign w:val="superscript"/>
                    </w:rPr>
                    <w:t>3</w:t>
                  </w:r>
                  <w:r>
                    <w:rPr>
                      <w:color w:val="EE0000"/>
                      <w:sz w:val="18"/>
                      <w:szCs w:val="18"/>
                      <w:u w:val="single"/>
                    </w:rPr>
                    <w:t>/h</w:t>
                  </w:r>
                </w:p>
              </w:tc>
              <w:tc>
                <w:tcPr>
                  <w:tcW w:w="513" w:type="pct"/>
                  <w:vAlign w:val="center"/>
                </w:tcPr>
                <w:p w14:paraId="6FCF79D5">
                  <w:pPr>
                    <w:jc w:val="center"/>
                    <w:rPr>
                      <w:color w:val="EE0000"/>
                      <w:sz w:val="18"/>
                      <w:szCs w:val="18"/>
                      <w:u w:val="single"/>
                    </w:rPr>
                  </w:pPr>
                  <w:r>
                    <w:rPr>
                      <w:color w:val="EE0000"/>
                      <w:sz w:val="18"/>
                      <w:szCs w:val="18"/>
                      <w:u w:val="single"/>
                    </w:rPr>
                    <w:t>产生量</w:t>
                  </w:r>
                </w:p>
                <w:p w14:paraId="0581CBC1">
                  <w:pPr>
                    <w:jc w:val="center"/>
                    <w:rPr>
                      <w:color w:val="EE0000"/>
                      <w:sz w:val="18"/>
                      <w:szCs w:val="18"/>
                      <w:u w:val="single"/>
                    </w:rPr>
                  </w:pPr>
                  <w:r>
                    <w:rPr>
                      <w:color w:val="EE0000"/>
                      <w:sz w:val="18"/>
                      <w:szCs w:val="18"/>
                      <w:u w:val="single"/>
                    </w:rPr>
                    <w:t>t/a</w:t>
                  </w:r>
                </w:p>
              </w:tc>
              <w:tc>
                <w:tcPr>
                  <w:tcW w:w="511" w:type="pct"/>
                  <w:vAlign w:val="center"/>
                </w:tcPr>
                <w:p w14:paraId="5F7269D4">
                  <w:pPr>
                    <w:jc w:val="center"/>
                    <w:rPr>
                      <w:color w:val="EE0000"/>
                      <w:sz w:val="18"/>
                      <w:szCs w:val="18"/>
                      <w:u w:val="single"/>
                    </w:rPr>
                  </w:pPr>
                  <w:r>
                    <w:rPr>
                      <w:color w:val="EE0000"/>
                      <w:sz w:val="18"/>
                      <w:szCs w:val="18"/>
                      <w:u w:val="single"/>
                    </w:rPr>
                    <w:t>产生</w:t>
                  </w:r>
                </w:p>
                <w:p w14:paraId="4352C521">
                  <w:pPr>
                    <w:jc w:val="center"/>
                    <w:rPr>
                      <w:color w:val="EE0000"/>
                      <w:sz w:val="18"/>
                      <w:szCs w:val="18"/>
                      <w:u w:val="single"/>
                    </w:rPr>
                  </w:pPr>
                  <w:r>
                    <w:rPr>
                      <w:color w:val="EE0000"/>
                      <w:sz w:val="18"/>
                      <w:szCs w:val="18"/>
                      <w:u w:val="single"/>
                    </w:rPr>
                    <w:t>速率kg/h</w:t>
                  </w:r>
                </w:p>
              </w:tc>
              <w:tc>
                <w:tcPr>
                  <w:tcW w:w="597" w:type="pct"/>
                  <w:vAlign w:val="center"/>
                </w:tcPr>
                <w:p w14:paraId="59615808">
                  <w:pPr>
                    <w:jc w:val="center"/>
                    <w:rPr>
                      <w:color w:val="EE0000"/>
                      <w:sz w:val="18"/>
                      <w:szCs w:val="18"/>
                      <w:u w:val="single"/>
                    </w:rPr>
                  </w:pPr>
                  <w:r>
                    <w:rPr>
                      <w:color w:val="EE0000"/>
                      <w:sz w:val="18"/>
                      <w:szCs w:val="18"/>
                      <w:u w:val="single"/>
                    </w:rPr>
                    <w:t>产生浓度</w:t>
                  </w:r>
                </w:p>
                <w:p w14:paraId="067B0AF8">
                  <w:pPr>
                    <w:jc w:val="center"/>
                    <w:rPr>
                      <w:color w:val="EE0000"/>
                      <w:sz w:val="18"/>
                      <w:szCs w:val="18"/>
                      <w:u w:val="single"/>
                    </w:rPr>
                  </w:pPr>
                  <w:r>
                    <w:rPr>
                      <w:color w:val="EE0000"/>
                      <w:sz w:val="18"/>
                      <w:szCs w:val="18"/>
                      <w:u w:val="single"/>
                    </w:rPr>
                    <w:t>mg/m</w:t>
                  </w:r>
                  <w:r>
                    <w:rPr>
                      <w:color w:val="EE0000"/>
                      <w:sz w:val="18"/>
                      <w:szCs w:val="18"/>
                      <w:u w:val="single"/>
                      <w:vertAlign w:val="superscript"/>
                    </w:rPr>
                    <w:t>3</w:t>
                  </w:r>
                </w:p>
              </w:tc>
              <w:tc>
                <w:tcPr>
                  <w:tcW w:w="768" w:type="pct"/>
                  <w:vAlign w:val="center"/>
                </w:tcPr>
                <w:p w14:paraId="39607A53">
                  <w:pPr>
                    <w:jc w:val="center"/>
                    <w:rPr>
                      <w:color w:val="EE0000"/>
                      <w:sz w:val="18"/>
                      <w:szCs w:val="18"/>
                      <w:u w:val="single"/>
                    </w:rPr>
                  </w:pPr>
                  <w:r>
                    <w:rPr>
                      <w:color w:val="EE0000"/>
                      <w:sz w:val="18"/>
                      <w:szCs w:val="18"/>
                      <w:u w:val="single"/>
                    </w:rPr>
                    <w:t>处理</w:t>
                  </w:r>
                </w:p>
                <w:p w14:paraId="45419EC4">
                  <w:pPr>
                    <w:jc w:val="center"/>
                    <w:rPr>
                      <w:color w:val="EE0000"/>
                      <w:sz w:val="18"/>
                      <w:szCs w:val="18"/>
                      <w:u w:val="single"/>
                    </w:rPr>
                  </w:pPr>
                  <w:r>
                    <w:rPr>
                      <w:color w:val="EE0000"/>
                      <w:sz w:val="18"/>
                      <w:szCs w:val="18"/>
                      <w:u w:val="single"/>
                    </w:rPr>
                    <w:t>措施</w:t>
                  </w:r>
                </w:p>
              </w:tc>
              <w:tc>
                <w:tcPr>
                  <w:tcW w:w="462" w:type="pct"/>
                  <w:vAlign w:val="center"/>
                </w:tcPr>
                <w:p w14:paraId="01748C2A">
                  <w:pPr>
                    <w:jc w:val="center"/>
                    <w:rPr>
                      <w:color w:val="EE0000"/>
                      <w:sz w:val="18"/>
                      <w:szCs w:val="18"/>
                      <w:u w:val="single"/>
                    </w:rPr>
                  </w:pPr>
                  <w:r>
                    <w:rPr>
                      <w:color w:val="EE0000"/>
                      <w:sz w:val="18"/>
                      <w:szCs w:val="18"/>
                      <w:u w:val="single"/>
                    </w:rPr>
                    <w:t>排放量</w:t>
                  </w:r>
                </w:p>
                <w:p w14:paraId="6F31DB41">
                  <w:pPr>
                    <w:jc w:val="center"/>
                    <w:rPr>
                      <w:color w:val="EE0000"/>
                      <w:sz w:val="18"/>
                      <w:szCs w:val="18"/>
                      <w:u w:val="single"/>
                    </w:rPr>
                  </w:pPr>
                  <w:r>
                    <w:rPr>
                      <w:color w:val="EE0000"/>
                      <w:sz w:val="18"/>
                      <w:szCs w:val="18"/>
                      <w:u w:val="single"/>
                    </w:rPr>
                    <w:t>t/a</w:t>
                  </w:r>
                </w:p>
              </w:tc>
              <w:tc>
                <w:tcPr>
                  <w:tcW w:w="436" w:type="pct"/>
                  <w:vAlign w:val="center"/>
                </w:tcPr>
                <w:p w14:paraId="66B54F10">
                  <w:pPr>
                    <w:jc w:val="center"/>
                    <w:rPr>
                      <w:color w:val="EE0000"/>
                      <w:sz w:val="18"/>
                      <w:szCs w:val="18"/>
                      <w:u w:val="single"/>
                    </w:rPr>
                  </w:pPr>
                  <w:r>
                    <w:rPr>
                      <w:color w:val="EE0000"/>
                      <w:sz w:val="18"/>
                      <w:szCs w:val="18"/>
                      <w:u w:val="single"/>
                    </w:rPr>
                    <w:t>排放</w:t>
                  </w:r>
                </w:p>
                <w:p w14:paraId="54A70755">
                  <w:pPr>
                    <w:jc w:val="center"/>
                    <w:rPr>
                      <w:color w:val="EE0000"/>
                      <w:sz w:val="18"/>
                      <w:szCs w:val="18"/>
                      <w:u w:val="single"/>
                    </w:rPr>
                  </w:pPr>
                  <w:r>
                    <w:rPr>
                      <w:color w:val="EE0000"/>
                      <w:sz w:val="18"/>
                      <w:szCs w:val="18"/>
                      <w:u w:val="single"/>
                    </w:rPr>
                    <w:t>速率kg/h</w:t>
                  </w:r>
                </w:p>
              </w:tc>
              <w:tc>
                <w:tcPr>
                  <w:tcW w:w="519" w:type="pct"/>
                  <w:vAlign w:val="center"/>
                </w:tcPr>
                <w:p w14:paraId="26D11EA6">
                  <w:pPr>
                    <w:jc w:val="center"/>
                    <w:rPr>
                      <w:color w:val="EE0000"/>
                      <w:sz w:val="18"/>
                      <w:szCs w:val="18"/>
                      <w:u w:val="single"/>
                    </w:rPr>
                  </w:pPr>
                  <w:r>
                    <w:rPr>
                      <w:color w:val="EE0000"/>
                      <w:sz w:val="18"/>
                      <w:szCs w:val="18"/>
                      <w:u w:val="single"/>
                    </w:rPr>
                    <w:t>排放</w:t>
                  </w:r>
                </w:p>
                <w:p w14:paraId="3F9186D1">
                  <w:pPr>
                    <w:jc w:val="center"/>
                    <w:rPr>
                      <w:color w:val="EE0000"/>
                      <w:sz w:val="18"/>
                      <w:szCs w:val="18"/>
                      <w:u w:val="single"/>
                    </w:rPr>
                  </w:pPr>
                  <w:r>
                    <w:rPr>
                      <w:color w:val="EE0000"/>
                      <w:sz w:val="18"/>
                      <w:szCs w:val="18"/>
                      <w:u w:val="single"/>
                    </w:rPr>
                    <w:t>浓度mg/m</w:t>
                  </w:r>
                  <w:r>
                    <w:rPr>
                      <w:color w:val="EE0000"/>
                      <w:sz w:val="18"/>
                      <w:szCs w:val="18"/>
                      <w:u w:val="single"/>
                      <w:vertAlign w:val="superscript"/>
                    </w:rPr>
                    <w:t>3</w:t>
                  </w:r>
                </w:p>
              </w:tc>
            </w:tr>
            <w:tr w14:paraId="5F97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81" w:type="pct"/>
                  <w:vAlign w:val="center"/>
                </w:tcPr>
                <w:p w14:paraId="5E09CBE1">
                  <w:pPr>
                    <w:jc w:val="center"/>
                    <w:rPr>
                      <w:color w:val="EE0000"/>
                      <w:sz w:val="18"/>
                      <w:szCs w:val="18"/>
                      <w:u w:val="single"/>
                    </w:rPr>
                  </w:pPr>
                  <w:r>
                    <w:rPr>
                      <w:color w:val="EE0000"/>
                      <w:sz w:val="18"/>
                      <w:szCs w:val="18"/>
                      <w:u w:val="single"/>
                    </w:rPr>
                    <w:t>石灰粉出入仓颗粒物</w:t>
                  </w:r>
                </w:p>
              </w:tc>
              <w:tc>
                <w:tcPr>
                  <w:tcW w:w="512" w:type="pct"/>
                  <w:vAlign w:val="center"/>
                </w:tcPr>
                <w:p w14:paraId="38DF5FCA">
                  <w:pPr>
                    <w:jc w:val="center"/>
                    <w:rPr>
                      <w:color w:val="EE0000"/>
                      <w:sz w:val="18"/>
                      <w:szCs w:val="18"/>
                      <w:u w:val="single"/>
                    </w:rPr>
                  </w:pPr>
                  <w:r>
                    <w:rPr>
                      <w:color w:val="EE0000"/>
                      <w:sz w:val="18"/>
                      <w:szCs w:val="18"/>
                      <w:u w:val="single"/>
                    </w:rPr>
                    <w:t>1500</w:t>
                  </w:r>
                </w:p>
              </w:tc>
              <w:tc>
                <w:tcPr>
                  <w:tcW w:w="513" w:type="pct"/>
                  <w:vAlign w:val="center"/>
                </w:tcPr>
                <w:p w14:paraId="6C6A952F">
                  <w:pPr>
                    <w:jc w:val="center"/>
                    <w:rPr>
                      <w:color w:val="EE0000"/>
                      <w:sz w:val="18"/>
                      <w:szCs w:val="18"/>
                      <w:u w:val="single"/>
                    </w:rPr>
                  </w:pPr>
                  <w:r>
                    <w:rPr>
                      <w:color w:val="EE0000"/>
                      <w:sz w:val="18"/>
                      <w:szCs w:val="18"/>
                      <w:u w:val="single"/>
                    </w:rPr>
                    <w:t>0.11</w:t>
                  </w:r>
                </w:p>
              </w:tc>
              <w:tc>
                <w:tcPr>
                  <w:tcW w:w="511" w:type="pct"/>
                  <w:vAlign w:val="center"/>
                </w:tcPr>
                <w:p w14:paraId="4FEA0CE2">
                  <w:pPr>
                    <w:jc w:val="center"/>
                    <w:rPr>
                      <w:color w:val="EE0000"/>
                      <w:sz w:val="18"/>
                      <w:szCs w:val="18"/>
                      <w:u w:val="single"/>
                    </w:rPr>
                  </w:pPr>
                  <w:r>
                    <w:rPr>
                      <w:color w:val="EE0000"/>
                      <w:sz w:val="18"/>
                      <w:szCs w:val="18"/>
                      <w:u w:val="single"/>
                    </w:rPr>
                    <w:t>0.5</w:t>
                  </w:r>
                </w:p>
              </w:tc>
              <w:tc>
                <w:tcPr>
                  <w:tcW w:w="597" w:type="pct"/>
                  <w:vAlign w:val="center"/>
                </w:tcPr>
                <w:p w14:paraId="60FD07A7">
                  <w:pPr>
                    <w:jc w:val="center"/>
                    <w:rPr>
                      <w:color w:val="EE0000"/>
                      <w:sz w:val="18"/>
                      <w:szCs w:val="18"/>
                      <w:u w:val="single"/>
                    </w:rPr>
                  </w:pPr>
                  <w:r>
                    <w:rPr>
                      <w:color w:val="EE0000"/>
                      <w:sz w:val="18"/>
                      <w:szCs w:val="18"/>
                      <w:u w:val="single"/>
                    </w:rPr>
                    <w:t>333.3</w:t>
                  </w:r>
                </w:p>
              </w:tc>
              <w:tc>
                <w:tcPr>
                  <w:tcW w:w="768" w:type="pct"/>
                  <w:vAlign w:val="center"/>
                </w:tcPr>
                <w:p w14:paraId="661B6B6E">
                  <w:pPr>
                    <w:jc w:val="center"/>
                    <w:rPr>
                      <w:color w:val="EE0000"/>
                      <w:sz w:val="18"/>
                      <w:szCs w:val="18"/>
                      <w:u w:val="single"/>
                    </w:rPr>
                  </w:pPr>
                  <w:r>
                    <w:rPr>
                      <w:color w:val="EE0000"/>
                      <w:sz w:val="18"/>
                      <w:szCs w:val="18"/>
                      <w:u w:val="single"/>
                    </w:rPr>
                    <w:t>1座仓顶除尘器+DA006</w:t>
                  </w:r>
                </w:p>
              </w:tc>
              <w:tc>
                <w:tcPr>
                  <w:tcW w:w="462" w:type="pct"/>
                  <w:vAlign w:val="center"/>
                </w:tcPr>
                <w:p w14:paraId="44F54C07">
                  <w:pPr>
                    <w:jc w:val="center"/>
                    <w:rPr>
                      <w:color w:val="EE0000"/>
                      <w:sz w:val="18"/>
                      <w:szCs w:val="18"/>
                      <w:u w:val="single"/>
                    </w:rPr>
                  </w:pPr>
                  <w:r>
                    <w:rPr>
                      <w:color w:val="EE0000"/>
                      <w:sz w:val="18"/>
                      <w:szCs w:val="18"/>
                      <w:u w:val="single"/>
                    </w:rPr>
                    <w:t>0.0022</w:t>
                  </w:r>
                </w:p>
              </w:tc>
              <w:tc>
                <w:tcPr>
                  <w:tcW w:w="436" w:type="pct"/>
                  <w:vAlign w:val="center"/>
                </w:tcPr>
                <w:p w14:paraId="1172860F">
                  <w:pPr>
                    <w:jc w:val="center"/>
                    <w:rPr>
                      <w:color w:val="EE0000"/>
                      <w:sz w:val="18"/>
                      <w:szCs w:val="18"/>
                      <w:u w:val="single"/>
                    </w:rPr>
                  </w:pPr>
                  <w:r>
                    <w:rPr>
                      <w:color w:val="EE0000"/>
                      <w:sz w:val="18"/>
                      <w:szCs w:val="18"/>
                      <w:u w:val="single"/>
                    </w:rPr>
                    <w:t>0.01</w:t>
                  </w:r>
                </w:p>
              </w:tc>
              <w:tc>
                <w:tcPr>
                  <w:tcW w:w="519" w:type="pct"/>
                  <w:vAlign w:val="center"/>
                </w:tcPr>
                <w:p w14:paraId="718D94EF">
                  <w:pPr>
                    <w:jc w:val="center"/>
                    <w:rPr>
                      <w:color w:val="EE0000"/>
                      <w:sz w:val="18"/>
                      <w:szCs w:val="18"/>
                      <w:u w:val="single"/>
                    </w:rPr>
                  </w:pPr>
                  <w:r>
                    <w:rPr>
                      <w:color w:val="EE0000"/>
                      <w:sz w:val="18"/>
                      <w:szCs w:val="18"/>
                      <w:u w:val="single"/>
                    </w:rPr>
                    <w:t>6.67</w:t>
                  </w:r>
                </w:p>
              </w:tc>
            </w:tr>
          </w:tbl>
          <w:p w14:paraId="53A7B199">
            <w:pPr>
              <w:autoSpaceDE w:val="0"/>
              <w:autoSpaceDN w:val="0"/>
              <w:adjustRightInd w:val="0"/>
              <w:spacing w:line="500" w:lineRule="exact"/>
              <w:ind w:firstLine="480" w:firstLineChars="200"/>
              <w:jc w:val="left"/>
              <w:rPr>
                <w:kern w:val="0"/>
                <w:sz w:val="24"/>
              </w:rPr>
            </w:pPr>
            <w:r>
              <w:rPr>
                <w:kern w:val="0"/>
                <w:sz w:val="24"/>
              </w:rPr>
              <w:t>（6）物料装卸粉尘</w:t>
            </w:r>
          </w:p>
          <w:p w14:paraId="63552787">
            <w:pPr>
              <w:autoSpaceDE w:val="0"/>
              <w:autoSpaceDN w:val="0"/>
              <w:adjustRightInd w:val="0"/>
              <w:spacing w:line="520" w:lineRule="exact"/>
              <w:ind w:firstLine="480" w:firstLineChars="200"/>
              <w:jc w:val="left"/>
              <w:rPr>
                <w:kern w:val="0"/>
                <w:sz w:val="24"/>
              </w:rPr>
            </w:pPr>
            <w:r>
              <w:rPr>
                <w:kern w:val="0"/>
                <w:sz w:val="24"/>
              </w:rPr>
              <w:t xml:space="preserve">本项目生产原料煤矸石和页岩采用密闭汽车运输，车辆进厂后直接进入全封闭原料仓库，在封闭原料仓库内完成汽车卸料和物料储存作业，厂区不设置露天堆场。物料在汽车卸料，铲车送料上堆和取料过程中均会产生粉尘。 </w:t>
            </w:r>
          </w:p>
          <w:p w14:paraId="54DA43ED">
            <w:pPr>
              <w:autoSpaceDE w:val="0"/>
              <w:autoSpaceDN w:val="0"/>
              <w:adjustRightInd w:val="0"/>
              <w:spacing w:line="520" w:lineRule="exact"/>
              <w:ind w:firstLine="480" w:firstLineChars="200"/>
              <w:jc w:val="left"/>
              <w:rPr>
                <w:kern w:val="0"/>
                <w:sz w:val="24"/>
              </w:rPr>
            </w:pPr>
            <w:r>
              <w:rPr>
                <w:kern w:val="0"/>
                <w:sz w:val="24"/>
              </w:rPr>
              <w:t>本项目陈化库为密闭车间，原料采用密闭皮带廊道输送，原料在陈化库内卸料和取料过程中均会产生粉尘。</w:t>
            </w:r>
          </w:p>
          <w:p w14:paraId="546CCBCA">
            <w:pPr>
              <w:autoSpaceDE w:val="0"/>
              <w:autoSpaceDN w:val="0"/>
              <w:adjustRightInd w:val="0"/>
              <w:spacing w:line="520" w:lineRule="exact"/>
              <w:ind w:firstLine="480" w:firstLineChars="200"/>
              <w:jc w:val="left"/>
              <w:rPr>
                <w:kern w:val="0"/>
                <w:sz w:val="24"/>
              </w:rPr>
            </w:pPr>
            <w:r>
              <w:rPr>
                <w:kern w:val="0"/>
                <w:sz w:val="24"/>
              </w:rPr>
              <w:t>本项目产品在隧道窑烧成过程中表面会携带灰尘，因此，产品在装卸过程中会产生粉尘。</w:t>
            </w:r>
          </w:p>
          <w:p w14:paraId="6CD2E56A">
            <w:pPr>
              <w:autoSpaceDE w:val="0"/>
              <w:autoSpaceDN w:val="0"/>
              <w:adjustRightInd w:val="0"/>
              <w:spacing w:line="500" w:lineRule="exact"/>
              <w:ind w:firstLine="480" w:firstLineChars="200"/>
              <w:jc w:val="left"/>
              <w:rPr>
                <w:kern w:val="0"/>
                <w:sz w:val="24"/>
              </w:rPr>
            </w:pPr>
            <w:r>
              <w:rPr>
                <w:kern w:val="0"/>
                <w:sz w:val="24"/>
              </w:rPr>
              <w:t>根据《逸散性工业粉尘控制技术》中“第二十章 砖和粘土产品制造厂”中逸散尘排放因子，汽车卸料时颗粒物产生系数为 0.02kg/t-卸料，同时参考“第十八章 料粒加工厂”中逸散尘排放因子，物料在储存环节送料上堆时颗粒物产生系数为0.0029kg/t-进料，铲车取料时颗粒物产生系数为0.006kg/t-装料；皮带输送机卸料时颗粒物产生系数为0.0029kg/t-进料；产品装卸时颗粒物产生系数为 0.006kg/t-搬运料。</w:t>
            </w:r>
          </w:p>
          <w:p w14:paraId="71B7F5F6">
            <w:pPr>
              <w:autoSpaceDE w:val="0"/>
              <w:autoSpaceDN w:val="0"/>
              <w:adjustRightInd w:val="0"/>
              <w:spacing w:line="500" w:lineRule="exact"/>
              <w:ind w:firstLine="240" w:firstLineChars="100"/>
              <w:jc w:val="center"/>
              <w:rPr>
                <w:kern w:val="0"/>
                <w:sz w:val="24"/>
              </w:rPr>
            </w:pPr>
            <w:r>
              <w:rPr>
                <w:rFonts w:eastAsia="黑体"/>
                <w:kern w:val="0"/>
                <w:sz w:val="24"/>
              </w:rPr>
              <w:t>表4-14      本项目物料装卸过程中颗粒物产生情况</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42"/>
              <w:gridCol w:w="1144"/>
              <w:gridCol w:w="1853"/>
              <w:gridCol w:w="1855"/>
              <w:gridCol w:w="1580"/>
            </w:tblGrid>
            <w:tr w14:paraId="545F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63D248">
                  <w:pPr>
                    <w:adjustRightInd w:val="0"/>
                    <w:snapToGrid w:val="0"/>
                    <w:spacing w:line="320" w:lineRule="exact"/>
                    <w:jc w:val="center"/>
                    <w:rPr>
                      <w:szCs w:val="21"/>
                    </w:rPr>
                  </w:pPr>
                  <w:r>
                    <w:rPr>
                      <w:szCs w:val="21"/>
                    </w:rPr>
                    <w:t>序号</w:t>
                  </w:r>
                </w:p>
              </w:tc>
              <w:tc>
                <w:tcPr>
                  <w:tcW w:w="691" w:type="pct"/>
                  <w:vAlign w:val="center"/>
                </w:tcPr>
                <w:p w14:paraId="4586EDFF">
                  <w:pPr>
                    <w:adjustRightInd w:val="0"/>
                    <w:snapToGrid w:val="0"/>
                    <w:spacing w:line="320" w:lineRule="exact"/>
                    <w:jc w:val="center"/>
                    <w:rPr>
                      <w:szCs w:val="21"/>
                    </w:rPr>
                  </w:pPr>
                  <w:r>
                    <w:rPr>
                      <w:szCs w:val="21"/>
                    </w:rPr>
                    <w:t>粉尘来源</w:t>
                  </w:r>
                </w:p>
              </w:tc>
              <w:tc>
                <w:tcPr>
                  <w:tcW w:w="692" w:type="pct"/>
                  <w:vAlign w:val="center"/>
                </w:tcPr>
                <w:p w14:paraId="6465214F">
                  <w:pPr>
                    <w:adjustRightInd w:val="0"/>
                    <w:snapToGrid w:val="0"/>
                    <w:spacing w:line="320" w:lineRule="exact"/>
                    <w:jc w:val="center"/>
                    <w:rPr>
                      <w:szCs w:val="21"/>
                    </w:rPr>
                  </w:pPr>
                  <w:r>
                    <w:rPr>
                      <w:szCs w:val="21"/>
                    </w:rPr>
                    <w:t>产污环节</w:t>
                  </w:r>
                </w:p>
              </w:tc>
              <w:tc>
                <w:tcPr>
                  <w:tcW w:w="1121" w:type="pct"/>
                  <w:vAlign w:val="center"/>
                </w:tcPr>
                <w:p w14:paraId="16BBAD17">
                  <w:pPr>
                    <w:adjustRightInd w:val="0"/>
                    <w:snapToGrid w:val="0"/>
                    <w:spacing w:line="320" w:lineRule="exact"/>
                    <w:jc w:val="center"/>
                    <w:rPr>
                      <w:szCs w:val="21"/>
                    </w:rPr>
                  </w:pPr>
                  <w:r>
                    <w:rPr>
                      <w:szCs w:val="21"/>
                    </w:rPr>
                    <w:t>物料量（万t/a）</w:t>
                  </w:r>
                </w:p>
              </w:tc>
              <w:tc>
                <w:tcPr>
                  <w:tcW w:w="1122" w:type="pct"/>
                  <w:vAlign w:val="center"/>
                </w:tcPr>
                <w:p w14:paraId="38EC1995">
                  <w:pPr>
                    <w:adjustRightInd w:val="0"/>
                    <w:snapToGrid w:val="0"/>
                    <w:spacing w:line="320" w:lineRule="exact"/>
                    <w:jc w:val="center"/>
                    <w:rPr>
                      <w:szCs w:val="21"/>
                    </w:rPr>
                  </w:pPr>
                  <w:r>
                    <w:rPr>
                      <w:szCs w:val="21"/>
                    </w:rPr>
                    <w:t>产尘系数</w:t>
                  </w:r>
                </w:p>
              </w:tc>
              <w:tc>
                <w:tcPr>
                  <w:tcW w:w="956" w:type="pct"/>
                  <w:vAlign w:val="center"/>
                </w:tcPr>
                <w:p w14:paraId="549E34E1">
                  <w:pPr>
                    <w:adjustRightInd w:val="0"/>
                    <w:snapToGrid w:val="0"/>
                    <w:spacing w:line="320" w:lineRule="exact"/>
                    <w:jc w:val="center"/>
                    <w:rPr>
                      <w:szCs w:val="21"/>
                    </w:rPr>
                  </w:pPr>
                  <w:r>
                    <w:rPr>
                      <w:szCs w:val="21"/>
                    </w:rPr>
                    <w:t>产尘量（t/a）</w:t>
                  </w:r>
                </w:p>
              </w:tc>
            </w:tr>
            <w:tr w14:paraId="1A13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18" w:type="pct"/>
                  <w:vMerge w:val="restart"/>
                  <w:vAlign w:val="center"/>
                </w:tcPr>
                <w:p w14:paraId="70DA7625">
                  <w:pPr>
                    <w:adjustRightInd w:val="0"/>
                    <w:snapToGrid w:val="0"/>
                    <w:spacing w:line="320" w:lineRule="exact"/>
                    <w:jc w:val="center"/>
                    <w:rPr>
                      <w:szCs w:val="21"/>
                    </w:rPr>
                  </w:pPr>
                  <w:r>
                    <w:rPr>
                      <w:szCs w:val="21"/>
                    </w:rPr>
                    <w:t>1</w:t>
                  </w:r>
                </w:p>
              </w:tc>
              <w:tc>
                <w:tcPr>
                  <w:tcW w:w="691" w:type="pct"/>
                  <w:vMerge w:val="restart"/>
                  <w:vAlign w:val="center"/>
                </w:tcPr>
                <w:p w14:paraId="07F36454">
                  <w:pPr>
                    <w:adjustRightInd w:val="0"/>
                    <w:snapToGrid w:val="0"/>
                    <w:spacing w:line="320" w:lineRule="exact"/>
                    <w:jc w:val="center"/>
                    <w:rPr>
                      <w:szCs w:val="21"/>
                    </w:rPr>
                  </w:pPr>
                  <w:r>
                    <w:rPr>
                      <w:szCs w:val="21"/>
                    </w:rPr>
                    <w:t>原料仓库</w:t>
                  </w:r>
                </w:p>
              </w:tc>
              <w:tc>
                <w:tcPr>
                  <w:tcW w:w="692" w:type="pct"/>
                  <w:vAlign w:val="center"/>
                </w:tcPr>
                <w:p w14:paraId="1F5C99CC">
                  <w:pPr>
                    <w:adjustRightInd w:val="0"/>
                    <w:snapToGrid w:val="0"/>
                    <w:spacing w:line="320" w:lineRule="exact"/>
                    <w:jc w:val="center"/>
                    <w:rPr>
                      <w:szCs w:val="21"/>
                    </w:rPr>
                  </w:pPr>
                  <w:r>
                    <w:rPr>
                      <w:szCs w:val="21"/>
                    </w:rPr>
                    <w:t>汽车卸料</w:t>
                  </w:r>
                </w:p>
              </w:tc>
              <w:tc>
                <w:tcPr>
                  <w:tcW w:w="1121" w:type="pct"/>
                  <w:vAlign w:val="center"/>
                </w:tcPr>
                <w:p w14:paraId="3E84F230">
                  <w:pPr>
                    <w:adjustRightInd w:val="0"/>
                    <w:snapToGrid w:val="0"/>
                    <w:spacing w:line="320" w:lineRule="exact"/>
                    <w:jc w:val="center"/>
                    <w:rPr>
                      <w:szCs w:val="21"/>
                    </w:rPr>
                  </w:pPr>
                  <w:r>
                    <w:rPr>
                      <w:szCs w:val="21"/>
                    </w:rPr>
                    <w:t>26.4</w:t>
                  </w:r>
                </w:p>
              </w:tc>
              <w:tc>
                <w:tcPr>
                  <w:tcW w:w="1122" w:type="pct"/>
                  <w:vAlign w:val="center"/>
                </w:tcPr>
                <w:p w14:paraId="0D4BF56E">
                  <w:pPr>
                    <w:adjustRightInd w:val="0"/>
                    <w:snapToGrid w:val="0"/>
                    <w:spacing w:line="320" w:lineRule="exact"/>
                    <w:jc w:val="center"/>
                    <w:rPr>
                      <w:szCs w:val="21"/>
                    </w:rPr>
                  </w:pPr>
                  <w:r>
                    <w:rPr>
                      <w:szCs w:val="21"/>
                    </w:rPr>
                    <w:t>0.02kg/t-卸料</w:t>
                  </w:r>
                </w:p>
              </w:tc>
              <w:tc>
                <w:tcPr>
                  <w:tcW w:w="956" w:type="pct"/>
                  <w:vAlign w:val="center"/>
                </w:tcPr>
                <w:p w14:paraId="36133635">
                  <w:pPr>
                    <w:adjustRightInd w:val="0"/>
                    <w:snapToGrid w:val="0"/>
                    <w:spacing w:line="320" w:lineRule="exact"/>
                    <w:jc w:val="center"/>
                    <w:rPr>
                      <w:szCs w:val="21"/>
                    </w:rPr>
                  </w:pPr>
                  <w:r>
                    <w:rPr>
                      <w:szCs w:val="21"/>
                    </w:rPr>
                    <w:t>5.28</w:t>
                  </w:r>
                </w:p>
              </w:tc>
            </w:tr>
            <w:tr w14:paraId="627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8" w:type="pct"/>
                  <w:vMerge w:val="continue"/>
                  <w:vAlign w:val="center"/>
                </w:tcPr>
                <w:p w14:paraId="74661E64">
                  <w:pPr>
                    <w:adjustRightInd w:val="0"/>
                    <w:snapToGrid w:val="0"/>
                    <w:spacing w:line="320" w:lineRule="exact"/>
                    <w:jc w:val="center"/>
                    <w:rPr>
                      <w:szCs w:val="21"/>
                    </w:rPr>
                  </w:pPr>
                </w:p>
              </w:tc>
              <w:tc>
                <w:tcPr>
                  <w:tcW w:w="691" w:type="pct"/>
                  <w:vMerge w:val="continue"/>
                  <w:vAlign w:val="center"/>
                </w:tcPr>
                <w:p w14:paraId="0CA8CD67">
                  <w:pPr>
                    <w:adjustRightInd w:val="0"/>
                    <w:snapToGrid w:val="0"/>
                    <w:spacing w:line="320" w:lineRule="exact"/>
                    <w:jc w:val="center"/>
                    <w:rPr>
                      <w:szCs w:val="21"/>
                    </w:rPr>
                  </w:pPr>
                </w:p>
              </w:tc>
              <w:tc>
                <w:tcPr>
                  <w:tcW w:w="692" w:type="pct"/>
                  <w:vAlign w:val="center"/>
                </w:tcPr>
                <w:p w14:paraId="42DCB1A0">
                  <w:pPr>
                    <w:adjustRightInd w:val="0"/>
                    <w:snapToGrid w:val="0"/>
                    <w:spacing w:line="320" w:lineRule="exact"/>
                    <w:jc w:val="center"/>
                    <w:rPr>
                      <w:szCs w:val="21"/>
                    </w:rPr>
                  </w:pPr>
                  <w:r>
                    <w:rPr>
                      <w:szCs w:val="21"/>
                    </w:rPr>
                    <w:t>送料上堆</w:t>
                  </w:r>
                </w:p>
              </w:tc>
              <w:tc>
                <w:tcPr>
                  <w:tcW w:w="1121" w:type="pct"/>
                  <w:vAlign w:val="center"/>
                </w:tcPr>
                <w:p w14:paraId="27970C5C">
                  <w:pPr>
                    <w:adjustRightInd w:val="0"/>
                    <w:snapToGrid w:val="0"/>
                    <w:spacing w:line="320" w:lineRule="exact"/>
                    <w:jc w:val="center"/>
                    <w:rPr>
                      <w:szCs w:val="21"/>
                    </w:rPr>
                  </w:pPr>
                  <w:r>
                    <w:rPr>
                      <w:szCs w:val="21"/>
                    </w:rPr>
                    <w:t>26.4</w:t>
                  </w:r>
                </w:p>
              </w:tc>
              <w:tc>
                <w:tcPr>
                  <w:tcW w:w="1122" w:type="pct"/>
                  <w:vAlign w:val="center"/>
                </w:tcPr>
                <w:p w14:paraId="68C1F8F7">
                  <w:pPr>
                    <w:adjustRightInd w:val="0"/>
                    <w:snapToGrid w:val="0"/>
                    <w:spacing w:line="320" w:lineRule="exact"/>
                    <w:jc w:val="center"/>
                    <w:rPr>
                      <w:szCs w:val="21"/>
                    </w:rPr>
                  </w:pPr>
                  <w:r>
                    <w:rPr>
                      <w:szCs w:val="21"/>
                    </w:rPr>
                    <w:t>0.0029kg/t-进料</w:t>
                  </w:r>
                </w:p>
              </w:tc>
              <w:tc>
                <w:tcPr>
                  <w:tcW w:w="956" w:type="pct"/>
                  <w:vAlign w:val="center"/>
                </w:tcPr>
                <w:p w14:paraId="747909DF">
                  <w:pPr>
                    <w:adjustRightInd w:val="0"/>
                    <w:snapToGrid w:val="0"/>
                    <w:spacing w:line="320" w:lineRule="exact"/>
                    <w:jc w:val="center"/>
                    <w:rPr>
                      <w:szCs w:val="21"/>
                    </w:rPr>
                  </w:pPr>
                  <w:r>
                    <w:rPr>
                      <w:szCs w:val="21"/>
                    </w:rPr>
                    <w:t>0.77</w:t>
                  </w:r>
                </w:p>
              </w:tc>
            </w:tr>
            <w:tr w14:paraId="6D0B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8" w:type="pct"/>
                  <w:vMerge w:val="continue"/>
                  <w:vAlign w:val="center"/>
                </w:tcPr>
                <w:p w14:paraId="64923EF3">
                  <w:pPr>
                    <w:adjustRightInd w:val="0"/>
                    <w:snapToGrid w:val="0"/>
                    <w:spacing w:line="320" w:lineRule="exact"/>
                    <w:jc w:val="center"/>
                    <w:rPr>
                      <w:szCs w:val="21"/>
                    </w:rPr>
                  </w:pPr>
                </w:p>
              </w:tc>
              <w:tc>
                <w:tcPr>
                  <w:tcW w:w="691" w:type="pct"/>
                  <w:vMerge w:val="continue"/>
                  <w:vAlign w:val="center"/>
                </w:tcPr>
                <w:p w14:paraId="5985DE45">
                  <w:pPr>
                    <w:adjustRightInd w:val="0"/>
                    <w:snapToGrid w:val="0"/>
                    <w:spacing w:line="320" w:lineRule="exact"/>
                    <w:jc w:val="center"/>
                    <w:rPr>
                      <w:szCs w:val="21"/>
                    </w:rPr>
                  </w:pPr>
                </w:p>
              </w:tc>
              <w:tc>
                <w:tcPr>
                  <w:tcW w:w="692" w:type="pct"/>
                  <w:vAlign w:val="center"/>
                </w:tcPr>
                <w:p w14:paraId="7FACEFC7">
                  <w:pPr>
                    <w:adjustRightInd w:val="0"/>
                    <w:snapToGrid w:val="0"/>
                    <w:spacing w:line="320" w:lineRule="exact"/>
                    <w:jc w:val="center"/>
                    <w:rPr>
                      <w:szCs w:val="21"/>
                    </w:rPr>
                  </w:pPr>
                  <w:r>
                    <w:rPr>
                      <w:szCs w:val="21"/>
                    </w:rPr>
                    <w:t>取料</w:t>
                  </w:r>
                </w:p>
              </w:tc>
              <w:tc>
                <w:tcPr>
                  <w:tcW w:w="1121" w:type="pct"/>
                  <w:vAlign w:val="center"/>
                </w:tcPr>
                <w:p w14:paraId="2877A905">
                  <w:pPr>
                    <w:adjustRightInd w:val="0"/>
                    <w:snapToGrid w:val="0"/>
                    <w:spacing w:line="320" w:lineRule="exact"/>
                    <w:jc w:val="center"/>
                    <w:rPr>
                      <w:szCs w:val="21"/>
                    </w:rPr>
                  </w:pPr>
                  <w:r>
                    <w:rPr>
                      <w:szCs w:val="21"/>
                    </w:rPr>
                    <w:t>26.4</w:t>
                  </w:r>
                </w:p>
              </w:tc>
              <w:tc>
                <w:tcPr>
                  <w:tcW w:w="1122" w:type="pct"/>
                  <w:vAlign w:val="center"/>
                </w:tcPr>
                <w:p w14:paraId="119BE4E2">
                  <w:pPr>
                    <w:adjustRightInd w:val="0"/>
                    <w:snapToGrid w:val="0"/>
                    <w:spacing w:line="320" w:lineRule="exact"/>
                    <w:jc w:val="center"/>
                    <w:rPr>
                      <w:szCs w:val="21"/>
                    </w:rPr>
                  </w:pPr>
                  <w:r>
                    <w:rPr>
                      <w:szCs w:val="21"/>
                    </w:rPr>
                    <w:t>0.006kg/t-装料</w:t>
                  </w:r>
                </w:p>
              </w:tc>
              <w:tc>
                <w:tcPr>
                  <w:tcW w:w="956" w:type="pct"/>
                  <w:vAlign w:val="center"/>
                </w:tcPr>
                <w:p w14:paraId="24A87131">
                  <w:pPr>
                    <w:adjustRightInd w:val="0"/>
                    <w:snapToGrid w:val="0"/>
                    <w:spacing w:line="320" w:lineRule="exact"/>
                    <w:jc w:val="center"/>
                    <w:rPr>
                      <w:szCs w:val="21"/>
                    </w:rPr>
                  </w:pPr>
                  <w:r>
                    <w:rPr>
                      <w:szCs w:val="21"/>
                    </w:rPr>
                    <w:t>1.58</w:t>
                  </w:r>
                </w:p>
              </w:tc>
            </w:tr>
            <w:tr w14:paraId="0E5A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8" w:type="pct"/>
                  <w:vMerge w:val="continue"/>
                  <w:vAlign w:val="center"/>
                </w:tcPr>
                <w:p w14:paraId="6318AF21">
                  <w:pPr>
                    <w:adjustRightInd w:val="0"/>
                    <w:snapToGrid w:val="0"/>
                    <w:spacing w:line="320" w:lineRule="exact"/>
                    <w:jc w:val="center"/>
                    <w:rPr>
                      <w:color w:val="EE0000"/>
                      <w:szCs w:val="21"/>
                    </w:rPr>
                  </w:pPr>
                </w:p>
              </w:tc>
              <w:tc>
                <w:tcPr>
                  <w:tcW w:w="691" w:type="pct"/>
                  <w:vMerge w:val="continue"/>
                  <w:vAlign w:val="center"/>
                </w:tcPr>
                <w:p w14:paraId="450366EB">
                  <w:pPr>
                    <w:adjustRightInd w:val="0"/>
                    <w:snapToGrid w:val="0"/>
                    <w:spacing w:line="320" w:lineRule="exact"/>
                    <w:jc w:val="center"/>
                    <w:rPr>
                      <w:color w:val="EE0000"/>
                      <w:szCs w:val="21"/>
                    </w:rPr>
                  </w:pPr>
                </w:p>
              </w:tc>
              <w:tc>
                <w:tcPr>
                  <w:tcW w:w="692" w:type="pct"/>
                  <w:vAlign w:val="center"/>
                </w:tcPr>
                <w:p w14:paraId="2E902EB9">
                  <w:pPr>
                    <w:adjustRightInd w:val="0"/>
                    <w:snapToGrid w:val="0"/>
                    <w:spacing w:line="320" w:lineRule="exact"/>
                    <w:jc w:val="center"/>
                    <w:rPr>
                      <w:szCs w:val="21"/>
                    </w:rPr>
                  </w:pPr>
                  <w:r>
                    <w:rPr>
                      <w:szCs w:val="21"/>
                    </w:rPr>
                    <w:t>小计</w:t>
                  </w:r>
                </w:p>
              </w:tc>
              <w:tc>
                <w:tcPr>
                  <w:tcW w:w="1121" w:type="pct"/>
                  <w:vAlign w:val="center"/>
                </w:tcPr>
                <w:p w14:paraId="6C5D3184">
                  <w:pPr>
                    <w:adjustRightInd w:val="0"/>
                    <w:snapToGrid w:val="0"/>
                    <w:spacing w:line="320" w:lineRule="exact"/>
                    <w:jc w:val="center"/>
                    <w:rPr>
                      <w:szCs w:val="21"/>
                    </w:rPr>
                  </w:pPr>
                  <w:r>
                    <w:rPr>
                      <w:szCs w:val="21"/>
                    </w:rPr>
                    <w:t>/</w:t>
                  </w:r>
                </w:p>
              </w:tc>
              <w:tc>
                <w:tcPr>
                  <w:tcW w:w="1122" w:type="pct"/>
                  <w:vAlign w:val="center"/>
                </w:tcPr>
                <w:p w14:paraId="4E418BA4">
                  <w:pPr>
                    <w:adjustRightInd w:val="0"/>
                    <w:snapToGrid w:val="0"/>
                    <w:spacing w:line="320" w:lineRule="exact"/>
                    <w:jc w:val="center"/>
                    <w:rPr>
                      <w:szCs w:val="21"/>
                    </w:rPr>
                  </w:pPr>
                  <w:r>
                    <w:rPr>
                      <w:szCs w:val="21"/>
                    </w:rPr>
                    <w:t>/</w:t>
                  </w:r>
                </w:p>
              </w:tc>
              <w:tc>
                <w:tcPr>
                  <w:tcW w:w="956" w:type="pct"/>
                  <w:vAlign w:val="center"/>
                </w:tcPr>
                <w:p w14:paraId="4396E1A1">
                  <w:pPr>
                    <w:adjustRightInd w:val="0"/>
                    <w:snapToGrid w:val="0"/>
                    <w:spacing w:line="320" w:lineRule="exact"/>
                    <w:jc w:val="center"/>
                    <w:rPr>
                      <w:szCs w:val="21"/>
                    </w:rPr>
                  </w:pPr>
                  <w:r>
                    <w:rPr>
                      <w:szCs w:val="21"/>
                    </w:rPr>
                    <w:t>7.63</w:t>
                  </w:r>
                </w:p>
              </w:tc>
            </w:tr>
            <w:tr w14:paraId="3961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8" w:type="pct"/>
                  <w:vMerge w:val="restart"/>
                  <w:vAlign w:val="center"/>
                </w:tcPr>
                <w:p w14:paraId="47189BA1">
                  <w:pPr>
                    <w:adjustRightInd w:val="0"/>
                    <w:snapToGrid w:val="0"/>
                    <w:spacing w:line="320" w:lineRule="exact"/>
                    <w:jc w:val="center"/>
                    <w:rPr>
                      <w:szCs w:val="21"/>
                    </w:rPr>
                  </w:pPr>
                  <w:r>
                    <w:rPr>
                      <w:szCs w:val="21"/>
                    </w:rPr>
                    <w:t>2</w:t>
                  </w:r>
                </w:p>
              </w:tc>
              <w:tc>
                <w:tcPr>
                  <w:tcW w:w="691" w:type="pct"/>
                  <w:vMerge w:val="restart"/>
                  <w:vAlign w:val="center"/>
                </w:tcPr>
                <w:p w14:paraId="1617547F">
                  <w:pPr>
                    <w:adjustRightInd w:val="0"/>
                    <w:snapToGrid w:val="0"/>
                    <w:spacing w:line="320" w:lineRule="exact"/>
                    <w:jc w:val="center"/>
                    <w:rPr>
                      <w:szCs w:val="21"/>
                    </w:rPr>
                  </w:pPr>
                  <w:r>
                    <w:rPr>
                      <w:szCs w:val="21"/>
                    </w:rPr>
                    <w:t>陈化库</w:t>
                  </w:r>
                </w:p>
              </w:tc>
              <w:tc>
                <w:tcPr>
                  <w:tcW w:w="692" w:type="pct"/>
                  <w:vAlign w:val="center"/>
                </w:tcPr>
                <w:p w14:paraId="181139EC">
                  <w:pPr>
                    <w:adjustRightInd w:val="0"/>
                    <w:snapToGrid w:val="0"/>
                    <w:spacing w:line="320" w:lineRule="exact"/>
                    <w:jc w:val="center"/>
                    <w:rPr>
                      <w:szCs w:val="21"/>
                    </w:rPr>
                  </w:pPr>
                  <w:r>
                    <w:rPr>
                      <w:szCs w:val="21"/>
                    </w:rPr>
                    <w:t>卸料</w:t>
                  </w:r>
                </w:p>
              </w:tc>
              <w:tc>
                <w:tcPr>
                  <w:tcW w:w="1121" w:type="pct"/>
                  <w:vAlign w:val="center"/>
                </w:tcPr>
                <w:p w14:paraId="67E7C589">
                  <w:pPr>
                    <w:adjustRightInd w:val="0"/>
                    <w:snapToGrid w:val="0"/>
                    <w:spacing w:line="320" w:lineRule="exact"/>
                    <w:jc w:val="center"/>
                    <w:rPr>
                      <w:szCs w:val="21"/>
                    </w:rPr>
                  </w:pPr>
                  <w:r>
                    <w:rPr>
                      <w:szCs w:val="21"/>
                    </w:rPr>
                    <w:t>27.9</w:t>
                  </w:r>
                </w:p>
              </w:tc>
              <w:tc>
                <w:tcPr>
                  <w:tcW w:w="1122" w:type="pct"/>
                  <w:vAlign w:val="center"/>
                </w:tcPr>
                <w:p w14:paraId="4191F874">
                  <w:pPr>
                    <w:adjustRightInd w:val="0"/>
                    <w:snapToGrid w:val="0"/>
                    <w:spacing w:line="320" w:lineRule="exact"/>
                    <w:jc w:val="center"/>
                    <w:rPr>
                      <w:szCs w:val="21"/>
                    </w:rPr>
                  </w:pPr>
                  <w:r>
                    <w:rPr>
                      <w:szCs w:val="21"/>
                    </w:rPr>
                    <w:t>0.0029kg/t-卸料</w:t>
                  </w:r>
                </w:p>
              </w:tc>
              <w:tc>
                <w:tcPr>
                  <w:tcW w:w="956" w:type="pct"/>
                  <w:vAlign w:val="center"/>
                </w:tcPr>
                <w:p w14:paraId="17F55242">
                  <w:pPr>
                    <w:adjustRightInd w:val="0"/>
                    <w:snapToGrid w:val="0"/>
                    <w:spacing w:line="320" w:lineRule="exact"/>
                    <w:jc w:val="center"/>
                    <w:rPr>
                      <w:szCs w:val="21"/>
                    </w:rPr>
                  </w:pPr>
                  <w:r>
                    <w:rPr>
                      <w:szCs w:val="21"/>
                    </w:rPr>
                    <w:t>0.81</w:t>
                  </w:r>
                </w:p>
              </w:tc>
            </w:tr>
            <w:tr w14:paraId="6BBB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8" w:type="pct"/>
                  <w:vMerge w:val="continue"/>
                  <w:vAlign w:val="center"/>
                </w:tcPr>
                <w:p w14:paraId="6B654876">
                  <w:pPr>
                    <w:adjustRightInd w:val="0"/>
                    <w:snapToGrid w:val="0"/>
                    <w:spacing w:line="320" w:lineRule="exact"/>
                    <w:jc w:val="center"/>
                    <w:rPr>
                      <w:szCs w:val="21"/>
                    </w:rPr>
                  </w:pPr>
                </w:p>
              </w:tc>
              <w:tc>
                <w:tcPr>
                  <w:tcW w:w="691" w:type="pct"/>
                  <w:vMerge w:val="continue"/>
                  <w:vAlign w:val="center"/>
                </w:tcPr>
                <w:p w14:paraId="2799C2D7">
                  <w:pPr>
                    <w:adjustRightInd w:val="0"/>
                    <w:snapToGrid w:val="0"/>
                    <w:spacing w:line="320" w:lineRule="exact"/>
                    <w:jc w:val="center"/>
                    <w:rPr>
                      <w:szCs w:val="21"/>
                    </w:rPr>
                  </w:pPr>
                </w:p>
              </w:tc>
              <w:tc>
                <w:tcPr>
                  <w:tcW w:w="692" w:type="pct"/>
                  <w:vAlign w:val="center"/>
                </w:tcPr>
                <w:p w14:paraId="50D48234">
                  <w:pPr>
                    <w:adjustRightInd w:val="0"/>
                    <w:snapToGrid w:val="0"/>
                    <w:spacing w:line="320" w:lineRule="exact"/>
                    <w:jc w:val="center"/>
                    <w:rPr>
                      <w:szCs w:val="21"/>
                    </w:rPr>
                  </w:pPr>
                  <w:r>
                    <w:rPr>
                      <w:szCs w:val="21"/>
                    </w:rPr>
                    <w:t>取料</w:t>
                  </w:r>
                </w:p>
              </w:tc>
              <w:tc>
                <w:tcPr>
                  <w:tcW w:w="1121" w:type="pct"/>
                  <w:vAlign w:val="center"/>
                </w:tcPr>
                <w:p w14:paraId="0393E567">
                  <w:pPr>
                    <w:adjustRightInd w:val="0"/>
                    <w:snapToGrid w:val="0"/>
                    <w:spacing w:line="320" w:lineRule="exact"/>
                    <w:jc w:val="center"/>
                    <w:rPr>
                      <w:szCs w:val="21"/>
                    </w:rPr>
                  </w:pPr>
                  <w:r>
                    <w:rPr>
                      <w:szCs w:val="21"/>
                    </w:rPr>
                    <w:t>27.9</w:t>
                  </w:r>
                </w:p>
              </w:tc>
              <w:tc>
                <w:tcPr>
                  <w:tcW w:w="1122" w:type="pct"/>
                  <w:vAlign w:val="center"/>
                </w:tcPr>
                <w:p w14:paraId="5BD45218">
                  <w:pPr>
                    <w:adjustRightInd w:val="0"/>
                    <w:snapToGrid w:val="0"/>
                    <w:spacing w:line="320" w:lineRule="exact"/>
                    <w:jc w:val="center"/>
                    <w:rPr>
                      <w:szCs w:val="21"/>
                    </w:rPr>
                  </w:pPr>
                  <w:r>
                    <w:rPr>
                      <w:szCs w:val="21"/>
                    </w:rPr>
                    <w:t>0.006kg/t-进料</w:t>
                  </w:r>
                </w:p>
              </w:tc>
              <w:tc>
                <w:tcPr>
                  <w:tcW w:w="956" w:type="pct"/>
                  <w:vAlign w:val="center"/>
                </w:tcPr>
                <w:p w14:paraId="7B5E4CF7">
                  <w:pPr>
                    <w:adjustRightInd w:val="0"/>
                    <w:snapToGrid w:val="0"/>
                    <w:spacing w:line="320" w:lineRule="exact"/>
                    <w:jc w:val="center"/>
                    <w:rPr>
                      <w:szCs w:val="21"/>
                    </w:rPr>
                  </w:pPr>
                  <w:r>
                    <w:rPr>
                      <w:szCs w:val="21"/>
                    </w:rPr>
                    <w:t>1.67</w:t>
                  </w:r>
                </w:p>
              </w:tc>
            </w:tr>
            <w:tr w14:paraId="0112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8" w:type="pct"/>
                  <w:vMerge w:val="continue"/>
                  <w:vAlign w:val="center"/>
                </w:tcPr>
                <w:p w14:paraId="15754249">
                  <w:pPr>
                    <w:adjustRightInd w:val="0"/>
                    <w:snapToGrid w:val="0"/>
                    <w:spacing w:line="320" w:lineRule="exact"/>
                    <w:jc w:val="center"/>
                    <w:rPr>
                      <w:szCs w:val="21"/>
                    </w:rPr>
                  </w:pPr>
                </w:p>
              </w:tc>
              <w:tc>
                <w:tcPr>
                  <w:tcW w:w="691" w:type="pct"/>
                  <w:vMerge w:val="continue"/>
                  <w:vAlign w:val="center"/>
                </w:tcPr>
                <w:p w14:paraId="4E7C9EBE">
                  <w:pPr>
                    <w:adjustRightInd w:val="0"/>
                    <w:snapToGrid w:val="0"/>
                    <w:spacing w:line="320" w:lineRule="exact"/>
                    <w:jc w:val="center"/>
                    <w:rPr>
                      <w:szCs w:val="21"/>
                    </w:rPr>
                  </w:pPr>
                </w:p>
              </w:tc>
              <w:tc>
                <w:tcPr>
                  <w:tcW w:w="692" w:type="pct"/>
                  <w:vAlign w:val="center"/>
                </w:tcPr>
                <w:p w14:paraId="1DE2D005">
                  <w:pPr>
                    <w:adjustRightInd w:val="0"/>
                    <w:snapToGrid w:val="0"/>
                    <w:spacing w:line="320" w:lineRule="exact"/>
                    <w:jc w:val="center"/>
                    <w:rPr>
                      <w:szCs w:val="21"/>
                    </w:rPr>
                  </w:pPr>
                  <w:r>
                    <w:rPr>
                      <w:szCs w:val="21"/>
                    </w:rPr>
                    <w:t>小计</w:t>
                  </w:r>
                </w:p>
              </w:tc>
              <w:tc>
                <w:tcPr>
                  <w:tcW w:w="1121" w:type="pct"/>
                  <w:vAlign w:val="center"/>
                </w:tcPr>
                <w:p w14:paraId="2152FFFF">
                  <w:pPr>
                    <w:adjustRightInd w:val="0"/>
                    <w:snapToGrid w:val="0"/>
                    <w:spacing w:line="320" w:lineRule="exact"/>
                    <w:jc w:val="center"/>
                    <w:rPr>
                      <w:szCs w:val="21"/>
                    </w:rPr>
                  </w:pPr>
                  <w:r>
                    <w:rPr>
                      <w:szCs w:val="21"/>
                    </w:rPr>
                    <w:t>/</w:t>
                  </w:r>
                </w:p>
              </w:tc>
              <w:tc>
                <w:tcPr>
                  <w:tcW w:w="1122" w:type="pct"/>
                  <w:vAlign w:val="center"/>
                </w:tcPr>
                <w:p w14:paraId="0833AB9D">
                  <w:pPr>
                    <w:adjustRightInd w:val="0"/>
                    <w:snapToGrid w:val="0"/>
                    <w:spacing w:line="320" w:lineRule="exact"/>
                    <w:jc w:val="center"/>
                    <w:rPr>
                      <w:szCs w:val="21"/>
                    </w:rPr>
                  </w:pPr>
                  <w:r>
                    <w:rPr>
                      <w:szCs w:val="21"/>
                    </w:rPr>
                    <w:t>/</w:t>
                  </w:r>
                </w:p>
              </w:tc>
              <w:tc>
                <w:tcPr>
                  <w:tcW w:w="956" w:type="pct"/>
                  <w:vAlign w:val="center"/>
                </w:tcPr>
                <w:p w14:paraId="414B4E92">
                  <w:pPr>
                    <w:adjustRightInd w:val="0"/>
                    <w:snapToGrid w:val="0"/>
                    <w:spacing w:line="320" w:lineRule="exact"/>
                    <w:jc w:val="center"/>
                    <w:rPr>
                      <w:szCs w:val="21"/>
                    </w:rPr>
                  </w:pPr>
                  <w:r>
                    <w:rPr>
                      <w:szCs w:val="21"/>
                    </w:rPr>
                    <w:t>2.48</w:t>
                  </w:r>
                </w:p>
              </w:tc>
            </w:tr>
            <w:tr w14:paraId="21F9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8" w:type="pct"/>
                  <w:vAlign w:val="center"/>
                </w:tcPr>
                <w:p w14:paraId="2EA827B2">
                  <w:pPr>
                    <w:adjustRightInd w:val="0"/>
                    <w:snapToGrid w:val="0"/>
                    <w:spacing w:line="320" w:lineRule="exact"/>
                    <w:jc w:val="center"/>
                    <w:rPr>
                      <w:szCs w:val="21"/>
                    </w:rPr>
                  </w:pPr>
                  <w:r>
                    <w:rPr>
                      <w:szCs w:val="21"/>
                    </w:rPr>
                    <w:t>3</w:t>
                  </w:r>
                </w:p>
              </w:tc>
              <w:tc>
                <w:tcPr>
                  <w:tcW w:w="691" w:type="pct"/>
                  <w:vAlign w:val="center"/>
                </w:tcPr>
                <w:p w14:paraId="0407958F">
                  <w:pPr>
                    <w:adjustRightInd w:val="0"/>
                    <w:snapToGrid w:val="0"/>
                    <w:spacing w:line="320" w:lineRule="exact"/>
                    <w:jc w:val="center"/>
                    <w:rPr>
                      <w:szCs w:val="21"/>
                    </w:rPr>
                  </w:pPr>
                  <w:r>
                    <w:rPr>
                      <w:szCs w:val="21"/>
                    </w:rPr>
                    <w:t>产品卸车棚</w:t>
                  </w:r>
                </w:p>
              </w:tc>
              <w:tc>
                <w:tcPr>
                  <w:tcW w:w="692" w:type="pct"/>
                  <w:vAlign w:val="center"/>
                </w:tcPr>
                <w:p w14:paraId="32014F47">
                  <w:pPr>
                    <w:adjustRightInd w:val="0"/>
                    <w:snapToGrid w:val="0"/>
                    <w:spacing w:line="320" w:lineRule="exact"/>
                    <w:jc w:val="center"/>
                    <w:rPr>
                      <w:szCs w:val="21"/>
                    </w:rPr>
                  </w:pPr>
                  <w:r>
                    <w:rPr>
                      <w:szCs w:val="21"/>
                    </w:rPr>
                    <w:t>搬运料</w:t>
                  </w:r>
                </w:p>
              </w:tc>
              <w:tc>
                <w:tcPr>
                  <w:tcW w:w="1121" w:type="pct"/>
                  <w:vAlign w:val="center"/>
                </w:tcPr>
                <w:p w14:paraId="774B1B16">
                  <w:pPr>
                    <w:adjustRightInd w:val="0"/>
                    <w:snapToGrid w:val="0"/>
                    <w:spacing w:line="320" w:lineRule="exact"/>
                    <w:jc w:val="center"/>
                    <w:rPr>
                      <w:szCs w:val="21"/>
                    </w:rPr>
                  </w:pPr>
                  <w:r>
                    <w:rPr>
                      <w:szCs w:val="21"/>
                    </w:rPr>
                    <w:t>22.53</w:t>
                  </w:r>
                </w:p>
              </w:tc>
              <w:tc>
                <w:tcPr>
                  <w:tcW w:w="1122" w:type="pct"/>
                  <w:vAlign w:val="center"/>
                </w:tcPr>
                <w:p w14:paraId="175B1DB5">
                  <w:pPr>
                    <w:adjustRightInd w:val="0"/>
                    <w:snapToGrid w:val="0"/>
                    <w:spacing w:line="320" w:lineRule="exact"/>
                    <w:jc w:val="center"/>
                    <w:rPr>
                      <w:szCs w:val="21"/>
                    </w:rPr>
                  </w:pPr>
                  <w:r>
                    <w:rPr>
                      <w:szCs w:val="21"/>
                    </w:rPr>
                    <w:t>0.006kg/t-搬运料</w:t>
                  </w:r>
                </w:p>
              </w:tc>
              <w:tc>
                <w:tcPr>
                  <w:tcW w:w="956" w:type="pct"/>
                  <w:vAlign w:val="center"/>
                </w:tcPr>
                <w:p w14:paraId="1D8F6A9E">
                  <w:pPr>
                    <w:adjustRightInd w:val="0"/>
                    <w:snapToGrid w:val="0"/>
                    <w:spacing w:line="320" w:lineRule="exact"/>
                    <w:jc w:val="center"/>
                    <w:rPr>
                      <w:szCs w:val="21"/>
                    </w:rPr>
                  </w:pPr>
                  <w:r>
                    <w:rPr>
                      <w:szCs w:val="21"/>
                    </w:rPr>
                    <w:t>1.35</w:t>
                  </w:r>
                </w:p>
              </w:tc>
            </w:tr>
            <w:tr w14:paraId="47FA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01" w:type="pct"/>
                  <w:gridSpan w:val="3"/>
                  <w:vAlign w:val="center"/>
                </w:tcPr>
                <w:p w14:paraId="0E4FF135">
                  <w:pPr>
                    <w:adjustRightInd w:val="0"/>
                    <w:snapToGrid w:val="0"/>
                    <w:spacing w:line="320" w:lineRule="exact"/>
                    <w:jc w:val="center"/>
                    <w:rPr>
                      <w:szCs w:val="21"/>
                    </w:rPr>
                  </w:pPr>
                  <w:r>
                    <w:rPr>
                      <w:szCs w:val="21"/>
                    </w:rPr>
                    <w:t>合计</w:t>
                  </w:r>
                </w:p>
              </w:tc>
              <w:tc>
                <w:tcPr>
                  <w:tcW w:w="1121" w:type="pct"/>
                  <w:vAlign w:val="center"/>
                </w:tcPr>
                <w:p w14:paraId="2BE547AF">
                  <w:pPr>
                    <w:adjustRightInd w:val="0"/>
                    <w:snapToGrid w:val="0"/>
                    <w:spacing w:line="320" w:lineRule="exact"/>
                    <w:jc w:val="center"/>
                    <w:rPr>
                      <w:szCs w:val="21"/>
                    </w:rPr>
                  </w:pPr>
                  <w:r>
                    <w:rPr>
                      <w:szCs w:val="21"/>
                    </w:rPr>
                    <w:t>/</w:t>
                  </w:r>
                </w:p>
              </w:tc>
              <w:tc>
                <w:tcPr>
                  <w:tcW w:w="1122" w:type="pct"/>
                  <w:vAlign w:val="center"/>
                </w:tcPr>
                <w:p w14:paraId="15FBDEB7">
                  <w:pPr>
                    <w:adjustRightInd w:val="0"/>
                    <w:snapToGrid w:val="0"/>
                    <w:spacing w:line="320" w:lineRule="exact"/>
                    <w:jc w:val="center"/>
                    <w:rPr>
                      <w:szCs w:val="21"/>
                    </w:rPr>
                  </w:pPr>
                  <w:r>
                    <w:rPr>
                      <w:szCs w:val="21"/>
                    </w:rPr>
                    <w:t>/</w:t>
                  </w:r>
                </w:p>
              </w:tc>
              <w:tc>
                <w:tcPr>
                  <w:tcW w:w="956" w:type="pct"/>
                  <w:vAlign w:val="center"/>
                </w:tcPr>
                <w:p w14:paraId="7A9BD9A9">
                  <w:pPr>
                    <w:adjustRightInd w:val="0"/>
                    <w:snapToGrid w:val="0"/>
                    <w:spacing w:line="320" w:lineRule="exact"/>
                    <w:jc w:val="center"/>
                    <w:rPr>
                      <w:szCs w:val="21"/>
                    </w:rPr>
                  </w:pPr>
                  <w:r>
                    <w:rPr>
                      <w:szCs w:val="21"/>
                    </w:rPr>
                    <w:t>11.46</w:t>
                  </w:r>
                </w:p>
              </w:tc>
            </w:tr>
          </w:tbl>
          <w:p w14:paraId="606AA48E">
            <w:pPr>
              <w:autoSpaceDE w:val="0"/>
              <w:autoSpaceDN w:val="0"/>
              <w:adjustRightInd w:val="0"/>
              <w:spacing w:line="500" w:lineRule="exact"/>
              <w:ind w:firstLine="480" w:firstLineChars="200"/>
              <w:jc w:val="left"/>
              <w:rPr>
                <w:kern w:val="0"/>
                <w:sz w:val="24"/>
              </w:rPr>
            </w:pPr>
            <w:r>
              <w:rPr>
                <w:kern w:val="0"/>
                <w:sz w:val="24"/>
              </w:rPr>
              <w:t xml:space="preserve">为减少原料在全封闭原料仓库内装卸起尘量，本项目建设全封闭原料仓库，并安装自动门，缩短开门和关门的时间，并利用其良好的密封性，以有效抑制粉尘外溢；仓库内建设水泥道路，煤矸石和页岩装卸、储存均在全封闭原料仓库内完成；同时在仓库内安装雾化喷淋装置，保证雾化喷淋全覆盖。在物料装卸时开启雾化喷淋装置，尽量降低物料高度落差；经采取上述措施后可降低 95%的粉尘量，由此可知，本项目营运后物料在全封闭原料仓库装卸过程中颗粒物排放量为0.38t/a。 </w:t>
            </w:r>
          </w:p>
          <w:p w14:paraId="7637C695">
            <w:pPr>
              <w:autoSpaceDE w:val="0"/>
              <w:autoSpaceDN w:val="0"/>
              <w:adjustRightInd w:val="0"/>
              <w:spacing w:line="500" w:lineRule="exact"/>
              <w:ind w:firstLine="480" w:firstLineChars="200"/>
              <w:jc w:val="left"/>
              <w:rPr>
                <w:kern w:val="0"/>
                <w:sz w:val="24"/>
              </w:rPr>
            </w:pPr>
            <w:r>
              <w:rPr>
                <w:kern w:val="0"/>
                <w:sz w:val="24"/>
              </w:rPr>
              <w:t>为减少陈化库内装卸起尘量，本项目建设全封闭陈化库，库内安装雾化喷淋装置。经采取上述措施后可降低 95%的粉尘量，由此可知，本项目营运后物料在陈化库装卸过程中颗粒物排放量为 0.12t/a。</w:t>
            </w:r>
          </w:p>
          <w:p w14:paraId="54CA2AA7">
            <w:pPr>
              <w:autoSpaceDE w:val="0"/>
              <w:autoSpaceDN w:val="0"/>
              <w:adjustRightInd w:val="0"/>
              <w:spacing w:line="500" w:lineRule="exact"/>
              <w:ind w:firstLine="480" w:firstLineChars="200"/>
              <w:jc w:val="left"/>
              <w:rPr>
                <w:kern w:val="0"/>
                <w:sz w:val="24"/>
              </w:rPr>
            </w:pPr>
            <w:r>
              <w:rPr>
                <w:kern w:val="0"/>
                <w:sz w:val="24"/>
              </w:rPr>
              <w:t>为减少产品搬运起尘量，本项目安排专人对产品卸车棚内道路进行保洁，及时清扫和洒水等，并在卸车棚上方安装喷雾降尘系统。经采取上述措施后可降低90%的粉尘量，由此可知，本项目营运后产品在产品卸车棚装卸过程中颗粒物排放量为0.14t/a。</w:t>
            </w:r>
          </w:p>
          <w:p w14:paraId="6AD3317E">
            <w:pPr>
              <w:autoSpaceDE w:val="0"/>
              <w:autoSpaceDN w:val="0"/>
              <w:adjustRightInd w:val="0"/>
              <w:spacing w:line="500" w:lineRule="exact"/>
              <w:ind w:firstLine="480" w:firstLineChars="200"/>
              <w:jc w:val="left"/>
              <w:rPr>
                <w:kern w:val="0"/>
                <w:sz w:val="24"/>
              </w:rPr>
            </w:pPr>
            <w:r>
              <w:rPr>
                <w:kern w:val="0"/>
                <w:sz w:val="24"/>
              </w:rPr>
              <w:t>（7）运输车辆扬尘</w:t>
            </w:r>
          </w:p>
          <w:p w14:paraId="431E8D09">
            <w:pPr>
              <w:adjustRightInd w:val="0"/>
              <w:snapToGrid w:val="0"/>
              <w:spacing w:line="520" w:lineRule="exact"/>
              <w:ind w:firstLine="480" w:firstLineChars="200"/>
              <w:rPr>
                <w:sz w:val="24"/>
              </w:rPr>
            </w:pPr>
            <w:r>
              <w:rPr>
                <w:sz w:val="24"/>
              </w:rPr>
              <w:t>本项目营运后原料煤矸石、页岩、污泥用量为</w:t>
            </w:r>
            <w:r>
              <w:rPr>
                <w:kern w:val="0"/>
                <w:sz w:val="24"/>
              </w:rPr>
              <w:t>26.4</w:t>
            </w:r>
            <w:r>
              <w:rPr>
                <w:sz w:val="24"/>
              </w:rPr>
              <w:t>万t/a，原料从厂区南门采用汽车运进，在厂区内行驶距离约为180m。产品煤矸石烧结砖折合质量约为</w:t>
            </w:r>
            <w:r>
              <w:rPr>
                <w:kern w:val="0"/>
                <w:sz w:val="24"/>
              </w:rPr>
              <w:t>22.53</w:t>
            </w:r>
            <w:r>
              <w:rPr>
                <w:sz w:val="24"/>
              </w:rPr>
              <w:t xml:space="preserve">万t/a，产品从厂区南门采用汽车运出，在厂区内行驶距离约为220m。 </w:t>
            </w:r>
          </w:p>
          <w:p w14:paraId="0615593B">
            <w:pPr>
              <w:adjustRightInd w:val="0"/>
              <w:snapToGrid w:val="0"/>
              <w:spacing w:line="520" w:lineRule="exact"/>
              <w:ind w:firstLine="480" w:firstLineChars="200"/>
              <w:rPr>
                <w:sz w:val="24"/>
              </w:rPr>
            </w:pPr>
            <w:r>
              <w:rPr>
                <w:sz w:val="24"/>
              </w:rPr>
              <w:t xml:space="preserve">本项目物料采用汽车在厂区内运输时会产生道路运输扬尘，扬尘量的大小与扬尘的粒度、道路积尘负荷、车重等有关系。根据《扬尘源颗粒物排放清单编制技术指南（试行）》（生态环境部 公告 2014 年 第 92 号）中道路扬尘源排放量的计算方法，确定本项目道路扬尘产生量，计算公式如下： </w:t>
            </w:r>
          </w:p>
          <w:p w14:paraId="7C0CE06E">
            <w:pPr>
              <w:spacing w:line="520" w:lineRule="exact"/>
              <w:jc w:val="left"/>
              <w:rPr>
                <w:color w:val="EE0000"/>
                <w:sz w:val="24"/>
              </w:rPr>
            </w:pPr>
            <w:r>
              <w:rPr>
                <w:color w:val="EE0000"/>
              </w:rPr>
              <w:drawing>
                <wp:anchor distT="0" distB="0" distL="114300" distR="114300" simplePos="0" relativeHeight="251659264" behindDoc="0" locked="0" layoutInCell="1" allowOverlap="1">
                  <wp:simplePos x="0" y="0"/>
                  <wp:positionH relativeFrom="column">
                    <wp:posOffset>1348105</wp:posOffset>
                  </wp:positionH>
                  <wp:positionV relativeFrom="paragraph">
                    <wp:posOffset>109855</wp:posOffset>
                  </wp:positionV>
                  <wp:extent cx="2337435" cy="222885"/>
                  <wp:effectExtent l="0" t="0" r="0" b="0"/>
                  <wp:wrapNone/>
                  <wp:docPr id="2971286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28690"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7435" cy="222885"/>
                          </a:xfrm>
                          <a:prstGeom prst="rect">
                            <a:avLst/>
                          </a:prstGeom>
                        </pic:spPr>
                      </pic:pic>
                    </a:graphicData>
                  </a:graphic>
                </wp:anchor>
              </w:drawing>
            </w:r>
          </w:p>
          <w:p w14:paraId="150ADE6A">
            <w:pPr>
              <w:spacing w:line="520" w:lineRule="exact"/>
              <w:ind w:firstLine="480" w:firstLineChars="200"/>
              <w:jc w:val="left"/>
              <w:rPr>
                <w:sz w:val="24"/>
              </w:rPr>
            </w:pPr>
            <w:r>
              <w:rPr>
                <w:sz w:val="24"/>
              </w:rPr>
              <w:t>式中：</w:t>
            </w:r>
          </w:p>
          <w:p w14:paraId="5D034520">
            <w:pPr>
              <w:spacing w:line="520" w:lineRule="exact"/>
              <w:ind w:firstLine="1200" w:firstLineChars="500"/>
              <w:jc w:val="left"/>
              <w:rPr>
                <w:sz w:val="24"/>
              </w:rPr>
            </w:pPr>
            <w:r>
              <w:rPr>
                <w:sz w:val="24"/>
              </w:rPr>
              <w:t>E</w:t>
            </w:r>
            <w:r>
              <w:rPr>
                <w:sz w:val="24"/>
                <w:vertAlign w:val="subscript"/>
              </w:rPr>
              <w:t>Pi</w:t>
            </w:r>
            <w:r>
              <w:rPr>
                <w:sz w:val="24"/>
              </w:rPr>
              <w:t xml:space="preserve">——铺装道路的扬尘中 PM 排放系数，g/km（机动车行驶 1 千米产生的道路扬尘质量）； </w:t>
            </w:r>
          </w:p>
          <w:p w14:paraId="617FB470">
            <w:pPr>
              <w:spacing w:line="520" w:lineRule="exact"/>
              <w:ind w:firstLine="1200" w:firstLineChars="500"/>
              <w:jc w:val="left"/>
              <w:rPr>
                <w:sz w:val="24"/>
              </w:rPr>
            </w:pPr>
            <w:r>
              <w:rPr>
                <w:sz w:val="24"/>
              </w:rPr>
              <w:t>k</w:t>
            </w:r>
            <w:r>
              <w:rPr>
                <w:sz w:val="24"/>
                <w:vertAlign w:val="subscript"/>
              </w:rPr>
              <w:t>i</w:t>
            </w:r>
            <w:r>
              <w:rPr>
                <w:sz w:val="24"/>
              </w:rPr>
              <w:t>——产生的扬尘中 PM 的粒度乘数，本次采用技术指南表 5 推荐值，颗粒物的粒度乘数为3.23g/km；</w:t>
            </w:r>
          </w:p>
          <w:p w14:paraId="7B3A2864">
            <w:pPr>
              <w:spacing w:line="520" w:lineRule="exact"/>
              <w:ind w:firstLine="1200" w:firstLineChars="500"/>
              <w:jc w:val="left"/>
              <w:rPr>
                <w:sz w:val="24"/>
              </w:rPr>
            </w:pPr>
            <w:r>
              <w:rPr>
                <w:sz w:val="24"/>
              </w:rPr>
              <w:t>sL——道路积尘负荷，g/m</w:t>
            </w:r>
            <w:r>
              <w:rPr>
                <w:sz w:val="24"/>
                <w:vertAlign w:val="superscript"/>
              </w:rPr>
              <w:t>2</w:t>
            </w:r>
            <w:r>
              <w:rPr>
                <w:sz w:val="24"/>
              </w:rPr>
              <w:t>；根据经验数据，厂区道路积尘负荷取2g/m</w:t>
            </w:r>
            <w:r>
              <w:rPr>
                <w:sz w:val="24"/>
                <w:vertAlign w:val="superscript"/>
              </w:rPr>
              <w:t>2</w:t>
            </w:r>
            <w:r>
              <w:rPr>
                <w:sz w:val="24"/>
              </w:rPr>
              <w:t>；</w:t>
            </w:r>
          </w:p>
          <w:p w14:paraId="012C8044">
            <w:pPr>
              <w:spacing w:line="520" w:lineRule="exact"/>
              <w:ind w:firstLine="1200" w:firstLineChars="500"/>
              <w:jc w:val="left"/>
              <w:rPr>
                <w:sz w:val="24"/>
              </w:rPr>
            </w:pPr>
            <w:r>
              <w:rPr>
                <w:sz w:val="24"/>
              </w:rPr>
              <w:t>W——平均车重，t；满载时平均车重为 40t；空车时平均车重为10t；</w:t>
            </w:r>
          </w:p>
          <w:p w14:paraId="23414E9A">
            <w:pPr>
              <w:spacing w:line="520" w:lineRule="exact"/>
              <w:ind w:firstLine="1200" w:firstLineChars="500"/>
              <w:jc w:val="left"/>
              <w:rPr>
                <w:sz w:val="24"/>
              </w:rPr>
            </w:pPr>
            <w:r>
              <w:rPr>
                <w:sz w:val="24"/>
              </w:rPr>
              <w:t>η——污染控制技术对扬尘的去除效率，%。</w:t>
            </w:r>
          </w:p>
          <w:p w14:paraId="1B712FA2">
            <w:pPr>
              <w:spacing w:line="520" w:lineRule="exact"/>
              <w:ind w:firstLine="480" w:firstLineChars="200"/>
              <w:jc w:val="left"/>
              <w:rPr>
                <w:sz w:val="24"/>
              </w:rPr>
            </w:pPr>
            <w:r>
              <w:rPr>
                <w:sz w:val="24"/>
              </w:rPr>
              <w:t>根据上述计算公式，在不考虑污染控制技术的情况下，满载车辆运输时道路扬尘产生量为261.36g/km；空车行驶时道路扬尘产生量为63.55g/km。</w:t>
            </w:r>
          </w:p>
          <w:p w14:paraId="603D15FB">
            <w:pPr>
              <w:autoSpaceDE w:val="0"/>
              <w:autoSpaceDN w:val="0"/>
              <w:adjustRightInd w:val="0"/>
              <w:spacing w:line="500" w:lineRule="exact"/>
              <w:ind w:firstLine="240" w:firstLineChars="100"/>
              <w:jc w:val="center"/>
              <w:rPr>
                <w:kern w:val="0"/>
                <w:sz w:val="24"/>
              </w:rPr>
            </w:pPr>
            <w:r>
              <w:rPr>
                <w:rFonts w:eastAsia="黑体"/>
                <w:kern w:val="0"/>
                <w:sz w:val="24"/>
              </w:rPr>
              <w:t>表4-15      本项目各类货物转运过程中道路扬尘产生情况</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3"/>
              <w:gridCol w:w="1132"/>
              <w:gridCol w:w="1132"/>
              <w:gridCol w:w="841"/>
              <w:gridCol w:w="800"/>
              <w:gridCol w:w="846"/>
              <w:gridCol w:w="707"/>
              <w:gridCol w:w="850"/>
            </w:tblGrid>
            <w:tr w14:paraId="2D6E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restart"/>
                  <w:vAlign w:val="center"/>
                </w:tcPr>
                <w:p w14:paraId="22812241">
                  <w:pPr>
                    <w:adjustRightInd w:val="0"/>
                    <w:snapToGrid w:val="0"/>
                    <w:spacing w:line="320" w:lineRule="exact"/>
                    <w:jc w:val="center"/>
                    <w:rPr>
                      <w:szCs w:val="21"/>
                    </w:rPr>
                  </w:pPr>
                  <w:r>
                    <w:rPr>
                      <w:szCs w:val="21"/>
                    </w:rPr>
                    <w:t>物料名称</w:t>
                  </w:r>
                </w:p>
              </w:tc>
              <w:tc>
                <w:tcPr>
                  <w:tcW w:w="685" w:type="pct"/>
                  <w:vMerge w:val="restart"/>
                  <w:vAlign w:val="center"/>
                </w:tcPr>
                <w:p w14:paraId="4F0BCE29">
                  <w:pPr>
                    <w:adjustRightInd w:val="0"/>
                    <w:snapToGrid w:val="0"/>
                    <w:spacing w:line="320" w:lineRule="exact"/>
                    <w:jc w:val="center"/>
                    <w:rPr>
                      <w:szCs w:val="21"/>
                    </w:rPr>
                  </w:pPr>
                  <w:r>
                    <w:rPr>
                      <w:szCs w:val="21"/>
                    </w:rPr>
                    <w:t>年周转量（万t/a）</w:t>
                  </w:r>
                </w:p>
              </w:tc>
              <w:tc>
                <w:tcPr>
                  <w:tcW w:w="685" w:type="pct"/>
                  <w:vMerge w:val="restart"/>
                  <w:vAlign w:val="center"/>
                </w:tcPr>
                <w:p w14:paraId="12F0DDBA">
                  <w:pPr>
                    <w:adjustRightInd w:val="0"/>
                    <w:snapToGrid w:val="0"/>
                    <w:spacing w:line="320" w:lineRule="exact"/>
                    <w:jc w:val="center"/>
                    <w:rPr>
                      <w:szCs w:val="21"/>
                    </w:rPr>
                  </w:pPr>
                  <w:r>
                    <w:rPr>
                      <w:szCs w:val="21"/>
                    </w:rPr>
                    <w:t>运进（趟/年）</w:t>
                  </w:r>
                </w:p>
              </w:tc>
              <w:tc>
                <w:tcPr>
                  <w:tcW w:w="685" w:type="pct"/>
                  <w:vMerge w:val="restart"/>
                  <w:vAlign w:val="center"/>
                </w:tcPr>
                <w:p w14:paraId="3D76F273">
                  <w:pPr>
                    <w:adjustRightInd w:val="0"/>
                    <w:snapToGrid w:val="0"/>
                    <w:spacing w:line="320" w:lineRule="exact"/>
                    <w:jc w:val="center"/>
                    <w:rPr>
                      <w:szCs w:val="21"/>
                    </w:rPr>
                  </w:pPr>
                  <w:r>
                    <w:rPr>
                      <w:szCs w:val="21"/>
                    </w:rPr>
                    <w:t>运出（趟/年）</w:t>
                  </w:r>
                </w:p>
              </w:tc>
              <w:tc>
                <w:tcPr>
                  <w:tcW w:w="993" w:type="pct"/>
                  <w:gridSpan w:val="2"/>
                  <w:vAlign w:val="center"/>
                </w:tcPr>
                <w:p w14:paraId="1740035E">
                  <w:pPr>
                    <w:adjustRightInd w:val="0"/>
                    <w:snapToGrid w:val="0"/>
                    <w:spacing w:line="320" w:lineRule="exact"/>
                    <w:jc w:val="center"/>
                    <w:rPr>
                      <w:szCs w:val="21"/>
                    </w:rPr>
                  </w:pPr>
                  <w:r>
                    <w:rPr>
                      <w:szCs w:val="21"/>
                    </w:rPr>
                    <w:t>累计运输距离（km）</w:t>
                  </w:r>
                </w:p>
              </w:tc>
              <w:tc>
                <w:tcPr>
                  <w:tcW w:w="1454" w:type="pct"/>
                  <w:gridSpan w:val="3"/>
                  <w:vAlign w:val="center"/>
                </w:tcPr>
                <w:p w14:paraId="0DCDDB9B">
                  <w:pPr>
                    <w:adjustRightInd w:val="0"/>
                    <w:snapToGrid w:val="0"/>
                    <w:spacing w:line="320" w:lineRule="exact"/>
                    <w:jc w:val="center"/>
                    <w:rPr>
                      <w:szCs w:val="21"/>
                    </w:rPr>
                  </w:pPr>
                  <w:r>
                    <w:rPr>
                      <w:szCs w:val="21"/>
                    </w:rPr>
                    <w:t>扬尘产生量（t/a）</w:t>
                  </w:r>
                </w:p>
              </w:tc>
            </w:tr>
            <w:tr w14:paraId="0921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98" w:type="pct"/>
                  <w:vMerge w:val="continue"/>
                  <w:vAlign w:val="center"/>
                </w:tcPr>
                <w:p w14:paraId="064253D4">
                  <w:pPr>
                    <w:adjustRightInd w:val="0"/>
                    <w:snapToGrid w:val="0"/>
                    <w:spacing w:line="320" w:lineRule="exact"/>
                    <w:jc w:val="center"/>
                    <w:rPr>
                      <w:szCs w:val="21"/>
                    </w:rPr>
                  </w:pPr>
                </w:p>
              </w:tc>
              <w:tc>
                <w:tcPr>
                  <w:tcW w:w="685" w:type="pct"/>
                  <w:vMerge w:val="continue"/>
                  <w:vAlign w:val="center"/>
                </w:tcPr>
                <w:p w14:paraId="3996A124">
                  <w:pPr>
                    <w:adjustRightInd w:val="0"/>
                    <w:snapToGrid w:val="0"/>
                    <w:spacing w:line="320" w:lineRule="exact"/>
                    <w:jc w:val="center"/>
                    <w:rPr>
                      <w:szCs w:val="21"/>
                    </w:rPr>
                  </w:pPr>
                </w:p>
              </w:tc>
              <w:tc>
                <w:tcPr>
                  <w:tcW w:w="685" w:type="pct"/>
                  <w:vMerge w:val="continue"/>
                  <w:vAlign w:val="center"/>
                </w:tcPr>
                <w:p w14:paraId="62B0B399">
                  <w:pPr>
                    <w:adjustRightInd w:val="0"/>
                    <w:snapToGrid w:val="0"/>
                    <w:spacing w:line="320" w:lineRule="exact"/>
                    <w:jc w:val="center"/>
                    <w:rPr>
                      <w:szCs w:val="21"/>
                    </w:rPr>
                  </w:pPr>
                </w:p>
              </w:tc>
              <w:tc>
                <w:tcPr>
                  <w:tcW w:w="685" w:type="pct"/>
                  <w:vMerge w:val="continue"/>
                  <w:vAlign w:val="center"/>
                </w:tcPr>
                <w:p w14:paraId="2FE6E666">
                  <w:pPr>
                    <w:adjustRightInd w:val="0"/>
                    <w:snapToGrid w:val="0"/>
                    <w:spacing w:line="320" w:lineRule="exact"/>
                    <w:jc w:val="center"/>
                    <w:rPr>
                      <w:szCs w:val="21"/>
                    </w:rPr>
                  </w:pPr>
                </w:p>
              </w:tc>
              <w:tc>
                <w:tcPr>
                  <w:tcW w:w="509" w:type="pct"/>
                  <w:vAlign w:val="center"/>
                </w:tcPr>
                <w:p w14:paraId="4821AD86">
                  <w:pPr>
                    <w:adjustRightInd w:val="0"/>
                    <w:snapToGrid w:val="0"/>
                    <w:spacing w:line="320" w:lineRule="exact"/>
                    <w:jc w:val="center"/>
                    <w:rPr>
                      <w:szCs w:val="21"/>
                    </w:rPr>
                  </w:pPr>
                  <w:r>
                    <w:rPr>
                      <w:szCs w:val="21"/>
                    </w:rPr>
                    <w:t>满载</w:t>
                  </w:r>
                </w:p>
              </w:tc>
              <w:tc>
                <w:tcPr>
                  <w:tcW w:w="484" w:type="pct"/>
                  <w:vAlign w:val="center"/>
                </w:tcPr>
                <w:p w14:paraId="4F0AB8AF">
                  <w:pPr>
                    <w:adjustRightInd w:val="0"/>
                    <w:snapToGrid w:val="0"/>
                    <w:spacing w:line="320" w:lineRule="exact"/>
                    <w:jc w:val="center"/>
                    <w:rPr>
                      <w:szCs w:val="21"/>
                    </w:rPr>
                  </w:pPr>
                  <w:r>
                    <w:rPr>
                      <w:szCs w:val="21"/>
                    </w:rPr>
                    <w:t>空车</w:t>
                  </w:r>
                </w:p>
              </w:tc>
              <w:tc>
                <w:tcPr>
                  <w:tcW w:w="512" w:type="pct"/>
                  <w:vAlign w:val="center"/>
                </w:tcPr>
                <w:p w14:paraId="695BE498">
                  <w:pPr>
                    <w:adjustRightInd w:val="0"/>
                    <w:snapToGrid w:val="0"/>
                    <w:spacing w:line="320" w:lineRule="exact"/>
                    <w:jc w:val="center"/>
                    <w:rPr>
                      <w:szCs w:val="21"/>
                    </w:rPr>
                  </w:pPr>
                  <w:r>
                    <w:rPr>
                      <w:szCs w:val="21"/>
                    </w:rPr>
                    <w:t>满载</w:t>
                  </w:r>
                </w:p>
              </w:tc>
              <w:tc>
                <w:tcPr>
                  <w:tcW w:w="428" w:type="pct"/>
                  <w:vAlign w:val="center"/>
                </w:tcPr>
                <w:p w14:paraId="055D7EF4">
                  <w:pPr>
                    <w:adjustRightInd w:val="0"/>
                    <w:snapToGrid w:val="0"/>
                    <w:spacing w:line="320" w:lineRule="exact"/>
                    <w:jc w:val="center"/>
                    <w:rPr>
                      <w:szCs w:val="21"/>
                    </w:rPr>
                  </w:pPr>
                  <w:r>
                    <w:rPr>
                      <w:szCs w:val="21"/>
                    </w:rPr>
                    <w:t>空车</w:t>
                  </w:r>
                </w:p>
              </w:tc>
              <w:tc>
                <w:tcPr>
                  <w:tcW w:w="514" w:type="pct"/>
                  <w:vAlign w:val="center"/>
                </w:tcPr>
                <w:p w14:paraId="6EDC010C">
                  <w:pPr>
                    <w:adjustRightInd w:val="0"/>
                    <w:snapToGrid w:val="0"/>
                    <w:spacing w:line="320" w:lineRule="exact"/>
                    <w:jc w:val="center"/>
                    <w:rPr>
                      <w:szCs w:val="21"/>
                    </w:rPr>
                  </w:pPr>
                  <w:r>
                    <w:rPr>
                      <w:szCs w:val="21"/>
                    </w:rPr>
                    <w:t>合计</w:t>
                  </w:r>
                </w:p>
              </w:tc>
            </w:tr>
            <w:tr w14:paraId="556A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98" w:type="pct"/>
                  <w:vAlign w:val="center"/>
                </w:tcPr>
                <w:p w14:paraId="572A97BB">
                  <w:pPr>
                    <w:adjustRightInd w:val="0"/>
                    <w:snapToGrid w:val="0"/>
                    <w:spacing w:line="320" w:lineRule="exact"/>
                    <w:jc w:val="center"/>
                    <w:rPr>
                      <w:szCs w:val="21"/>
                    </w:rPr>
                  </w:pPr>
                  <w:r>
                    <w:rPr>
                      <w:szCs w:val="21"/>
                    </w:rPr>
                    <w:t>原料</w:t>
                  </w:r>
                </w:p>
              </w:tc>
              <w:tc>
                <w:tcPr>
                  <w:tcW w:w="685" w:type="pct"/>
                  <w:vAlign w:val="center"/>
                </w:tcPr>
                <w:p w14:paraId="180BD586">
                  <w:pPr>
                    <w:adjustRightInd w:val="0"/>
                    <w:snapToGrid w:val="0"/>
                    <w:spacing w:line="320" w:lineRule="exact"/>
                    <w:jc w:val="center"/>
                    <w:rPr>
                      <w:szCs w:val="21"/>
                    </w:rPr>
                  </w:pPr>
                  <w:r>
                    <w:rPr>
                      <w:szCs w:val="21"/>
                    </w:rPr>
                    <w:t>26.4</w:t>
                  </w:r>
                </w:p>
              </w:tc>
              <w:tc>
                <w:tcPr>
                  <w:tcW w:w="685" w:type="pct"/>
                  <w:vAlign w:val="center"/>
                </w:tcPr>
                <w:p w14:paraId="190B416F">
                  <w:pPr>
                    <w:adjustRightInd w:val="0"/>
                    <w:snapToGrid w:val="0"/>
                    <w:spacing w:line="320" w:lineRule="exact"/>
                    <w:jc w:val="center"/>
                    <w:rPr>
                      <w:szCs w:val="21"/>
                    </w:rPr>
                  </w:pPr>
                  <w:r>
                    <w:rPr>
                      <w:szCs w:val="21"/>
                    </w:rPr>
                    <w:t>6600</w:t>
                  </w:r>
                </w:p>
              </w:tc>
              <w:tc>
                <w:tcPr>
                  <w:tcW w:w="685" w:type="pct"/>
                  <w:vAlign w:val="center"/>
                </w:tcPr>
                <w:p w14:paraId="5FDA0B4D">
                  <w:pPr>
                    <w:adjustRightInd w:val="0"/>
                    <w:snapToGrid w:val="0"/>
                    <w:spacing w:line="320" w:lineRule="exact"/>
                    <w:jc w:val="center"/>
                    <w:rPr>
                      <w:szCs w:val="21"/>
                    </w:rPr>
                  </w:pPr>
                  <w:r>
                    <w:rPr>
                      <w:szCs w:val="21"/>
                    </w:rPr>
                    <w:t>6600</w:t>
                  </w:r>
                </w:p>
              </w:tc>
              <w:tc>
                <w:tcPr>
                  <w:tcW w:w="509" w:type="pct"/>
                  <w:vAlign w:val="center"/>
                </w:tcPr>
                <w:p w14:paraId="4AF069DB">
                  <w:pPr>
                    <w:adjustRightInd w:val="0"/>
                    <w:snapToGrid w:val="0"/>
                    <w:spacing w:line="320" w:lineRule="exact"/>
                    <w:jc w:val="center"/>
                    <w:rPr>
                      <w:szCs w:val="21"/>
                    </w:rPr>
                  </w:pPr>
                  <w:r>
                    <w:rPr>
                      <w:szCs w:val="21"/>
                    </w:rPr>
                    <w:t>1188</w:t>
                  </w:r>
                </w:p>
              </w:tc>
              <w:tc>
                <w:tcPr>
                  <w:tcW w:w="484" w:type="pct"/>
                  <w:vAlign w:val="center"/>
                </w:tcPr>
                <w:p w14:paraId="0419CB15">
                  <w:pPr>
                    <w:adjustRightInd w:val="0"/>
                    <w:snapToGrid w:val="0"/>
                    <w:spacing w:line="320" w:lineRule="exact"/>
                    <w:jc w:val="center"/>
                    <w:rPr>
                      <w:szCs w:val="21"/>
                    </w:rPr>
                  </w:pPr>
                  <w:r>
                    <w:rPr>
                      <w:szCs w:val="21"/>
                    </w:rPr>
                    <w:t>1188</w:t>
                  </w:r>
                </w:p>
              </w:tc>
              <w:tc>
                <w:tcPr>
                  <w:tcW w:w="512" w:type="pct"/>
                  <w:vAlign w:val="center"/>
                </w:tcPr>
                <w:p w14:paraId="6C9093E8">
                  <w:pPr>
                    <w:adjustRightInd w:val="0"/>
                    <w:snapToGrid w:val="0"/>
                    <w:spacing w:line="320" w:lineRule="exact"/>
                    <w:jc w:val="center"/>
                    <w:rPr>
                      <w:szCs w:val="21"/>
                    </w:rPr>
                  </w:pPr>
                  <w:r>
                    <w:rPr>
                      <w:szCs w:val="21"/>
                    </w:rPr>
                    <w:t>0.31</w:t>
                  </w:r>
                </w:p>
              </w:tc>
              <w:tc>
                <w:tcPr>
                  <w:tcW w:w="428" w:type="pct"/>
                  <w:vAlign w:val="center"/>
                </w:tcPr>
                <w:p w14:paraId="01871CBA">
                  <w:pPr>
                    <w:adjustRightInd w:val="0"/>
                    <w:snapToGrid w:val="0"/>
                    <w:spacing w:line="320" w:lineRule="exact"/>
                    <w:jc w:val="center"/>
                    <w:rPr>
                      <w:szCs w:val="21"/>
                    </w:rPr>
                  </w:pPr>
                  <w:r>
                    <w:rPr>
                      <w:szCs w:val="21"/>
                    </w:rPr>
                    <w:t>0.08</w:t>
                  </w:r>
                </w:p>
              </w:tc>
              <w:tc>
                <w:tcPr>
                  <w:tcW w:w="514" w:type="pct"/>
                  <w:vAlign w:val="center"/>
                </w:tcPr>
                <w:p w14:paraId="3765BF59">
                  <w:pPr>
                    <w:adjustRightInd w:val="0"/>
                    <w:snapToGrid w:val="0"/>
                    <w:spacing w:line="320" w:lineRule="exact"/>
                    <w:jc w:val="center"/>
                    <w:rPr>
                      <w:szCs w:val="21"/>
                    </w:rPr>
                  </w:pPr>
                  <w:r>
                    <w:rPr>
                      <w:szCs w:val="21"/>
                    </w:rPr>
                    <w:t>0.39</w:t>
                  </w:r>
                </w:p>
              </w:tc>
            </w:tr>
            <w:tr w14:paraId="78BF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98" w:type="pct"/>
                  <w:vAlign w:val="center"/>
                </w:tcPr>
                <w:p w14:paraId="71D11C52">
                  <w:pPr>
                    <w:adjustRightInd w:val="0"/>
                    <w:snapToGrid w:val="0"/>
                    <w:spacing w:line="320" w:lineRule="exact"/>
                    <w:jc w:val="center"/>
                    <w:rPr>
                      <w:szCs w:val="21"/>
                    </w:rPr>
                  </w:pPr>
                  <w:r>
                    <w:rPr>
                      <w:szCs w:val="21"/>
                    </w:rPr>
                    <w:t>产品</w:t>
                  </w:r>
                </w:p>
              </w:tc>
              <w:tc>
                <w:tcPr>
                  <w:tcW w:w="685" w:type="pct"/>
                  <w:vAlign w:val="center"/>
                </w:tcPr>
                <w:p w14:paraId="7E3863DB">
                  <w:pPr>
                    <w:adjustRightInd w:val="0"/>
                    <w:snapToGrid w:val="0"/>
                    <w:spacing w:line="320" w:lineRule="exact"/>
                    <w:jc w:val="center"/>
                    <w:rPr>
                      <w:szCs w:val="21"/>
                    </w:rPr>
                  </w:pPr>
                  <w:r>
                    <w:rPr>
                      <w:szCs w:val="21"/>
                    </w:rPr>
                    <w:t>22.53</w:t>
                  </w:r>
                </w:p>
              </w:tc>
              <w:tc>
                <w:tcPr>
                  <w:tcW w:w="685" w:type="pct"/>
                  <w:vAlign w:val="center"/>
                </w:tcPr>
                <w:p w14:paraId="545BC251">
                  <w:pPr>
                    <w:adjustRightInd w:val="0"/>
                    <w:snapToGrid w:val="0"/>
                    <w:spacing w:line="320" w:lineRule="exact"/>
                    <w:jc w:val="center"/>
                    <w:rPr>
                      <w:szCs w:val="21"/>
                    </w:rPr>
                  </w:pPr>
                  <w:r>
                    <w:rPr>
                      <w:szCs w:val="21"/>
                    </w:rPr>
                    <w:t>5633</w:t>
                  </w:r>
                </w:p>
              </w:tc>
              <w:tc>
                <w:tcPr>
                  <w:tcW w:w="685" w:type="pct"/>
                  <w:vAlign w:val="center"/>
                </w:tcPr>
                <w:p w14:paraId="5F3A7DB5">
                  <w:pPr>
                    <w:adjustRightInd w:val="0"/>
                    <w:snapToGrid w:val="0"/>
                    <w:spacing w:line="320" w:lineRule="exact"/>
                    <w:jc w:val="center"/>
                    <w:rPr>
                      <w:szCs w:val="21"/>
                    </w:rPr>
                  </w:pPr>
                  <w:r>
                    <w:rPr>
                      <w:szCs w:val="21"/>
                    </w:rPr>
                    <w:t>5633</w:t>
                  </w:r>
                </w:p>
              </w:tc>
              <w:tc>
                <w:tcPr>
                  <w:tcW w:w="509" w:type="pct"/>
                  <w:vAlign w:val="center"/>
                </w:tcPr>
                <w:p w14:paraId="61F57240">
                  <w:pPr>
                    <w:adjustRightInd w:val="0"/>
                    <w:snapToGrid w:val="0"/>
                    <w:spacing w:line="320" w:lineRule="exact"/>
                    <w:jc w:val="center"/>
                    <w:rPr>
                      <w:szCs w:val="21"/>
                    </w:rPr>
                  </w:pPr>
                  <w:r>
                    <w:rPr>
                      <w:szCs w:val="21"/>
                    </w:rPr>
                    <w:t>1295.6</w:t>
                  </w:r>
                </w:p>
              </w:tc>
              <w:tc>
                <w:tcPr>
                  <w:tcW w:w="484" w:type="pct"/>
                  <w:vAlign w:val="center"/>
                </w:tcPr>
                <w:p w14:paraId="202CF7DD">
                  <w:pPr>
                    <w:adjustRightInd w:val="0"/>
                    <w:snapToGrid w:val="0"/>
                    <w:spacing w:line="320" w:lineRule="exact"/>
                    <w:jc w:val="center"/>
                    <w:rPr>
                      <w:szCs w:val="21"/>
                    </w:rPr>
                  </w:pPr>
                  <w:r>
                    <w:rPr>
                      <w:szCs w:val="21"/>
                    </w:rPr>
                    <w:t>1295.6</w:t>
                  </w:r>
                </w:p>
              </w:tc>
              <w:tc>
                <w:tcPr>
                  <w:tcW w:w="512" w:type="pct"/>
                  <w:vAlign w:val="center"/>
                </w:tcPr>
                <w:p w14:paraId="782DA15D">
                  <w:pPr>
                    <w:adjustRightInd w:val="0"/>
                    <w:snapToGrid w:val="0"/>
                    <w:spacing w:line="320" w:lineRule="exact"/>
                    <w:jc w:val="center"/>
                    <w:rPr>
                      <w:szCs w:val="21"/>
                    </w:rPr>
                  </w:pPr>
                  <w:r>
                    <w:rPr>
                      <w:szCs w:val="21"/>
                    </w:rPr>
                    <w:t>0.34</w:t>
                  </w:r>
                </w:p>
              </w:tc>
              <w:tc>
                <w:tcPr>
                  <w:tcW w:w="428" w:type="pct"/>
                  <w:vAlign w:val="center"/>
                </w:tcPr>
                <w:p w14:paraId="099462F3">
                  <w:pPr>
                    <w:adjustRightInd w:val="0"/>
                    <w:snapToGrid w:val="0"/>
                    <w:spacing w:line="320" w:lineRule="exact"/>
                    <w:jc w:val="center"/>
                    <w:rPr>
                      <w:szCs w:val="21"/>
                    </w:rPr>
                  </w:pPr>
                  <w:r>
                    <w:rPr>
                      <w:szCs w:val="21"/>
                    </w:rPr>
                    <w:t>0.08</w:t>
                  </w:r>
                </w:p>
              </w:tc>
              <w:tc>
                <w:tcPr>
                  <w:tcW w:w="514" w:type="pct"/>
                  <w:vAlign w:val="center"/>
                </w:tcPr>
                <w:p w14:paraId="1CA4C8FD">
                  <w:pPr>
                    <w:adjustRightInd w:val="0"/>
                    <w:snapToGrid w:val="0"/>
                    <w:spacing w:line="320" w:lineRule="exact"/>
                    <w:jc w:val="center"/>
                    <w:rPr>
                      <w:szCs w:val="21"/>
                    </w:rPr>
                  </w:pPr>
                  <w:r>
                    <w:rPr>
                      <w:szCs w:val="21"/>
                    </w:rPr>
                    <w:t>0.42</w:t>
                  </w:r>
                </w:p>
              </w:tc>
            </w:tr>
            <w:tr w14:paraId="2DE1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4486" w:type="pct"/>
                  <w:gridSpan w:val="8"/>
                  <w:vAlign w:val="center"/>
                </w:tcPr>
                <w:p w14:paraId="60147343">
                  <w:pPr>
                    <w:adjustRightInd w:val="0"/>
                    <w:snapToGrid w:val="0"/>
                    <w:spacing w:line="320" w:lineRule="exact"/>
                    <w:jc w:val="center"/>
                    <w:rPr>
                      <w:szCs w:val="21"/>
                    </w:rPr>
                  </w:pPr>
                  <w:r>
                    <w:rPr>
                      <w:szCs w:val="21"/>
                    </w:rPr>
                    <w:t>合计</w:t>
                  </w:r>
                </w:p>
              </w:tc>
              <w:tc>
                <w:tcPr>
                  <w:tcW w:w="514" w:type="pct"/>
                  <w:vAlign w:val="bottom"/>
                </w:tcPr>
                <w:p w14:paraId="0B96A916">
                  <w:pPr>
                    <w:adjustRightInd w:val="0"/>
                    <w:snapToGrid w:val="0"/>
                    <w:spacing w:line="320" w:lineRule="exact"/>
                    <w:jc w:val="center"/>
                    <w:rPr>
                      <w:szCs w:val="21"/>
                    </w:rPr>
                  </w:pPr>
                  <w:r>
                    <w:rPr>
                      <w:szCs w:val="21"/>
                    </w:rPr>
                    <w:t>0.81</w:t>
                  </w:r>
                </w:p>
              </w:tc>
            </w:tr>
          </w:tbl>
          <w:p w14:paraId="3920550E">
            <w:pPr>
              <w:spacing w:line="520" w:lineRule="exact"/>
              <w:ind w:firstLine="480" w:firstLineChars="200"/>
              <w:jc w:val="left"/>
              <w:rPr>
                <w:sz w:val="24"/>
              </w:rPr>
            </w:pPr>
            <w:r>
              <w:rPr>
                <w:sz w:val="24"/>
              </w:rPr>
              <w:t>为降低车辆运输扬尘，本项目原料采用密闭车辆运输，厂区运输道路全部为水泥硬化道路，并在厂区原料、产品进出口处设置 1 台车辆自动冲洗装置，同时设置专职保洁人员，对厂区道路进行保洁，定时清扫和洒水等，减少道路表面积尘负荷；同时加强厂区管理，降低车辆行驶速度，最大程度地减少道路运输扬尘量。经采取上述措施后可降低 80%以上的粉尘量，本次评价去除率取 80%，则车辆运输过程中道路扬尘排放量为 0.16t/a。</w:t>
            </w:r>
          </w:p>
          <w:p w14:paraId="286BBDD3">
            <w:pPr>
              <w:spacing w:line="500" w:lineRule="exact"/>
              <w:ind w:firstLine="480" w:firstLineChars="200"/>
              <w:rPr>
                <w:sz w:val="24"/>
              </w:rPr>
            </w:pPr>
            <w:r>
              <w:rPr>
                <w:sz w:val="24"/>
              </w:rPr>
              <w:t>（8）食堂油烟</w:t>
            </w:r>
          </w:p>
          <w:p w14:paraId="485E02EC">
            <w:pPr>
              <w:spacing w:line="500" w:lineRule="exact"/>
              <w:ind w:firstLine="480" w:firstLineChars="200"/>
              <w:rPr>
                <w:sz w:val="24"/>
              </w:rPr>
            </w:pPr>
            <w:r>
              <w:rPr>
                <w:sz w:val="24"/>
              </w:rPr>
              <w:t>本项目设置有职工食堂，使用天然气作为日常餐饮烹饪的能源，食堂在烹饪炒作时将产生食堂油烟废气污染。食堂每天就餐人数约60人，基准灶头1个，食用油用量以20g/人·d，则项目食堂日消耗食用油1.2kg，年消耗食用油0.36t。一般油烟挥发量总占耗油量的2～4%，平均为2.83%。</w:t>
            </w:r>
          </w:p>
          <w:p w14:paraId="59A2E536">
            <w:pPr>
              <w:spacing w:line="500" w:lineRule="exact"/>
              <w:ind w:firstLine="480" w:firstLineChars="200"/>
              <w:rPr>
                <w:sz w:val="24"/>
              </w:rPr>
            </w:pPr>
            <w:r>
              <w:rPr>
                <w:sz w:val="24"/>
              </w:rPr>
              <w:t>烹饪时间为2h/d，单个基准灶头风机风量按2000m</w:t>
            </w:r>
            <w:r>
              <w:rPr>
                <w:sz w:val="24"/>
                <w:vertAlign w:val="superscript"/>
              </w:rPr>
              <w:t>3</w:t>
            </w:r>
            <w:r>
              <w:rPr>
                <w:sz w:val="24"/>
              </w:rPr>
              <w:t>/h计，基准灶头1个，总风量为2000m</w:t>
            </w:r>
            <w:r>
              <w:rPr>
                <w:sz w:val="24"/>
                <w:vertAlign w:val="superscript"/>
              </w:rPr>
              <w:t>3</w:t>
            </w:r>
            <w:r>
              <w:rPr>
                <w:sz w:val="24"/>
              </w:rPr>
              <w:t>/h，则本项目油烟产生量为0.01t/a（0.0167kg/h），油烟产生浓度约为4.175mg/m</w:t>
            </w:r>
            <w:r>
              <w:rPr>
                <w:sz w:val="24"/>
                <w:vertAlign w:val="superscript"/>
              </w:rPr>
              <w:t>3</w:t>
            </w:r>
            <w:r>
              <w:rPr>
                <w:sz w:val="24"/>
              </w:rPr>
              <w:t>。</w:t>
            </w:r>
          </w:p>
          <w:p w14:paraId="59401B69">
            <w:pPr>
              <w:spacing w:line="500" w:lineRule="exact"/>
              <w:ind w:firstLine="480" w:firstLineChars="200"/>
              <w:rPr>
                <w:sz w:val="24"/>
              </w:rPr>
            </w:pPr>
            <w:r>
              <w:rPr>
                <w:sz w:val="24"/>
              </w:rPr>
              <w:t>本项目食堂安装油烟净化装置，处理后引至屋顶排放。油烟净化效率90%，处理后食堂油烟年排放量为0.001t/a（0.0017kg/h），排放浓度为0.42mg/m</w:t>
            </w:r>
            <w:r>
              <w:rPr>
                <w:sz w:val="24"/>
                <w:vertAlign w:val="superscript"/>
              </w:rPr>
              <w:t>3</w:t>
            </w:r>
            <w:r>
              <w:rPr>
                <w:sz w:val="24"/>
              </w:rPr>
              <w:t>，能够满足《餐饮业油烟污染物排放标准》（DB41/1604-2018）中油烟最高允许排放浓度标准（小型1.5mg/m</w:t>
            </w:r>
            <w:r>
              <w:rPr>
                <w:sz w:val="24"/>
                <w:vertAlign w:val="superscript"/>
              </w:rPr>
              <w:t>3</w:t>
            </w:r>
            <w:r>
              <w:rPr>
                <w:sz w:val="24"/>
              </w:rPr>
              <w:t>），油烟去除效率≥90%的去除效率的要求，达标排放。</w:t>
            </w:r>
          </w:p>
          <w:p w14:paraId="0B688056">
            <w:pPr>
              <w:autoSpaceDE w:val="0"/>
              <w:autoSpaceDN w:val="0"/>
              <w:adjustRightInd w:val="0"/>
              <w:spacing w:line="500" w:lineRule="exact"/>
              <w:ind w:firstLine="480" w:firstLineChars="200"/>
              <w:jc w:val="left"/>
              <w:rPr>
                <w:kern w:val="0"/>
                <w:sz w:val="24"/>
              </w:rPr>
            </w:pPr>
            <w:r>
              <w:rPr>
                <w:kern w:val="0"/>
                <w:sz w:val="24"/>
              </w:rPr>
              <w:t>（9）项目废气污染物排放量汇总</w:t>
            </w:r>
          </w:p>
          <w:p w14:paraId="43101A04">
            <w:pPr>
              <w:spacing w:line="520" w:lineRule="exact"/>
              <w:ind w:firstLine="480" w:firstLineChars="200"/>
              <w:jc w:val="left"/>
              <w:rPr>
                <w:sz w:val="24"/>
              </w:rPr>
            </w:pPr>
            <w:r>
              <w:rPr>
                <w:sz w:val="24"/>
              </w:rPr>
              <w:t>本项目技改完成后，厂区废气污染物产排情况汇总见表4-16：</w:t>
            </w:r>
          </w:p>
          <w:p w14:paraId="5BC2DCD3">
            <w:pPr>
              <w:autoSpaceDE w:val="0"/>
              <w:autoSpaceDN w:val="0"/>
              <w:adjustRightInd w:val="0"/>
              <w:spacing w:line="500" w:lineRule="exact"/>
              <w:ind w:firstLine="240" w:firstLineChars="100"/>
              <w:jc w:val="center"/>
              <w:rPr>
                <w:color w:val="FF0000"/>
                <w:kern w:val="0"/>
                <w:sz w:val="24"/>
                <w:u w:val="single"/>
              </w:rPr>
            </w:pPr>
            <w:r>
              <w:rPr>
                <w:rFonts w:eastAsia="黑体"/>
                <w:color w:val="FF0000"/>
                <w:kern w:val="0"/>
                <w:sz w:val="24"/>
                <w:u w:val="single"/>
              </w:rPr>
              <w:t>表4-16     项目运营期厂区废气污染物产排情况汇总</w:t>
            </w:r>
          </w:p>
          <w:tbl>
            <w:tblPr>
              <w:tblStyle w:val="38"/>
              <w:tblpPr w:leftFromText="180" w:rightFromText="180" w:vertAnchor="text" w:tblpXSpec="center" w:tblpY="1"/>
              <w:tblOverlap w:val="never"/>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65"/>
              <w:gridCol w:w="675"/>
              <w:gridCol w:w="797"/>
              <w:gridCol w:w="937"/>
              <w:gridCol w:w="868"/>
              <w:gridCol w:w="860"/>
              <w:gridCol w:w="796"/>
              <w:gridCol w:w="1028"/>
              <w:gridCol w:w="873"/>
            </w:tblGrid>
            <w:tr w14:paraId="2D1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trPr>
              <w:tc>
                <w:tcPr>
                  <w:tcW w:w="938" w:type="pct"/>
                  <w:gridSpan w:val="2"/>
                  <w:vAlign w:val="center"/>
                </w:tcPr>
                <w:p w14:paraId="5D9E6E88">
                  <w:pPr>
                    <w:jc w:val="center"/>
                    <w:rPr>
                      <w:color w:val="EE0000"/>
                      <w:sz w:val="18"/>
                      <w:szCs w:val="18"/>
                      <w:u w:val="single"/>
                    </w:rPr>
                  </w:pPr>
                  <w:r>
                    <w:rPr>
                      <w:color w:val="EE0000"/>
                      <w:sz w:val="18"/>
                      <w:szCs w:val="18"/>
                      <w:u w:val="single"/>
                    </w:rPr>
                    <w:t>产污环节</w:t>
                  </w:r>
                </w:p>
              </w:tc>
              <w:tc>
                <w:tcPr>
                  <w:tcW w:w="401" w:type="pct"/>
                  <w:vAlign w:val="center"/>
                </w:tcPr>
                <w:p w14:paraId="2203361E">
                  <w:pPr>
                    <w:jc w:val="center"/>
                    <w:rPr>
                      <w:color w:val="EE0000"/>
                      <w:sz w:val="18"/>
                      <w:szCs w:val="18"/>
                      <w:u w:val="single"/>
                    </w:rPr>
                  </w:pPr>
                  <w:r>
                    <w:rPr>
                      <w:color w:val="EE0000"/>
                      <w:sz w:val="18"/>
                      <w:szCs w:val="18"/>
                      <w:u w:val="single"/>
                    </w:rPr>
                    <w:t>废气量m</w:t>
                  </w:r>
                  <w:r>
                    <w:rPr>
                      <w:color w:val="EE0000"/>
                      <w:sz w:val="18"/>
                      <w:szCs w:val="18"/>
                      <w:u w:val="single"/>
                      <w:vertAlign w:val="superscript"/>
                    </w:rPr>
                    <w:t>3</w:t>
                  </w:r>
                  <w:r>
                    <w:rPr>
                      <w:color w:val="EE0000"/>
                      <w:sz w:val="18"/>
                      <w:szCs w:val="18"/>
                      <w:u w:val="single"/>
                    </w:rPr>
                    <w:t>/h</w:t>
                  </w:r>
                </w:p>
              </w:tc>
              <w:tc>
                <w:tcPr>
                  <w:tcW w:w="474" w:type="pct"/>
                  <w:vAlign w:val="center"/>
                </w:tcPr>
                <w:p w14:paraId="703FE726">
                  <w:pPr>
                    <w:jc w:val="center"/>
                    <w:rPr>
                      <w:color w:val="EE0000"/>
                      <w:sz w:val="18"/>
                      <w:szCs w:val="18"/>
                      <w:u w:val="single"/>
                    </w:rPr>
                  </w:pPr>
                  <w:r>
                    <w:rPr>
                      <w:color w:val="EE0000"/>
                      <w:sz w:val="18"/>
                      <w:szCs w:val="18"/>
                      <w:u w:val="single"/>
                    </w:rPr>
                    <w:t>产生量</w:t>
                  </w:r>
                </w:p>
                <w:p w14:paraId="5E939D3B">
                  <w:pPr>
                    <w:jc w:val="center"/>
                    <w:rPr>
                      <w:color w:val="EE0000"/>
                      <w:sz w:val="18"/>
                      <w:szCs w:val="18"/>
                      <w:u w:val="single"/>
                    </w:rPr>
                  </w:pPr>
                  <w:r>
                    <w:rPr>
                      <w:color w:val="EE0000"/>
                      <w:sz w:val="18"/>
                      <w:szCs w:val="18"/>
                      <w:u w:val="single"/>
                    </w:rPr>
                    <w:t>t/a</w:t>
                  </w:r>
                </w:p>
              </w:tc>
              <w:tc>
                <w:tcPr>
                  <w:tcW w:w="557" w:type="pct"/>
                  <w:vAlign w:val="center"/>
                </w:tcPr>
                <w:p w14:paraId="6003C729">
                  <w:pPr>
                    <w:jc w:val="center"/>
                    <w:rPr>
                      <w:color w:val="EE0000"/>
                      <w:sz w:val="18"/>
                      <w:szCs w:val="18"/>
                      <w:u w:val="single"/>
                    </w:rPr>
                  </w:pPr>
                  <w:r>
                    <w:rPr>
                      <w:color w:val="EE0000"/>
                      <w:sz w:val="18"/>
                      <w:szCs w:val="18"/>
                      <w:u w:val="single"/>
                    </w:rPr>
                    <w:t>产生</w:t>
                  </w:r>
                </w:p>
                <w:p w14:paraId="0BFC4ADC">
                  <w:pPr>
                    <w:jc w:val="center"/>
                    <w:rPr>
                      <w:color w:val="EE0000"/>
                      <w:sz w:val="18"/>
                      <w:szCs w:val="18"/>
                      <w:u w:val="single"/>
                    </w:rPr>
                  </w:pPr>
                  <w:r>
                    <w:rPr>
                      <w:color w:val="EE0000"/>
                      <w:sz w:val="18"/>
                      <w:szCs w:val="18"/>
                      <w:u w:val="single"/>
                    </w:rPr>
                    <w:t>速率kg/h</w:t>
                  </w:r>
                </w:p>
              </w:tc>
              <w:tc>
                <w:tcPr>
                  <w:tcW w:w="516" w:type="pct"/>
                  <w:vAlign w:val="center"/>
                </w:tcPr>
                <w:p w14:paraId="68D0A107">
                  <w:pPr>
                    <w:jc w:val="center"/>
                    <w:rPr>
                      <w:color w:val="EE0000"/>
                      <w:sz w:val="18"/>
                      <w:szCs w:val="18"/>
                      <w:u w:val="single"/>
                    </w:rPr>
                  </w:pPr>
                  <w:r>
                    <w:rPr>
                      <w:color w:val="EE0000"/>
                      <w:sz w:val="18"/>
                      <w:szCs w:val="18"/>
                      <w:u w:val="single"/>
                    </w:rPr>
                    <w:t>产生</w:t>
                  </w:r>
                </w:p>
                <w:p w14:paraId="26BE71D8">
                  <w:pPr>
                    <w:jc w:val="center"/>
                    <w:rPr>
                      <w:color w:val="EE0000"/>
                      <w:sz w:val="18"/>
                      <w:szCs w:val="18"/>
                      <w:u w:val="single"/>
                    </w:rPr>
                  </w:pPr>
                  <w:r>
                    <w:rPr>
                      <w:color w:val="EE0000"/>
                      <w:sz w:val="18"/>
                      <w:szCs w:val="18"/>
                      <w:u w:val="single"/>
                    </w:rPr>
                    <w:t>浓度</w:t>
                  </w:r>
                </w:p>
                <w:p w14:paraId="73223F50">
                  <w:pPr>
                    <w:jc w:val="center"/>
                    <w:rPr>
                      <w:color w:val="EE0000"/>
                      <w:sz w:val="18"/>
                      <w:szCs w:val="18"/>
                      <w:u w:val="single"/>
                    </w:rPr>
                  </w:pPr>
                  <w:r>
                    <w:rPr>
                      <w:color w:val="EE0000"/>
                      <w:sz w:val="18"/>
                      <w:szCs w:val="18"/>
                      <w:u w:val="single"/>
                    </w:rPr>
                    <w:t>mg/m</w:t>
                  </w:r>
                  <w:r>
                    <w:rPr>
                      <w:color w:val="EE0000"/>
                      <w:sz w:val="18"/>
                      <w:szCs w:val="18"/>
                      <w:u w:val="single"/>
                      <w:vertAlign w:val="superscript"/>
                    </w:rPr>
                    <w:t>3</w:t>
                  </w:r>
                </w:p>
              </w:tc>
              <w:tc>
                <w:tcPr>
                  <w:tcW w:w="511" w:type="pct"/>
                  <w:vAlign w:val="center"/>
                </w:tcPr>
                <w:p w14:paraId="03E3C3B9">
                  <w:pPr>
                    <w:jc w:val="center"/>
                    <w:rPr>
                      <w:color w:val="EE0000"/>
                      <w:sz w:val="18"/>
                      <w:szCs w:val="18"/>
                      <w:u w:val="single"/>
                    </w:rPr>
                  </w:pPr>
                  <w:r>
                    <w:rPr>
                      <w:color w:val="EE0000"/>
                      <w:sz w:val="18"/>
                      <w:szCs w:val="18"/>
                      <w:u w:val="single"/>
                    </w:rPr>
                    <w:t>处理</w:t>
                  </w:r>
                </w:p>
                <w:p w14:paraId="53D833CC">
                  <w:pPr>
                    <w:jc w:val="center"/>
                    <w:rPr>
                      <w:color w:val="EE0000"/>
                      <w:sz w:val="18"/>
                      <w:szCs w:val="18"/>
                      <w:u w:val="single"/>
                    </w:rPr>
                  </w:pPr>
                  <w:r>
                    <w:rPr>
                      <w:color w:val="EE0000"/>
                      <w:sz w:val="18"/>
                      <w:szCs w:val="18"/>
                      <w:u w:val="single"/>
                    </w:rPr>
                    <w:t>措施</w:t>
                  </w:r>
                </w:p>
              </w:tc>
              <w:tc>
                <w:tcPr>
                  <w:tcW w:w="473" w:type="pct"/>
                  <w:vAlign w:val="center"/>
                </w:tcPr>
                <w:p w14:paraId="2847FDAA">
                  <w:pPr>
                    <w:jc w:val="center"/>
                    <w:rPr>
                      <w:color w:val="EE0000"/>
                      <w:sz w:val="18"/>
                      <w:szCs w:val="18"/>
                      <w:u w:val="single"/>
                    </w:rPr>
                  </w:pPr>
                  <w:r>
                    <w:rPr>
                      <w:color w:val="EE0000"/>
                      <w:sz w:val="18"/>
                      <w:szCs w:val="18"/>
                      <w:u w:val="single"/>
                    </w:rPr>
                    <w:t>排放量</w:t>
                  </w:r>
                </w:p>
                <w:p w14:paraId="6CDB3374">
                  <w:pPr>
                    <w:jc w:val="center"/>
                    <w:rPr>
                      <w:color w:val="EE0000"/>
                      <w:sz w:val="18"/>
                      <w:szCs w:val="18"/>
                      <w:u w:val="single"/>
                    </w:rPr>
                  </w:pPr>
                  <w:r>
                    <w:rPr>
                      <w:color w:val="EE0000"/>
                      <w:sz w:val="18"/>
                      <w:szCs w:val="18"/>
                      <w:u w:val="single"/>
                    </w:rPr>
                    <w:t>t/a</w:t>
                  </w:r>
                </w:p>
              </w:tc>
              <w:tc>
                <w:tcPr>
                  <w:tcW w:w="611" w:type="pct"/>
                  <w:vAlign w:val="center"/>
                </w:tcPr>
                <w:p w14:paraId="3051DB08">
                  <w:pPr>
                    <w:jc w:val="center"/>
                    <w:rPr>
                      <w:color w:val="EE0000"/>
                      <w:sz w:val="18"/>
                      <w:szCs w:val="18"/>
                      <w:u w:val="single"/>
                    </w:rPr>
                  </w:pPr>
                  <w:r>
                    <w:rPr>
                      <w:color w:val="EE0000"/>
                      <w:sz w:val="18"/>
                      <w:szCs w:val="18"/>
                      <w:u w:val="single"/>
                    </w:rPr>
                    <w:t>排放</w:t>
                  </w:r>
                </w:p>
                <w:p w14:paraId="4F4C9F57">
                  <w:pPr>
                    <w:jc w:val="center"/>
                    <w:rPr>
                      <w:color w:val="EE0000"/>
                      <w:sz w:val="18"/>
                      <w:szCs w:val="18"/>
                      <w:u w:val="single"/>
                    </w:rPr>
                  </w:pPr>
                  <w:r>
                    <w:rPr>
                      <w:color w:val="EE0000"/>
                      <w:sz w:val="18"/>
                      <w:szCs w:val="18"/>
                      <w:u w:val="single"/>
                    </w:rPr>
                    <w:t>速率kg/h</w:t>
                  </w:r>
                </w:p>
              </w:tc>
              <w:tc>
                <w:tcPr>
                  <w:tcW w:w="519" w:type="pct"/>
                  <w:vAlign w:val="center"/>
                </w:tcPr>
                <w:p w14:paraId="4989B9DA">
                  <w:pPr>
                    <w:jc w:val="center"/>
                    <w:rPr>
                      <w:color w:val="EE0000"/>
                      <w:sz w:val="18"/>
                      <w:szCs w:val="18"/>
                      <w:u w:val="single"/>
                    </w:rPr>
                  </w:pPr>
                  <w:r>
                    <w:rPr>
                      <w:color w:val="EE0000"/>
                      <w:sz w:val="18"/>
                      <w:szCs w:val="18"/>
                      <w:u w:val="single"/>
                    </w:rPr>
                    <w:t>排放</w:t>
                  </w:r>
                </w:p>
                <w:p w14:paraId="43ABB397">
                  <w:pPr>
                    <w:jc w:val="center"/>
                    <w:rPr>
                      <w:color w:val="EE0000"/>
                      <w:sz w:val="18"/>
                      <w:szCs w:val="18"/>
                      <w:u w:val="single"/>
                    </w:rPr>
                  </w:pPr>
                  <w:r>
                    <w:rPr>
                      <w:color w:val="EE0000"/>
                      <w:sz w:val="18"/>
                      <w:szCs w:val="18"/>
                      <w:u w:val="single"/>
                    </w:rPr>
                    <w:t>浓度mg/m</w:t>
                  </w:r>
                  <w:r>
                    <w:rPr>
                      <w:color w:val="EE0000"/>
                      <w:sz w:val="18"/>
                      <w:szCs w:val="18"/>
                      <w:u w:val="single"/>
                      <w:vertAlign w:val="superscript"/>
                    </w:rPr>
                    <w:t>3</w:t>
                  </w:r>
                </w:p>
              </w:tc>
            </w:tr>
            <w:tr w14:paraId="5AF8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938" w:type="pct"/>
                  <w:gridSpan w:val="2"/>
                  <w:vAlign w:val="center"/>
                </w:tcPr>
                <w:p w14:paraId="2E11B058">
                  <w:pPr>
                    <w:jc w:val="center"/>
                    <w:rPr>
                      <w:color w:val="EE0000"/>
                      <w:sz w:val="18"/>
                      <w:szCs w:val="18"/>
                      <w:u w:val="single"/>
                    </w:rPr>
                  </w:pPr>
                  <w:r>
                    <w:rPr>
                      <w:color w:val="EE0000"/>
                      <w:sz w:val="18"/>
                      <w:szCs w:val="18"/>
                      <w:u w:val="single"/>
                    </w:rPr>
                    <w:t>/</w:t>
                  </w:r>
                </w:p>
              </w:tc>
              <w:tc>
                <w:tcPr>
                  <w:tcW w:w="4062" w:type="pct"/>
                  <w:gridSpan w:val="8"/>
                  <w:vAlign w:val="center"/>
                </w:tcPr>
                <w:p w14:paraId="77A6F456">
                  <w:pPr>
                    <w:jc w:val="center"/>
                    <w:rPr>
                      <w:color w:val="EE0000"/>
                      <w:sz w:val="18"/>
                      <w:szCs w:val="18"/>
                      <w:u w:val="single"/>
                    </w:rPr>
                  </w:pPr>
                  <w:r>
                    <w:rPr>
                      <w:color w:val="EE0000"/>
                      <w:sz w:val="18"/>
                      <w:szCs w:val="18"/>
                      <w:u w:val="single"/>
                    </w:rPr>
                    <w:t>有组织废气</w:t>
                  </w:r>
                </w:p>
              </w:tc>
            </w:tr>
            <w:tr w14:paraId="4E6C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24" w:type="pct"/>
                  <w:vMerge w:val="restart"/>
                  <w:vAlign w:val="center"/>
                </w:tcPr>
                <w:p w14:paraId="08B95176">
                  <w:pPr>
                    <w:jc w:val="center"/>
                    <w:rPr>
                      <w:color w:val="EE0000"/>
                      <w:sz w:val="18"/>
                      <w:szCs w:val="18"/>
                      <w:u w:val="single"/>
                    </w:rPr>
                  </w:pPr>
                  <w:r>
                    <w:rPr>
                      <w:color w:val="EE0000"/>
                      <w:sz w:val="18"/>
                      <w:szCs w:val="18"/>
                      <w:u w:val="single"/>
                    </w:rPr>
                    <w:t>原料制备</w:t>
                  </w:r>
                </w:p>
              </w:tc>
              <w:tc>
                <w:tcPr>
                  <w:tcW w:w="514" w:type="pct"/>
                  <w:tcBorders>
                    <w:bottom w:val="single" w:color="auto" w:sz="4" w:space="0"/>
                  </w:tcBorders>
                  <w:vAlign w:val="center"/>
                </w:tcPr>
                <w:p w14:paraId="4876D5B6">
                  <w:pPr>
                    <w:jc w:val="center"/>
                    <w:rPr>
                      <w:color w:val="EE0000"/>
                      <w:sz w:val="18"/>
                      <w:szCs w:val="18"/>
                      <w:u w:val="single"/>
                    </w:rPr>
                  </w:pPr>
                  <w:r>
                    <w:rPr>
                      <w:color w:val="EE0000"/>
                      <w:sz w:val="18"/>
                      <w:szCs w:val="18"/>
                      <w:u w:val="single"/>
                    </w:rPr>
                    <w:t>筛分、搅拌颗粒物</w:t>
                  </w:r>
                </w:p>
              </w:tc>
              <w:tc>
                <w:tcPr>
                  <w:tcW w:w="401" w:type="pct"/>
                  <w:tcBorders>
                    <w:bottom w:val="single" w:color="auto" w:sz="4" w:space="0"/>
                  </w:tcBorders>
                  <w:vAlign w:val="center"/>
                </w:tcPr>
                <w:p w14:paraId="11F189A7">
                  <w:pPr>
                    <w:jc w:val="center"/>
                    <w:rPr>
                      <w:color w:val="EE0000"/>
                      <w:sz w:val="18"/>
                      <w:szCs w:val="18"/>
                      <w:u w:val="single"/>
                    </w:rPr>
                  </w:pPr>
                  <w:r>
                    <w:rPr>
                      <w:color w:val="EE0000"/>
                      <w:sz w:val="18"/>
                      <w:szCs w:val="18"/>
                      <w:u w:val="single"/>
                    </w:rPr>
                    <w:t>22320</w:t>
                  </w:r>
                </w:p>
              </w:tc>
              <w:tc>
                <w:tcPr>
                  <w:tcW w:w="474" w:type="pct"/>
                  <w:tcBorders>
                    <w:bottom w:val="single" w:color="auto" w:sz="4" w:space="0"/>
                  </w:tcBorders>
                  <w:vAlign w:val="center"/>
                </w:tcPr>
                <w:p w14:paraId="7A3A79AC">
                  <w:pPr>
                    <w:jc w:val="center"/>
                    <w:rPr>
                      <w:color w:val="EE0000"/>
                      <w:sz w:val="18"/>
                      <w:szCs w:val="18"/>
                      <w:u w:val="single"/>
                    </w:rPr>
                  </w:pPr>
                  <w:r>
                    <w:rPr>
                      <w:color w:val="EE0000"/>
                      <w:sz w:val="18"/>
                      <w:szCs w:val="18"/>
                      <w:u w:val="single"/>
                    </w:rPr>
                    <w:t>28.04</w:t>
                  </w:r>
                </w:p>
              </w:tc>
              <w:tc>
                <w:tcPr>
                  <w:tcW w:w="557" w:type="pct"/>
                  <w:vAlign w:val="center"/>
                </w:tcPr>
                <w:p w14:paraId="305AA98E">
                  <w:pPr>
                    <w:jc w:val="center"/>
                    <w:rPr>
                      <w:color w:val="EE0000"/>
                      <w:sz w:val="18"/>
                      <w:szCs w:val="18"/>
                      <w:u w:val="single"/>
                    </w:rPr>
                  </w:pPr>
                  <w:r>
                    <w:rPr>
                      <w:color w:val="EE0000"/>
                      <w:sz w:val="18"/>
                      <w:szCs w:val="18"/>
                      <w:u w:val="single"/>
                    </w:rPr>
                    <w:t>5.31</w:t>
                  </w:r>
                </w:p>
              </w:tc>
              <w:tc>
                <w:tcPr>
                  <w:tcW w:w="516" w:type="pct"/>
                  <w:vAlign w:val="center"/>
                </w:tcPr>
                <w:p w14:paraId="21277FFC">
                  <w:pPr>
                    <w:jc w:val="center"/>
                    <w:rPr>
                      <w:color w:val="EE0000"/>
                      <w:sz w:val="18"/>
                      <w:szCs w:val="18"/>
                      <w:u w:val="single"/>
                    </w:rPr>
                  </w:pPr>
                  <w:r>
                    <w:rPr>
                      <w:color w:val="EE0000"/>
                      <w:sz w:val="18"/>
                      <w:szCs w:val="18"/>
                      <w:u w:val="single"/>
                    </w:rPr>
                    <w:t>237.9</w:t>
                  </w:r>
                </w:p>
              </w:tc>
              <w:tc>
                <w:tcPr>
                  <w:tcW w:w="511" w:type="pct"/>
                  <w:vAlign w:val="center"/>
                </w:tcPr>
                <w:p w14:paraId="0365A065">
                  <w:pPr>
                    <w:jc w:val="center"/>
                    <w:rPr>
                      <w:color w:val="EE0000"/>
                      <w:sz w:val="18"/>
                      <w:szCs w:val="18"/>
                      <w:u w:val="single"/>
                    </w:rPr>
                  </w:pPr>
                  <w:r>
                    <w:rPr>
                      <w:color w:val="EE0000"/>
                      <w:sz w:val="18"/>
                      <w:szCs w:val="18"/>
                      <w:u w:val="single"/>
                    </w:rPr>
                    <w:t>1座袋式除尘器</w:t>
                  </w:r>
                </w:p>
              </w:tc>
              <w:tc>
                <w:tcPr>
                  <w:tcW w:w="473" w:type="pct"/>
                  <w:tcBorders>
                    <w:bottom w:val="single" w:color="auto" w:sz="4" w:space="0"/>
                  </w:tcBorders>
                  <w:vAlign w:val="center"/>
                </w:tcPr>
                <w:p w14:paraId="6CC6FEDB">
                  <w:pPr>
                    <w:jc w:val="center"/>
                    <w:rPr>
                      <w:sz w:val="18"/>
                      <w:szCs w:val="18"/>
                    </w:rPr>
                  </w:pPr>
                  <w:r>
                    <w:rPr>
                      <w:color w:val="EE0000"/>
                      <w:sz w:val="18"/>
                      <w:szCs w:val="18"/>
                      <w:u w:val="single"/>
                    </w:rPr>
                    <w:t>0.84</w:t>
                  </w:r>
                </w:p>
              </w:tc>
              <w:tc>
                <w:tcPr>
                  <w:tcW w:w="611" w:type="pct"/>
                  <w:tcBorders>
                    <w:bottom w:val="single" w:color="auto" w:sz="4" w:space="0"/>
                  </w:tcBorders>
                  <w:vAlign w:val="center"/>
                </w:tcPr>
                <w:p w14:paraId="292C124B">
                  <w:pPr>
                    <w:jc w:val="center"/>
                    <w:rPr>
                      <w:sz w:val="18"/>
                      <w:szCs w:val="18"/>
                    </w:rPr>
                  </w:pPr>
                  <w:r>
                    <w:rPr>
                      <w:color w:val="EE0000"/>
                      <w:sz w:val="18"/>
                      <w:szCs w:val="18"/>
                      <w:u w:val="single"/>
                    </w:rPr>
                    <w:t xml:space="preserve">0.16 </w:t>
                  </w:r>
                </w:p>
              </w:tc>
              <w:tc>
                <w:tcPr>
                  <w:tcW w:w="519" w:type="pct"/>
                  <w:tcBorders>
                    <w:bottom w:val="single" w:color="auto" w:sz="4" w:space="0"/>
                  </w:tcBorders>
                  <w:vAlign w:val="center"/>
                </w:tcPr>
                <w:p w14:paraId="1AC68F1B">
                  <w:pPr>
                    <w:jc w:val="center"/>
                    <w:rPr>
                      <w:sz w:val="18"/>
                      <w:szCs w:val="18"/>
                    </w:rPr>
                  </w:pPr>
                  <w:r>
                    <w:rPr>
                      <w:color w:val="EE0000"/>
                      <w:sz w:val="18"/>
                      <w:szCs w:val="18"/>
                      <w:u w:val="single"/>
                    </w:rPr>
                    <w:t>7.2</w:t>
                  </w:r>
                </w:p>
              </w:tc>
            </w:tr>
            <w:tr w14:paraId="4225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24" w:type="pct"/>
                  <w:vMerge w:val="continue"/>
                  <w:tcBorders>
                    <w:bottom w:val="single" w:color="auto" w:sz="4" w:space="0"/>
                  </w:tcBorders>
                  <w:vAlign w:val="center"/>
                </w:tcPr>
                <w:p w14:paraId="3C1CFF64">
                  <w:pPr>
                    <w:jc w:val="center"/>
                    <w:rPr>
                      <w:color w:val="EE0000"/>
                      <w:sz w:val="18"/>
                      <w:szCs w:val="18"/>
                      <w:u w:val="single"/>
                    </w:rPr>
                  </w:pPr>
                </w:p>
              </w:tc>
              <w:tc>
                <w:tcPr>
                  <w:tcW w:w="514" w:type="pct"/>
                  <w:tcBorders>
                    <w:bottom w:val="single" w:color="auto" w:sz="4" w:space="0"/>
                  </w:tcBorders>
                  <w:vAlign w:val="center"/>
                </w:tcPr>
                <w:p w14:paraId="3F7E605E">
                  <w:pPr>
                    <w:jc w:val="center"/>
                    <w:rPr>
                      <w:color w:val="EE0000"/>
                      <w:sz w:val="18"/>
                      <w:szCs w:val="18"/>
                      <w:u w:val="single"/>
                    </w:rPr>
                  </w:pPr>
                  <w:r>
                    <w:rPr>
                      <w:color w:val="EE0000"/>
                      <w:sz w:val="18"/>
                      <w:szCs w:val="18"/>
                      <w:u w:val="single"/>
                    </w:rPr>
                    <w:t>喂料、破碎颗粒物</w:t>
                  </w:r>
                </w:p>
              </w:tc>
              <w:tc>
                <w:tcPr>
                  <w:tcW w:w="401" w:type="pct"/>
                  <w:tcBorders>
                    <w:bottom w:val="single" w:color="auto" w:sz="4" w:space="0"/>
                  </w:tcBorders>
                  <w:vAlign w:val="center"/>
                </w:tcPr>
                <w:p w14:paraId="6E43C319">
                  <w:pPr>
                    <w:jc w:val="center"/>
                    <w:rPr>
                      <w:color w:val="EE0000"/>
                      <w:sz w:val="18"/>
                      <w:szCs w:val="18"/>
                      <w:u w:val="single"/>
                    </w:rPr>
                  </w:pPr>
                  <w:r>
                    <w:rPr>
                      <w:color w:val="EE0000"/>
                      <w:sz w:val="18"/>
                      <w:szCs w:val="18"/>
                      <w:u w:val="single"/>
                    </w:rPr>
                    <w:t>27720</w:t>
                  </w:r>
                </w:p>
              </w:tc>
              <w:tc>
                <w:tcPr>
                  <w:tcW w:w="474" w:type="pct"/>
                  <w:tcBorders>
                    <w:bottom w:val="single" w:color="auto" w:sz="4" w:space="0"/>
                  </w:tcBorders>
                  <w:vAlign w:val="center"/>
                </w:tcPr>
                <w:p w14:paraId="38A084D4">
                  <w:pPr>
                    <w:jc w:val="center"/>
                    <w:rPr>
                      <w:color w:val="EE0000"/>
                      <w:sz w:val="18"/>
                      <w:szCs w:val="18"/>
                      <w:u w:val="single"/>
                    </w:rPr>
                  </w:pPr>
                  <w:r>
                    <w:rPr>
                      <w:color w:val="EE0000"/>
                      <w:sz w:val="18"/>
                      <w:szCs w:val="18"/>
                      <w:u w:val="single"/>
                    </w:rPr>
                    <w:t>14.63</w:t>
                  </w:r>
                </w:p>
              </w:tc>
              <w:tc>
                <w:tcPr>
                  <w:tcW w:w="557" w:type="pct"/>
                  <w:vAlign w:val="center"/>
                </w:tcPr>
                <w:p w14:paraId="01147E7A">
                  <w:pPr>
                    <w:jc w:val="center"/>
                    <w:rPr>
                      <w:color w:val="EE0000"/>
                      <w:sz w:val="18"/>
                      <w:szCs w:val="18"/>
                      <w:u w:val="single"/>
                    </w:rPr>
                  </w:pPr>
                  <w:r>
                    <w:rPr>
                      <w:color w:val="EE0000"/>
                      <w:sz w:val="18"/>
                      <w:szCs w:val="18"/>
                      <w:u w:val="single"/>
                    </w:rPr>
                    <w:t>2.77</w:t>
                  </w:r>
                </w:p>
              </w:tc>
              <w:tc>
                <w:tcPr>
                  <w:tcW w:w="516" w:type="pct"/>
                  <w:vAlign w:val="center"/>
                </w:tcPr>
                <w:p w14:paraId="0A44D069">
                  <w:pPr>
                    <w:jc w:val="center"/>
                    <w:rPr>
                      <w:color w:val="EE0000"/>
                      <w:sz w:val="18"/>
                      <w:szCs w:val="18"/>
                      <w:u w:val="single"/>
                    </w:rPr>
                  </w:pPr>
                  <w:r>
                    <w:rPr>
                      <w:color w:val="EE0000"/>
                      <w:sz w:val="18"/>
                      <w:szCs w:val="18"/>
                      <w:u w:val="single"/>
                    </w:rPr>
                    <w:t>99.9</w:t>
                  </w:r>
                </w:p>
              </w:tc>
              <w:tc>
                <w:tcPr>
                  <w:tcW w:w="511" w:type="pct"/>
                  <w:vAlign w:val="center"/>
                </w:tcPr>
                <w:p w14:paraId="0CFC0791">
                  <w:pPr>
                    <w:jc w:val="center"/>
                    <w:rPr>
                      <w:color w:val="EE0000"/>
                      <w:sz w:val="18"/>
                      <w:szCs w:val="18"/>
                      <w:u w:val="single"/>
                    </w:rPr>
                  </w:pPr>
                  <w:r>
                    <w:rPr>
                      <w:color w:val="EE0000"/>
                      <w:sz w:val="18"/>
                      <w:szCs w:val="18"/>
                      <w:u w:val="single"/>
                    </w:rPr>
                    <w:t>1座袋式除尘器</w:t>
                  </w:r>
                </w:p>
              </w:tc>
              <w:tc>
                <w:tcPr>
                  <w:tcW w:w="473" w:type="pct"/>
                  <w:tcBorders>
                    <w:bottom w:val="single" w:color="auto" w:sz="4" w:space="0"/>
                  </w:tcBorders>
                  <w:vAlign w:val="center"/>
                </w:tcPr>
                <w:p w14:paraId="3BBB063A">
                  <w:pPr>
                    <w:jc w:val="center"/>
                    <w:rPr>
                      <w:color w:val="EE0000"/>
                      <w:sz w:val="18"/>
                      <w:szCs w:val="18"/>
                      <w:u w:val="single"/>
                    </w:rPr>
                  </w:pPr>
                  <w:r>
                    <w:rPr>
                      <w:color w:val="EE0000"/>
                      <w:sz w:val="18"/>
                      <w:szCs w:val="18"/>
                      <w:u w:val="single"/>
                    </w:rPr>
                    <w:t>0.44</w:t>
                  </w:r>
                </w:p>
              </w:tc>
              <w:tc>
                <w:tcPr>
                  <w:tcW w:w="611" w:type="pct"/>
                  <w:tcBorders>
                    <w:bottom w:val="single" w:color="auto" w:sz="4" w:space="0"/>
                  </w:tcBorders>
                  <w:vAlign w:val="center"/>
                </w:tcPr>
                <w:p w14:paraId="10EAB847">
                  <w:pPr>
                    <w:jc w:val="center"/>
                    <w:rPr>
                      <w:color w:val="EE0000"/>
                      <w:sz w:val="18"/>
                      <w:szCs w:val="18"/>
                      <w:u w:val="single"/>
                    </w:rPr>
                  </w:pPr>
                  <w:r>
                    <w:rPr>
                      <w:color w:val="EE0000"/>
                      <w:sz w:val="18"/>
                      <w:szCs w:val="18"/>
                      <w:u w:val="single"/>
                    </w:rPr>
                    <w:t xml:space="preserve">0.083 </w:t>
                  </w:r>
                </w:p>
              </w:tc>
              <w:tc>
                <w:tcPr>
                  <w:tcW w:w="519" w:type="pct"/>
                  <w:tcBorders>
                    <w:bottom w:val="single" w:color="auto" w:sz="4" w:space="0"/>
                  </w:tcBorders>
                  <w:vAlign w:val="center"/>
                </w:tcPr>
                <w:p w14:paraId="17AC2575">
                  <w:pPr>
                    <w:jc w:val="center"/>
                    <w:rPr>
                      <w:color w:val="EE0000"/>
                      <w:sz w:val="18"/>
                      <w:szCs w:val="18"/>
                      <w:u w:val="single"/>
                    </w:rPr>
                  </w:pPr>
                  <w:r>
                    <w:rPr>
                      <w:color w:val="EE0000"/>
                      <w:sz w:val="18"/>
                      <w:szCs w:val="18"/>
                      <w:u w:val="single"/>
                    </w:rPr>
                    <w:t>3.0</w:t>
                  </w:r>
                </w:p>
              </w:tc>
            </w:tr>
            <w:tr w14:paraId="5BA7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4" w:type="pct"/>
                  <w:vMerge w:val="restart"/>
                  <w:vAlign w:val="center"/>
                </w:tcPr>
                <w:p w14:paraId="3A5E6B60">
                  <w:pPr>
                    <w:jc w:val="center"/>
                    <w:rPr>
                      <w:sz w:val="18"/>
                      <w:szCs w:val="18"/>
                      <w:u w:val="single"/>
                    </w:rPr>
                  </w:pPr>
                  <w:r>
                    <w:rPr>
                      <w:color w:val="EE0000"/>
                      <w:sz w:val="18"/>
                      <w:szCs w:val="18"/>
                      <w:u w:val="single"/>
                    </w:rPr>
                    <w:t>窑炉烟气</w:t>
                  </w:r>
                </w:p>
              </w:tc>
              <w:tc>
                <w:tcPr>
                  <w:tcW w:w="514" w:type="pct"/>
                  <w:vAlign w:val="center"/>
                </w:tcPr>
                <w:p w14:paraId="534A0562">
                  <w:pPr>
                    <w:jc w:val="center"/>
                    <w:rPr>
                      <w:color w:val="EE0000"/>
                      <w:sz w:val="18"/>
                      <w:szCs w:val="18"/>
                      <w:u w:val="single"/>
                    </w:rPr>
                  </w:pPr>
                  <w:r>
                    <w:rPr>
                      <w:color w:val="EE0000"/>
                      <w:sz w:val="18"/>
                      <w:szCs w:val="18"/>
                      <w:u w:val="single"/>
                    </w:rPr>
                    <w:t>颗粒物</w:t>
                  </w:r>
                </w:p>
              </w:tc>
              <w:tc>
                <w:tcPr>
                  <w:tcW w:w="401" w:type="pct"/>
                  <w:vMerge w:val="restart"/>
                  <w:vAlign w:val="center"/>
                </w:tcPr>
                <w:p w14:paraId="59BD73B1">
                  <w:pPr>
                    <w:jc w:val="center"/>
                    <w:rPr>
                      <w:color w:val="EE0000"/>
                      <w:sz w:val="18"/>
                      <w:szCs w:val="18"/>
                      <w:u w:val="single"/>
                    </w:rPr>
                  </w:pPr>
                  <w:r>
                    <w:rPr>
                      <w:color w:val="EE0000"/>
                      <w:sz w:val="18"/>
                      <w:szCs w:val="18"/>
                      <w:u w:val="single"/>
                    </w:rPr>
                    <w:t>2×10</w:t>
                  </w:r>
                  <w:r>
                    <w:rPr>
                      <w:color w:val="EE0000"/>
                      <w:sz w:val="18"/>
                      <w:szCs w:val="18"/>
                      <w:u w:val="single"/>
                      <w:vertAlign w:val="superscript"/>
                    </w:rPr>
                    <w:t>5</w:t>
                  </w:r>
                </w:p>
              </w:tc>
              <w:tc>
                <w:tcPr>
                  <w:tcW w:w="474" w:type="pct"/>
                  <w:vAlign w:val="center"/>
                </w:tcPr>
                <w:p w14:paraId="540C2724">
                  <w:pPr>
                    <w:jc w:val="center"/>
                    <w:rPr>
                      <w:color w:val="EE0000"/>
                      <w:sz w:val="18"/>
                      <w:szCs w:val="18"/>
                      <w:u w:val="single"/>
                    </w:rPr>
                  </w:pPr>
                  <w:r>
                    <w:rPr>
                      <w:color w:val="EE0000"/>
                      <w:sz w:val="18"/>
                      <w:szCs w:val="18"/>
                      <w:u w:val="single"/>
                    </w:rPr>
                    <w:t>78</w:t>
                  </w:r>
                </w:p>
              </w:tc>
              <w:tc>
                <w:tcPr>
                  <w:tcW w:w="557" w:type="pct"/>
                  <w:vAlign w:val="center"/>
                </w:tcPr>
                <w:p w14:paraId="714661BF">
                  <w:pPr>
                    <w:jc w:val="center"/>
                    <w:rPr>
                      <w:color w:val="EE0000"/>
                      <w:sz w:val="18"/>
                      <w:szCs w:val="18"/>
                      <w:u w:val="single"/>
                    </w:rPr>
                  </w:pPr>
                  <w:r>
                    <w:rPr>
                      <w:color w:val="EE0000"/>
                      <w:sz w:val="18"/>
                      <w:szCs w:val="18"/>
                      <w:u w:val="single"/>
                    </w:rPr>
                    <w:t>9.85</w:t>
                  </w:r>
                </w:p>
              </w:tc>
              <w:tc>
                <w:tcPr>
                  <w:tcW w:w="516" w:type="pct"/>
                  <w:vAlign w:val="center"/>
                </w:tcPr>
                <w:p w14:paraId="3420DC24">
                  <w:pPr>
                    <w:jc w:val="center"/>
                    <w:rPr>
                      <w:color w:val="EE0000"/>
                      <w:sz w:val="18"/>
                      <w:szCs w:val="18"/>
                      <w:u w:val="single"/>
                    </w:rPr>
                  </w:pPr>
                  <w:r>
                    <w:rPr>
                      <w:color w:val="EE0000"/>
                      <w:sz w:val="18"/>
                      <w:szCs w:val="18"/>
                      <w:u w:val="single"/>
                    </w:rPr>
                    <w:t>49.25</w:t>
                  </w:r>
                </w:p>
              </w:tc>
              <w:tc>
                <w:tcPr>
                  <w:tcW w:w="511" w:type="pct"/>
                  <w:vMerge w:val="restart"/>
                  <w:vAlign w:val="center"/>
                </w:tcPr>
                <w:p w14:paraId="6BAA1F60">
                  <w:pPr>
                    <w:jc w:val="center"/>
                    <w:rPr>
                      <w:color w:val="EE0000"/>
                      <w:sz w:val="18"/>
                      <w:szCs w:val="18"/>
                      <w:u w:val="single"/>
                    </w:rPr>
                  </w:pPr>
                  <w:r>
                    <w:rPr>
                      <w:color w:val="EE0000"/>
                      <w:sz w:val="18"/>
                      <w:szCs w:val="18"/>
                      <w:u w:val="single"/>
                    </w:rPr>
                    <w:t>SNCR脱硝＋石灰-石膏湿法脱硫塔＋湿电除尘器</w:t>
                  </w:r>
                </w:p>
              </w:tc>
              <w:tc>
                <w:tcPr>
                  <w:tcW w:w="473" w:type="pct"/>
                  <w:vAlign w:val="center"/>
                </w:tcPr>
                <w:p w14:paraId="78829EF5">
                  <w:pPr>
                    <w:jc w:val="center"/>
                    <w:rPr>
                      <w:color w:val="EE0000"/>
                      <w:sz w:val="18"/>
                      <w:szCs w:val="18"/>
                      <w:u w:val="single"/>
                    </w:rPr>
                  </w:pPr>
                  <w:r>
                    <w:rPr>
                      <w:color w:val="EE0000"/>
                      <w:sz w:val="18"/>
                      <w:szCs w:val="18"/>
                      <w:u w:val="single"/>
                    </w:rPr>
                    <w:t>7.80</w:t>
                  </w:r>
                </w:p>
              </w:tc>
              <w:tc>
                <w:tcPr>
                  <w:tcW w:w="611" w:type="pct"/>
                  <w:vAlign w:val="center"/>
                </w:tcPr>
                <w:p w14:paraId="46190B39">
                  <w:pPr>
                    <w:jc w:val="center"/>
                    <w:rPr>
                      <w:color w:val="EE0000"/>
                      <w:sz w:val="18"/>
                      <w:szCs w:val="18"/>
                      <w:u w:val="single"/>
                    </w:rPr>
                  </w:pPr>
                  <w:r>
                    <w:rPr>
                      <w:color w:val="EE0000"/>
                      <w:sz w:val="18"/>
                      <w:szCs w:val="18"/>
                      <w:u w:val="single"/>
                    </w:rPr>
                    <w:t>1.0</w:t>
                  </w:r>
                </w:p>
              </w:tc>
              <w:tc>
                <w:tcPr>
                  <w:tcW w:w="519" w:type="pct"/>
                  <w:vAlign w:val="center"/>
                </w:tcPr>
                <w:p w14:paraId="49D06B0A">
                  <w:pPr>
                    <w:jc w:val="center"/>
                    <w:rPr>
                      <w:color w:val="EE0000"/>
                      <w:sz w:val="18"/>
                      <w:szCs w:val="18"/>
                      <w:u w:val="single"/>
                    </w:rPr>
                  </w:pPr>
                  <w:r>
                    <w:rPr>
                      <w:color w:val="EE0000"/>
                      <w:sz w:val="18"/>
                      <w:szCs w:val="18"/>
                      <w:u w:val="single"/>
                    </w:rPr>
                    <w:t>5.0</w:t>
                  </w:r>
                </w:p>
              </w:tc>
            </w:tr>
            <w:tr w14:paraId="67DD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4" w:type="pct"/>
                  <w:vMerge w:val="continue"/>
                  <w:vAlign w:val="center"/>
                </w:tcPr>
                <w:p w14:paraId="38E66EDD">
                  <w:pPr>
                    <w:jc w:val="center"/>
                    <w:rPr>
                      <w:sz w:val="18"/>
                      <w:szCs w:val="18"/>
                    </w:rPr>
                  </w:pPr>
                </w:p>
              </w:tc>
              <w:tc>
                <w:tcPr>
                  <w:tcW w:w="514" w:type="pct"/>
                  <w:vAlign w:val="center"/>
                </w:tcPr>
                <w:p w14:paraId="7B37E19C">
                  <w:pPr>
                    <w:jc w:val="center"/>
                    <w:rPr>
                      <w:color w:val="EE0000"/>
                      <w:sz w:val="18"/>
                      <w:szCs w:val="18"/>
                      <w:u w:val="single"/>
                    </w:rPr>
                  </w:pPr>
                  <w:r>
                    <w:rPr>
                      <w:color w:val="EE0000"/>
                      <w:sz w:val="18"/>
                      <w:szCs w:val="18"/>
                      <w:u w:val="single"/>
                    </w:rPr>
                    <w:t>二氧化硫</w:t>
                  </w:r>
                </w:p>
              </w:tc>
              <w:tc>
                <w:tcPr>
                  <w:tcW w:w="401" w:type="pct"/>
                  <w:vMerge w:val="continue"/>
                  <w:vAlign w:val="center"/>
                </w:tcPr>
                <w:p w14:paraId="29D708E5">
                  <w:pPr>
                    <w:jc w:val="center"/>
                    <w:rPr>
                      <w:color w:val="EE0000"/>
                      <w:sz w:val="18"/>
                      <w:szCs w:val="18"/>
                      <w:u w:val="single"/>
                    </w:rPr>
                  </w:pPr>
                </w:p>
              </w:tc>
              <w:tc>
                <w:tcPr>
                  <w:tcW w:w="474" w:type="pct"/>
                  <w:vAlign w:val="center"/>
                </w:tcPr>
                <w:p w14:paraId="397D1055">
                  <w:pPr>
                    <w:jc w:val="center"/>
                    <w:rPr>
                      <w:color w:val="EE0000"/>
                      <w:sz w:val="18"/>
                      <w:szCs w:val="18"/>
                      <w:u w:val="single"/>
                    </w:rPr>
                  </w:pPr>
                  <w:r>
                    <w:rPr>
                      <w:color w:val="EE0000"/>
                      <w:sz w:val="18"/>
                      <w:szCs w:val="18"/>
                      <w:u w:val="single"/>
                    </w:rPr>
                    <w:t>1154.9</w:t>
                  </w:r>
                </w:p>
              </w:tc>
              <w:tc>
                <w:tcPr>
                  <w:tcW w:w="557" w:type="pct"/>
                  <w:vAlign w:val="center"/>
                </w:tcPr>
                <w:p w14:paraId="0DE8703D">
                  <w:pPr>
                    <w:jc w:val="center"/>
                    <w:rPr>
                      <w:color w:val="EE0000"/>
                      <w:sz w:val="18"/>
                      <w:szCs w:val="18"/>
                      <w:u w:val="single"/>
                    </w:rPr>
                  </w:pPr>
                  <w:r>
                    <w:rPr>
                      <w:color w:val="EE0000"/>
                      <w:sz w:val="18"/>
                      <w:szCs w:val="18"/>
                      <w:u w:val="single"/>
                    </w:rPr>
                    <w:t>145.82</w:t>
                  </w:r>
                </w:p>
              </w:tc>
              <w:tc>
                <w:tcPr>
                  <w:tcW w:w="516" w:type="pct"/>
                  <w:vAlign w:val="center"/>
                </w:tcPr>
                <w:p w14:paraId="29268218">
                  <w:pPr>
                    <w:jc w:val="center"/>
                    <w:rPr>
                      <w:color w:val="EE0000"/>
                      <w:sz w:val="18"/>
                      <w:szCs w:val="18"/>
                      <w:u w:val="single"/>
                    </w:rPr>
                  </w:pPr>
                  <w:r>
                    <w:rPr>
                      <w:color w:val="EE0000"/>
                      <w:sz w:val="18"/>
                      <w:szCs w:val="18"/>
                      <w:u w:val="single"/>
                    </w:rPr>
                    <w:t>729.1</w:t>
                  </w:r>
                </w:p>
              </w:tc>
              <w:tc>
                <w:tcPr>
                  <w:tcW w:w="511" w:type="pct"/>
                  <w:vMerge w:val="continue"/>
                  <w:vAlign w:val="center"/>
                </w:tcPr>
                <w:p w14:paraId="45599375">
                  <w:pPr>
                    <w:jc w:val="center"/>
                    <w:rPr>
                      <w:color w:val="EE0000"/>
                      <w:sz w:val="18"/>
                      <w:szCs w:val="18"/>
                      <w:u w:val="single"/>
                    </w:rPr>
                  </w:pPr>
                </w:p>
              </w:tc>
              <w:tc>
                <w:tcPr>
                  <w:tcW w:w="473" w:type="pct"/>
                  <w:vAlign w:val="center"/>
                </w:tcPr>
                <w:p w14:paraId="187AC6F3">
                  <w:pPr>
                    <w:jc w:val="center"/>
                    <w:rPr>
                      <w:color w:val="EE0000"/>
                      <w:sz w:val="18"/>
                      <w:szCs w:val="18"/>
                      <w:u w:val="single"/>
                    </w:rPr>
                  </w:pPr>
                  <w:r>
                    <w:rPr>
                      <w:color w:val="EE0000"/>
                      <w:sz w:val="18"/>
                      <w:szCs w:val="18"/>
                      <w:u w:val="single"/>
                    </w:rPr>
                    <w:t>57.75</w:t>
                  </w:r>
                </w:p>
              </w:tc>
              <w:tc>
                <w:tcPr>
                  <w:tcW w:w="611" w:type="pct"/>
                  <w:vAlign w:val="center"/>
                </w:tcPr>
                <w:p w14:paraId="392F0AC8">
                  <w:pPr>
                    <w:jc w:val="center"/>
                    <w:rPr>
                      <w:color w:val="EE0000"/>
                      <w:sz w:val="18"/>
                      <w:szCs w:val="18"/>
                      <w:u w:val="single"/>
                    </w:rPr>
                  </w:pPr>
                  <w:r>
                    <w:rPr>
                      <w:color w:val="EE0000"/>
                      <w:sz w:val="18"/>
                      <w:szCs w:val="18"/>
                      <w:u w:val="single"/>
                    </w:rPr>
                    <w:t>7.29</w:t>
                  </w:r>
                </w:p>
              </w:tc>
              <w:tc>
                <w:tcPr>
                  <w:tcW w:w="519" w:type="pct"/>
                  <w:vAlign w:val="center"/>
                </w:tcPr>
                <w:p w14:paraId="5CBD5E77">
                  <w:pPr>
                    <w:jc w:val="center"/>
                    <w:rPr>
                      <w:color w:val="EE0000"/>
                      <w:sz w:val="18"/>
                      <w:szCs w:val="18"/>
                      <w:u w:val="single"/>
                    </w:rPr>
                  </w:pPr>
                  <w:r>
                    <w:rPr>
                      <w:color w:val="EE0000"/>
                      <w:sz w:val="18"/>
                      <w:szCs w:val="18"/>
                      <w:u w:val="single"/>
                    </w:rPr>
                    <w:t>36.45</w:t>
                  </w:r>
                </w:p>
              </w:tc>
            </w:tr>
            <w:tr w14:paraId="6881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4" w:type="pct"/>
                  <w:vMerge w:val="continue"/>
                  <w:vAlign w:val="center"/>
                </w:tcPr>
                <w:p w14:paraId="467A2BBC">
                  <w:pPr>
                    <w:jc w:val="center"/>
                    <w:rPr>
                      <w:sz w:val="18"/>
                      <w:szCs w:val="18"/>
                    </w:rPr>
                  </w:pPr>
                </w:p>
              </w:tc>
              <w:tc>
                <w:tcPr>
                  <w:tcW w:w="514" w:type="pct"/>
                  <w:vAlign w:val="center"/>
                </w:tcPr>
                <w:p w14:paraId="57EC9E77">
                  <w:pPr>
                    <w:jc w:val="center"/>
                    <w:rPr>
                      <w:color w:val="EE0000"/>
                      <w:sz w:val="18"/>
                      <w:szCs w:val="18"/>
                      <w:u w:val="single"/>
                    </w:rPr>
                  </w:pPr>
                  <w:r>
                    <w:rPr>
                      <w:color w:val="EE0000"/>
                      <w:sz w:val="18"/>
                      <w:szCs w:val="18"/>
                      <w:u w:val="single"/>
                    </w:rPr>
                    <w:t>氮氧化物</w:t>
                  </w:r>
                </w:p>
              </w:tc>
              <w:tc>
                <w:tcPr>
                  <w:tcW w:w="401" w:type="pct"/>
                  <w:vMerge w:val="continue"/>
                  <w:vAlign w:val="center"/>
                </w:tcPr>
                <w:p w14:paraId="2B882CE6">
                  <w:pPr>
                    <w:jc w:val="center"/>
                    <w:rPr>
                      <w:color w:val="EE0000"/>
                      <w:sz w:val="18"/>
                      <w:szCs w:val="18"/>
                      <w:u w:val="single"/>
                    </w:rPr>
                  </w:pPr>
                </w:p>
              </w:tc>
              <w:tc>
                <w:tcPr>
                  <w:tcW w:w="474" w:type="pct"/>
                  <w:vAlign w:val="center"/>
                </w:tcPr>
                <w:p w14:paraId="222F3C16">
                  <w:pPr>
                    <w:jc w:val="center"/>
                    <w:rPr>
                      <w:color w:val="EE0000"/>
                      <w:sz w:val="18"/>
                      <w:szCs w:val="18"/>
                      <w:u w:val="single"/>
                    </w:rPr>
                  </w:pPr>
                  <w:r>
                    <w:rPr>
                      <w:color w:val="EE0000"/>
                      <w:sz w:val="18"/>
                      <w:szCs w:val="18"/>
                      <w:u w:val="single"/>
                    </w:rPr>
                    <w:t>97.92</w:t>
                  </w:r>
                </w:p>
              </w:tc>
              <w:tc>
                <w:tcPr>
                  <w:tcW w:w="557" w:type="pct"/>
                  <w:vAlign w:val="center"/>
                </w:tcPr>
                <w:p w14:paraId="0920EB3E">
                  <w:pPr>
                    <w:jc w:val="center"/>
                    <w:rPr>
                      <w:color w:val="EE0000"/>
                      <w:sz w:val="18"/>
                      <w:szCs w:val="18"/>
                      <w:u w:val="single"/>
                    </w:rPr>
                  </w:pPr>
                  <w:r>
                    <w:rPr>
                      <w:color w:val="EE0000"/>
                      <w:sz w:val="18"/>
                      <w:szCs w:val="18"/>
                      <w:u w:val="single"/>
                    </w:rPr>
                    <w:t>12.36</w:t>
                  </w:r>
                </w:p>
              </w:tc>
              <w:tc>
                <w:tcPr>
                  <w:tcW w:w="516" w:type="pct"/>
                  <w:vAlign w:val="center"/>
                </w:tcPr>
                <w:p w14:paraId="4EED556E">
                  <w:pPr>
                    <w:jc w:val="center"/>
                    <w:rPr>
                      <w:color w:val="EE0000"/>
                      <w:sz w:val="18"/>
                      <w:szCs w:val="18"/>
                      <w:u w:val="single"/>
                    </w:rPr>
                  </w:pPr>
                  <w:r>
                    <w:rPr>
                      <w:color w:val="EE0000"/>
                      <w:sz w:val="18"/>
                      <w:szCs w:val="18"/>
                      <w:u w:val="single"/>
                    </w:rPr>
                    <w:t>61.8</w:t>
                  </w:r>
                </w:p>
              </w:tc>
              <w:tc>
                <w:tcPr>
                  <w:tcW w:w="511" w:type="pct"/>
                  <w:vMerge w:val="continue"/>
                  <w:vAlign w:val="center"/>
                </w:tcPr>
                <w:p w14:paraId="01F347BD">
                  <w:pPr>
                    <w:jc w:val="center"/>
                    <w:rPr>
                      <w:color w:val="EE0000"/>
                      <w:sz w:val="18"/>
                      <w:szCs w:val="18"/>
                      <w:u w:val="single"/>
                    </w:rPr>
                  </w:pPr>
                </w:p>
              </w:tc>
              <w:tc>
                <w:tcPr>
                  <w:tcW w:w="473" w:type="pct"/>
                  <w:vAlign w:val="center"/>
                </w:tcPr>
                <w:p w14:paraId="6D13CAEA">
                  <w:pPr>
                    <w:jc w:val="center"/>
                    <w:rPr>
                      <w:color w:val="EE0000"/>
                      <w:sz w:val="18"/>
                      <w:szCs w:val="18"/>
                      <w:u w:val="single"/>
                    </w:rPr>
                  </w:pPr>
                  <w:r>
                    <w:rPr>
                      <w:color w:val="EE0000"/>
                      <w:sz w:val="18"/>
                      <w:szCs w:val="18"/>
                      <w:u w:val="single"/>
                    </w:rPr>
                    <w:t>44.06</w:t>
                  </w:r>
                </w:p>
              </w:tc>
              <w:tc>
                <w:tcPr>
                  <w:tcW w:w="611" w:type="pct"/>
                  <w:vAlign w:val="center"/>
                </w:tcPr>
                <w:p w14:paraId="2B5C6820">
                  <w:pPr>
                    <w:jc w:val="center"/>
                    <w:rPr>
                      <w:color w:val="EE0000"/>
                      <w:sz w:val="18"/>
                      <w:szCs w:val="18"/>
                      <w:u w:val="single"/>
                    </w:rPr>
                  </w:pPr>
                  <w:r>
                    <w:rPr>
                      <w:color w:val="EE0000"/>
                      <w:sz w:val="18"/>
                      <w:szCs w:val="18"/>
                      <w:u w:val="single"/>
                    </w:rPr>
                    <w:t>5.56</w:t>
                  </w:r>
                </w:p>
              </w:tc>
              <w:tc>
                <w:tcPr>
                  <w:tcW w:w="519" w:type="pct"/>
                  <w:vAlign w:val="center"/>
                </w:tcPr>
                <w:p w14:paraId="13135A6F">
                  <w:pPr>
                    <w:jc w:val="center"/>
                    <w:rPr>
                      <w:color w:val="EE0000"/>
                      <w:sz w:val="18"/>
                      <w:szCs w:val="18"/>
                      <w:u w:val="single"/>
                    </w:rPr>
                  </w:pPr>
                  <w:r>
                    <w:rPr>
                      <w:color w:val="EE0000"/>
                      <w:sz w:val="18"/>
                      <w:szCs w:val="18"/>
                      <w:u w:val="single"/>
                    </w:rPr>
                    <w:t>27.8</w:t>
                  </w:r>
                </w:p>
              </w:tc>
            </w:tr>
            <w:tr w14:paraId="56A0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4" w:type="pct"/>
                  <w:vMerge w:val="continue"/>
                  <w:vAlign w:val="center"/>
                </w:tcPr>
                <w:p w14:paraId="3CD24A14">
                  <w:pPr>
                    <w:jc w:val="center"/>
                    <w:rPr>
                      <w:sz w:val="18"/>
                      <w:szCs w:val="18"/>
                    </w:rPr>
                  </w:pPr>
                </w:p>
              </w:tc>
              <w:tc>
                <w:tcPr>
                  <w:tcW w:w="514" w:type="pct"/>
                  <w:vAlign w:val="center"/>
                </w:tcPr>
                <w:p w14:paraId="6A70C36B">
                  <w:pPr>
                    <w:jc w:val="center"/>
                    <w:rPr>
                      <w:color w:val="EE0000"/>
                      <w:sz w:val="18"/>
                      <w:szCs w:val="18"/>
                      <w:u w:val="single"/>
                    </w:rPr>
                  </w:pPr>
                  <w:r>
                    <w:rPr>
                      <w:color w:val="EE0000"/>
                      <w:sz w:val="18"/>
                      <w:szCs w:val="18"/>
                      <w:u w:val="single"/>
                    </w:rPr>
                    <w:t>氟化物</w:t>
                  </w:r>
                </w:p>
              </w:tc>
              <w:tc>
                <w:tcPr>
                  <w:tcW w:w="401" w:type="pct"/>
                  <w:vMerge w:val="continue"/>
                  <w:vAlign w:val="center"/>
                </w:tcPr>
                <w:p w14:paraId="0305DE21">
                  <w:pPr>
                    <w:jc w:val="center"/>
                    <w:rPr>
                      <w:color w:val="EE0000"/>
                      <w:sz w:val="18"/>
                      <w:szCs w:val="18"/>
                      <w:u w:val="single"/>
                    </w:rPr>
                  </w:pPr>
                </w:p>
              </w:tc>
              <w:tc>
                <w:tcPr>
                  <w:tcW w:w="474" w:type="pct"/>
                  <w:vAlign w:val="center"/>
                </w:tcPr>
                <w:p w14:paraId="13274DF1">
                  <w:pPr>
                    <w:jc w:val="center"/>
                    <w:rPr>
                      <w:color w:val="EE0000"/>
                      <w:sz w:val="18"/>
                      <w:szCs w:val="18"/>
                      <w:u w:val="single"/>
                    </w:rPr>
                  </w:pPr>
                  <w:r>
                    <w:rPr>
                      <w:color w:val="EE0000"/>
                      <w:sz w:val="18"/>
                      <w:szCs w:val="18"/>
                      <w:u w:val="single"/>
                    </w:rPr>
                    <w:t>13.44</w:t>
                  </w:r>
                </w:p>
              </w:tc>
              <w:tc>
                <w:tcPr>
                  <w:tcW w:w="557" w:type="pct"/>
                  <w:vAlign w:val="center"/>
                </w:tcPr>
                <w:p w14:paraId="65E5C1A3">
                  <w:pPr>
                    <w:jc w:val="center"/>
                    <w:rPr>
                      <w:color w:val="EE0000"/>
                      <w:sz w:val="18"/>
                      <w:szCs w:val="18"/>
                      <w:u w:val="single"/>
                    </w:rPr>
                  </w:pPr>
                  <w:r>
                    <w:rPr>
                      <w:color w:val="EE0000"/>
                      <w:sz w:val="18"/>
                      <w:szCs w:val="18"/>
                      <w:u w:val="single"/>
                    </w:rPr>
                    <w:t>1.70</w:t>
                  </w:r>
                </w:p>
              </w:tc>
              <w:tc>
                <w:tcPr>
                  <w:tcW w:w="516" w:type="pct"/>
                  <w:vAlign w:val="center"/>
                </w:tcPr>
                <w:p w14:paraId="3A4265B4">
                  <w:pPr>
                    <w:jc w:val="center"/>
                    <w:rPr>
                      <w:color w:val="EE0000"/>
                      <w:sz w:val="18"/>
                      <w:szCs w:val="18"/>
                      <w:u w:val="single"/>
                    </w:rPr>
                  </w:pPr>
                  <w:r>
                    <w:rPr>
                      <w:color w:val="EE0000"/>
                      <w:sz w:val="18"/>
                      <w:szCs w:val="18"/>
                      <w:u w:val="single"/>
                    </w:rPr>
                    <w:t>8.5</w:t>
                  </w:r>
                </w:p>
              </w:tc>
              <w:tc>
                <w:tcPr>
                  <w:tcW w:w="511" w:type="pct"/>
                  <w:vMerge w:val="continue"/>
                  <w:vAlign w:val="center"/>
                </w:tcPr>
                <w:p w14:paraId="20447BEA">
                  <w:pPr>
                    <w:jc w:val="center"/>
                    <w:rPr>
                      <w:color w:val="EE0000"/>
                      <w:sz w:val="18"/>
                      <w:szCs w:val="18"/>
                    </w:rPr>
                  </w:pPr>
                </w:p>
              </w:tc>
              <w:tc>
                <w:tcPr>
                  <w:tcW w:w="473" w:type="pct"/>
                  <w:vAlign w:val="center"/>
                </w:tcPr>
                <w:p w14:paraId="7E528B75">
                  <w:pPr>
                    <w:jc w:val="center"/>
                    <w:rPr>
                      <w:color w:val="EE0000"/>
                      <w:sz w:val="18"/>
                      <w:szCs w:val="18"/>
                      <w:u w:val="single"/>
                    </w:rPr>
                  </w:pPr>
                  <w:r>
                    <w:rPr>
                      <w:color w:val="EE0000"/>
                      <w:sz w:val="18"/>
                      <w:szCs w:val="18"/>
                      <w:u w:val="single"/>
                    </w:rPr>
                    <w:t>0.67</w:t>
                  </w:r>
                </w:p>
              </w:tc>
              <w:tc>
                <w:tcPr>
                  <w:tcW w:w="611" w:type="pct"/>
                  <w:vAlign w:val="center"/>
                </w:tcPr>
                <w:p w14:paraId="3FBD0456">
                  <w:pPr>
                    <w:jc w:val="center"/>
                    <w:rPr>
                      <w:color w:val="EE0000"/>
                      <w:sz w:val="18"/>
                      <w:szCs w:val="18"/>
                      <w:u w:val="single"/>
                    </w:rPr>
                  </w:pPr>
                  <w:r>
                    <w:rPr>
                      <w:color w:val="EE0000"/>
                      <w:sz w:val="18"/>
                      <w:szCs w:val="18"/>
                      <w:u w:val="single"/>
                    </w:rPr>
                    <w:t>0.085</w:t>
                  </w:r>
                </w:p>
              </w:tc>
              <w:tc>
                <w:tcPr>
                  <w:tcW w:w="519" w:type="pct"/>
                  <w:vAlign w:val="center"/>
                </w:tcPr>
                <w:p w14:paraId="515C2265">
                  <w:pPr>
                    <w:jc w:val="center"/>
                    <w:rPr>
                      <w:color w:val="EE0000"/>
                      <w:sz w:val="18"/>
                      <w:szCs w:val="18"/>
                      <w:u w:val="single"/>
                    </w:rPr>
                  </w:pPr>
                  <w:r>
                    <w:rPr>
                      <w:color w:val="EE0000"/>
                      <w:sz w:val="18"/>
                      <w:szCs w:val="18"/>
                      <w:u w:val="single"/>
                    </w:rPr>
                    <w:t>0.42</w:t>
                  </w:r>
                </w:p>
              </w:tc>
            </w:tr>
            <w:tr w14:paraId="3673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4" w:type="pct"/>
                  <w:vMerge w:val="continue"/>
                  <w:vAlign w:val="center"/>
                </w:tcPr>
                <w:p w14:paraId="613584CA">
                  <w:pPr>
                    <w:jc w:val="center"/>
                    <w:rPr>
                      <w:sz w:val="18"/>
                      <w:szCs w:val="18"/>
                    </w:rPr>
                  </w:pPr>
                </w:p>
              </w:tc>
              <w:tc>
                <w:tcPr>
                  <w:tcW w:w="514" w:type="pct"/>
                  <w:vAlign w:val="center"/>
                </w:tcPr>
                <w:p w14:paraId="5D343144">
                  <w:pPr>
                    <w:jc w:val="center"/>
                    <w:rPr>
                      <w:color w:val="EE0000"/>
                      <w:sz w:val="18"/>
                      <w:szCs w:val="18"/>
                      <w:u w:val="single"/>
                    </w:rPr>
                  </w:pPr>
                  <w:r>
                    <w:rPr>
                      <w:color w:val="EE0000"/>
                      <w:sz w:val="18"/>
                      <w:szCs w:val="18"/>
                      <w:u w:val="single"/>
                    </w:rPr>
                    <w:t>HCL</w:t>
                  </w:r>
                </w:p>
              </w:tc>
              <w:tc>
                <w:tcPr>
                  <w:tcW w:w="401" w:type="pct"/>
                  <w:vMerge w:val="continue"/>
                  <w:vAlign w:val="center"/>
                </w:tcPr>
                <w:p w14:paraId="3652EF85">
                  <w:pPr>
                    <w:jc w:val="center"/>
                    <w:rPr>
                      <w:color w:val="EE0000"/>
                      <w:sz w:val="18"/>
                      <w:szCs w:val="18"/>
                      <w:u w:val="single"/>
                    </w:rPr>
                  </w:pPr>
                </w:p>
              </w:tc>
              <w:tc>
                <w:tcPr>
                  <w:tcW w:w="474" w:type="pct"/>
                  <w:vAlign w:val="center"/>
                </w:tcPr>
                <w:p w14:paraId="26BB97C9">
                  <w:pPr>
                    <w:jc w:val="center"/>
                    <w:rPr>
                      <w:color w:val="EE0000"/>
                      <w:sz w:val="18"/>
                      <w:szCs w:val="18"/>
                      <w:u w:val="single"/>
                    </w:rPr>
                  </w:pPr>
                  <w:r>
                    <w:rPr>
                      <w:color w:val="EE0000"/>
                      <w:sz w:val="18"/>
                      <w:szCs w:val="18"/>
                      <w:u w:val="single"/>
                    </w:rPr>
                    <w:t>27.6</w:t>
                  </w:r>
                </w:p>
              </w:tc>
              <w:tc>
                <w:tcPr>
                  <w:tcW w:w="557" w:type="pct"/>
                  <w:vAlign w:val="center"/>
                </w:tcPr>
                <w:p w14:paraId="05BAC507">
                  <w:pPr>
                    <w:jc w:val="center"/>
                    <w:rPr>
                      <w:color w:val="EE0000"/>
                      <w:sz w:val="18"/>
                      <w:szCs w:val="18"/>
                      <w:u w:val="single"/>
                    </w:rPr>
                  </w:pPr>
                  <w:r>
                    <w:rPr>
                      <w:color w:val="EE0000"/>
                      <w:sz w:val="18"/>
                      <w:szCs w:val="18"/>
                      <w:u w:val="single"/>
                    </w:rPr>
                    <w:t>3.48</w:t>
                  </w:r>
                </w:p>
              </w:tc>
              <w:tc>
                <w:tcPr>
                  <w:tcW w:w="516" w:type="pct"/>
                  <w:vAlign w:val="center"/>
                </w:tcPr>
                <w:p w14:paraId="69254A33">
                  <w:pPr>
                    <w:jc w:val="center"/>
                    <w:rPr>
                      <w:color w:val="EE0000"/>
                      <w:sz w:val="18"/>
                      <w:szCs w:val="18"/>
                      <w:u w:val="single"/>
                    </w:rPr>
                  </w:pPr>
                  <w:r>
                    <w:rPr>
                      <w:color w:val="EE0000"/>
                      <w:sz w:val="18"/>
                      <w:szCs w:val="18"/>
                      <w:u w:val="single"/>
                    </w:rPr>
                    <w:t>17.4</w:t>
                  </w:r>
                </w:p>
              </w:tc>
              <w:tc>
                <w:tcPr>
                  <w:tcW w:w="511" w:type="pct"/>
                  <w:vMerge w:val="continue"/>
                  <w:vAlign w:val="center"/>
                </w:tcPr>
                <w:p w14:paraId="569C6A41">
                  <w:pPr>
                    <w:jc w:val="center"/>
                    <w:rPr>
                      <w:color w:val="EE0000"/>
                      <w:sz w:val="18"/>
                      <w:szCs w:val="18"/>
                    </w:rPr>
                  </w:pPr>
                </w:p>
              </w:tc>
              <w:tc>
                <w:tcPr>
                  <w:tcW w:w="473" w:type="pct"/>
                  <w:vAlign w:val="center"/>
                </w:tcPr>
                <w:p w14:paraId="49A536C0">
                  <w:pPr>
                    <w:jc w:val="center"/>
                    <w:rPr>
                      <w:color w:val="EE0000"/>
                      <w:sz w:val="18"/>
                      <w:szCs w:val="18"/>
                      <w:u w:val="single"/>
                    </w:rPr>
                  </w:pPr>
                  <w:r>
                    <w:rPr>
                      <w:color w:val="EE0000"/>
                      <w:sz w:val="18"/>
                      <w:szCs w:val="18"/>
                      <w:u w:val="single"/>
                    </w:rPr>
                    <w:t>1.38</w:t>
                  </w:r>
                </w:p>
              </w:tc>
              <w:tc>
                <w:tcPr>
                  <w:tcW w:w="611" w:type="pct"/>
                  <w:vAlign w:val="center"/>
                </w:tcPr>
                <w:p w14:paraId="6232363F">
                  <w:pPr>
                    <w:jc w:val="center"/>
                    <w:rPr>
                      <w:color w:val="EE0000"/>
                      <w:sz w:val="18"/>
                      <w:szCs w:val="18"/>
                      <w:u w:val="single"/>
                    </w:rPr>
                  </w:pPr>
                  <w:r>
                    <w:rPr>
                      <w:color w:val="EE0000"/>
                      <w:sz w:val="18"/>
                      <w:szCs w:val="18"/>
                      <w:u w:val="single"/>
                    </w:rPr>
                    <w:t>0.174</w:t>
                  </w:r>
                </w:p>
              </w:tc>
              <w:tc>
                <w:tcPr>
                  <w:tcW w:w="519" w:type="pct"/>
                  <w:vAlign w:val="center"/>
                </w:tcPr>
                <w:p w14:paraId="3B57E834">
                  <w:pPr>
                    <w:jc w:val="center"/>
                    <w:rPr>
                      <w:color w:val="EE0000"/>
                      <w:sz w:val="18"/>
                      <w:szCs w:val="18"/>
                      <w:u w:val="single"/>
                    </w:rPr>
                  </w:pPr>
                  <w:r>
                    <w:rPr>
                      <w:color w:val="EE0000"/>
                      <w:sz w:val="18"/>
                      <w:szCs w:val="18"/>
                      <w:u w:val="single"/>
                    </w:rPr>
                    <w:t>0.87</w:t>
                  </w:r>
                </w:p>
              </w:tc>
            </w:tr>
            <w:tr w14:paraId="5F63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4" w:type="pct"/>
                  <w:vMerge w:val="continue"/>
                  <w:vAlign w:val="center"/>
                </w:tcPr>
                <w:p w14:paraId="1584B3AE">
                  <w:pPr>
                    <w:jc w:val="center"/>
                    <w:rPr>
                      <w:sz w:val="18"/>
                      <w:szCs w:val="18"/>
                    </w:rPr>
                  </w:pPr>
                </w:p>
              </w:tc>
              <w:tc>
                <w:tcPr>
                  <w:tcW w:w="514" w:type="pct"/>
                  <w:vAlign w:val="center"/>
                </w:tcPr>
                <w:p w14:paraId="1EEDE5D1">
                  <w:pPr>
                    <w:jc w:val="center"/>
                    <w:rPr>
                      <w:color w:val="EE0000"/>
                      <w:sz w:val="18"/>
                      <w:szCs w:val="18"/>
                      <w:u w:val="single"/>
                    </w:rPr>
                  </w:pPr>
                  <w:r>
                    <w:rPr>
                      <w:color w:val="EE0000"/>
                      <w:sz w:val="18"/>
                      <w:szCs w:val="18"/>
                      <w:u w:val="single"/>
                    </w:rPr>
                    <w:t>汞</w:t>
                  </w:r>
                </w:p>
              </w:tc>
              <w:tc>
                <w:tcPr>
                  <w:tcW w:w="401" w:type="pct"/>
                  <w:vMerge w:val="continue"/>
                  <w:vAlign w:val="center"/>
                </w:tcPr>
                <w:p w14:paraId="279640F8">
                  <w:pPr>
                    <w:jc w:val="center"/>
                    <w:rPr>
                      <w:color w:val="EE0000"/>
                      <w:sz w:val="18"/>
                      <w:szCs w:val="18"/>
                      <w:u w:val="single"/>
                    </w:rPr>
                  </w:pPr>
                </w:p>
              </w:tc>
              <w:tc>
                <w:tcPr>
                  <w:tcW w:w="474" w:type="pct"/>
                  <w:vAlign w:val="center"/>
                </w:tcPr>
                <w:p w14:paraId="4A472CDB">
                  <w:pPr>
                    <w:jc w:val="center"/>
                    <w:rPr>
                      <w:color w:val="EE0000"/>
                      <w:sz w:val="18"/>
                      <w:szCs w:val="18"/>
                      <w:u w:val="single"/>
                    </w:rPr>
                  </w:pPr>
                  <w:r>
                    <w:rPr>
                      <w:color w:val="EE0000"/>
                      <w:sz w:val="18"/>
                      <w:szCs w:val="18"/>
                      <w:u w:val="single"/>
                    </w:rPr>
                    <w:t>0.001</w:t>
                  </w:r>
                </w:p>
              </w:tc>
              <w:tc>
                <w:tcPr>
                  <w:tcW w:w="557" w:type="pct"/>
                  <w:vAlign w:val="center"/>
                </w:tcPr>
                <w:p w14:paraId="2790A155">
                  <w:pPr>
                    <w:jc w:val="center"/>
                    <w:rPr>
                      <w:color w:val="EE0000"/>
                      <w:sz w:val="18"/>
                      <w:szCs w:val="18"/>
                      <w:u w:val="single"/>
                    </w:rPr>
                  </w:pPr>
                  <w:r>
                    <w:rPr>
                      <w:color w:val="EE0000"/>
                      <w:sz w:val="18"/>
                      <w:szCs w:val="18"/>
                      <w:u w:val="single"/>
                    </w:rPr>
                    <w:t>0.0001</w:t>
                  </w:r>
                </w:p>
              </w:tc>
              <w:tc>
                <w:tcPr>
                  <w:tcW w:w="516" w:type="pct"/>
                  <w:vAlign w:val="center"/>
                </w:tcPr>
                <w:p w14:paraId="7289F033">
                  <w:pPr>
                    <w:jc w:val="center"/>
                    <w:rPr>
                      <w:color w:val="EE0000"/>
                      <w:sz w:val="18"/>
                      <w:szCs w:val="18"/>
                      <w:u w:val="single"/>
                    </w:rPr>
                  </w:pPr>
                  <w:r>
                    <w:rPr>
                      <w:color w:val="EE0000"/>
                      <w:sz w:val="18"/>
                      <w:szCs w:val="18"/>
                      <w:u w:val="single"/>
                    </w:rPr>
                    <w:t>0.0005</w:t>
                  </w:r>
                </w:p>
              </w:tc>
              <w:tc>
                <w:tcPr>
                  <w:tcW w:w="511" w:type="pct"/>
                  <w:vMerge w:val="continue"/>
                  <w:vAlign w:val="center"/>
                </w:tcPr>
                <w:p w14:paraId="30D0C8D1">
                  <w:pPr>
                    <w:jc w:val="center"/>
                    <w:rPr>
                      <w:color w:val="EE0000"/>
                      <w:sz w:val="18"/>
                      <w:szCs w:val="18"/>
                    </w:rPr>
                  </w:pPr>
                </w:p>
              </w:tc>
              <w:tc>
                <w:tcPr>
                  <w:tcW w:w="473" w:type="pct"/>
                  <w:vAlign w:val="center"/>
                </w:tcPr>
                <w:p w14:paraId="54B4D02B">
                  <w:pPr>
                    <w:jc w:val="center"/>
                    <w:rPr>
                      <w:color w:val="EE0000"/>
                      <w:sz w:val="18"/>
                      <w:szCs w:val="18"/>
                      <w:u w:val="single"/>
                    </w:rPr>
                  </w:pPr>
                  <w:r>
                    <w:rPr>
                      <w:color w:val="EE0000"/>
                      <w:sz w:val="18"/>
                      <w:szCs w:val="18"/>
                      <w:u w:val="single"/>
                    </w:rPr>
                    <w:t>0.0001</w:t>
                  </w:r>
                </w:p>
              </w:tc>
              <w:tc>
                <w:tcPr>
                  <w:tcW w:w="611" w:type="pct"/>
                  <w:vAlign w:val="center"/>
                </w:tcPr>
                <w:p w14:paraId="37A2DE15">
                  <w:pPr>
                    <w:jc w:val="center"/>
                    <w:rPr>
                      <w:color w:val="EE0000"/>
                      <w:sz w:val="18"/>
                      <w:szCs w:val="18"/>
                      <w:u w:val="single"/>
                    </w:rPr>
                  </w:pPr>
                  <w:r>
                    <w:rPr>
                      <w:color w:val="EE0000"/>
                      <w:sz w:val="18"/>
                      <w:szCs w:val="18"/>
                      <w:u w:val="single"/>
                    </w:rPr>
                    <w:t>1.0E-05</w:t>
                  </w:r>
                </w:p>
              </w:tc>
              <w:tc>
                <w:tcPr>
                  <w:tcW w:w="519" w:type="pct"/>
                  <w:vAlign w:val="center"/>
                </w:tcPr>
                <w:p w14:paraId="7E2EAB02">
                  <w:pPr>
                    <w:jc w:val="center"/>
                    <w:rPr>
                      <w:color w:val="EE0000"/>
                      <w:sz w:val="18"/>
                      <w:szCs w:val="18"/>
                      <w:u w:val="single"/>
                    </w:rPr>
                  </w:pPr>
                  <w:r>
                    <w:rPr>
                      <w:color w:val="EE0000"/>
                      <w:sz w:val="18"/>
                      <w:szCs w:val="18"/>
                      <w:u w:val="single"/>
                    </w:rPr>
                    <w:t>5.0E-05</w:t>
                  </w:r>
                </w:p>
              </w:tc>
            </w:tr>
            <w:tr w14:paraId="43DC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4" w:type="pct"/>
                  <w:vMerge w:val="continue"/>
                  <w:vAlign w:val="center"/>
                </w:tcPr>
                <w:p w14:paraId="0580AC01">
                  <w:pPr>
                    <w:jc w:val="center"/>
                    <w:rPr>
                      <w:sz w:val="18"/>
                      <w:szCs w:val="18"/>
                    </w:rPr>
                  </w:pPr>
                </w:p>
              </w:tc>
              <w:tc>
                <w:tcPr>
                  <w:tcW w:w="514" w:type="pct"/>
                  <w:vAlign w:val="center"/>
                </w:tcPr>
                <w:p w14:paraId="345365F3">
                  <w:pPr>
                    <w:jc w:val="center"/>
                    <w:rPr>
                      <w:color w:val="EE0000"/>
                      <w:sz w:val="18"/>
                      <w:szCs w:val="18"/>
                      <w:u w:val="single"/>
                    </w:rPr>
                  </w:pPr>
                  <w:r>
                    <w:rPr>
                      <w:color w:val="EE0000"/>
                      <w:sz w:val="18"/>
                      <w:szCs w:val="18"/>
                      <w:u w:val="single"/>
                    </w:rPr>
                    <w:t>铅</w:t>
                  </w:r>
                </w:p>
              </w:tc>
              <w:tc>
                <w:tcPr>
                  <w:tcW w:w="401" w:type="pct"/>
                  <w:vMerge w:val="continue"/>
                  <w:vAlign w:val="center"/>
                </w:tcPr>
                <w:p w14:paraId="7E7AEEF8">
                  <w:pPr>
                    <w:jc w:val="center"/>
                    <w:rPr>
                      <w:color w:val="EE0000"/>
                      <w:sz w:val="18"/>
                      <w:szCs w:val="18"/>
                      <w:u w:val="single"/>
                    </w:rPr>
                  </w:pPr>
                </w:p>
              </w:tc>
              <w:tc>
                <w:tcPr>
                  <w:tcW w:w="474" w:type="pct"/>
                  <w:vAlign w:val="center"/>
                </w:tcPr>
                <w:p w14:paraId="4D2E9C2D">
                  <w:pPr>
                    <w:jc w:val="center"/>
                    <w:rPr>
                      <w:color w:val="EE0000"/>
                      <w:sz w:val="18"/>
                      <w:szCs w:val="18"/>
                      <w:u w:val="single"/>
                    </w:rPr>
                  </w:pPr>
                  <w:r>
                    <w:rPr>
                      <w:color w:val="EE0000"/>
                      <w:sz w:val="18"/>
                      <w:szCs w:val="18"/>
                      <w:u w:val="single"/>
                    </w:rPr>
                    <w:t>0.012</w:t>
                  </w:r>
                </w:p>
              </w:tc>
              <w:tc>
                <w:tcPr>
                  <w:tcW w:w="557" w:type="pct"/>
                  <w:vAlign w:val="center"/>
                </w:tcPr>
                <w:p w14:paraId="102A3C66">
                  <w:pPr>
                    <w:jc w:val="center"/>
                    <w:rPr>
                      <w:color w:val="EE0000"/>
                      <w:sz w:val="18"/>
                      <w:szCs w:val="18"/>
                      <w:u w:val="single"/>
                    </w:rPr>
                  </w:pPr>
                  <w:r>
                    <w:rPr>
                      <w:color w:val="EE0000"/>
                      <w:sz w:val="18"/>
                      <w:szCs w:val="18"/>
                      <w:u w:val="single"/>
                    </w:rPr>
                    <w:t xml:space="preserve">0.0015 </w:t>
                  </w:r>
                </w:p>
              </w:tc>
              <w:tc>
                <w:tcPr>
                  <w:tcW w:w="516" w:type="pct"/>
                  <w:vAlign w:val="center"/>
                </w:tcPr>
                <w:p w14:paraId="3F5BC48F">
                  <w:pPr>
                    <w:jc w:val="center"/>
                    <w:rPr>
                      <w:color w:val="EE0000"/>
                      <w:sz w:val="18"/>
                      <w:szCs w:val="18"/>
                      <w:u w:val="single"/>
                    </w:rPr>
                  </w:pPr>
                  <w:r>
                    <w:rPr>
                      <w:color w:val="EE0000"/>
                      <w:sz w:val="18"/>
                      <w:szCs w:val="18"/>
                      <w:u w:val="single"/>
                    </w:rPr>
                    <w:t>0.0075</w:t>
                  </w:r>
                </w:p>
              </w:tc>
              <w:tc>
                <w:tcPr>
                  <w:tcW w:w="511" w:type="pct"/>
                  <w:vMerge w:val="continue"/>
                  <w:vAlign w:val="center"/>
                </w:tcPr>
                <w:p w14:paraId="3E9081EF">
                  <w:pPr>
                    <w:jc w:val="center"/>
                    <w:rPr>
                      <w:color w:val="EE0000"/>
                      <w:sz w:val="18"/>
                      <w:szCs w:val="18"/>
                    </w:rPr>
                  </w:pPr>
                </w:p>
              </w:tc>
              <w:tc>
                <w:tcPr>
                  <w:tcW w:w="473" w:type="pct"/>
                  <w:vAlign w:val="center"/>
                </w:tcPr>
                <w:p w14:paraId="48D57B73">
                  <w:pPr>
                    <w:jc w:val="center"/>
                    <w:rPr>
                      <w:color w:val="EE0000"/>
                      <w:sz w:val="18"/>
                      <w:szCs w:val="18"/>
                      <w:u w:val="single"/>
                    </w:rPr>
                  </w:pPr>
                  <w:r>
                    <w:rPr>
                      <w:color w:val="EE0000"/>
                      <w:sz w:val="18"/>
                      <w:szCs w:val="18"/>
                      <w:u w:val="single"/>
                    </w:rPr>
                    <w:t>0.0012</w:t>
                  </w:r>
                </w:p>
              </w:tc>
              <w:tc>
                <w:tcPr>
                  <w:tcW w:w="611" w:type="pct"/>
                  <w:vAlign w:val="center"/>
                </w:tcPr>
                <w:p w14:paraId="40EDCB83">
                  <w:pPr>
                    <w:jc w:val="center"/>
                    <w:rPr>
                      <w:color w:val="EE0000"/>
                      <w:sz w:val="18"/>
                      <w:szCs w:val="18"/>
                      <w:u w:val="single"/>
                    </w:rPr>
                  </w:pPr>
                  <w:r>
                    <w:rPr>
                      <w:color w:val="EE0000"/>
                      <w:sz w:val="18"/>
                      <w:szCs w:val="18"/>
                      <w:u w:val="single"/>
                    </w:rPr>
                    <w:t>1.5E-04</w:t>
                  </w:r>
                </w:p>
              </w:tc>
              <w:tc>
                <w:tcPr>
                  <w:tcW w:w="519" w:type="pct"/>
                  <w:vAlign w:val="center"/>
                </w:tcPr>
                <w:p w14:paraId="7DA5272B">
                  <w:pPr>
                    <w:jc w:val="center"/>
                    <w:rPr>
                      <w:color w:val="EE0000"/>
                      <w:sz w:val="18"/>
                      <w:szCs w:val="18"/>
                      <w:u w:val="single"/>
                    </w:rPr>
                  </w:pPr>
                  <w:r>
                    <w:rPr>
                      <w:color w:val="EE0000"/>
                      <w:sz w:val="18"/>
                      <w:szCs w:val="18"/>
                      <w:u w:val="single"/>
                    </w:rPr>
                    <w:t>7.5E-04</w:t>
                  </w:r>
                </w:p>
              </w:tc>
            </w:tr>
            <w:tr w14:paraId="30EC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4" w:type="pct"/>
                  <w:vMerge w:val="continue"/>
                  <w:vAlign w:val="center"/>
                </w:tcPr>
                <w:p w14:paraId="0214556B">
                  <w:pPr>
                    <w:jc w:val="center"/>
                    <w:rPr>
                      <w:sz w:val="18"/>
                      <w:szCs w:val="18"/>
                    </w:rPr>
                  </w:pPr>
                </w:p>
              </w:tc>
              <w:tc>
                <w:tcPr>
                  <w:tcW w:w="514" w:type="pct"/>
                  <w:vAlign w:val="center"/>
                </w:tcPr>
                <w:p w14:paraId="611DAB82">
                  <w:pPr>
                    <w:jc w:val="center"/>
                    <w:rPr>
                      <w:color w:val="EE0000"/>
                      <w:sz w:val="18"/>
                      <w:szCs w:val="18"/>
                      <w:u w:val="single"/>
                    </w:rPr>
                  </w:pPr>
                  <w:r>
                    <w:rPr>
                      <w:color w:val="EE0000"/>
                      <w:sz w:val="18"/>
                      <w:szCs w:val="18"/>
                      <w:u w:val="single"/>
                    </w:rPr>
                    <w:t>铬</w:t>
                  </w:r>
                </w:p>
              </w:tc>
              <w:tc>
                <w:tcPr>
                  <w:tcW w:w="401" w:type="pct"/>
                  <w:vMerge w:val="continue"/>
                  <w:vAlign w:val="center"/>
                </w:tcPr>
                <w:p w14:paraId="4A497890">
                  <w:pPr>
                    <w:jc w:val="center"/>
                    <w:rPr>
                      <w:color w:val="EE0000"/>
                      <w:sz w:val="18"/>
                      <w:szCs w:val="18"/>
                      <w:u w:val="single"/>
                    </w:rPr>
                  </w:pPr>
                </w:p>
              </w:tc>
              <w:tc>
                <w:tcPr>
                  <w:tcW w:w="474" w:type="pct"/>
                  <w:vAlign w:val="center"/>
                </w:tcPr>
                <w:p w14:paraId="7FA31116">
                  <w:pPr>
                    <w:jc w:val="center"/>
                    <w:rPr>
                      <w:color w:val="EE0000"/>
                      <w:sz w:val="18"/>
                      <w:szCs w:val="18"/>
                      <w:u w:val="single"/>
                    </w:rPr>
                  </w:pPr>
                  <w:r>
                    <w:rPr>
                      <w:color w:val="EE0000"/>
                      <w:sz w:val="18"/>
                      <w:szCs w:val="18"/>
                      <w:u w:val="single"/>
                    </w:rPr>
                    <w:t>0.004</w:t>
                  </w:r>
                </w:p>
              </w:tc>
              <w:tc>
                <w:tcPr>
                  <w:tcW w:w="557" w:type="pct"/>
                  <w:vAlign w:val="center"/>
                </w:tcPr>
                <w:p w14:paraId="2DD384F6">
                  <w:pPr>
                    <w:jc w:val="center"/>
                    <w:rPr>
                      <w:color w:val="EE0000"/>
                      <w:sz w:val="18"/>
                      <w:szCs w:val="18"/>
                      <w:u w:val="single"/>
                    </w:rPr>
                  </w:pPr>
                  <w:r>
                    <w:rPr>
                      <w:color w:val="EE0000"/>
                      <w:sz w:val="18"/>
                      <w:szCs w:val="18"/>
                      <w:u w:val="single"/>
                    </w:rPr>
                    <w:t>0.0005</w:t>
                  </w:r>
                </w:p>
              </w:tc>
              <w:tc>
                <w:tcPr>
                  <w:tcW w:w="516" w:type="pct"/>
                  <w:vAlign w:val="center"/>
                </w:tcPr>
                <w:p w14:paraId="26A09089">
                  <w:pPr>
                    <w:jc w:val="center"/>
                    <w:rPr>
                      <w:color w:val="EE0000"/>
                      <w:sz w:val="18"/>
                      <w:szCs w:val="18"/>
                      <w:u w:val="single"/>
                    </w:rPr>
                  </w:pPr>
                  <w:r>
                    <w:rPr>
                      <w:color w:val="EE0000"/>
                      <w:sz w:val="18"/>
                      <w:szCs w:val="18"/>
                      <w:u w:val="single"/>
                    </w:rPr>
                    <w:t>0.0025</w:t>
                  </w:r>
                </w:p>
              </w:tc>
              <w:tc>
                <w:tcPr>
                  <w:tcW w:w="511" w:type="pct"/>
                  <w:vMerge w:val="continue"/>
                  <w:vAlign w:val="center"/>
                </w:tcPr>
                <w:p w14:paraId="78D58FF6">
                  <w:pPr>
                    <w:jc w:val="center"/>
                    <w:rPr>
                      <w:color w:val="EE0000"/>
                      <w:sz w:val="18"/>
                      <w:szCs w:val="18"/>
                    </w:rPr>
                  </w:pPr>
                </w:p>
              </w:tc>
              <w:tc>
                <w:tcPr>
                  <w:tcW w:w="473" w:type="pct"/>
                  <w:vAlign w:val="center"/>
                </w:tcPr>
                <w:p w14:paraId="3400D969">
                  <w:pPr>
                    <w:jc w:val="center"/>
                    <w:rPr>
                      <w:color w:val="EE0000"/>
                      <w:sz w:val="18"/>
                      <w:szCs w:val="18"/>
                      <w:u w:val="single"/>
                    </w:rPr>
                  </w:pPr>
                  <w:r>
                    <w:rPr>
                      <w:color w:val="EE0000"/>
                      <w:sz w:val="18"/>
                      <w:szCs w:val="18"/>
                      <w:u w:val="single"/>
                    </w:rPr>
                    <w:t>0.0004</w:t>
                  </w:r>
                </w:p>
              </w:tc>
              <w:tc>
                <w:tcPr>
                  <w:tcW w:w="611" w:type="pct"/>
                  <w:vAlign w:val="center"/>
                </w:tcPr>
                <w:p w14:paraId="1FA17387">
                  <w:pPr>
                    <w:jc w:val="center"/>
                    <w:rPr>
                      <w:color w:val="EE0000"/>
                      <w:sz w:val="18"/>
                      <w:szCs w:val="18"/>
                      <w:u w:val="single"/>
                    </w:rPr>
                  </w:pPr>
                  <w:r>
                    <w:rPr>
                      <w:color w:val="EE0000"/>
                      <w:sz w:val="18"/>
                      <w:szCs w:val="18"/>
                      <w:u w:val="single"/>
                    </w:rPr>
                    <w:t>5.0E-05</w:t>
                  </w:r>
                </w:p>
              </w:tc>
              <w:tc>
                <w:tcPr>
                  <w:tcW w:w="519" w:type="pct"/>
                  <w:vAlign w:val="center"/>
                </w:tcPr>
                <w:p w14:paraId="0FD9C87B">
                  <w:pPr>
                    <w:jc w:val="center"/>
                    <w:rPr>
                      <w:color w:val="EE0000"/>
                      <w:sz w:val="18"/>
                      <w:szCs w:val="18"/>
                      <w:u w:val="single"/>
                    </w:rPr>
                  </w:pPr>
                  <w:r>
                    <w:rPr>
                      <w:color w:val="EE0000"/>
                      <w:sz w:val="18"/>
                      <w:szCs w:val="18"/>
                      <w:u w:val="single"/>
                    </w:rPr>
                    <w:t>2.5E-04</w:t>
                  </w:r>
                </w:p>
              </w:tc>
            </w:tr>
            <w:tr w14:paraId="5C55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4" w:type="pct"/>
                  <w:vMerge w:val="continue"/>
                  <w:vAlign w:val="center"/>
                </w:tcPr>
                <w:p w14:paraId="0598E9A4">
                  <w:pPr>
                    <w:jc w:val="center"/>
                    <w:rPr>
                      <w:sz w:val="18"/>
                      <w:szCs w:val="18"/>
                    </w:rPr>
                  </w:pPr>
                </w:p>
              </w:tc>
              <w:tc>
                <w:tcPr>
                  <w:tcW w:w="514" w:type="pct"/>
                  <w:vAlign w:val="center"/>
                </w:tcPr>
                <w:p w14:paraId="5647F27F">
                  <w:pPr>
                    <w:jc w:val="center"/>
                    <w:rPr>
                      <w:color w:val="EE0000"/>
                      <w:sz w:val="18"/>
                      <w:szCs w:val="18"/>
                      <w:u w:val="single"/>
                    </w:rPr>
                  </w:pPr>
                  <w:r>
                    <w:rPr>
                      <w:bCs/>
                      <w:color w:val="EE0000"/>
                      <w:sz w:val="18"/>
                      <w:szCs w:val="18"/>
                      <w:u w:val="single"/>
                    </w:rPr>
                    <w:t>砷</w:t>
                  </w:r>
                </w:p>
              </w:tc>
              <w:tc>
                <w:tcPr>
                  <w:tcW w:w="401" w:type="pct"/>
                  <w:vMerge w:val="continue"/>
                  <w:vAlign w:val="center"/>
                </w:tcPr>
                <w:p w14:paraId="212EDBA3">
                  <w:pPr>
                    <w:jc w:val="center"/>
                    <w:rPr>
                      <w:color w:val="EE0000"/>
                      <w:sz w:val="18"/>
                      <w:szCs w:val="18"/>
                      <w:u w:val="single"/>
                    </w:rPr>
                  </w:pPr>
                </w:p>
              </w:tc>
              <w:tc>
                <w:tcPr>
                  <w:tcW w:w="474" w:type="pct"/>
                  <w:vAlign w:val="center"/>
                </w:tcPr>
                <w:p w14:paraId="1DACCC77">
                  <w:pPr>
                    <w:jc w:val="center"/>
                    <w:rPr>
                      <w:color w:val="EE0000"/>
                      <w:sz w:val="18"/>
                      <w:szCs w:val="18"/>
                      <w:u w:val="single"/>
                    </w:rPr>
                  </w:pPr>
                  <w:r>
                    <w:rPr>
                      <w:color w:val="EE0000"/>
                      <w:sz w:val="18"/>
                      <w:szCs w:val="18"/>
                      <w:u w:val="single"/>
                    </w:rPr>
                    <w:t>0.002</w:t>
                  </w:r>
                </w:p>
              </w:tc>
              <w:tc>
                <w:tcPr>
                  <w:tcW w:w="557" w:type="pct"/>
                  <w:vAlign w:val="center"/>
                </w:tcPr>
                <w:p w14:paraId="092CB951">
                  <w:pPr>
                    <w:jc w:val="center"/>
                    <w:rPr>
                      <w:color w:val="EE0000"/>
                      <w:sz w:val="18"/>
                      <w:szCs w:val="18"/>
                      <w:u w:val="single"/>
                    </w:rPr>
                  </w:pPr>
                  <w:r>
                    <w:rPr>
                      <w:color w:val="EE0000"/>
                      <w:sz w:val="18"/>
                      <w:szCs w:val="18"/>
                      <w:u w:val="single"/>
                    </w:rPr>
                    <w:t>0.0003</w:t>
                  </w:r>
                </w:p>
              </w:tc>
              <w:tc>
                <w:tcPr>
                  <w:tcW w:w="516" w:type="pct"/>
                  <w:vAlign w:val="center"/>
                </w:tcPr>
                <w:p w14:paraId="13CE01DD">
                  <w:pPr>
                    <w:jc w:val="center"/>
                    <w:rPr>
                      <w:color w:val="EE0000"/>
                      <w:sz w:val="18"/>
                      <w:szCs w:val="18"/>
                      <w:u w:val="single"/>
                    </w:rPr>
                  </w:pPr>
                  <w:r>
                    <w:rPr>
                      <w:color w:val="EE0000"/>
                      <w:sz w:val="18"/>
                      <w:szCs w:val="18"/>
                      <w:u w:val="single"/>
                    </w:rPr>
                    <w:t>0.0015</w:t>
                  </w:r>
                </w:p>
              </w:tc>
              <w:tc>
                <w:tcPr>
                  <w:tcW w:w="511" w:type="pct"/>
                  <w:vMerge w:val="continue"/>
                  <w:vAlign w:val="center"/>
                </w:tcPr>
                <w:p w14:paraId="612A3FEB">
                  <w:pPr>
                    <w:jc w:val="center"/>
                    <w:rPr>
                      <w:color w:val="EE0000"/>
                      <w:sz w:val="18"/>
                      <w:szCs w:val="18"/>
                    </w:rPr>
                  </w:pPr>
                </w:p>
              </w:tc>
              <w:tc>
                <w:tcPr>
                  <w:tcW w:w="473" w:type="pct"/>
                  <w:vAlign w:val="center"/>
                </w:tcPr>
                <w:p w14:paraId="2CE302E6">
                  <w:pPr>
                    <w:jc w:val="center"/>
                    <w:rPr>
                      <w:color w:val="EE0000"/>
                      <w:sz w:val="18"/>
                      <w:szCs w:val="18"/>
                      <w:u w:val="single"/>
                    </w:rPr>
                  </w:pPr>
                  <w:r>
                    <w:rPr>
                      <w:color w:val="EE0000"/>
                      <w:sz w:val="18"/>
                      <w:szCs w:val="18"/>
                      <w:u w:val="single"/>
                    </w:rPr>
                    <w:t>0.0002</w:t>
                  </w:r>
                </w:p>
              </w:tc>
              <w:tc>
                <w:tcPr>
                  <w:tcW w:w="611" w:type="pct"/>
                  <w:vAlign w:val="center"/>
                </w:tcPr>
                <w:p w14:paraId="1BF2F3F2">
                  <w:pPr>
                    <w:jc w:val="center"/>
                    <w:rPr>
                      <w:color w:val="EE0000"/>
                      <w:sz w:val="18"/>
                      <w:szCs w:val="18"/>
                      <w:u w:val="single"/>
                    </w:rPr>
                  </w:pPr>
                  <w:r>
                    <w:rPr>
                      <w:color w:val="EE0000"/>
                      <w:sz w:val="18"/>
                      <w:szCs w:val="18"/>
                      <w:u w:val="single"/>
                    </w:rPr>
                    <w:t>3.0E-05</w:t>
                  </w:r>
                </w:p>
              </w:tc>
              <w:tc>
                <w:tcPr>
                  <w:tcW w:w="519" w:type="pct"/>
                  <w:vAlign w:val="center"/>
                </w:tcPr>
                <w:p w14:paraId="52853BD7">
                  <w:pPr>
                    <w:jc w:val="center"/>
                    <w:rPr>
                      <w:color w:val="EE0000"/>
                      <w:sz w:val="18"/>
                      <w:szCs w:val="18"/>
                      <w:u w:val="single"/>
                    </w:rPr>
                  </w:pPr>
                  <w:r>
                    <w:rPr>
                      <w:color w:val="EE0000"/>
                      <w:sz w:val="18"/>
                      <w:szCs w:val="18"/>
                      <w:u w:val="single"/>
                    </w:rPr>
                    <w:t>1.5E-04</w:t>
                  </w:r>
                </w:p>
              </w:tc>
            </w:tr>
            <w:tr w14:paraId="7AD0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4" w:type="pct"/>
                  <w:vMerge w:val="continue"/>
                  <w:vAlign w:val="center"/>
                </w:tcPr>
                <w:p w14:paraId="5AC44D1B">
                  <w:pPr>
                    <w:jc w:val="center"/>
                    <w:rPr>
                      <w:sz w:val="18"/>
                      <w:szCs w:val="18"/>
                    </w:rPr>
                  </w:pPr>
                </w:p>
              </w:tc>
              <w:tc>
                <w:tcPr>
                  <w:tcW w:w="514" w:type="pct"/>
                  <w:vAlign w:val="center"/>
                </w:tcPr>
                <w:p w14:paraId="37CEECA9">
                  <w:pPr>
                    <w:jc w:val="center"/>
                    <w:rPr>
                      <w:color w:val="EE0000"/>
                      <w:sz w:val="18"/>
                      <w:szCs w:val="18"/>
                      <w:u w:val="single"/>
                    </w:rPr>
                  </w:pPr>
                  <w:r>
                    <w:rPr>
                      <w:bCs/>
                      <w:color w:val="EE0000"/>
                      <w:sz w:val="18"/>
                      <w:szCs w:val="18"/>
                      <w:u w:val="single"/>
                    </w:rPr>
                    <w:t>锌</w:t>
                  </w:r>
                </w:p>
              </w:tc>
              <w:tc>
                <w:tcPr>
                  <w:tcW w:w="401" w:type="pct"/>
                  <w:vMerge w:val="continue"/>
                  <w:vAlign w:val="center"/>
                </w:tcPr>
                <w:p w14:paraId="1859DFCC">
                  <w:pPr>
                    <w:jc w:val="center"/>
                    <w:rPr>
                      <w:color w:val="EE0000"/>
                      <w:sz w:val="18"/>
                      <w:szCs w:val="18"/>
                      <w:u w:val="single"/>
                    </w:rPr>
                  </w:pPr>
                </w:p>
              </w:tc>
              <w:tc>
                <w:tcPr>
                  <w:tcW w:w="474" w:type="pct"/>
                  <w:vAlign w:val="center"/>
                </w:tcPr>
                <w:p w14:paraId="4AEB44C3">
                  <w:pPr>
                    <w:jc w:val="center"/>
                    <w:rPr>
                      <w:color w:val="EE0000"/>
                      <w:sz w:val="18"/>
                      <w:szCs w:val="18"/>
                      <w:u w:val="single"/>
                    </w:rPr>
                  </w:pPr>
                  <w:r>
                    <w:rPr>
                      <w:color w:val="EE0000"/>
                      <w:sz w:val="18"/>
                      <w:szCs w:val="18"/>
                      <w:u w:val="single"/>
                    </w:rPr>
                    <w:t>0.407</w:t>
                  </w:r>
                </w:p>
              </w:tc>
              <w:tc>
                <w:tcPr>
                  <w:tcW w:w="557" w:type="pct"/>
                  <w:vAlign w:val="center"/>
                </w:tcPr>
                <w:p w14:paraId="3EB9DAC3">
                  <w:pPr>
                    <w:jc w:val="center"/>
                    <w:rPr>
                      <w:color w:val="EE0000"/>
                      <w:sz w:val="18"/>
                      <w:szCs w:val="18"/>
                      <w:u w:val="single"/>
                    </w:rPr>
                  </w:pPr>
                  <w:r>
                    <w:rPr>
                      <w:color w:val="EE0000"/>
                      <w:sz w:val="18"/>
                      <w:szCs w:val="18"/>
                      <w:u w:val="single"/>
                    </w:rPr>
                    <w:t xml:space="preserve">0.051 </w:t>
                  </w:r>
                </w:p>
              </w:tc>
              <w:tc>
                <w:tcPr>
                  <w:tcW w:w="516" w:type="pct"/>
                  <w:vAlign w:val="center"/>
                </w:tcPr>
                <w:p w14:paraId="7B0A3038">
                  <w:pPr>
                    <w:jc w:val="center"/>
                    <w:rPr>
                      <w:color w:val="EE0000"/>
                      <w:sz w:val="18"/>
                      <w:szCs w:val="18"/>
                      <w:u w:val="single"/>
                    </w:rPr>
                  </w:pPr>
                  <w:r>
                    <w:rPr>
                      <w:color w:val="EE0000"/>
                      <w:sz w:val="18"/>
                      <w:szCs w:val="18"/>
                      <w:u w:val="single"/>
                    </w:rPr>
                    <w:t>0.255</w:t>
                  </w:r>
                </w:p>
              </w:tc>
              <w:tc>
                <w:tcPr>
                  <w:tcW w:w="511" w:type="pct"/>
                  <w:vMerge w:val="continue"/>
                  <w:vAlign w:val="center"/>
                </w:tcPr>
                <w:p w14:paraId="50E8DC30">
                  <w:pPr>
                    <w:jc w:val="center"/>
                    <w:rPr>
                      <w:color w:val="EE0000"/>
                      <w:sz w:val="18"/>
                      <w:szCs w:val="18"/>
                    </w:rPr>
                  </w:pPr>
                </w:p>
              </w:tc>
              <w:tc>
                <w:tcPr>
                  <w:tcW w:w="473" w:type="pct"/>
                  <w:vAlign w:val="center"/>
                </w:tcPr>
                <w:p w14:paraId="1054036B">
                  <w:pPr>
                    <w:jc w:val="center"/>
                    <w:rPr>
                      <w:color w:val="EE0000"/>
                      <w:sz w:val="18"/>
                      <w:szCs w:val="18"/>
                      <w:u w:val="single"/>
                    </w:rPr>
                  </w:pPr>
                  <w:r>
                    <w:rPr>
                      <w:color w:val="EE0000"/>
                      <w:sz w:val="18"/>
                      <w:szCs w:val="18"/>
                      <w:u w:val="single"/>
                    </w:rPr>
                    <w:t>0.0407</w:t>
                  </w:r>
                </w:p>
              </w:tc>
              <w:tc>
                <w:tcPr>
                  <w:tcW w:w="611" w:type="pct"/>
                  <w:vAlign w:val="center"/>
                </w:tcPr>
                <w:p w14:paraId="0213DB85">
                  <w:pPr>
                    <w:jc w:val="center"/>
                    <w:rPr>
                      <w:color w:val="EE0000"/>
                      <w:sz w:val="18"/>
                      <w:szCs w:val="18"/>
                      <w:u w:val="single"/>
                    </w:rPr>
                  </w:pPr>
                  <w:r>
                    <w:rPr>
                      <w:color w:val="EE0000"/>
                      <w:sz w:val="18"/>
                      <w:szCs w:val="18"/>
                      <w:u w:val="single"/>
                    </w:rPr>
                    <w:t>5.1E-03</w:t>
                  </w:r>
                </w:p>
              </w:tc>
              <w:tc>
                <w:tcPr>
                  <w:tcW w:w="519" w:type="pct"/>
                  <w:vAlign w:val="center"/>
                </w:tcPr>
                <w:p w14:paraId="4ED920E8">
                  <w:pPr>
                    <w:jc w:val="center"/>
                    <w:rPr>
                      <w:color w:val="EE0000"/>
                      <w:sz w:val="18"/>
                      <w:szCs w:val="18"/>
                      <w:u w:val="single"/>
                    </w:rPr>
                  </w:pPr>
                  <w:r>
                    <w:rPr>
                      <w:color w:val="EE0000"/>
                      <w:sz w:val="18"/>
                      <w:szCs w:val="18"/>
                      <w:u w:val="single"/>
                    </w:rPr>
                    <w:t>2.6E-02</w:t>
                  </w:r>
                </w:p>
              </w:tc>
            </w:tr>
            <w:tr w14:paraId="24D4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4" w:type="pct"/>
                  <w:vMerge w:val="continue"/>
                  <w:vAlign w:val="center"/>
                </w:tcPr>
                <w:p w14:paraId="23872172">
                  <w:pPr>
                    <w:jc w:val="center"/>
                    <w:rPr>
                      <w:sz w:val="18"/>
                      <w:szCs w:val="18"/>
                    </w:rPr>
                  </w:pPr>
                </w:p>
              </w:tc>
              <w:tc>
                <w:tcPr>
                  <w:tcW w:w="514" w:type="pct"/>
                  <w:vAlign w:val="center"/>
                </w:tcPr>
                <w:p w14:paraId="121AD4E1">
                  <w:pPr>
                    <w:jc w:val="center"/>
                    <w:rPr>
                      <w:color w:val="EE0000"/>
                      <w:sz w:val="18"/>
                      <w:szCs w:val="18"/>
                      <w:u w:val="single"/>
                    </w:rPr>
                  </w:pPr>
                  <w:r>
                    <w:rPr>
                      <w:bCs/>
                      <w:color w:val="EE0000"/>
                      <w:sz w:val="18"/>
                      <w:szCs w:val="18"/>
                      <w:u w:val="single"/>
                    </w:rPr>
                    <w:t>铜</w:t>
                  </w:r>
                </w:p>
              </w:tc>
              <w:tc>
                <w:tcPr>
                  <w:tcW w:w="401" w:type="pct"/>
                  <w:vMerge w:val="continue"/>
                  <w:vAlign w:val="center"/>
                </w:tcPr>
                <w:p w14:paraId="2A6573A3">
                  <w:pPr>
                    <w:jc w:val="center"/>
                    <w:rPr>
                      <w:color w:val="EE0000"/>
                      <w:sz w:val="18"/>
                      <w:szCs w:val="18"/>
                      <w:u w:val="single"/>
                    </w:rPr>
                  </w:pPr>
                </w:p>
              </w:tc>
              <w:tc>
                <w:tcPr>
                  <w:tcW w:w="474" w:type="pct"/>
                  <w:vAlign w:val="center"/>
                </w:tcPr>
                <w:p w14:paraId="1111FB06">
                  <w:pPr>
                    <w:jc w:val="center"/>
                    <w:rPr>
                      <w:color w:val="EE0000"/>
                      <w:sz w:val="18"/>
                      <w:szCs w:val="18"/>
                      <w:u w:val="single"/>
                    </w:rPr>
                  </w:pPr>
                  <w:r>
                    <w:rPr>
                      <w:color w:val="EE0000"/>
                      <w:sz w:val="18"/>
                      <w:szCs w:val="18"/>
                      <w:u w:val="single"/>
                    </w:rPr>
                    <w:t>0.047</w:t>
                  </w:r>
                </w:p>
              </w:tc>
              <w:tc>
                <w:tcPr>
                  <w:tcW w:w="557" w:type="pct"/>
                  <w:vAlign w:val="center"/>
                </w:tcPr>
                <w:p w14:paraId="79D7E19A">
                  <w:pPr>
                    <w:jc w:val="center"/>
                    <w:rPr>
                      <w:color w:val="EE0000"/>
                      <w:sz w:val="18"/>
                      <w:szCs w:val="18"/>
                      <w:u w:val="single"/>
                    </w:rPr>
                  </w:pPr>
                  <w:r>
                    <w:rPr>
                      <w:color w:val="EE0000"/>
                      <w:sz w:val="18"/>
                      <w:szCs w:val="18"/>
                      <w:u w:val="single"/>
                    </w:rPr>
                    <w:t xml:space="preserve">0.0059 </w:t>
                  </w:r>
                </w:p>
              </w:tc>
              <w:tc>
                <w:tcPr>
                  <w:tcW w:w="516" w:type="pct"/>
                  <w:vAlign w:val="center"/>
                </w:tcPr>
                <w:p w14:paraId="69F6DBA3">
                  <w:pPr>
                    <w:jc w:val="center"/>
                    <w:rPr>
                      <w:color w:val="EE0000"/>
                      <w:sz w:val="18"/>
                      <w:szCs w:val="18"/>
                      <w:u w:val="single"/>
                    </w:rPr>
                  </w:pPr>
                  <w:r>
                    <w:rPr>
                      <w:color w:val="EE0000"/>
                      <w:sz w:val="18"/>
                      <w:szCs w:val="18"/>
                      <w:u w:val="single"/>
                    </w:rPr>
                    <w:t>0.0295</w:t>
                  </w:r>
                </w:p>
              </w:tc>
              <w:tc>
                <w:tcPr>
                  <w:tcW w:w="511" w:type="pct"/>
                  <w:vMerge w:val="continue"/>
                  <w:vAlign w:val="center"/>
                </w:tcPr>
                <w:p w14:paraId="3E54DE72">
                  <w:pPr>
                    <w:jc w:val="center"/>
                    <w:rPr>
                      <w:color w:val="EE0000"/>
                      <w:sz w:val="18"/>
                      <w:szCs w:val="18"/>
                    </w:rPr>
                  </w:pPr>
                </w:p>
              </w:tc>
              <w:tc>
                <w:tcPr>
                  <w:tcW w:w="473" w:type="pct"/>
                  <w:vAlign w:val="center"/>
                </w:tcPr>
                <w:p w14:paraId="58E69A46">
                  <w:pPr>
                    <w:jc w:val="center"/>
                    <w:rPr>
                      <w:color w:val="EE0000"/>
                      <w:sz w:val="18"/>
                      <w:szCs w:val="18"/>
                      <w:u w:val="single"/>
                    </w:rPr>
                  </w:pPr>
                  <w:r>
                    <w:rPr>
                      <w:color w:val="EE0000"/>
                      <w:sz w:val="18"/>
                      <w:szCs w:val="18"/>
                      <w:u w:val="single"/>
                    </w:rPr>
                    <w:t>0.0047</w:t>
                  </w:r>
                </w:p>
              </w:tc>
              <w:tc>
                <w:tcPr>
                  <w:tcW w:w="611" w:type="pct"/>
                  <w:vAlign w:val="center"/>
                </w:tcPr>
                <w:p w14:paraId="21B9479F">
                  <w:pPr>
                    <w:jc w:val="center"/>
                    <w:rPr>
                      <w:color w:val="EE0000"/>
                      <w:sz w:val="18"/>
                      <w:szCs w:val="18"/>
                      <w:u w:val="single"/>
                    </w:rPr>
                  </w:pPr>
                  <w:r>
                    <w:rPr>
                      <w:color w:val="EE0000"/>
                      <w:sz w:val="18"/>
                      <w:szCs w:val="18"/>
                      <w:u w:val="single"/>
                    </w:rPr>
                    <w:t>5.9E-04</w:t>
                  </w:r>
                </w:p>
              </w:tc>
              <w:tc>
                <w:tcPr>
                  <w:tcW w:w="519" w:type="pct"/>
                  <w:vAlign w:val="center"/>
                </w:tcPr>
                <w:p w14:paraId="5BFD7095">
                  <w:pPr>
                    <w:jc w:val="center"/>
                    <w:rPr>
                      <w:color w:val="EE0000"/>
                      <w:sz w:val="18"/>
                      <w:szCs w:val="18"/>
                      <w:u w:val="single"/>
                    </w:rPr>
                  </w:pPr>
                  <w:r>
                    <w:rPr>
                      <w:color w:val="EE0000"/>
                      <w:sz w:val="18"/>
                      <w:szCs w:val="18"/>
                      <w:u w:val="single"/>
                    </w:rPr>
                    <w:t>3.0E-03</w:t>
                  </w:r>
                </w:p>
              </w:tc>
            </w:tr>
            <w:tr w14:paraId="0A65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24" w:type="pct"/>
                  <w:vMerge w:val="continue"/>
                  <w:vAlign w:val="center"/>
                </w:tcPr>
                <w:p w14:paraId="1759AD7D">
                  <w:pPr>
                    <w:jc w:val="center"/>
                    <w:rPr>
                      <w:sz w:val="18"/>
                      <w:szCs w:val="18"/>
                    </w:rPr>
                  </w:pPr>
                </w:p>
              </w:tc>
              <w:tc>
                <w:tcPr>
                  <w:tcW w:w="514" w:type="pct"/>
                  <w:vAlign w:val="center"/>
                </w:tcPr>
                <w:p w14:paraId="666160E9">
                  <w:pPr>
                    <w:jc w:val="center"/>
                    <w:rPr>
                      <w:color w:val="EE0000"/>
                      <w:sz w:val="18"/>
                      <w:szCs w:val="18"/>
                      <w:u w:val="single"/>
                    </w:rPr>
                  </w:pPr>
                  <w:r>
                    <w:rPr>
                      <w:color w:val="EE0000"/>
                      <w:sz w:val="18"/>
                      <w:szCs w:val="18"/>
                      <w:u w:val="single"/>
                    </w:rPr>
                    <w:t>二噁英类</w:t>
                  </w:r>
                </w:p>
              </w:tc>
              <w:tc>
                <w:tcPr>
                  <w:tcW w:w="401" w:type="pct"/>
                  <w:vMerge w:val="continue"/>
                  <w:vAlign w:val="center"/>
                </w:tcPr>
                <w:p w14:paraId="40CFB5F1">
                  <w:pPr>
                    <w:jc w:val="center"/>
                    <w:rPr>
                      <w:color w:val="EE0000"/>
                      <w:sz w:val="18"/>
                      <w:szCs w:val="18"/>
                      <w:u w:val="single"/>
                    </w:rPr>
                  </w:pPr>
                </w:p>
              </w:tc>
              <w:tc>
                <w:tcPr>
                  <w:tcW w:w="474" w:type="pct"/>
                  <w:vAlign w:val="center"/>
                </w:tcPr>
                <w:p w14:paraId="7B83BC95">
                  <w:pPr>
                    <w:jc w:val="center"/>
                    <w:rPr>
                      <w:color w:val="EE0000"/>
                      <w:sz w:val="18"/>
                      <w:szCs w:val="18"/>
                      <w:u w:val="single"/>
                    </w:rPr>
                  </w:pPr>
                  <w:r>
                    <w:rPr>
                      <w:color w:val="EE0000"/>
                      <w:sz w:val="18"/>
                      <w:szCs w:val="18"/>
                      <w:u w:val="single"/>
                    </w:rPr>
                    <w:t>0.675</w:t>
                  </w:r>
                </w:p>
                <w:p w14:paraId="07E69EC3">
                  <w:pPr>
                    <w:jc w:val="center"/>
                    <w:rPr>
                      <w:color w:val="EE0000"/>
                      <w:sz w:val="18"/>
                      <w:szCs w:val="18"/>
                      <w:u w:val="single"/>
                    </w:rPr>
                  </w:pPr>
                  <w:r>
                    <w:rPr>
                      <w:color w:val="EE0000"/>
                      <w:sz w:val="18"/>
                      <w:szCs w:val="18"/>
                      <w:u w:val="single"/>
                    </w:rPr>
                    <w:t>mg/a</w:t>
                  </w:r>
                </w:p>
              </w:tc>
              <w:tc>
                <w:tcPr>
                  <w:tcW w:w="557" w:type="pct"/>
                  <w:vAlign w:val="center"/>
                </w:tcPr>
                <w:p w14:paraId="3565516B">
                  <w:pPr>
                    <w:jc w:val="center"/>
                    <w:rPr>
                      <w:color w:val="EE0000"/>
                      <w:sz w:val="18"/>
                      <w:szCs w:val="18"/>
                      <w:u w:val="single"/>
                    </w:rPr>
                  </w:pPr>
                  <w:r>
                    <w:rPr>
                      <w:color w:val="EE0000"/>
                      <w:sz w:val="18"/>
                      <w:szCs w:val="18"/>
                      <w:u w:val="single"/>
                    </w:rPr>
                    <w:t>85.2ng/h</w:t>
                  </w:r>
                </w:p>
              </w:tc>
              <w:tc>
                <w:tcPr>
                  <w:tcW w:w="516" w:type="pct"/>
                  <w:vAlign w:val="center"/>
                </w:tcPr>
                <w:p w14:paraId="0AF140A7">
                  <w:pPr>
                    <w:jc w:val="center"/>
                    <w:rPr>
                      <w:color w:val="EE0000"/>
                      <w:sz w:val="18"/>
                      <w:szCs w:val="18"/>
                      <w:u w:val="single"/>
                    </w:rPr>
                  </w:pPr>
                  <w:r>
                    <w:rPr>
                      <w:color w:val="EE0000"/>
                      <w:sz w:val="18"/>
                      <w:szCs w:val="18"/>
                      <w:u w:val="single"/>
                    </w:rPr>
                    <w:t>0.0004</w:t>
                  </w:r>
                </w:p>
                <w:p w14:paraId="644A04C8">
                  <w:pPr>
                    <w:jc w:val="center"/>
                    <w:rPr>
                      <w:color w:val="EE0000"/>
                      <w:sz w:val="18"/>
                      <w:szCs w:val="18"/>
                      <w:u w:val="single"/>
                    </w:rPr>
                  </w:pPr>
                  <w:r>
                    <w:rPr>
                      <w:color w:val="EE0000"/>
                      <w:sz w:val="18"/>
                      <w:szCs w:val="18"/>
                      <w:u w:val="single"/>
                    </w:rPr>
                    <w:t>ng/m</w:t>
                  </w:r>
                  <w:r>
                    <w:rPr>
                      <w:color w:val="EE0000"/>
                      <w:sz w:val="18"/>
                      <w:szCs w:val="18"/>
                      <w:u w:val="single"/>
                      <w:vertAlign w:val="superscript"/>
                    </w:rPr>
                    <w:t>3</w:t>
                  </w:r>
                </w:p>
              </w:tc>
              <w:tc>
                <w:tcPr>
                  <w:tcW w:w="511" w:type="pct"/>
                  <w:vMerge w:val="continue"/>
                  <w:vAlign w:val="center"/>
                </w:tcPr>
                <w:p w14:paraId="06A65CC1">
                  <w:pPr>
                    <w:jc w:val="center"/>
                    <w:rPr>
                      <w:color w:val="EE0000"/>
                      <w:sz w:val="18"/>
                      <w:szCs w:val="18"/>
                    </w:rPr>
                  </w:pPr>
                </w:p>
              </w:tc>
              <w:tc>
                <w:tcPr>
                  <w:tcW w:w="473" w:type="pct"/>
                  <w:vAlign w:val="center"/>
                </w:tcPr>
                <w:p w14:paraId="37410166">
                  <w:pPr>
                    <w:jc w:val="center"/>
                    <w:rPr>
                      <w:color w:val="EE0000"/>
                      <w:sz w:val="18"/>
                      <w:szCs w:val="18"/>
                      <w:u w:val="single"/>
                    </w:rPr>
                  </w:pPr>
                  <w:r>
                    <w:rPr>
                      <w:color w:val="EE0000"/>
                      <w:sz w:val="18"/>
                      <w:szCs w:val="18"/>
                      <w:u w:val="single"/>
                    </w:rPr>
                    <w:t>0.675</w:t>
                  </w:r>
                </w:p>
                <w:p w14:paraId="53DF831D">
                  <w:pPr>
                    <w:jc w:val="center"/>
                    <w:rPr>
                      <w:color w:val="EE0000"/>
                      <w:sz w:val="18"/>
                      <w:szCs w:val="18"/>
                    </w:rPr>
                  </w:pPr>
                  <w:r>
                    <w:rPr>
                      <w:color w:val="EE0000"/>
                      <w:sz w:val="18"/>
                      <w:szCs w:val="18"/>
                      <w:u w:val="single"/>
                    </w:rPr>
                    <w:t>mg/a</w:t>
                  </w:r>
                </w:p>
              </w:tc>
              <w:tc>
                <w:tcPr>
                  <w:tcW w:w="611" w:type="pct"/>
                  <w:vAlign w:val="center"/>
                </w:tcPr>
                <w:p w14:paraId="40B5E04D">
                  <w:pPr>
                    <w:jc w:val="center"/>
                    <w:rPr>
                      <w:sz w:val="18"/>
                      <w:szCs w:val="18"/>
                    </w:rPr>
                  </w:pPr>
                  <w:r>
                    <w:rPr>
                      <w:color w:val="EE0000"/>
                      <w:sz w:val="18"/>
                      <w:szCs w:val="18"/>
                      <w:u w:val="single"/>
                    </w:rPr>
                    <w:t>85.2ng/h</w:t>
                  </w:r>
                </w:p>
              </w:tc>
              <w:tc>
                <w:tcPr>
                  <w:tcW w:w="519" w:type="pct"/>
                  <w:vAlign w:val="center"/>
                </w:tcPr>
                <w:p w14:paraId="1C6AD1FA">
                  <w:pPr>
                    <w:jc w:val="center"/>
                    <w:rPr>
                      <w:color w:val="EE0000"/>
                      <w:sz w:val="18"/>
                      <w:szCs w:val="18"/>
                      <w:u w:val="single"/>
                    </w:rPr>
                  </w:pPr>
                  <w:r>
                    <w:rPr>
                      <w:color w:val="EE0000"/>
                      <w:sz w:val="18"/>
                      <w:szCs w:val="18"/>
                      <w:u w:val="single"/>
                    </w:rPr>
                    <w:t>0.0004</w:t>
                  </w:r>
                </w:p>
                <w:p w14:paraId="49061BCB">
                  <w:pPr>
                    <w:jc w:val="center"/>
                    <w:rPr>
                      <w:color w:val="EE0000"/>
                      <w:sz w:val="18"/>
                      <w:szCs w:val="18"/>
                    </w:rPr>
                  </w:pPr>
                  <w:r>
                    <w:rPr>
                      <w:color w:val="EE0000"/>
                      <w:sz w:val="18"/>
                      <w:szCs w:val="18"/>
                      <w:u w:val="single"/>
                    </w:rPr>
                    <w:t>ng/m</w:t>
                  </w:r>
                  <w:r>
                    <w:rPr>
                      <w:color w:val="EE0000"/>
                      <w:sz w:val="18"/>
                      <w:szCs w:val="18"/>
                      <w:u w:val="single"/>
                      <w:vertAlign w:val="superscript"/>
                    </w:rPr>
                    <w:t>3</w:t>
                  </w:r>
                </w:p>
              </w:tc>
            </w:tr>
            <w:tr w14:paraId="5271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24" w:type="pct"/>
                  <w:vMerge w:val="continue"/>
                  <w:vAlign w:val="center"/>
                </w:tcPr>
                <w:p w14:paraId="6104C4FC">
                  <w:pPr>
                    <w:jc w:val="center"/>
                    <w:rPr>
                      <w:sz w:val="18"/>
                      <w:szCs w:val="18"/>
                    </w:rPr>
                  </w:pPr>
                </w:p>
              </w:tc>
              <w:tc>
                <w:tcPr>
                  <w:tcW w:w="514" w:type="pct"/>
                  <w:vAlign w:val="center"/>
                </w:tcPr>
                <w:p w14:paraId="0F05DC41">
                  <w:pPr>
                    <w:jc w:val="center"/>
                    <w:rPr>
                      <w:color w:val="EE0000"/>
                      <w:sz w:val="18"/>
                      <w:szCs w:val="18"/>
                      <w:u w:val="single"/>
                    </w:rPr>
                  </w:pPr>
                  <w:r>
                    <w:rPr>
                      <w:color w:val="EE0000"/>
                      <w:sz w:val="18"/>
                      <w:szCs w:val="18"/>
                      <w:u w:val="single"/>
                    </w:rPr>
                    <w:t>NH</w:t>
                  </w:r>
                  <w:r>
                    <w:rPr>
                      <w:color w:val="EE0000"/>
                      <w:sz w:val="18"/>
                      <w:szCs w:val="18"/>
                      <w:u w:val="single"/>
                      <w:vertAlign w:val="subscript"/>
                    </w:rPr>
                    <w:t>3</w:t>
                  </w:r>
                </w:p>
              </w:tc>
              <w:tc>
                <w:tcPr>
                  <w:tcW w:w="401" w:type="pct"/>
                  <w:vMerge w:val="continue"/>
                  <w:vAlign w:val="center"/>
                </w:tcPr>
                <w:p w14:paraId="6EDF61E2">
                  <w:pPr>
                    <w:jc w:val="center"/>
                    <w:rPr>
                      <w:color w:val="EE0000"/>
                      <w:sz w:val="18"/>
                      <w:szCs w:val="18"/>
                      <w:u w:val="single"/>
                    </w:rPr>
                  </w:pPr>
                </w:p>
              </w:tc>
              <w:tc>
                <w:tcPr>
                  <w:tcW w:w="474" w:type="pct"/>
                  <w:vAlign w:val="center"/>
                </w:tcPr>
                <w:p w14:paraId="0ABB04C1">
                  <w:pPr>
                    <w:jc w:val="center"/>
                    <w:rPr>
                      <w:color w:val="EE0000"/>
                      <w:sz w:val="18"/>
                      <w:szCs w:val="18"/>
                      <w:u w:val="single"/>
                    </w:rPr>
                  </w:pPr>
                  <w:r>
                    <w:rPr>
                      <w:color w:val="EE0000"/>
                      <w:sz w:val="18"/>
                      <w:szCs w:val="18"/>
                      <w:u w:val="single"/>
                    </w:rPr>
                    <w:t>/</w:t>
                  </w:r>
                </w:p>
              </w:tc>
              <w:tc>
                <w:tcPr>
                  <w:tcW w:w="557" w:type="pct"/>
                  <w:vAlign w:val="center"/>
                </w:tcPr>
                <w:p w14:paraId="43B21816">
                  <w:pPr>
                    <w:jc w:val="center"/>
                    <w:rPr>
                      <w:color w:val="EE0000"/>
                      <w:sz w:val="18"/>
                      <w:szCs w:val="18"/>
                      <w:u w:val="single"/>
                    </w:rPr>
                  </w:pPr>
                  <w:r>
                    <w:rPr>
                      <w:color w:val="EE0000"/>
                      <w:sz w:val="18"/>
                      <w:szCs w:val="18"/>
                      <w:u w:val="single"/>
                    </w:rPr>
                    <w:t>/</w:t>
                  </w:r>
                </w:p>
              </w:tc>
              <w:tc>
                <w:tcPr>
                  <w:tcW w:w="516" w:type="pct"/>
                  <w:vAlign w:val="center"/>
                </w:tcPr>
                <w:p w14:paraId="2252D1C5">
                  <w:pPr>
                    <w:jc w:val="center"/>
                    <w:rPr>
                      <w:color w:val="EE0000"/>
                      <w:sz w:val="18"/>
                      <w:szCs w:val="18"/>
                      <w:u w:val="single"/>
                    </w:rPr>
                  </w:pPr>
                  <w:r>
                    <w:rPr>
                      <w:color w:val="EE0000"/>
                      <w:sz w:val="18"/>
                      <w:szCs w:val="18"/>
                      <w:u w:val="single"/>
                    </w:rPr>
                    <w:t>/</w:t>
                  </w:r>
                </w:p>
              </w:tc>
              <w:tc>
                <w:tcPr>
                  <w:tcW w:w="511" w:type="pct"/>
                  <w:vMerge w:val="continue"/>
                  <w:vAlign w:val="center"/>
                </w:tcPr>
                <w:p w14:paraId="5E463ADF">
                  <w:pPr>
                    <w:jc w:val="center"/>
                    <w:rPr>
                      <w:color w:val="EE0000"/>
                      <w:sz w:val="18"/>
                      <w:szCs w:val="18"/>
                    </w:rPr>
                  </w:pPr>
                </w:p>
              </w:tc>
              <w:tc>
                <w:tcPr>
                  <w:tcW w:w="473" w:type="pct"/>
                  <w:vAlign w:val="center"/>
                </w:tcPr>
                <w:p w14:paraId="474D61B7">
                  <w:pPr>
                    <w:jc w:val="center"/>
                    <w:rPr>
                      <w:color w:val="EE0000"/>
                      <w:sz w:val="18"/>
                      <w:szCs w:val="18"/>
                      <w:u w:val="single"/>
                    </w:rPr>
                  </w:pPr>
                  <w:r>
                    <w:rPr>
                      <w:color w:val="EE0000"/>
                      <w:sz w:val="18"/>
                      <w:szCs w:val="18"/>
                      <w:u w:val="single"/>
                    </w:rPr>
                    <w:t>6.02</w:t>
                  </w:r>
                </w:p>
              </w:tc>
              <w:tc>
                <w:tcPr>
                  <w:tcW w:w="611" w:type="pct"/>
                  <w:vAlign w:val="center"/>
                </w:tcPr>
                <w:p w14:paraId="7EAA881D">
                  <w:pPr>
                    <w:jc w:val="center"/>
                    <w:rPr>
                      <w:color w:val="EE0000"/>
                      <w:sz w:val="18"/>
                      <w:szCs w:val="18"/>
                      <w:u w:val="single"/>
                    </w:rPr>
                  </w:pPr>
                  <w:r>
                    <w:rPr>
                      <w:color w:val="EE0000"/>
                      <w:sz w:val="18"/>
                      <w:szCs w:val="18"/>
                      <w:u w:val="single"/>
                    </w:rPr>
                    <w:t>0.76</w:t>
                  </w:r>
                </w:p>
              </w:tc>
              <w:tc>
                <w:tcPr>
                  <w:tcW w:w="519" w:type="pct"/>
                  <w:vAlign w:val="center"/>
                </w:tcPr>
                <w:p w14:paraId="6F34AA2E">
                  <w:pPr>
                    <w:jc w:val="center"/>
                    <w:rPr>
                      <w:color w:val="EE0000"/>
                      <w:sz w:val="18"/>
                      <w:szCs w:val="18"/>
                      <w:u w:val="single"/>
                    </w:rPr>
                  </w:pPr>
                  <w:r>
                    <w:rPr>
                      <w:color w:val="EE0000"/>
                      <w:sz w:val="18"/>
                      <w:szCs w:val="18"/>
                      <w:u w:val="single"/>
                    </w:rPr>
                    <w:t>3.8</w:t>
                  </w:r>
                </w:p>
              </w:tc>
            </w:tr>
            <w:tr w14:paraId="33F6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24" w:type="pct"/>
                  <w:vAlign w:val="center"/>
                </w:tcPr>
                <w:p w14:paraId="6DC9A8FE">
                  <w:pPr>
                    <w:jc w:val="center"/>
                    <w:rPr>
                      <w:sz w:val="18"/>
                      <w:szCs w:val="18"/>
                    </w:rPr>
                  </w:pPr>
                  <w:r>
                    <w:rPr>
                      <w:color w:val="EE0000"/>
                      <w:sz w:val="18"/>
                      <w:szCs w:val="18"/>
                      <w:u w:val="single"/>
                    </w:rPr>
                    <w:t>窑车清理</w:t>
                  </w:r>
                </w:p>
              </w:tc>
              <w:tc>
                <w:tcPr>
                  <w:tcW w:w="514" w:type="pct"/>
                  <w:vAlign w:val="center"/>
                </w:tcPr>
                <w:p w14:paraId="6C650DE9">
                  <w:pPr>
                    <w:jc w:val="center"/>
                    <w:rPr>
                      <w:color w:val="EE0000"/>
                      <w:sz w:val="18"/>
                      <w:szCs w:val="18"/>
                      <w:u w:val="single"/>
                    </w:rPr>
                  </w:pPr>
                  <w:r>
                    <w:rPr>
                      <w:color w:val="EE0000"/>
                      <w:sz w:val="18"/>
                      <w:szCs w:val="18"/>
                      <w:u w:val="single"/>
                    </w:rPr>
                    <w:t>窑车清理颗粒物</w:t>
                  </w:r>
                </w:p>
              </w:tc>
              <w:tc>
                <w:tcPr>
                  <w:tcW w:w="401" w:type="pct"/>
                  <w:vAlign w:val="center"/>
                </w:tcPr>
                <w:p w14:paraId="7BD38460">
                  <w:pPr>
                    <w:jc w:val="center"/>
                    <w:rPr>
                      <w:color w:val="EE0000"/>
                      <w:sz w:val="18"/>
                      <w:szCs w:val="18"/>
                      <w:u w:val="single"/>
                    </w:rPr>
                  </w:pPr>
                  <w:r>
                    <w:rPr>
                      <w:color w:val="EE0000"/>
                      <w:sz w:val="18"/>
                      <w:szCs w:val="18"/>
                      <w:u w:val="single"/>
                    </w:rPr>
                    <w:t>5000</w:t>
                  </w:r>
                </w:p>
              </w:tc>
              <w:tc>
                <w:tcPr>
                  <w:tcW w:w="474" w:type="pct"/>
                  <w:vAlign w:val="center"/>
                </w:tcPr>
                <w:p w14:paraId="7C8A43E4">
                  <w:pPr>
                    <w:jc w:val="center"/>
                    <w:rPr>
                      <w:color w:val="EE0000"/>
                      <w:sz w:val="18"/>
                      <w:szCs w:val="18"/>
                      <w:u w:val="single"/>
                    </w:rPr>
                  </w:pPr>
                  <w:r>
                    <w:rPr>
                      <w:color w:val="EE0000"/>
                      <w:sz w:val="18"/>
                      <w:szCs w:val="18"/>
                      <w:u w:val="single"/>
                    </w:rPr>
                    <w:t>3.70</w:t>
                  </w:r>
                </w:p>
              </w:tc>
              <w:tc>
                <w:tcPr>
                  <w:tcW w:w="557" w:type="pct"/>
                  <w:vAlign w:val="center"/>
                </w:tcPr>
                <w:p w14:paraId="5F5B8D1E">
                  <w:pPr>
                    <w:jc w:val="center"/>
                    <w:rPr>
                      <w:color w:val="EE0000"/>
                      <w:sz w:val="18"/>
                      <w:szCs w:val="18"/>
                      <w:u w:val="single"/>
                    </w:rPr>
                  </w:pPr>
                  <w:r>
                    <w:rPr>
                      <w:color w:val="EE0000"/>
                      <w:sz w:val="18"/>
                      <w:szCs w:val="18"/>
                      <w:u w:val="single"/>
                    </w:rPr>
                    <w:t>0.70</w:t>
                  </w:r>
                </w:p>
              </w:tc>
              <w:tc>
                <w:tcPr>
                  <w:tcW w:w="516" w:type="pct"/>
                  <w:vAlign w:val="center"/>
                </w:tcPr>
                <w:p w14:paraId="5641AB83">
                  <w:pPr>
                    <w:jc w:val="center"/>
                    <w:rPr>
                      <w:color w:val="EE0000"/>
                      <w:sz w:val="18"/>
                      <w:szCs w:val="18"/>
                      <w:u w:val="single"/>
                    </w:rPr>
                  </w:pPr>
                  <w:r>
                    <w:rPr>
                      <w:color w:val="EE0000"/>
                      <w:sz w:val="18"/>
                      <w:szCs w:val="18"/>
                      <w:u w:val="single"/>
                    </w:rPr>
                    <w:t>140</w:t>
                  </w:r>
                </w:p>
              </w:tc>
              <w:tc>
                <w:tcPr>
                  <w:tcW w:w="511" w:type="pct"/>
                  <w:vAlign w:val="center"/>
                </w:tcPr>
                <w:p w14:paraId="305DA4D8">
                  <w:pPr>
                    <w:jc w:val="center"/>
                    <w:rPr>
                      <w:color w:val="EE0000"/>
                      <w:sz w:val="18"/>
                      <w:szCs w:val="18"/>
                    </w:rPr>
                  </w:pPr>
                  <w:r>
                    <w:rPr>
                      <w:color w:val="EE0000"/>
                      <w:sz w:val="18"/>
                      <w:szCs w:val="18"/>
                      <w:u w:val="single"/>
                    </w:rPr>
                    <w:t>1座袋式除尘器</w:t>
                  </w:r>
                </w:p>
              </w:tc>
              <w:tc>
                <w:tcPr>
                  <w:tcW w:w="473" w:type="pct"/>
                  <w:vAlign w:val="center"/>
                </w:tcPr>
                <w:p w14:paraId="1389CDA9">
                  <w:pPr>
                    <w:jc w:val="center"/>
                    <w:rPr>
                      <w:color w:val="EE0000"/>
                      <w:sz w:val="18"/>
                      <w:szCs w:val="18"/>
                      <w:u w:val="single"/>
                    </w:rPr>
                  </w:pPr>
                  <w:r>
                    <w:rPr>
                      <w:color w:val="EE0000"/>
                      <w:sz w:val="18"/>
                      <w:szCs w:val="18"/>
                      <w:u w:val="single"/>
                    </w:rPr>
                    <w:t>0.11</w:t>
                  </w:r>
                </w:p>
              </w:tc>
              <w:tc>
                <w:tcPr>
                  <w:tcW w:w="611" w:type="pct"/>
                  <w:vAlign w:val="center"/>
                </w:tcPr>
                <w:p w14:paraId="28A3820C">
                  <w:pPr>
                    <w:jc w:val="center"/>
                    <w:rPr>
                      <w:color w:val="EE0000"/>
                      <w:sz w:val="18"/>
                      <w:szCs w:val="18"/>
                      <w:u w:val="single"/>
                    </w:rPr>
                  </w:pPr>
                  <w:r>
                    <w:rPr>
                      <w:color w:val="EE0000"/>
                      <w:sz w:val="18"/>
                      <w:szCs w:val="18"/>
                      <w:u w:val="single"/>
                    </w:rPr>
                    <w:t xml:space="preserve">0.021 </w:t>
                  </w:r>
                </w:p>
              </w:tc>
              <w:tc>
                <w:tcPr>
                  <w:tcW w:w="519" w:type="pct"/>
                  <w:vAlign w:val="center"/>
                </w:tcPr>
                <w:p w14:paraId="23C0BBEF">
                  <w:pPr>
                    <w:jc w:val="center"/>
                    <w:rPr>
                      <w:color w:val="EE0000"/>
                      <w:sz w:val="18"/>
                      <w:szCs w:val="18"/>
                      <w:u w:val="single"/>
                    </w:rPr>
                  </w:pPr>
                  <w:r>
                    <w:rPr>
                      <w:color w:val="EE0000"/>
                      <w:sz w:val="18"/>
                      <w:szCs w:val="18"/>
                      <w:u w:val="single"/>
                    </w:rPr>
                    <w:t>4.2</w:t>
                  </w:r>
                </w:p>
              </w:tc>
            </w:tr>
            <w:tr w14:paraId="65DE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24" w:type="pct"/>
                  <w:vMerge w:val="restart"/>
                  <w:vAlign w:val="center"/>
                </w:tcPr>
                <w:p w14:paraId="15B708D7">
                  <w:pPr>
                    <w:jc w:val="center"/>
                    <w:rPr>
                      <w:color w:val="EE0000"/>
                      <w:sz w:val="18"/>
                      <w:szCs w:val="18"/>
                      <w:u w:val="single"/>
                    </w:rPr>
                  </w:pPr>
                  <w:r>
                    <w:rPr>
                      <w:color w:val="EE0000"/>
                      <w:sz w:val="18"/>
                      <w:szCs w:val="18"/>
                      <w:u w:val="single"/>
                    </w:rPr>
                    <w:t>污泥储存</w:t>
                  </w:r>
                </w:p>
              </w:tc>
              <w:tc>
                <w:tcPr>
                  <w:tcW w:w="514" w:type="pct"/>
                  <w:vAlign w:val="center"/>
                </w:tcPr>
                <w:p w14:paraId="29DAD275">
                  <w:pPr>
                    <w:jc w:val="center"/>
                    <w:rPr>
                      <w:color w:val="EE0000"/>
                      <w:sz w:val="18"/>
                      <w:szCs w:val="18"/>
                      <w:u w:val="single"/>
                    </w:rPr>
                  </w:pPr>
                  <w:r>
                    <w:rPr>
                      <w:color w:val="EE0000"/>
                      <w:sz w:val="18"/>
                      <w:szCs w:val="18"/>
                      <w:u w:val="single"/>
                    </w:rPr>
                    <w:t>氨气</w:t>
                  </w:r>
                </w:p>
              </w:tc>
              <w:tc>
                <w:tcPr>
                  <w:tcW w:w="401" w:type="pct"/>
                  <w:vMerge w:val="restart"/>
                  <w:vAlign w:val="center"/>
                </w:tcPr>
                <w:p w14:paraId="4AC8AEBE">
                  <w:pPr>
                    <w:jc w:val="center"/>
                    <w:rPr>
                      <w:color w:val="EE0000"/>
                      <w:sz w:val="18"/>
                      <w:szCs w:val="18"/>
                      <w:u w:val="single"/>
                    </w:rPr>
                  </w:pPr>
                  <w:r>
                    <w:rPr>
                      <w:color w:val="EE0000"/>
                      <w:sz w:val="18"/>
                      <w:szCs w:val="18"/>
                      <w:u w:val="single"/>
                    </w:rPr>
                    <w:t>12000</w:t>
                  </w:r>
                </w:p>
              </w:tc>
              <w:tc>
                <w:tcPr>
                  <w:tcW w:w="474" w:type="pct"/>
                  <w:vAlign w:val="center"/>
                </w:tcPr>
                <w:p w14:paraId="0FE47981">
                  <w:pPr>
                    <w:jc w:val="center"/>
                    <w:rPr>
                      <w:color w:val="EE0000"/>
                      <w:spacing w:val="-12"/>
                      <w:sz w:val="18"/>
                      <w:szCs w:val="18"/>
                      <w:u w:val="single"/>
                    </w:rPr>
                  </w:pPr>
                  <w:r>
                    <w:rPr>
                      <w:color w:val="EE0000"/>
                      <w:sz w:val="18"/>
                      <w:szCs w:val="18"/>
                      <w:u w:val="single"/>
                    </w:rPr>
                    <w:t>0.238</w:t>
                  </w:r>
                </w:p>
              </w:tc>
              <w:tc>
                <w:tcPr>
                  <w:tcW w:w="557" w:type="pct"/>
                  <w:vAlign w:val="center"/>
                </w:tcPr>
                <w:p w14:paraId="4B161278">
                  <w:pPr>
                    <w:jc w:val="center"/>
                    <w:rPr>
                      <w:color w:val="EE0000"/>
                      <w:sz w:val="18"/>
                      <w:szCs w:val="18"/>
                      <w:u w:val="single"/>
                    </w:rPr>
                  </w:pPr>
                  <w:r>
                    <w:rPr>
                      <w:color w:val="EE0000"/>
                      <w:sz w:val="18"/>
                      <w:szCs w:val="18"/>
                      <w:u w:val="single"/>
                    </w:rPr>
                    <w:t>0.03</w:t>
                  </w:r>
                </w:p>
              </w:tc>
              <w:tc>
                <w:tcPr>
                  <w:tcW w:w="516" w:type="pct"/>
                  <w:vAlign w:val="center"/>
                </w:tcPr>
                <w:p w14:paraId="28CF5FCF">
                  <w:pPr>
                    <w:jc w:val="center"/>
                    <w:rPr>
                      <w:color w:val="EE0000"/>
                      <w:sz w:val="18"/>
                      <w:szCs w:val="18"/>
                      <w:u w:val="single"/>
                    </w:rPr>
                  </w:pPr>
                  <w:r>
                    <w:rPr>
                      <w:color w:val="EE0000"/>
                      <w:sz w:val="18"/>
                      <w:szCs w:val="18"/>
                      <w:u w:val="single"/>
                    </w:rPr>
                    <w:t>2.5</w:t>
                  </w:r>
                </w:p>
              </w:tc>
              <w:tc>
                <w:tcPr>
                  <w:tcW w:w="511" w:type="pct"/>
                  <w:vMerge w:val="restart"/>
                  <w:vAlign w:val="center"/>
                </w:tcPr>
                <w:p w14:paraId="369B565A">
                  <w:pPr>
                    <w:jc w:val="center"/>
                    <w:rPr>
                      <w:color w:val="EE0000"/>
                      <w:sz w:val="18"/>
                      <w:szCs w:val="18"/>
                      <w:u w:val="single"/>
                    </w:rPr>
                  </w:pPr>
                  <w:r>
                    <w:rPr>
                      <w:color w:val="EE0000"/>
                      <w:sz w:val="18"/>
                      <w:szCs w:val="18"/>
                      <w:u w:val="single"/>
                    </w:rPr>
                    <w:t>1套活性炭吸附装置</w:t>
                  </w:r>
                </w:p>
              </w:tc>
              <w:tc>
                <w:tcPr>
                  <w:tcW w:w="473" w:type="pct"/>
                  <w:vAlign w:val="center"/>
                </w:tcPr>
                <w:p w14:paraId="004C7F7C">
                  <w:pPr>
                    <w:jc w:val="center"/>
                    <w:rPr>
                      <w:color w:val="EE0000"/>
                      <w:sz w:val="18"/>
                      <w:szCs w:val="18"/>
                      <w:u w:val="single"/>
                    </w:rPr>
                  </w:pPr>
                  <w:r>
                    <w:rPr>
                      <w:color w:val="EE0000"/>
                      <w:sz w:val="18"/>
                      <w:szCs w:val="18"/>
                      <w:u w:val="single"/>
                    </w:rPr>
                    <w:t>0.048</w:t>
                  </w:r>
                </w:p>
              </w:tc>
              <w:tc>
                <w:tcPr>
                  <w:tcW w:w="611" w:type="pct"/>
                  <w:vAlign w:val="center"/>
                </w:tcPr>
                <w:p w14:paraId="11C361C9">
                  <w:pPr>
                    <w:jc w:val="center"/>
                    <w:rPr>
                      <w:color w:val="EE0000"/>
                      <w:sz w:val="18"/>
                      <w:szCs w:val="18"/>
                      <w:u w:val="single"/>
                    </w:rPr>
                  </w:pPr>
                  <w:r>
                    <w:rPr>
                      <w:color w:val="EE0000"/>
                      <w:sz w:val="18"/>
                      <w:szCs w:val="18"/>
                      <w:u w:val="single"/>
                    </w:rPr>
                    <w:t>0.006</w:t>
                  </w:r>
                </w:p>
              </w:tc>
              <w:tc>
                <w:tcPr>
                  <w:tcW w:w="519" w:type="pct"/>
                  <w:vAlign w:val="center"/>
                </w:tcPr>
                <w:p w14:paraId="0F8B162B">
                  <w:pPr>
                    <w:jc w:val="center"/>
                    <w:rPr>
                      <w:color w:val="EE0000"/>
                      <w:sz w:val="18"/>
                      <w:szCs w:val="18"/>
                      <w:u w:val="single"/>
                    </w:rPr>
                  </w:pPr>
                  <w:r>
                    <w:rPr>
                      <w:color w:val="EE0000"/>
                      <w:sz w:val="18"/>
                      <w:szCs w:val="18"/>
                      <w:u w:val="single"/>
                    </w:rPr>
                    <w:t>0.5</w:t>
                  </w:r>
                </w:p>
              </w:tc>
            </w:tr>
            <w:tr w14:paraId="262A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24" w:type="pct"/>
                  <w:vMerge w:val="continue"/>
                  <w:vAlign w:val="center"/>
                </w:tcPr>
                <w:p w14:paraId="17D77A10">
                  <w:pPr>
                    <w:jc w:val="center"/>
                    <w:rPr>
                      <w:color w:val="EE0000"/>
                      <w:sz w:val="18"/>
                      <w:szCs w:val="18"/>
                      <w:u w:val="single"/>
                    </w:rPr>
                  </w:pPr>
                </w:p>
              </w:tc>
              <w:tc>
                <w:tcPr>
                  <w:tcW w:w="514" w:type="pct"/>
                  <w:vAlign w:val="center"/>
                </w:tcPr>
                <w:p w14:paraId="407273AE">
                  <w:pPr>
                    <w:jc w:val="center"/>
                    <w:rPr>
                      <w:color w:val="EE0000"/>
                      <w:sz w:val="18"/>
                      <w:szCs w:val="18"/>
                      <w:u w:val="single"/>
                    </w:rPr>
                  </w:pPr>
                  <w:r>
                    <w:rPr>
                      <w:color w:val="EE0000"/>
                      <w:sz w:val="18"/>
                      <w:szCs w:val="18"/>
                      <w:u w:val="single"/>
                    </w:rPr>
                    <w:t>硫化氢</w:t>
                  </w:r>
                </w:p>
              </w:tc>
              <w:tc>
                <w:tcPr>
                  <w:tcW w:w="401" w:type="pct"/>
                  <w:vMerge w:val="continue"/>
                  <w:vAlign w:val="center"/>
                </w:tcPr>
                <w:p w14:paraId="01CCB913">
                  <w:pPr>
                    <w:jc w:val="center"/>
                    <w:rPr>
                      <w:color w:val="EE0000"/>
                      <w:sz w:val="18"/>
                      <w:szCs w:val="18"/>
                      <w:u w:val="single"/>
                    </w:rPr>
                  </w:pPr>
                </w:p>
              </w:tc>
              <w:tc>
                <w:tcPr>
                  <w:tcW w:w="474" w:type="pct"/>
                  <w:vAlign w:val="center"/>
                </w:tcPr>
                <w:p w14:paraId="25E4BFBB">
                  <w:pPr>
                    <w:jc w:val="center"/>
                    <w:rPr>
                      <w:color w:val="EE0000"/>
                      <w:spacing w:val="-12"/>
                      <w:sz w:val="18"/>
                      <w:szCs w:val="18"/>
                      <w:u w:val="single"/>
                    </w:rPr>
                  </w:pPr>
                  <w:r>
                    <w:rPr>
                      <w:color w:val="EE0000"/>
                      <w:sz w:val="18"/>
                      <w:szCs w:val="18"/>
                      <w:u w:val="single"/>
                    </w:rPr>
                    <w:t>0.016</w:t>
                  </w:r>
                </w:p>
              </w:tc>
              <w:tc>
                <w:tcPr>
                  <w:tcW w:w="557" w:type="pct"/>
                  <w:vAlign w:val="center"/>
                </w:tcPr>
                <w:p w14:paraId="539C3AC2">
                  <w:pPr>
                    <w:jc w:val="center"/>
                    <w:rPr>
                      <w:color w:val="EE0000"/>
                      <w:sz w:val="18"/>
                      <w:szCs w:val="18"/>
                      <w:u w:val="single"/>
                    </w:rPr>
                  </w:pPr>
                  <w:r>
                    <w:rPr>
                      <w:color w:val="EE0000"/>
                      <w:sz w:val="18"/>
                      <w:szCs w:val="18"/>
                      <w:u w:val="single"/>
                    </w:rPr>
                    <w:t>0.002</w:t>
                  </w:r>
                </w:p>
              </w:tc>
              <w:tc>
                <w:tcPr>
                  <w:tcW w:w="516" w:type="pct"/>
                  <w:vAlign w:val="center"/>
                </w:tcPr>
                <w:p w14:paraId="2B86FC72">
                  <w:pPr>
                    <w:jc w:val="center"/>
                    <w:rPr>
                      <w:color w:val="EE0000"/>
                      <w:sz w:val="18"/>
                      <w:szCs w:val="18"/>
                      <w:u w:val="single"/>
                    </w:rPr>
                  </w:pPr>
                  <w:r>
                    <w:rPr>
                      <w:color w:val="EE0000"/>
                      <w:sz w:val="18"/>
                      <w:szCs w:val="18"/>
                      <w:u w:val="single"/>
                    </w:rPr>
                    <w:t>0.17</w:t>
                  </w:r>
                </w:p>
              </w:tc>
              <w:tc>
                <w:tcPr>
                  <w:tcW w:w="511" w:type="pct"/>
                  <w:vMerge w:val="continue"/>
                  <w:vAlign w:val="center"/>
                </w:tcPr>
                <w:p w14:paraId="748F5E54">
                  <w:pPr>
                    <w:jc w:val="center"/>
                    <w:rPr>
                      <w:color w:val="EE0000"/>
                      <w:sz w:val="18"/>
                      <w:szCs w:val="18"/>
                      <w:u w:val="single"/>
                    </w:rPr>
                  </w:pPr>
                </w:p>
              </w:tc>
              <w:tc>
                <w:tcPr>
                  <w:tcW w:w="473" w:type="pct"/>
                  <w:vAlign w:val="center"/>
                </w:tcPr>
                <w:p w14:paraId="3B22B035">
                  <w:pPr>
                    <w:jc w:val="center"/>
                    <w:rPr>
                      <w:color w:val="EE0000"/>
                      <w:sz w:val="18"/>
                      <w:szCs w:val="18"/>
                      <w:u w:val="single"/>
                    </w:rPr>
                  </w:pPr>
                  <w:r>
                    <w:rPr>
                      <w:color w:val="EE0000"/>
                      <w:sz w:val="18"/>
                      <w:szCs w:val="18"/>
                      <w:u w:val="single"/>
                    </w:rPr>
                    <w:t>0.0032</w:t>
                  </w:r>
                </w:p>
              </w:tc>
              <w:tc>
                <w:tcPr>
                  <w:tcW w:w="611" w:type="pct"/>
                  <w:vAlign w:val="center"/>
                </w:tcPr>
                <w:p w14:paraId="3CCEA61D">
                  <w:pPr>
                    <w:jc w:val="center"/>
                    <w:rPr>
                      <w:color w:val="EE0000"/>
                      <w:sz w:val="18"/>
                      <w:szCs w:val="18"/>
                      <w:u w:val="single"/>
                    </w:rPr>
                  </w:pPr>
                  <w:r>
                    <w:rPr>
                      <w:color w:val="EE0000"/>
                      <w:sz w:val="18"/>
                      <w:szCs w:val="18"/>
                      <w:u w:val="single"/>
                    </w:rPr>
                    <w:t>0.0004</w:t>
                  </w:r>
                </w:p>
              </w:tc>
              <w:tc>
                <w:tcPr>
                  <w:tcW w:w="519" w:type="pct"/>
                  <w:vAlign w:val="center"/>
                </w:tcPr>
                <w:p w14:paraId="5EC77D9A">
                  <w:pPr>
                    <w:jc w:val="center"/>
                    <w:rPr>
                      <w:color w:val="EE0000"/>
                      <w:sz w:val="18"/>
                      <w:szCs w:val="18"/>
                      <w:u w:val="single"/>
                    </w:rPr>
                  </w:pPr>
                  <w:r>
                    <w:rPr>
                      <w:color w:val="EE0000"/>
                      <w:sz w:val="18"/>
                      <w:szCs w:val="18"/>
                      <w:u w:val="single"/>
                    </w:rPr>
                    <w:t>0.034</w:t>
                  </w:r>
                </w:p>
              </w:tc>
            </w:tr>
            <w:tr w14:paraId="4C6D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4" w:type="pct"/>
                  <w:vAlign w:val="center"/>
                </w:tcPr>
                <w:p w14:paraId="41B1EA4B">
                  <w:pPr>
                    <w:jc w:val="center"/>
                    <w:rPr>
                      <w:color w:val="EE0000"/>
                      <w:sz w:val="18"/>
                      <w:szCs w:val="18"/>
                      <w:u w:val="single"/>
                    </w:rPr>
                  </w:pPr>
                  <w:r>
                    <w:rPr>
                      <w:color w:val="EE0000"/>
                      <w:sz w:val="18"/>
                      <w:szCs w:val="18"/>
                      <w:u w:val="single"/>
                    </w:rPr>
                    <w:t>石灰粉仓</w:t>
                  </w:r>
                </w:p>
              </w:tc>
              <w:tc>
                <w:tcPr>
                  <w:tcW w:w="514" w:type="pct"/>
                  <w:vAlign w:val="center"/>
                </w:tcPr>
                <w:p w14:paraId="617625F9">
                  <w:pPr>
                    <w:jc w:val="center"/>
                    <w:rPr>
                      <w:color w:val="EE0000"/>
                      <w:sz w:val="18"/>
                      <w:szCs w:val="18"/>
                      <w:u w:val="single"/>
                    </w:rPr>
                  </w:pPr>
                  <w:r>
                    <w:rPr>
                      <w:color w:val="EE0000"/>
                      <w:sz w:val="18"/>
                      <w:szCs w:val="18"/>
                      <w:u w:val="single"/>
                    </w:rPr>
                    <w:t>石灰粉出入仓粉尘</w:t>
                  </w:r>
                </w:p>
              </w:tc>
              <w:tc>
                <w:tcPr>
                  <w:tcW w:w="401" w:type="pct"/>
                  <w:vAlign w:val="center"/>
                </w:tcPr>
                <w:p w14:paraId="0C9B9C6C">
                  <w:pPr>
                    <w:jc w:val="center"/>
                    <w:rPr>
                      <w:color w:val="EE0000"/>
                      <w:sz w:val="18"/>
                      <w:szCs w:val="18"/>
                      <w:u w:val="single"/>
                    </w:rPr>
                  </w:pPr>
                  <w:r>
                    <w:rPr>
                      <w:color w:val="EE0000"/>
                      <w:sz w:val="18"/>
                      <w:szCs w:val="18"/>
                      <w:u w:val="single"/>
                    </w:rPr>
                    <w:t>1500</w:t>
                  </w:r>
                </w:p>
              </w:tc>
              <w:tc>
                <w:tcPr>
                  <w:tcW w:w="474" w:type="pct"/>
                  <w:vAlign w:val="center"/>
                </w:tcPr>
                <w:p w14:paraId="48CCA257">
                  <w:pPr>
                    <w:jc w:val="center"/>
                    <w:rPr>
                      <w:color w:val="EE0000"/>
                      <w:sz w:val="18"/>
                      <w:szCs w:val="18"/>
                      <w:u w:val="single"/>
                    </w:rPr>
                  </w:pPr>
                  <w:r>
                    <w:rPr>
                      <w:color w:val="EE0000"/>
                      <w:sz w:val="18"/>
                      <w:szCs w:val="18"/>
                      <w:u w:val="single"/>
                    </w:rPr>
                    <w:t>0.11</w:t>
                  </w:r>
                </w:p>
              </w:tc>
              <w:tc>
                <w:tcPr>
                  <w:tcW w:w="557" w:type="pct"/>
                  <w:vAlign w:val="center"/>
                </w:tcPr>
                <w:p w14:paraId="6D7CCBE7">
                  <w:pPr>
                    <w:jc w:val="center"/>
                    <w:rPr>
                      <w:color w:val="EE0000"/>
                      <w:sz w:val="18"/>
                      <w:szCs w:val="18"/>
                      <w:u w:val="single"/>
                    </w:rPr>
                  </w:pPr>
                  <w:r>
                    <w:rPr>
                      <w:color w:val="EE0000"/>
                      <w:sz w:val="18"/>
                      <w:szCs w:val="18"/>
                      <w:u w:val="single"/>
                    </w:rPr>
                    <w:t>0.5</w:t>
                  </w:r>
                </w:p>
              </w:tc>
              <w:tc>
                <w:tcPr>
                  <w:tcW w:w="516" w:type="pct"/>
                  <w:vAlign w:val="center"/>
                </w:tcPr>
                <w:p w14:paraId="67A75720">
                  <w:pPr>
                    <w:jc w:val="center"/>
                    <w:rPr>
                      <w:color w:val="EE0000"/>
                      <w:sz w:val="18"/>
                      <w:szCs w:val="18"/>
                      <w:u w:val="single"/>
                    </w:rPr>
                  </w:pPr>
                  <w:r>
                    <w:rPr>
                      <w:color w:val="EE0000"/>
                      <w:sz w:val="18"/>
                      <w:szCs w:val="18"/>
                      <w:u w:val="single"/>
                    </w:rPr>
                    <w:t>333.3</w:t>
                  </w:r>
                </w:p>
              </w:tc>
              <w:tc>
                <w:tcPr>
                  <w:tcW w:w="511" w:type="pct"/>
                  <w:vAlign w:val="center"/>
                </w:tcPr>
                <w:p w14:paraId="19C64A5B">
                  <w:pPr>
                    <w:jc w:val="center"/>
                    <w:rPr>
                      <w:color w:val="EE0000"/>
                      <w:sz w:val="18"/>
                      <w:szCs w:val="18"/>
                      <w:u w:val="single"/>
                    </w:rPr>
                  </w:pPr>
                  <w:r>
                    <w:rPr>
                      <w:color w:val="EE0000"/>
                      <w:sz w:val="18"/>
                      <w:szCs w:val="18"/>
                      <w:u w:val="single"/>
                    </w:rPr>
                    <w:t>1座仓顶除尘器</w:t>
                  </w:r>
                </w:p>
              </w:tc>
              <w:tc>
                <w:tcPr>
                  <w:tcW w:w="473" w:type="pct"/>
                  <w:vAlign w:val="center"/>
                </w:tcPr>
                <w:p w14:paraId="671F55D4">
                  <w:pPr>
                    <w:jc w:val="center"/>
                    <w:rPr>
                      <w:color w:val="EE0000"/>
                      <w:sz w:val="18"/>
                      <w:szCs w:val="18"/>
                      <w:u w:val="single"/>
                    </w:rPr>
                  </w:pPr>
                  <w:r>
                    <w:rPr>
                      <w:color w:val="EE0000"/>
                      <w:sz w:val="18"/>
                      <w:szCs w:val="18"/>
                      <w:u w:val="single"/>
                    </w:rPr>
                    <w:t>0.0022</w:t>
                  </w:r>
                </w:p>
              </w:tc>
              <w:tc>
                <w:tcPr>
                  <w:tcW w:w="611" w:type="pct"/>
                  <w:vAlign w:val="center"/>
                </w:tcPr>
                <w:p w14:paraId="382C9EE0">
                  <w:pPr>
                    <w:jc w:val="center"/>
                    <w:rPr>
                      <w:color w:val="EE0000"/>
                      <w:sz w:val="18"/>
                      <w:szCs w:val="18"/>
                      <w:u w:val="single"/>
                    </w:rPr>
                  </w:pPr>
                  <w:r>
                    <w:rPr>
                      <w:color w:val="EE0000"/>
                      <w:sz w:val="18"/>
                      <w:szCs w:val="18"/>
                      <w:u w:val="single"/>
                    </w:rPr>
                    <w:t>0.01</w:t>
                  </w:r>
                </w:p>
              </w:tc>
              <w:tc>
                <w:tcPr>
                  <w:tcW w:w="519" w:type="pct"/>
                  <w:vAlign w:val="center"/>
                </w:tcPr>
                <w:p w14:paraId="22D7D0B1">
                  <w:pPr>
                    <w:jc w:val="center"/>
                    <w:rPr>
                      <w:color w:val="EE0000"/>
                      <w:sz w:val="18"/>
                      <w:szCs w:val="18"/>
                      <w:u w:val="single"/>
                    </w:rPr>
                  </w:pPr>
                  <w:r>
                    <w:rPr>
                      <w:color w:val="EE0000"/>
                      <w:sz w:val="18"/>
                      <w:szCs w:val="18"/>
                      <w:u w:val="single"/>
                    </w:rPr>
                    <w:t>6.67</w:t>
                  </w:r>
                </w:p>
              </w:tc>
            </w:tr>
            <w:tr w14:paraId="23AD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8" w:type="pct"/>
                  <w:gridSpan w:val="2"/>
                  <w:vAlign w:val="center"/>
                </w:tcPr>
                <w:p w14:paraId="2DD986D3">
                  <w:pPr>
                    <w:jc w:val="center"/>
                    <w:rPr>
                      <w:color w:val="EE0000"/>
                      <w:sz w:val="18"/>
                      <w:szCs w:val="18"/>
                      <w:u w:val="single"/>
                    </w:rPr>
                  </w:pPr>
                  <w:r>
                    <w:rPr>
                      <w:color w:val="EE0000"/>
                      <w:sz w:val="18"/>
                      <w:szCs w:val="18"/>
                      <w:u w:val="single"/>
                    </w:rPr>
                    <w:t>/</w:t>
                  </w:r>
                </w:p>
              </w:tc>
              <w:tc>
                <w:tcPr>
                  <w:tcW w:w="4062" w:type="pct"/>
                  <w:gridSpan w:val="8"/>
                  <w:vAlign w:val="center"/>
                </w:tcPr>
                <w:p w14:paraId="0D161842">
                  <w:pPr>
                    <w:jc w:val="center"/>
                    <w:rPr>
                      <w:color w:val="EE0000"/>
                      <w:sz w:val="18"/>
                      <w:szCs w:val="18"/>
                      <w:u w:val="single"/>
                    </w:rPr>
                  </w:pPr>
                  <w:r>
                    <w:rPr>
                      <w:color w:val="EE0000"/>
                      <w:sz w:val="18"/>
                      <w:szCs w:val="18"/>
                      <w:u w:val="single"/>
                    </w:rPr>
                    <w:t>无组织废气</w:t>
                  </w:r>
                </w:p>
              </w:tc>
            </w:tr>
            <w:tr w14:paraId="48AF2BFC">
              <w:tblPrEx>
                <w:tblCellMar>
                  <w:top w:w="0" w:type="dxa"/>
                  <w:left w:w="108" w:type="dxa"/>
                  <w:bottom w:w="0" w:type="dxa"/>
                  <w:right w:w="108" w:type="dxa"/>
                </w:tblCellMar>
              </w:tblPrEx>
              <w:trPr>
                <w:trHeight w:val="501" w:hRule="atLeast"/>
              </w:trPr>
              <w:tc>
                <w:tcPr>
                  <w:tcW w:w="424" w:type="pct"/>
                  <w:vAlign w:val="center"/>
                </w:tcPr>
                <w:p w14:paraId="4C633494">
                  <w:pPr>
                    <w:jc w:val="center"/>
                    <w:rPr>
                      <w:color w:val="EE0000"/>
                      <w:sz w:val="18"/>
                      <w:szCs w:val="18"/>
                      <w:u w:val="single"/>
                    </w:rPr>
                  </w:pPr>
                  <w:r>
                    <w:rPr>
                      <w:color w:val="EE0000"/>
                      <w:sz w:val="18"/>
                      <w:szCs w:val="18"/>
                      <w:u w:val="single"/>
                    </w:rPr>
                    <w:t>原料制备</w:t>
                  </w:r>
                </w:p>
              </w:tc>
              <w:tc>
                <w:tcPr>
                  <w:tcW w:w="514" w:type="pct"/>
                  <w:vAlign w:val="center"/>
                </w:tcPr>
                <w:p w14:paraId="14E4E58A">
                  <w:pPr>
                    <w:jc w:val="center"/>
                    <w:rPr>
                      <w:color w:val="EE0000"/>
                      <w:sz w:val="18"/>
                      <w:szCs w:val="18"/>
                      <w:u w:val="single"/>
                    </w:rPr>
                  </w:pPr>
                  <w:r>
                    <w:rPr>
                      <w:color w:val="EE0000"/>
                      <w:sz w:val="18"/>
                      <w:szCs w:val="18"/>
                      <w:u w:val="single"/>
                    </w:rPr>
                    <w:t>颗粒物</w:t>
                  </w:r>
                </w:p>
              </w:tc>
              <w:tc>
                <w:tcPr>
                  <w:tcW w:w="401" w:type="pct"/>
                  <w:vAlign w:val="center"/>
                </w:tcPr>
                <w:p w14:paraId="2C469575">
                  <w:pPr>
                    <w:jc w:val="center"/>
                    <w:rPr>
                      <w:color w:val="EE0000"/>
                      <w:sz w:val="18"/>
                      <w:szCs w:val="18"/>
                      <w:u w:val="single"/>
                    </w:rPr>
                  </w:pPr>
                  <w:r>
                    <w:rPr>
                      <w:color w:val="EE0000"/>
                      <w:sz w:val="18"/>
                      <w:szCs w:val="18"/>
                      <w:u w:val="single"/>
                    </w:rPr>
                    <w:t>/</w:t>
                  </w:r>
                </w:p>
              </w:tc>
              <w:tc>
                <w:tcPr>
                  <w:tcW w:w="474" w:type="pct"/>
                  <w:vAlign w:val="center"/>
                </w:tcPr>
                <w:p w14:paraId="2AE0776E">
                  <w:pPr>
                    <w:jc w:val="center"/>
                    <w:rPr>
                      <w:color w:val="EE0000"/>
                      <w:sz w:val="18"/>
                      <w:szCs w:val="18"/>
                      <w:u w:val="single"/>
                    </w:rPr>
                  </w:pPr>
                  <w:r>
                    <w:rPr>
                      <w:color w:val="EE0000"/>
                      <w:sz w:val="18"/>
                      <w:szCs w:val="18"/>
                      <w:u w:val="single"/>
                    </w:rPr>
                    <w:t>2.29</w:t>
                  </w:r>
                </w:p>
              </w:tc>
              <w:tc>
                <w:tcPr>
                  <w:tcW w:w="557" w:type="pct"/>
                  <w:vAlign w:val="center"/>
                </w:tcPr>
                <w:p w14:paraId="00528D35">
                  <w:pPr>
                    <w:jc w:val="center"/>
                    <w:rPr>
                      <w:color w:val="EE0000"/>
                      <w:sz w:val="18"/>
                      <w:szCs w:val="18"/>
                      <w:u w:val="single"/>
                    </w:rPr>
                  </w:pPr>
                  <w:r>
                    <w:rPr>
                      <w:color w:val="EE0000"/>
                      <w:sz w:val="18"/>
                      <w:szCs w:val="18"/>
                      <w:u w:val="single"/>
                    </w:rPr>
                    <w:t>0.43</w:t>
                  </w:r>
                </w:p>
              </w:tc>
              <w:tc>
                <w:tcPr>
                  <w:tcW w:w="516" w:type="pct"/>
                  <w:vAlign w:val="center"/>
                </w:tcPr>
                <w:p w14:paraId="79FFE059">
                  <w:pPr>
                    <w:jc w:val="center"/>
                    <w:rPr>
                      <w:color w:val="EE0000"/>
                      <w:sz w:val="18"/>
                      <w:szCs w:val="18"/>
                      <w:u w:val="single"/>
                    </w:rPr>
                  </w:pPr>
                  <w:r>
                    <w:rPr>
                      <w:color w:val="EE0000"/>
                      <w:sz w:val="18"/>
                      <w:szCs w:val="18"/>
                      <w:u w:val="single"/>
                    </w:rPr>
                    <w:t>/</w:t>
                  </w:r>
                </w:p>
              </w:tc>
              <w:tc>
                <w:tcPr>
                  <w:tcW w:w="511" w:type="pct"/>
                  <w:vAlign w:val="center"/>
                </w:tcPr>
                <w:p w14:paraId="684EBC14">
                  <w:pPr>
                    <w:jc w:val="center"/>
                    <w:rPr>
                      <w:color w:val="EE0000"/>
                      <w:sz w:val="18"/>
                      <w:szCs w:val="18"/>
                      <w:u w:val="single"/>
                    </w:rPr>
                  </w:pPr>
                  <w:r>
                    <w:rPr>
                      <w:color w:val="EE0000"/>
                      <w:sz w:val="18"/>
                      <w:szCs w:val="18"/>
                      <w:u w:val="single"/>
                    </w:rPr>
                    <w:t>车间封闭+雾化喷淋装置</w:t>
                  </w:r>
                </w:p>
              </w:tc>
              <w:tc>
                <w:tcPr>
                  <w:tcW w:w="473" w:type="pct"/>
                  <w:vAlign w:val="center"/>
                </w:tcPr>
                <w:p w14:paraId="2F923C55">
                  <w:pPr>
                    <w:jc w:val="center"/>
                    <w:rPr>
                      <w:color w:val="EE0000"/>
                      <w:sz w:val="18"/>
                      <w:szCs w:val="18"/>
                      <w:u w:val="single"/>
                    </w:rPr>
                  </w:pPr>
                  <w:r>
                    <w:rPr>
                      <w:color w:val="EE0000"/>
                      <w:sz w:val="18"/>
                      <w:szCs w:val="18"/>
                      <w:u w:val="single"/>
                    </w:rPr>
                    <w:t>0.23</w:t>
                  </w:r>
                </w:p>
              </w:tc>
              <w:tc>
                <w:tcPr>
                  <w:tcW w:w="611" w:type="pct"/>
                  <w:vAlign w:val="center"/>
                </w:tcPr>
                <w:p w14:paraId="18216664">
                  <w:pPr>
                    <w:jc w:val="center"/>
                    <w:rPr>
                      <w:color w:val="EE0000"/>
                      <w:sz w:val="18"/>
                      <w:szCs w:val="18"/>
                      <w:u w:val="single"/>
                    </w:rPr>
                  </w:pPr>
                  <w:r>
                    <w:rPr>
                      <w:color w:val="EE0000"/>
                      <w:sz w:val="18"/>
                      <w:szCs w:val="18"/>
                      <w:u w:val="single"/>
                    </w:rPr>
                    <w:t>0.043</w:t>
                  </w:r>
                </w:p>
              </w:tc>
              <w:tc>
                <w:tcPr>
                  <w:tcW w:w="519" w:type="pct"/>
                  <w:vAlign w:val="center"/>
                </w:tcPr>
                <w:p w14:paraId="5461D82D">
                  <w:pPr>
                    <w:jc w:val="center"/>
                    <w:rPr>
                      <w:color w:val="EE0000"/>
                      <w:sz w:val="18"/>
                      <w:szCs w:val="18"/>
                      <w:u w:val="single"/>
                    </w:rPr>
                  </w:pPr>
                  <w:r>
                    <w:rPr>
                      <w:color w:val="EE0000"/>
                      <w:sz w:val="18"/>
                      <w:szCs w:val="18"/>
                      <w:u w:val="single"/>
                    </w:rPr>
                    <w:t>/</w:t>
                  </w:r>
                </w:p>
              </w:tc>
            </w:tr>
            <w:tr w14:paraId="083E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24" w:type="pct"/>
                  <w:vAlign w:val="center"/>
                </w:tcPr>
                <w:p w14:paraId="03374322">
                  <w:pPr>
                    <w:jc w:val="center"/>
                    <w:rPr>
                      <w:color w:val="EE0000"/>
                      <w:sz w:val="18"/>
                      <w:szCs w:val="18"/>
                      <w:u w:val="single"/>
                    </w:rPr>
                  </w:pPr>
                  <w:r>
                    <w:rPr>
                      <w:color w:val="EE0000"/>
                      <w:sz w:val="18"/>
                      <w:szCs w:val="18"/>
                      <w:u w:val="single"/>
                    </w:rPr>
                    <w:t>窑车清理</w:t>
                  </w:r>
                </w:p>
              </w:tc>
              <w:tc>
                <w:tcPr>
                  <w:tcW w:w="514" w:type="pct"/>
                  <w:vAlign w:val="center"/>
                </w:tcPr>
                <w:p w14:paraId="7A1727FE">
                  <w:pPr>
                    <w:jc w:val="center"/>
                    <w:rPr>
                      <w:color w:val="EE0000"/>
                      <w:sz w:val="18"/>
                      <w:szCs w:val="18"/>
                      <w:u w:val="single"/>
                    </w:rPr>
                  </w:pPr>
                  <w:r>
                    <w:rPr>
                      <w:color w:val="EE0000"/>
                      <w:sz w:val="18"/>
                      <w:szCs w:val="18"/>
                      <w:u w:val="single"/>
                    </w:rPr>
                    <w:t>颗粒物</w:t>
                  </w:r>
                </w:p>
              </w:tc>
              <w:tc>
                <w:tcPr>
                  <w:tcW w:w="401" w:type="pct"/>
                  <w:vAlign w:val="center"/>
                </w:tcPr>
                <w:p w14:paraId="656647C4">
                  <w:pPr>
                    <w:jc w:val="center"/>
                    <w:rPr>
                      <w:color w:val="EE0000"/>
                      <w:sz w:val="18"/>
                      <w:szCs w:val="18"/>
                      <w:u w:val="single"/>
                    </w:rPr>
                  </w:pPr>
                  <w:r>
                    <w:rPr>
                      <w:color w:val="EE0000"/>
                      <w:sz w:val="18"/>
                      <w:szCs w:val="18"/>
                      <w:u w:val="single"/>
                    </w:rPr>
                    <w:t>/</w:t>
                  </w:r>
                </w:p>
              </w:tc>
              <w:tc>
                <w:tcPr>
                  <w:tcW w:w="474" w:type="pct"/>
                  <w:vAlign w:val="center"/>
                </w:tcPr>
                <w:p w14:paraId="1FDC0ACA">
                  <w:pPr>
                    <w:jc w:val="center"/>
                    <w:rPr>
                      <w:color w:val="EE0000"/>
                      <w:sz w:val="18"/>
                      <w:szCs w:val="18"/>
                      <w:u w:val="single"/>
                    </w:rPr>
                  </w:pPr>
                  <w:r>
                    <w:rPr>
                      <w:color w:val="EE0000"/>
                      <w:sz w:val="18"/>
                      <w:szCs w:val="18"/>
                      <w:u w:val="single"/>
                    </w:rPr>
                    <w:t>0.81</w:t>
                  </w:r>
                </w:p>
              </w:tc>
              <w:tc>
                <w:tcPr>
                  <w:tcW w:w="557" w:type="pct"/>
                  <w:vAlign w:val="center"/>
                </w:tcPr>
                <w:p w14:paraId="5796A007">
                  <w:pPr>
                    <w:jc w:val="center"/>
                    <w:rPr>
                      <w:color w:val="EE0000"/>
                      <w:sz w:val="18"/>
                      <w:szCs w:val="18"/>
                      <w:u w:val="single"/>
                    </w:rPr>
                  </w:pPr>
                  <w:r>
                    <w:rPr>
                      <w:color w:val="EE0000"/>
                      <w:sz w:val="18"/>
                      <w:szCs w:val="18"/>
                      <w:u w:val="single"/>
                    </w:rPr>
                    <w:t>0.15</w:t>
                  </w:r>
                </w:p>
              </w:tc>
              <w:tc>
                <w:tcPr>
                  <w:tcW w:w="516" w:type="pct"/>
                  <w:vAlign w:val="center"/>
                </w:tcPr>
                <w:p w14:paraId="488612AC">
                  <w:pPr>
                    <w:jc w:val="center"/>
                    <w:rPr>
                      <w:color w:val="EE0000"/>
                      <w:sz w:val="18"/>
                      <w:szCs w:val="18"/>
                      <w:u w:val="single"/>
                    </w:rPr>
                  </w:pPr>
                  <w:r>
                    <w:rPr>
                      <w:color w:val="EE0000"/>
                      <w:sz w:val="18"/>
                      <w:szCs w:val="18"/>
                      <w:u w:val="single"/>
                    </w:rPr>
                    <w:t>/</w:t>
                  </w:r>
                </w:p>
              </w:tc>
              <w:tc>
                <w:tcPr>
                  <w:tcW w:w="511" w:type="pct"/>
                  <w:vAlign w:val="center"/>
                </w:tcPr>
                <w:p w14:paraId="5A871A10">
                  <w:pPr>
                    <w:jc w:val="center"/>
                    <w:rPr>
                      <w:color w:val="EE0000"/>
                      <w:sz w:val="18"/>
                      <w:szCs w:val="18"/>
                      <w:u w:val="single"/>
                    </w:rPr>
                  </w:pPr>
                  <w:r>
                    <w:rPr>
                      <w:color w:val="EE0000"/>
                      <w:sz w:val="18"/>
                      <w:szCs w:val="18"/>
                      <w:u w:val="single"/>
                    </w:rPr>
                    <w:t>/</w:t>
                  </w:r>
                </w:p>
              </w:tc>
              <w:tc>
                <w:tcPr>
                  <w:tcW w:w="473" w:type="pct"/>
                  <w:vAlign w:val="center"/>
                </w:tcPr>
                <w:p w14:paraId="0BFFBFE4">
                  <w:pPr>
                    <w:jc w:val="center"/>
                    <w:rPr>
                      <w:color w:val="EE0000"/>
                      <w:sz w:val="18"/>
                      <w:szCs w:val="18"/>
                      <w:u w:val="single"/>
                    </w:rPr>
                  </w:pPr>
                  <w:r>
                    <w:rPr>
                      <w:color w:val="EE0000"/>
                      <w:sz w:val="18"/>
                      <w:szCs w:val="18"/>
                      <w:u w:val="single"/>
                    </w:rPr>
                    <w:t>0.81</w:t>
                  </w:r>
                </w:p>
              </w:tc>
              <w:tc>
                <w:tcPr>
                  <w:tcW w:w="611" w:type="pct"/>
                  <w:vAlign w:val="center"/>
                </w:tcPr>
                <w:p w14:paraId="6D714CC4">
                  <w:pPr>
                    <w:jc w:val="center"/>
                    <w:rPr>
                      <w:color w:val="EE0000"/>
                      <w:sz w:val="18"/>
                      <w:szCs w:val="18"/>
                      <w:u w:val="single"/>
                    </w:rPr>
                  </w:pPr>
                  <w:r>
                    <w:rPr>
                      <w:color w:val="EE0000"/>
                      <w:sz w:val="18"/>
                      <w:szCs w:val="18"/>
                      <w:u w:val="single"/>
                    </w:rPr>
                    <w:t>0.15</w:t>
                  </w:r>
                </w:p>
              </w:tc>
              <w:tc>
                <w:tcPr>
                  <w:tcW w:w="519" w:type="pct"/>
                  <w:vAlign w:val="center"/>
                </w:tcPr>
                <w:p w14:paraId="2E9AEB39">
                  <w:pPr>
                    <w:jc w:val="center"/>
                    <w:rPr>
                      <w:color w:val="EE0000"/>
                      <w:sz w:val="18"/>
                      <w:szCs w:val="18"/>
                      <w:u w:val="single"/>
                    </w:rPr>
                  </w:pPr>
                  <w:r>
                    <w:rPr>
                      <w:color w:val="EE0000"/>
                      <w:sz w:val="18"/>
                      <w:szCs w:val="18"/>
                      <w:u w:val="single"/>
                    </w:rPr>
                    <w:t>/</w:t>
                  </w:r>
                </w:p>
              </w:tc>
            </w:tr>
            <w:tr w14:paraId="354B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24" w:type="pct"/>
                  <w:vMerge w:val="restart"/>
                  <w:vAlign w:val="center"/>
                </w:tcPr>
                <w:p w14:paraId="68514104">
                  <w:pPr>
                    <w:jc w:val="center"/>
                    <w:rPr>
                      <w:color w:val="EE0000"/>
                      <w:sz w:val="18"/>
                      <w:szCs w:val="18"/>
                      <w:u w:val="single"/>
                    </w:rPr>
                  </w:pPr>
                  <w:r>
                    <w:rPr>
                      <w:color w:val="EE0000"/>
                      <w:sz w:val="18"/>
                      <w:szCs w:val="18"/>
                      <w:u w:val="single"/>
                    </w:rPr>
                    <w:t>污泥储存</w:t>
                  </w:r>
                </w:p>
              </w:tc>
              <w:tc>
                <w:tcPr>
                  <w:tcW w:w="514" w:type="pct"/>
                  <w:vAlign w:val="center"/>
                </w:tcPr>
                <w:p w14:paraId="103822BA">
                  <w:pPr>
                    <w:jc w:val="center"/>
                    <w:rPr>
                      <w:color w:val="EE0000"/>
                      <w:sz w:val="18"/>
                      <w:szCs w:val="18"/>
                      <w:u w:val="single"/>
                    </w:rPr>
                  </w:pPr>
                  <w:r>
                    <w:rPr>
                      <w:color w:val="EE0000"/>
                      <w:sz w:val="18"/>
                      <w:szCs w:val="18"/>
                      <w:u w:val="single"/>
                    </w:rPr>
                    <w:t>氨气</w:t>
                  </w:r>
                </w:p>
              </w:tc>
              <w:tc>
                <w:tcPr>
                  <w:tcW w:w="401" w:type="pct"/>
                  <w:vAlign w:val="center"/>
                </w:tcPr>
                <w:p w14:paraId="5498FF1A">
                  <w:pPr>
                    <w:jc w:val="center"/>
                    <w:rPr>
                      <w:color w:val="EE0000"/>
                      <w:sz w:val="18"/>
                      <w:szCs w:val="18"/>
                      <w:u w:val="single"/>
                    </w:rPr>
                  </w:pPr>
                  <w:r>
                    <w:rPr>
                      <w:color w:val="EE0000"/>
                      <w:sz w:val="18"/>
                      <w:szCs w:val="18"/>
                      <w:u w:val="single"/>
                    </w:rPr>
                    <w:t>/</w:t>
                  </w:r>
                </w:p>
              </w:tc>
              <w:tc>
                <w:tcPr>
                  <w:tcW w:w="474" w:type="pct"/>
                  <w:vAlign w:val="center"/>
                </w:tcPr>
                <w:p w14:paraId="0C7F77DE">
                  <w:pPr>
                    <w:jc w:val="center"/>
                    <w:rPr>
                      <w:color w:val="EE0000"/>
                      <w:spacing w:val="-10"/>
                      <w:sz w:val="18"/>
                      <w:szCs w:val="18"/>
                      <w:u w:val="single"/>
                    </w:rPr>
                  </w:pPr>
                  <w:r>
                    <w:rPr>
                      <w:color w:val="EE0000"/>
                      <w:sz w:val="18"/>
                      <w:szCs w:val="18"/>
                      <w:u w:val="single"/>
                    </w:rPr>
                    <w:t>0.013</w:t>
                  </w:r>
                </w:p>
              </w:tc>
              <w:tc>
                <w:tcPr>
                  <w:tcW w:w="557" w:type="pct"/>
                  <w:vAlign w:val="center"/>
                </w:tcPr>
                <w:p w14:paraId="112636F3">
                  <w:pPr>
                    <w:jc w:val="center"/>
                    <w:rPr>
                      <w:spacing w:val="-10"/>
                      <w:sz w:val="18"/>
                      <w:szCs w:val="18"/>
                    </w:rPr>
                  </w:pPr>
                  <w:r>
                    <w:rPr>
                      <w:color w:val="EE0000"/>
                      <w:sz w:val="18"/>
                      <w:szCs w:val="18"/>
                      <w:u w:val="single"/>
                    </w:rPr>
                    <w:t>0.0016</w:t>
                  </w:r>
                </w:p>
              </w:tc>
              <w:tc>
                <w:tcPr>
                  <w:tcW w:w="516" w:type="pct"/>
                  <w:vAlign w:val="center"/>
                </w:tcPr>
                <w:p w14:paraId="0216BDB5">
                  <w:pPr>
                    <w:jc w:val="center"/>
                    <w:rPr>
                      <w:color w:val="EE0000"/>
                      <w:spacing w:val="-10"/>
                      <w:sz w:val="18"/>
                      <w:szCs w:val="18"/>
                      <w:u w:val="single"/>
                    </w:rPr>
                  </w:pPr>
                  <w:r>
                    <w:rPr>
                      <w:color w:val="EE0000"/>
                      <w:spacing w:val="-10"/>
                      <w:sz w:val="18"/>
                      <w:szCs w:val="18"/>
                      <w:u w:val="single"/>
                    </w:rPr>
                    <w:t>/</w:t>
                  </w:r>
                </w:p>
              </w:tc>
              <w:tc>
                <w:tcPr>
                  <w:tcW w:w="511" w:type="pct"/>
                  <w:vAlign w:val="center"/>
                </w:tcPr>
                <w:p w14:paraId="3D78696C">
                  <w:pPr>
                    <w:jc w:val="center"/>
                    <w:rPr>
                      <w:color w:val="EE0000"/>
                      <w:spacing w:val="-10"/>
                      <w:sz w:val="18"/>
                      <w:szCs w:val="18"/>
                      <w:u w:val="single"/>
                    </w:rPr>
                  </w:pPr>
                  <w:r>
                    <w:rPr>
                      <w:color w:val="EE0000"/>
                      <w:spacing w:val="-10"/>
                      <w:sz w:val="18"/>
                      <w:szCs w:val="18"/>
                      <w:u w:val="single"/>
                    </w:rPr>
                    <w:t>/</w:t>
                  </w:r>
                </w:p>
              </w:tc>
              <w:tc>
                <w:tcPr>
                  <w:tcW w:w="473" w:type="pct"/>
                  <w:vAlign w:val="center"/>
                </w:tcPr>
                <w:p w14:paraId="4F713591">
                  <w:pPr>
                    <w:jc w:val="center"/>
                    <w:rPr>
                      <w:color w:val="EE0000"/>
                      <w:spacing w:val="-10"/>
                      <w:sz w:val="18"/>
                      <w:szCs w:val="18"/>
                      <w:u w:val="single"/>
                    </w:rPr>
                  </w:pPr>
                  <w:r>
                    <w:rPr>
                      <w:color w:val="EE0000"/>
                      <w:sz w:val="18"/>
                      <w:szCs w:val="18"/>
                      <w:u w:val="single"/>
                    </w:rPr>
                    <w:t>0.013</w:t>
                  </w:r>
                </w:p>
              </w:tc>
              <w:tc>
                <w:tcPr>
                  <w:tcW w:w="611" w:type="pct"/>
                  <w:vAlign w:val="center"/>
                </w:tcPr>
                <w:p w14:paraId="4520EAA5">
                  <w:pPr>
                    <w:jc w:val="center"/>
                    <w:rPr>
                      <w:color w:val="EE0000"/>
                      <w:spacing w:val="-10"/>
                      <w:sz w:val="18"/>
                      <w:szCs w:val="18"/>
                      <w:u w:val="single"/>
                    </w:rPr>
                  </w:pPr>
                  <w:r>
                    <w:rPr>
                      <w:color w:val="EE0000"/>
                      <w:sz w:val="18"/>
                      <w:szCs w:val="18"/>
                      <w:u w:val="single"/>
                    </w:rPr>
                    <w:t>0.0016</w:t>
                  </w:r>
                </w:p>
              </w:tc>
              <w:tc>
                <w:tcPr>
                  <w:tcW w:w="519" w:type="pct"/>
                  <w:vAlign w:val="center"/>
                </w:tcPr>
                <w:p w14:paraId="1AD69628">
                  <w:pPr>
                    <w:jc w:val="center"/>
                    <w:rPr>
                      <w:color w:val="EE0000"/>
                      <w:sz w:val="18"/>
                      <w:szCs w:val="18"/>
                      <w:u w:val="single"/>
                    </w:rPr>
                  </w:pPr>
                  <w:r>
                    <w:rPr>
                      <w:color w:val="EE0000"/>
                      <w:sz w:val="18"/>
                      <w:szCs w:val="18"/>
                      <w:u w:val="single"/>
                    </w:rPr>
                    <w:t>/</w:t>
                  </w:r>
                </w:p>
              </w:tc>
            </w:tr>
            <w:tr w14:paraId="666A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4" w:type="pct"/>
                  <w:vMerge w:val="continue"/>
                  <w:vAlign w:val="center"/>
                </w:tcPr>
                <w:p w14:paraId="247CE05C">
                  <w:pPr>
                    <w:jc w:val="center"/>
                    <w:rPr>
                      <w:color w:val="EE0000"/>
                      <w:sz w:val="18"/>
                      <w:szCs w:val="18"/>
                      <w:u w:val="single"/>
                    </w:rPr>
                  </w:pPr>
                </w:p>
              </w:tc>
              <w:tc>
                <w:tcPr>
                  <w:tcW w:w="514" w:type="pct"/>
                  <w:vAlign w:val="center"/>
                </w:tcPr>
                <w:p w14:paraId="65B7F985">
                  <w:pPr>
                    <w:jc w:val="center"/>
                    <w:rPr>
                      <w:color w:val="EE0000"/>
                      <w:sz w:val="18"/>
                      <w:szCs w:val="18"/>
                      <w:u w:val="single"/>
                    </w:rPr>
                  </w:pPr>
                  <w:r>
                    <w:rPr>
                      <w:color w:val="EE0000"/>
                      <w:sz w:val="18"/>
                      <w:szCs w:val="18"/>
                      <w:u w:val="single"/>
                    </w:rPr>
                    <w:t>硫化氢</w:t>
                  </w:r>
                </w:p>
              </w:tc>
              <w:tc>
                <w:tcPr>
                  <w:tcW w:w="401" w:type="pct"/>
                  <w:vAlign w:val="center"/>
                </w:tcPr>
                <w:p w14:paraId="5DEC43D3">
                  <w:pPr>
                    <w:jc w:val="center"/>
                    <w:rPr>
                      <w:color w:val="EE0000"/>
                      <w:sz w:val="18"/>
                      <w:szCs w:val="18"/>
                      <w:u w:val="single"/>
                    </w:rPr>
                  </w:pPr>
                  <w:r>
                    <w:rPr>
                      <w:color w:val="EE0000"/>
                      <w:sz w:val="18"/>
                      <w:szCs w:val="18"/>
                      <w:u w:val="single"/>
                    </w:rPr>
                    <w:t>/</w:t>
                  </w:r>
                </w:p>
              </w:tc>
              <w:tc>
                <w:tcPr>
                  <w:tcW w:w="474" w:type="pct"/>
                  <w:vAlign w:val="center"/>
                </w:tcPr>
                <w:p w14:paraId="4BF2CDB1">
                  <w:pPr>
                    <w:jc w:val="center"/>
                    <w:rPr>
                      <w:color w:val="EE0000"/>
                      <w:spacing w:val="-10"/>
                      <w:sz w:val="18"/>
                      <w:szCs w:val="18"/>
                      <w:u w:val="single"/>
                    </w:rPr>
                  </w:pPr>
                  <w:r>
                    <w:rPr>
                      <w:color w:val="EE0000"/>
                      <w:sz w:val="18"/>
                      <w:szCs w:val="18"/>
                      <w:u w:val="single"/>
                    </w:rPr>
                    <w:t>0.0014</w:t>
                  </w:r>
                </w:p>
              </w:tc>
              <w:tc>
                <w:tcPr>
                  <w:tcW w:w="557" w:type="pct"/>
                  <w:vAlign w:val="center"/>
                </w:tcPr>
                <w:p w14:paraId="3CC9E98D">
                  <w:pPr>
                    <w:jc w:val="center"/>
                    <w:rPr>
                      <w:spacing w:val="-10"/>
                      <w:sz w:val="18"/>
                      <w:szCs w:val="18"/>
                    </w:rPr>
                  </w:pPr>
                  <w:r>
                    <w:rPr>
                      <w:color w:val="EE0000"/>
                      <w:sz w:val="18"/>
                      <w:szCs w:val="18"/>
                      <w:u w:val="single"/>
                    </w:rPr>
                    <w:t>0.00017</w:t>
                  </w:r>
                </w:p>
              </w:tc>
              <w:tc>
                <w:tcPr>
                  <w:tcW w:w="516" w:type="pct"/>
                  <w:vAlign w:val="center"/>
                </w:tcPr>
                <w:p w14:paraId="29118F6E">
                  <w:pPr>
                    <w:jc w:val="center"/>
                    <w:rPr>
                      <w:color w:val="EE0000"/>
                      <w:spacing w:val="-10"/>
                      <w:sz w:val="18"/>
                      <w:szCs w:val="18"/>
                      <w:u w:val="single"/>
                    </w:rPr>
                  </w:pPr>
                  <w:r>
                    <w:rPr>
                      <w:color w:val="EE0000"/>
                      <w:spacing w:val="-10"/>
                      <w:sz w:val="18"/>
                      <w:szCs w:val="18"/>
                      <w:u w:val="single"/>
                    </w:rPr>
                    <w:t>/</w:t>
                  </w:r>
                </w:p>
              </w:tc>
              <w:tc>
                <w:tcPr>
                  <w:tcW w:w="511" w:type="pct"/>
                  <w:vAlign w:val="center"/>
                </w:tcPr>
                <w:p w14:paraId="21B83432">
                  <w:pPr>
                    <w:jc w:val="center"/>
                    <w:rPr>
                      <w:color w:val="EE0000"/>
                      <w:spacing w:val="-10"/>
                      <w:sz w:val="18"/>
                      <w:szCs w:val="18"/>
                      <w:u w:val="single"/>
                    </w:rPr>
                  </w:pPr>
                  <w:r>
                    <w:rPr>
                      <w:color w:val="EE0000"/>
                      <w:spacing w:val="-10"/>
                      <w:sz w:val="18"/>
                      <w:szCs w:val="18"/>
                      <w:u w:val="single"/>
                    </w:rPr>
                    <w:t>/</w:t>
                  </w:r>
                </w:p>
              </w:tc>
              <w:tc>
                <w:tcPr>
                  <w:tcW w:w="473" w:type="pct"/>
                  <w:vAlign w:val="center"/>
                </w:tcPr>
                <w:p w14:paraId="32B735B6">
                  <w:pPr>
                    <w:jc w:val="center"/>
                    <w:rPr>
                      <w:color w:val="EE0000"/>
                      <w:spacing w:val="-10"/>
                      <w:sz w:val="18"/>
                      <w:szCs w:val="18"/>
                      <w:u w:val="single"/>
                    </w:rPr>
                  </w:pPr>
                  <w:r>
                    <w:rPr>
                      <w:color w:val="EE0000"/>
                      <w:sz w:val="18"/>
                      <w:szCs w:val="18"/>
                      <w:u w:val="single"/>
                    </w:rPr>
                    <w:t>0.0014</w:t>
                  </w:r>
                </w:p>
              </w:tc>
              <w:tc>
                <w:tcPr>
                  <w:tcW w:w="611" w:type="pct"/>
                  <w:vAlign w:val="center"/>
                </w:tcPr>
                <w:p w14:paraId="39944EE6">
                  <w:pPr>
                    <w:jc w:val="center"/>
                    <w:rPr>
                      <w:color w:val="EE0000"/>
                      <w:spacing w:val="-10"/>
                      <w:sz w:val="18"/>
                      <w:szCs w:val="18"/>
                      <w:u w:val="single"/>
                    </w:rPr>
                  </w:pPr>
                  <w:r>
                    <w:rPr>
                      <w:color w:val="EE0000"/>
                      <w:sz w:val="18"/>
                      <w:szCs w:val="18"/>
                      <w:u w:val="single"/>
                    </w:rPr>
                    <w:t>0.00017</w:t>
                  </w:r>
                </w:p>
              </w:tc>
              <w:tc>
                <w:tcPr>
                  <w:tcW w:w="519" w:type="pct"/>
                  <w:vAlign w:val="center"/>
                </w:tcPr>
                <w:p w14:paraId="09A3A7D9">
                  <w:pPr>
                    <w:jc w:val="center"/>
                    <w:rPr>
                      <w:color w:val="EE0000"/>
                      <w:sz w:val="18"/>
                      <w:szCs w:val="18"/>
                      <w:u w:val="single"/>
                    </w:rPr>
                  </w:pPr>
                  <w:r>
                    <w:rPr>
                      <w:color w:val="EE0000"/>
                      <w:sz w:val="18"/>
                      <w:szCs w:val="18"/>
                      <w:u w:val="single"/>
                    </w:rPr>
                    <w:t>/</w:t>
                  </w:r>
                </w:p>
              </w:tc>
            </w:tr>
            <w:tr w14:paraId="4740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24" w:type="pct"/>
                  <w:vAlign w:val="center"/>
                </w:tcPr>
                <w:p w14:paraId="2CEA0785">
                  <w:pPr>
                    <w:jc w:val="center"/>
                    <w:rPr>
                      <w:color w:val="EE0000"/>
                      <w:sz w:val="18"/>
                      <w:szCs w:val="18"/>
                      <w:u w:val="single"/>
                    </w:rPr>
                  </w:pPr>
                  <w:r>
                    <w:rPr>
                      <w:color w:val="EE0000"/>
                      <w:sz w:val="18"/>
                      <w:szCs w:val="18"/>
                      <w:u w:val="single"/>
                    </w:rPr>
                    <w:t>物料装卸</w:t>
                  </w:r>
                </w:p>
              </w:tc>
              <w:tc>
                <w:tcPr>
                  <w:tcW w:w="514" w:type="pct"/>
                  <w:vAlign w:val="center"/>
                </w:tcPr>
                <w:p w14:paraId="292F49CB">
                  <w:pPr>
                    <w:jc w:val="center"/>
                    <w:rPr>
                      <w:color w:val="EE0000"/>
                      <w:sz w:val="18"/>
                      <w:szCs w:val="18"/>
                      <w:u w:val="single"/>
                    </w:rPr>
                  </w:pPr>
                  <w:r>
                    <w:rPr>
                      <w:color w:val="EE0000"/>
                      <w:sz w:val="18"/>
                      <w:szCs w:val="18"/>
                      <w:u w:val="single"/>
                    </w:rPr>
                    <w:t>颗粒物</w:t>
                  </w:r>
                </w:p>
              </w:tc>
              <w:tc>
                <w:tcPr>
                  <w:tcW w:w="401" w:type="pct"/>
                  <w:vAlign w:val="center"/>
                </w:tcPr>
                <w:p w14:paraId="162EA75F">
                  <w:pPr>
                    <w:jc w:val="center"/>
                    <w:rPr>
                      <w:color w:val="EE0000"/>
                      <w:sz w:val="18"/>
                      <w:szCs w:val="18"/>
                      <w:u w:val="single"/>
                    </w:rPr>
                  </w:pPr>
                  <w:r>
                    <w:rPr>
                      <w:color w:val="EE0000"/>
                      <w:sz w:val="18"/>
                      <w:szCs w:val="18"/>
                      <w:u w:val="single"/>
                    </w:rPr>
                    <w:t>/</w:t>
                  </w:r>
                </w:p>
              </w:tc>
              <w:tc>
                <w:tcPr>
                  <w:tcW w:w="474" w:type="pct"/>
                  <w:vAlign w:val="center"/>
                </w:tcPr>
                <w:p w14:paraId="16D7AAF3">
                  <w:pPr>
                    <w:jc w:val="center"/>
                    <w:rPr>
                      <w:color w:val="EE0000"/>
                      <w:sz w:val="18"/>
                      <w:szCs w:val="18"/>
                      <w:u w:val="single"/>
                    </w:rPr>
                  </w:pPr>
                  <w:r>
                    <w:rPr>
                      <w:color w:val="EE0000"/>
                      <w:sz w:val="18"/>
                      <w:szCs w:val="18"/>
                      <w:u w:val="single"/>
                    </w:rPr>
                    <w:t>11.46</w:t>
                  </w:r>
                </w:p>
              </w:tc>
              <w:tc>
                <w:tcPr>
                  <w:tcW w:w="557" w:type="pct"/>
                  <w:vAlign w:val="center"/>
                </w:tcPr>
                <w:p w14:paraId="6AC5F209">
                  <w:pPr>
                    <w:jc w:val="center"/>
                    <w:rPr>
                      <w:color w:val="EE0000"/>
                      <w:sz w:val="18"/>
                      <w:szCs w:val="18"/>
                      <w:u w:val="single"/>
                    </w:rPr>
                  </w:pPr>
                  <w:r>
                    <w:rPr>
                      <w:color w:val="EE0000"/>
                      <w:sz w:val="18"/>
                      <w:szCs w:val="18"/>
                      <w:u w:val="single"/>
                    </w:rPr>
                    <w:t>2.17</w:t>
                  </w:r>
                </w:p>
              </w:tc>
              <w:tc>
                <w:tcPr>
                  <w:tcW w:w="516" w:type="pct"/>
                  <w:vAlign w:val="center"/>
                </w:tcPr>
                <w:p w14:paraId="46E3213B">
                  <w:pPr>
                    <w:jc w:val="center"/>
                    <w:rPr>
                      <w:color w:val="EE0000"/>
                      <w:sz w:val="18"/>
                      <w:szCs w:val="18"/>
                      <w:u w:val="single"/>
                    </w:rPr>
                  </w:pPr>
                  <w:r>
                    <w:rPr>
                      <w:color w:val="EE0000"/>
                      <w:sz w:val="18"/>
                      <w:szCs w:val="18"/>
                      <w:u w:val="single"/>
                    </w:rPr>
                    <w:t>/</w:t>
                  </w:r>
                </w:p>
              </w:tc>
              <w:tc>
                <w:tcPr>
                  <w:tcW w:w="511" w:type="pct"/>
                  <w:vAlign w:val="center"/>
                </w:tcPr>
                <w:p w14:paraId="127EA5E2">
                  <w:pPr>
                    <w:jc w:val="center"/>
                    <w:rPr>
                      <w:color w:val="EE0000"/>
                      <w:sz w:val="18"/>
                      <w:szCs w:val="18"/>
                      <w:u w:val="single"/>
                    </w:rPr>
                  </w:pPr>
                  <w:r>
                    <w:rPr>
                      <w:color w:val="EE0000"/>
                      <w:sz w:val="18"/>
                      <w:szCs w:val="18"/>
                      <w:u w:val="single"/>
                    </w:rPr>
                    <w:t>车间封闭+雾化喷淋装置</w:t>
                  </w:r>
                </w:p>
              </w:tc>
              <w:tc>
                <w:tcPr>
                  <w:tcW w:w="473" w:type="pct"/>
                  <w:vAlign w:val="center"/>
                </w:tcPr>
                <w:p w14:paraId="1FAE9397">
                  <w:pPr>
                    <w:jc w:val="center"/>
                    <w:rPr>
                      <w:color w:val="EE0000"/>
                      <w:sz w:val="18"/>
                      <w:szCs w:val="18"/>
                      <w:u w:val="single"/>
                    </w:rPr>
                  </w:pPr>
                  <w:r>
                    <w:rPr>
                      <w:color w:val="EE0000"/>
                      <w:sz w:val="18"/>
                      <w:szCs w:val="18"/>
                      <w:u w:val="single"/>
                    </w:rPr>
                    <w:t>0.64</w:t>
                  </w:r>
                </w:p>
              </w:tc>
              <w:tc>
                <w:tcPr>
                  <w:tcW w:w="611" w:type="pct"/>
                  <w:vAlign w:val="center"/>
                </w:tcPr>
                <w:p w14:paraId="0760BC16">
                  <w:pPr>
                    <w:jc w:val="center"/>
                    <w:rPr>
                      <w:color w:val="EE0000"/>
                      <w:sz w:val="18"/>
                      <w:szCs w:val="18"/>
                      <w:u w:val="single"/>
                    </w:rPr>
                  </w:pPr>
                  <w:r>
                    <w:rPr>
                      <w:color w:val="EE0000"/>
                      <w:sz w:val="18"/>
                      <w:szCs w:val="18"/>
                      <w:u w:val="single"/>
                    </w:rPr>
                    <w:t>0.12</w:t>
                  </w:r>
                </w:p>
              </w:tc>
              <w:tc>
                <w:tcPr>
                  <w:tcW w:w="519" w:type="pct"/>
                  <w:vAlign w:val="center"/>
                </w:tcPr>
                <w:p w14:paraId="251C3C42">
                  <w:pPr>
                    <w:jc w:val="center"/>
                    <w:rPr>
                      <w:color w:val="EE0000"/>
                      <w:sz w:val="18"/>
                      <w:szCs w:val="18"/>
                      <w:u w:val="single"/>
                    </w:rPr>
                  </w:pPr>
                  <w:r>
                    <w:rPr>
                      <w:color w:val="EE0000"/>
                      <w:sz w:val="18"/>
                      <w:szCs w:val="18"/>
                      <w:u w:val="single"/>
                    </w:rPr>
                    <w:t>/</w:t>
                  </w:r>
                </w:p>
              </w:tc>
            </w:tr>
            <w:tr w14:paraId="2BBD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24" w:type="pct"/>
                  <w:vAlign w:val="center"/>
                </w:tcPr>
                <w:p w14:paraId="11756E4B">
                  <w:pPr>
                    <w:jc w:val="center"/>
                    <w:rPr>
                      <w:color w:val="EE0000"/>
                      <w:sz w:val="18"/>
                      <w:szCs w:val="18"/>
                      <w:u w:val="single"/>
                    </w:rPr>
                  </w:pPr>
                  <w:r>
                    <w:rPr>
                      <w:color w:val="EE0000"/>
                      <w:sz w:val="18"/>
                      <w:szCs w:val="18"/>
                      <w:u w:val="single"/>
                    </w:rPr>
                    <w:t>车辆运输</w:t>
                  </w:r>
                </w:p>
              </w:tc>
              <w:tc>
                <w:tcPr>
                  <w:tcW w:w="514" w:type="pct"/>
                  <w:vAlign w:val="center"/>
                </w:tcPr>
                <w:p w14:paraId="6114DBC8">
                  <w:pPr>
                    <w:jc w:val="center"/>
                    <w:rPr>
                      <w:color w:val="EE0000"/>
                      <w:sz w:val="18"/>
                      <w:szCs w:val="18"/>
                      <w:u w:val="single"/>
                    </w:rPr>
                  </w:pPr>
                  <w:r>
                    <w:rPr>
                      <w:color w:val="EE0000"/>
                      <w:sz w:val="18"/>
                      <w:szCs w:val="18"/>
                      <w:u w:val="single"/>
                    </w:rPr>
                    <w:t>颗粒物</w:t>
                  </w:r>
                </w:p>
              </w:tc>
              <w:tc>
                <w:tcPr>
                  <w:tcW w:w="401" w:type="pct"/>
                  <w:vAlign w:val="center"/>
                </w:tcPr>
                <w:p w14:paraId="78406BC2">
                  <w:pPr>
                    <w:jc w:val="center"/>
                    <w:rPr>
                      <w:color w:val="EE0000"/>
                      <w:sz w:val="18"/>
                      <w:szCs w:val="18"/>
                      <w:u w:val="single"/>
                    </w:rPr>
                  </w:pPr>
                  <w:r>
                    <w:rPr>
                      <w:color w:val="EE0000"/>
                      <w:sz w:val="18"/>
                      <w:szCs w:val="18"/>
                      <w:u w:val="single"/>
                    </w:rPr>
                    <w:t>/</w:t>
                  </w:r>
                </w:p>
              </w:tc>
              <w:tc>
                <w:tcPr>
                  <w:tcW w:w="474" w:type="pct"/>
                  <w:vAlign w:val="center"/>
                </w:tcPr>
                <w:p w14:paraId="5A72E517">
                  <w:pPr>
                    <w:jc w:val="center"/>
                    <w:rPr>
                      <w:color w:val="EE0000"/>
                      <w:sz w:val="18"/>
                      <w:szCs w:val="18"/>
                      <w:u w:val="single"/>
                    </w:rPr>
                  </w:pPr>
                  <w:r>
                    <w:rPr>
                      <w:color w:val="EE0000"/>
                      <w:sz w:val="18"/>
                      <w:szCs w:val="18"/>
                      <w:u w:val="single"/>
                    </w:rPr>
                    <w:t>0.81</w:t>
                  </w:r>
                </w:p>
              </w:tc>
              <w:tc>
                <w:tcPr>
                  <w:tcW w:w="557" w:type="pct"/>
                  <w:vAlign w:val="center"/>
                </w:tcPr>
                <w:p w14:paraId="04CB87B0">
                  <w:pPr>
                    <w:jc w:val="center"/>
                    <w:rPr>
                      <w:color w:val="EE0000"/>
                      <w:sz w:val="18"/>
                      <w:szCs w:val="18"/>
                      <w:u w:val="single"/>
                    </w:rPr>
                  </w:pPr>
                  <w:r>
                    <w:rPr>
                      <w:color w:val="EE0000"/>
                      <w:sz w:val="18"/>
                      <w:szCs w:val="18"/>
                      <w:u w:val="single"/>
                    </w:rPr>
                    <w:t>0.15</w:t>
                  </w:r>
                </w:p>
              </w:tc>
              <w:tc>
                <w:tcPr>
                  <w:tcW w:w="516" w:type="pct"/>
                  <w:vAlign w:val="center"/>
                </w:tcPr>
                <w:p w14:paraId="0F2126BC">
                  <w:pPr>
                    <w:jc w:val="center"/>
                    <w:rPr>
                      <w:color w:val="EE0000"/>
                      <w:sz w:val="18"/>
                      <w:szCs w:val="18"/>
                      <w:u w:val="single"/>
                    </w:rPr>
                  </w:pPr>
                  <w:r>
                    <w:rPr>
                      <w:color w:val="EE0000"/>
                      <w:sz w:val="18"/>
                      <w:szCs w:val="18"/>
                      <w:u w:val="single"/>
                    </w:rPr>
                    <w:t>/</w:t>
                  </w:r>
                </w:p>
              </w:tc>
              <w:tc>
                <w:tcPr>
                  <w:tcW w:w="511" w:type="pct"/>
                  <w:vAlign w:val="center"/>
                </w:tcPr>
                <w:p w14:paraId="05D7ABD4">
                  <w:pPr>
                    <w:jc w:val="center"/>
                    <w:rPr>
                      <w:color w:val="EE0000"/>
                      <w:sz w:val="18"/>
                      <w:szCs w:val="18"/>
                      <w:u w:val="single"/>
                    </w:rPr>
                  </w:pPr>
                  <w:r>
                    <w:rPr>
                      <w:color w:val="EE0000"/>
                      <w:sz w:val="18"/>
                      <w:szCs w:val="18"/>
                      <w:u w:val="single"/>
                    </w:rPr>
                    <w:t>车辆冲洗装置+道路洒水抑尘</w:t>
                  </w:r>
                </w:p>
              </w:tc>
              <w:tc>
                <w:tcPr>
                  <w:tcW w:w="473" w:type="pct"/>
                  <w:vAlign w:val="center"/>
                </w:tcPr>
                <w:p w14:paraId="3DE799F7">
                  <w:pPr>
                    <w:jc w:val="center"/>
                    <w:rPr>
                      <w:color w:val="EE0000"/>
                      <w:sz w:val="18"/>
                      <w:szCs w:val="18"/>
                      <w:u w:val="single"/>
                    </w:rPr>
                  </w:pPr>
                  <w:r>
                    <w:rPr>
                      <w:color w:val="EE0000"/>
                      <w:sz w:val="18"/>
                      <w:szCs w:val="18"/>
                      <w:u w:val="single"/>
                    </w:rPr>
                    <w:t>0.16</w:t>
                  </w:r>
                </w:p>
              </w:tc>
              <w:tc>
                <w:tcPr>
                  <w:tcW w:w="611" w:type="pct"/>
                  <w:vAlign w:val="center"/>
                </w:tcPr>
                <w:p w14:paraId="790A6A2D">
                  <w:pPr>
                    <w:jc w:val="center"/>
                    <w:rPr>
                      <w:color w:val="EE0000"/>
                      <w:sz w:val="18"/>
                      <w:szCs w:val="18"/>
                      <w:u w:val="single"/>
                    </w:rPr>
                  </w:pPr>
                  <w:r>
                    <w:rPr>
                      <w:color w:val="EE0000"/>
                      <w:sz w:val="18"/>
                      <w:szCs w:val="18"/>
                      <w:u w:val="single"/>
                    </w:rPr>
                    <w:t>0.03</w:t>
                  </w:r>
                </w:p>
              </w:tc>
              <w:tc>
                <w:tcPr>
                  <w:tcW w:w="519" w:type="pct"/>
                  <w:vAlign w:val="center"/>
                </w:tcPr>
                <w:p w14:paraId="1F982B33">
                  <w:pPr>
                    <w:jc w:val="center"/>
                    <w:rPr>
                      <w:color w:val="EE0000"/>
                      <w:sz w:val="18"/>
                      <w:szCs w:val="18"/>
                      <w:u w:val="single"/>
                    </w:rPr>
                  </w:pPr>
                  <w:r>
                    <w:rPr>
                      <w:color w:val="EE0000"/>
                      <w:sz w:val="18"/>
                      <w:szCs w:val="18"/>
                      <w:u w:val="single"/>
                    </w:rPr>
                    <w:t>/</w:t>
                  </w:r>
                </w:p>
              </w:tc>
            </w:tr>
            <w:tr w14:paraId="6342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38" w:type="pct"/>
                  <w:gridSpan w:val="2"/>
                  <w:vAlign w:val="center"/>
                </w:tcPr>
                <w:p w14:paraId="31DC317C">
                  <w:pPr>
                    <w:jc w:val="center"/>
                    <w:rPr>
                      <w:sz w:val="18"/>
                      <w:szCs w:val="18"/>
                    </w:rPr>
                  </w:pPr>
                  <w:r>
                    <w:rPr>
                      <w:sz w:val="18"/>
                      <w:szCs w:val="18"/>
                    </w:rPr>
                    <w:t>/</w:t>
                  </w:r>
                </w:p>
              </w:tc>
              <w:tc>
                <w:tcPr>
                  <w:tcW w:w="4062" w:type="pct"/>
                  <w:gridSpan w:val="8"/>
                  <w:vAlign w:val="center"/>
                </w:tcPr>
                <w:p w14:paraId="67633058">
                  <w:pPr>
                    <w:jc w:val="center"/>
                    <w:rPr>
                      <w:sz w:val="18"/>
                      <w:szCs w:val="18"/>
                      <w:u w:val="single"/>
                    </w:rPr>
                  </w:pPr>
                  <w:r>
                    <w:rPr>
                      <w:color w:val="EE0000"/>
                      <w:sz w:val="18"/>
                      <w:szCs w:val="18"/>
                      <w:u w:val="single"/>
                    </w:rPr>
                    <w:t>总计</w:t>
                  </w:r>
                </w:p>
              </w:tc>
            </w:tr>
            <w:tr w14:paraId="105B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24" w:type="pct"/>
                  <w:vAlign w:val="center"/>
                </w:tcPr>
                <w:p w14:paraId="0CF675F2">
                  <w:pPr>
                    <w:jc w:val="center"/>
                    <w:rPr>
                      <w:color w:val="EE0000"/>
                      <w:sz w:val="18"/>
                      <w:szCs w:val="18"/>
                      <w:u w:val="single"/>
                    </w:rPr>
                  </w:pPr>
                  <w:r>
                    <w:rPr>
                      <w:color w:val="EE0000"/>
                      <w:sz w:val="18"/>
                      <w:szCs w:val="18"/>
                      <w:u w:val="single"/>
                    </w:rPr>
                    <w:t>1</w:t>
                  </w:r>
                </w:p>
              </w:tc>
              <w:tc>
                <w:tcPr>
                  <w:tcW w:w="514" w:type="pct"/>
                  <w:vAlign w:val="center"/>
                </w:tcPr>
                <w:p w14:paraId="66177FCE">
                  <w:pPr>
                    <w:jc w:val="center"/>
                    <w:rPr>
                      <w:color w:val="EE0000"/>
                      <w:sz w:val="18"/>
                      <w:szCs w:val="18"/>
                      <w:u w:val="single"/>
                    </w:rPr>
                  </w:pPr>
                  <w:r>
                    <w:rPr>
                      <w:color w:val="EE0000"/>
                      <w:sz w:val="18"/>
                      <w:szCs w:val="18"/>
                      <w:u w:val="single"/>
                    </w:rPr>
                    <w:t>颗粒物</w:t>
                  </w:r>
                </w:p>
              </w:tc>
              <w:tc>
                <w:tcPr>
                  <w:tcW w:w="401" w:type="pct"/>
                  <w:vAlign w:val="center"/>
                </w:tcPr>
                <w:p w14:paraId="2E8EF933">
                  <w:pPr>
                    <w:jc w:val="center"/>
                    <w:rPr>
                      <w:color w:val="EE0000"/>
                      <w:sz w:val="18"/>
                      <w:szCs w:val="18"/>
                      <w:u w:val="single"/>
                    </w:rPr>
                  </w:pPr>
                  <w:r>
                    <w:rPr>
                      <w:color w:val="EE0000"/>
                      <w:sz w:val="18"/>
                      <w:szCs w:val="18"/>
                      <w:u w:val="single"/>
                    </w:rPr>
                    <w:t>/</w:t>
                  </w:r>
                </w:p>
              </w:tc>
              <w:tc>
                <w:tcPr>
                  <w:tcW w:w="474" w:type="pct"/>
                  <w:vAlign w:val="center"/>
                </w:tcPr>
                <w:p w14:paraId="3DFADA91">
                  <w:pPr>
                    <w:jc w:val="center"/>
                    <w:rPr>
                      <w:color w:val="EE0000"/>
                      <w:sz w:val="18"/>
                      <w:szCs w:val="18"/>
                      <w:u w:val="single"/>
                    </w:rPr>
                  </w:pPr>
                  <w:r>
                    <w:rPr>
                      <w:color w:val="EE0000"/>
                      <w:sz w:val="18"/>
                      <w:szCs w:val="18"/>
                      <w:u w:val="single"/>
                    </w:rPr>
                    <w:t>139.85</w:t>
                  </w:r>
                </w:p>
              </w:tc>
              <w:tc>
                <w:tcPr>
                  <w:tcW w:w="557" w:type="pct"/>
                  <w:vAlign w:val="center"/>
                </w:tcPr>
                <w:p w14:paraId="5B9FB9A0">
                  <w:pPr>
                    <w:jc w:val="center"/>
                    <w:rPr>
                      <w:color w:val="EE0000"/>
                      <w:sz w:val="18"/>
                      <w:szCs w:val="18"/>
                      <w:u w:val="single"/>
                    </w:rPr>
                  </w:pPr>
                  <w:r>
                    <w:rPr>
                      <w:color w:val="EE0000"/>
                      <w:sz w:val="18"/>
                      <w:szCs w:val="18"/>
                      <w:u w:val="single"/>
                    </w:rPr>
                    <w:t>/</w:t>
                  </w:r>
                </w:p>
              </w:tc>
              <w:tc>
                <w:tcPr>
                  <w:tcW w:w="516" w:type="pct"/>
                  <w:vAlign w:val="center"/>
                </w:tcPr>
                <w:p w14:paraId="19A11DDF">
                  <w:pPr>
                    <w:jc w:val="center"/>
                    <w:rPr>
                      <w:color w:val="EE0000"/>
                      <w:sz w:val="18"/>
                      <w:szCs w:val="18"/>
                      <w:u w:val="single"/>
                    </w:rPr>
                  </w:pPr>
                  <w:r>
                    <w:rPr>
                      <w:color w:val="EE0000"/>
                      <w:sz w:val="18"/>
                      <w:szCs w:val="18"/>
                      <w:u w:val="single"/>
                    </w:rPr>
                    <w:t>/</w:t>
                  </w:r>
                </w:p>
              </w:tc>
              <w:tc>
                <w:tcPr>
                  <w:tcW w:w="511" w:type="pct"/>
                  <w:vAlign w:val="center"/>
                </w:tcPr>
                <w:p w14:paraId="5503B952">
                  <w:pPr>
                    <w:jc w:val="center"/>
                    <w:rPr>
                      <w:color w:val="EE0000"/>
                      <w:sz w:val="18"/>
                      <w:szCs w:val="18"/>
                      <w:u w:val="single"/>
                    </w:rPr>
                  </w:pPr>
                  <w:r>
                    <w:rPr>
                      <w:color w:val="EE0000"/>
                      <w:sz w:val="18"/>
                      <w:szCs w:val="18"/>
                      <w:u w:val="single"/>
                    </w:rPr>
                    <w:t>/</w:t>
                  </w:r>
                </w:p>
              </w:tc>
              <w:tc>
                <w:tcPr>
                  <w:tcW w:w="473" w:type="pct"/>
                  <w:vAlign w:val="center"/>
                </w:tcPr>
                <w:p w14:paraId="0AE9594E">
                  <w:pPr>
                    <w:jc w:val="center"/>
                    <w:rPr>
                      <w:color w:val="EE0000"/>
                      <w:sz w:val="18"/>
                      <w:szCs w:val="18"/>
                      <w:u w:val="single"/>
                    </w:rPr>
                  </w:pPr>
                  <w:r>
                    <w:rPr>
                      <w:color w:val="EE0000"/>
                      <w:sz w:val="18"/>
                      <w:szCs w:val="18"/>
                      <w:u w:val="single"/>
                    </w:rPr>
                    <w:t>11.03</w:t>
                  </w:r>
                </w:p>
              </w:tc>
              <w:tc>
                <w:tcPr>
                  <w:tcW w:w="611" w:type="pct"/>
                  <w:vAlign w:val="center"/>
                </w:tcPr>
                <w:p w14:paraId="3513C8FF">
                  <w:pPr>
                    <w:jc w:val="center"/>
                    <w:rPr>
                      <w:color w:val="EE0000"/>
                      <w:sz w:val="18"/>
                      <w:szCs w:val="18"/>
                      <w:u w:val="single"/>
                    </w:rPr>
                  </w:pPr>
                  <w:r>
                    <w:rPr>
                      <w:color w:val="EE0000"/>
                      <w:sz w:val="18"/>
                      <w:szCs w:val="18"/>
                      <w:u w:val="single"/>
                    </w:rPr>
                    <w:t>/</w:t>
                  </w:r>
                </w:p>
              </w:tc>
              <w:tc>
                <w:tcPr>
                  <w:tcW w:w="519" w:type="pct"/>
                  <w:vAlign w:val="center"/>
                </w:tcPr>
                <w:p w14:paraId="5312B94D">
                  <w:pPr>
                    <w:jc w:val="center"/>
                    <w:rPr>
                      <w:color w:val="EE0000"/>
                      <w:sz w:val="18"/>
                      <w:szCs w:val="18"/>
                      <w:u w:val="single"/>
                    </w:rPr>
                  </w:pPr>
                  <w:r>
                    <w:rPr>
                      <w:color w:val="EE0000"/>
                      <w:sz w:val="18"/>
                      <w:szCs w:val="18"/>
                      <w:u w:val="single"/>
                    </w:rPr>
                    <w:t>/</w:t>
                  </w:r>
                </w:p>
              </w:tc>
            </w:tr>
            <w:tr w14:paraId="0288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24" w:type="pct"/>
                  <w:vAlign w:val="center"/>
                </w:tcPr>
                <w:p w14:paraId="23C60376">
                  <w:pPr>
                    <w:jc w:val="center"/>
                    <w:rPr>
                      <w:color w:val="EE0000"/>
                      <w:sz w:val="18"/>
                      <w:szCs w:val="18"/>
                      <w:u w:val="single"/>
                    </w:rPr>
                  </w:pPr>
                  <w:r>
                    <w:rPr>
                      <w:color w:val="EE0000"/>
                      <w:sz w:val="18"/>
                      <w:szCs w:val="18"/>
                      <w:u w:val="single"/>
                    </w:rPr>
                    <w:t>2</w:t>
                  </w:r>
                </w:p>
              </w:tc>
              <w:tc>
                <w:tcPr>
                  <w:tcW w:w="514" w:type="pct"/>
                  <w:vAlign w:val="center"/>
                </w:tcPr>
                <w:p w14:paraId="7E7F9836">
                  <w:pPr>
                    <w:jc w:val="center"/>
                    <w:rPr>
                      <w:color w:val="EE0000"/>
                      <w:sz w:val="18"/>
                      <w:szCs w:val="18"/>
                      <w:u w:val="single"/>
                    </w:rPr>
                  </w:pPr>
                  <w:r>
                    <w:rPr>
                      <w:color w:val="EE0000"/>
                      <w:sz w:val="18"/>
                      <w:szCs w:val="18"/>
                      <w:u w:val="single"/>
                    </w:rPr>
                    <w:t>二氧化硫</w:t>
                  </w:r>
                </w:p>
              </w:tc>
              <w:tc>
                <w:tcPr>
                  <w:tcW w:w="401" w:type="pct"/>
                  <w:vAlign w:val="center"/>
                </w:tcPr>
                <w:p w14:paraId="7FFF415B">
                  <w:pPr>
                    <w:jc w:val="center"/>
                    <w:rPr>
                      <w:color w:val="EE0000"/>
                      <w:sz w:val="18"/>
                      <w:szCs w:val="18"/>
                      <w:u w:val="single"/>
                    </w:rPr>
                  </w:pPr>
                  <w:r>
                    <w:rPr>
                      <w:color w:val="EE0000"/>
                      <w:sz w:val="18"/>
                      <w:szCs w:val="18"/>
                      <w:u w:val="single"/>
                    </w:rPr>
                    <w:t>/</w:t>
                  </w:r>
                </w:p>
              </w:tc>
              <w:tc>
                <w:tcPr>
                  <w:tcW w:w="474" w:type="pct"/>
                  <w:vAlign w:val="center"/>
                </w:tcPr>
                <w:p w14:paraId="7E7B3611">
                  <w:pPr>
                    <w:jc w:val="center"/>
                    <w:rPr>
                      <w:color w:val="EE0000"/>
                      <w:sz w:val="18"/>
                      <w:szCs w:val="18"/>
                      <w:u w:val="single"/>
                    </w:rPr>
                  </w:pPr>
                  <w:r>
                    <w:rPr>
                      <w:color w:val="EE0000"/>
                      <w:sz w:val="18"/>
                      <w:szCs w:val="18"/>
                      <w:u w:val="single"/>
                    </w:rPr>
                    <w:t>1154.9</w:t>
                  </w:r>
                </w:p>
              </w:tc>
              <w:tc>
                <w:tcPr>
                  <w:tcW w:w="557" w:type="pct"/>
                  <w:vAlign w:val="center"/>
                </w:tcPr>
                <w:p w14:paraId="57D62DAC">
                  <w:pPr>
                    <w:jc w:val="center"/>
                    <w:rPr>
                      <w:color w:val="EE0000"/>
                      <w:sz w:val="18"/>
                      <w:szCs w:val="18"/>
                      <w:u w:val="single"/>
                    </w:rPr>
                  </w:pPr>
                  <w:r>
                    <w:rPr>
                      <w:color w:val="EE0000"/>
                      <w:sz w:val="18"/>
                      <w:szCs w:val="18"/>
                      <w:u w:val="single"/>
                    </w:rPr>
                    <w:t>/</w:t>
                  </w:r>
                </w:p>
              </w:tc>
              <w:tc>
                <w:tcPr>
                  <w:tcW w:w="516" w:type="pct"/>
                  <w:vAlign w:val="center"/>
                </w:tcPr>
                <w:p w14:paraId="4EA3174B">
                  <w:pPr>
                    <w:jc w:val="center"/>
                    <w:rPr>
                      <w:color w:val="EE0000"/>
                      <w:sz w:val="18"/>
                      <w:szCs w:val="18"/>
                      <w:u w:val="single"/>
                    </w:rPr>
                  </w:pPr>
                  <w:r>
                    <w:rPr>
                      <w:color w:val="EE0000"/>
                      <w:sz w:val="18"/>
                      <w:szCs w:val="18"/>
                      <w:u w:val="single"/>
                    </w:rPr>
                    <w:t>/</w:t>
                  </w:r>
                </w:p>
              </w:tc>
              <w:tc>
                <w:tcPr>
                  <w:tcW w:w="511" w:type="pct"/>
                  <w:vAlign w:val="center"/>
                </w:tcPr>
                <w:p w14:paraId="61C18318">
                  <w:pPr>
                    <w:jc w:val="center"/>
                    <w:rPr>
                      <w:color w:val="EE0000"/>
                      <w:sz w:val="18"/>
                      <w:szCs w:val="18"/>
                      <w:u w:val="single"/>
                    </w:rPr>
                  </w:pPr>
                  <w:r>
                    <w:rPr>
                      <w:color w:val="EE0000"/>
                      <w:sz w:val="18"/>
                      <w:szCs w:val="18"/>
                      <w:u w:val="single"/>
                    </w:rPr>
                    <w:t>/</w:t>
                  </w:r>
                </w:p>
              </w:tc>
              <w:tc>
                <w:tcPr>
                  <w:tcW w:w="473" w:type="pct"/>
                  <w:vAlign w:val="center"/>
                </w:tcPr>
                <w:p w14:paraId="57CF0A4E">
                  <w:pPr>
                    <w:jc w:val="center"/>
                    <w:rPr>
                      <w:sz w:val="18"/>
                      <w:szCs w:val="18"/>
                      <w:highlight w:val="yellow"/>
                    </w:rPr>
                  </w:pPr>
                  <w:r>
                    <w:rPr>
                      <w:color w:val="EE0000"/>
                      <w:sz w:val="18"/>
                      <w:szCs w:val="18"/>
                      <w:u w:val="single"/>
                    </w:rPr>
                    <w:t>57.75</w:t>
                  </w:r>
                </w:p>
              </w:tc>
              <w:tc>
                <w:tcPr>
                  <w:tcW w:w="611" w:type="pct"/>
                  <w:vAlign w:val="center"/>
                </w:tcPr>
                <w:p w14:paraId="3CCB4354">
                  <w:pPr>
                    <w:jc w:val="center"/>
                    <w:rPr>
                      <w:color w:val="EE0000"/>
                      <w:sz w:val="18"/>
                      <w:szCs w:val="18"/>
                      <w:u w:val="single"/>
                    </w:rPr>
                  </w:pPr>
                  <w:r>
                    <w:rPr>
                      <w:color w:val="EE0000"/>
                      <w:sz w:val="18"/>
                      <w:szCs w:val="18"/>
                      <w:u w:val="single"/>
                    </w:rPr>
                    <w:t>/</w:t>
                  </w:r>
                </w:p>
              </w:tc>
              <w:tc>
                <w:tcPr>
                  <w:tcW w:w="519" w:type="pct"/>
                  <w:vAlign w:val="center"/>
                </w:tcPr>
                <w:p w14:paraId="5CE2C40E">
                  <w:pPr>
                    <w:jc w:val="center"/>
                    <w:rPr>
                      <w:color w:val="EE0000"/>
                      <w:sz w:val="18"/>
                      <w:szCs w:val="18"/>
                      <w:u w:val="single"/>
                    </w:rPr>
                  </w:pPr>
                  <w:r>
                    <w:rPr>
                      <w:color w:val="EE0000"/>
                      <w:sz w:val="18"/>
                      <w:szCs w:val="18"/>
                      <w:u w:val="single"/>
                    </w:rPr>
                    <w:t>/</w:t>
                  </w:r>
                </w:p>
              </w:tc>
            </w:tr>
            <w:tr w14:paraId="5010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24" w:type="pct"/>
                  <w:vAlign w:val="center"/>
                </w:tcPr>
                <w:p w14:paraId="40DC0F22">
                  <w:pPr>
                    <w:jc w:val="center"/>
                    <w:rPr>
                      <w:color w:val="EE0000"/>
                      <w:sz w:val="18"/>
                      <w:szCs w:val="18"/>
                      <w:u w:val="single"/>
                    </w:rPr>
                  </w:pPr>
                  <w:r>
                    <w:rPr>
                      <w:color w:val="EE0000"/>
                      <w:sz w:val="18"/>
                      <w:szCs w:val="18"/>
                      <w:u w:val="single"/>
                    </w:rPr>
                    <w:t>3</w:t>
                  </w:r>
                </w:p>
              </w:tc>
              <w:tc>
                <w:tcPr>
                  <w:tcW w:w="514" w:type="pct"/>
                  <w:vAlign w:val="center"/>
                </w:tcPr>
                <w:p w14:paraId="553D6F75">
                  <w:pPr>
                    <w:jc w:val="center"/>
                    <w:rPr>
                      <w:color w:val="EE0000"/>
                      <w:sz w:val="18"/>
                      <w:szCs w:val="18"/>
                      <w:u w:val="single"/>
                    </w:rPr>
                  </w:pPr>
                  <w:r>
                    <w:rPr>
                      <w:color w:val="EE0000"/>
                      <w:sz w:val="18"/>
                      <w:szCs w:val="18"/>
                      <w:u w:val="single"/>
                    </w:rPr>
                    <w:t>氮氧化物</w:t>
                  </w:r>
                </w:p>
              </w:tc>
              <w:tc>
                <w:tcPr>
                  <w:tcW w:w="401" w:type="pct"/>
                  <w:vAlign w:val="center"/>
                </w:tcPr>
                <w:p w14:paraId="30E9BFC2">
                  <w:pPr>
                    <w:jc w:val="center"/>
                    <w:rPr>
                      <w:color w:val="EE0000"/>
                      <w:sz w:val="18"/>
                      <w:szCs w:val="18"/>
                      <w:u w:val="single"/>
                    </w:rPr>
                  </w:pPr>
                  <w:r>
                    <w:rPr>
                      <w:color w:val="EE0000"/>
                      <w:sz w:val="18"/>
                      <w:szCs w:val="18"/>
                      <w:u w:val="single"/>
                    </w:rPr>
                    <w:t>/</w:t>
                  </w:r>
                </w:p>
              </w:tc>
              <w:tc>
                <w:tcPr>
                  <w:tcW w:w="474" w:type="pct"/>
                  <w:vAlign w:val="center"/>
                </w:tcPr>
                <w:p w14:paraId="126E50AB">
                  <w:pPr>
                    <w:jc w:val="center"/>
                    <w:rPr>
                      <w:color w:val="EE0000"/>
                      <w:sz w:val="18"/>
                      <w:szCs w:val="18"/>
                      <w:u w:val="single"/>
                    </w:rPr>
                  </w:pPr>
                  <w:r>
                    <w:rPr>
                      <w:color w:val="EE0000"/>
                      <w:sz w:val="18"/>
                      <w:szCs w:val="18"/>
                      <w:u w:val="single"/>
                    </w:rPr>
                    <w:t>97.92</w:t>
                  </w:r>
                </w:p>
              </w:tc>
              <w:tc>
                <w:tcPr>
                  <w:tcW w:w="557" w:type="pct"/>
                  <w:vAlign w:val="center"/>
                </w:tcPr>
                <w:p w14:paraId="2D1965C5">
                  <w:pPr>
                    <w:jc w:val="center"/>
                    <w:rPr>
                      <w:color w:val="EE0000"/>
                      <w:sz w:val="18"/>
                      <w:szCs w:val="18"/>
                      <w:u w:val="single"/>
                    </w:rPr>
                  </w:pPr>
                  <w:r>
                    <w:rPr>
                      <w:color w:val="EE0000"/>
                      <w:sz w:val="18"/>
                      <w:szCs w:val="18"/>
                      <w:u w:val="single"/>
                    </w:rPr>
                    <w:t>/</w:t>
                  </w:r>
                </w:p>
              </w:tc>
              <w:tc>
                <w:tcPr>
                  <w:tcW w:w="516" w:type="pct"/>
                  <w:vAlign w:val="center"/>
                </w:tcPr>
                <w:p w14:paraId="42621281">
                  <w:pPr>
                    <w:jc w:val="center"/>
                    <w:rPr>
                      <w:color w:val="EE0000"/>
                      <w:sz w:val="18"/>
                      <w:szCs w:val="18"/>
                      <w:u w:val="single"/>
                    </w:rPr>
                  </w:pPr>
                  <w:r>
                    <w:rPr>
                      <w:color w:val="EE0000"/>
                      <w:sz w:val="18"/>
                      <w:szCs w:val="18"/>
                      <w:u w:val="single"/>
                    </w:rPr>
                    <w:t>/</w:t>
                  </w:r>
                </w:p>
              </w:tc>
              <w:tc>
                <w:tcPr>
                  <w:tcW w:w="511" w:type="pct"/>
                  <w:vAlign w:val="center"/>
                </w:tcPr>
                <w:p w14:paraId="476CB3D5">
                  <w:pPr>
                    <w:jc w:val="center"/>
                    <w:rPr>
                      <w:color w:val="EE0000"/>
                      <w:sz w:val="18"/>
                      <w:szCs w:val="18"/>
                      <w:u w:val="single"/>
                    </w:rPr>
                  </w:pPr>
                  <w:r>
                    <w:rPr>
                      <w:color w:val="EE0000"/>
                      <w:sz w:val="18"/>
                      <w:szCs w:val="18"/>
                      <w:u w:val="single"/>
                    </w:rPr>
                    <w:t>/</w:t>
                  </w:r>
                </w:p>
              </w:tc>
              <w:tc>
                <w:tcPr>
                  <w:tcW w:w="473" w:type="pct"/>
                  <w:vAlign w:val="center"/>
                </w:tcPr>
                <w:p w14:paraId="303BCB78">
                  <w:pPr>
                    <w:jc w:val="center"/>
                    <w:rPr>
                      <w:sz w:val="18"/>
                      <w:szCs w:val="18"/>
                      <w:highlight w:val="yellow"/>
                    </w:rPr>
                  </w:pPr>
                  <w:r>
                    <w:rPr>
                      <w:color w:val="EE0000"/>
                      <w:sz w:val="18"/>
                      <w:szCs w:val="18"/>
                      <w:u w:val="single"/>
                    </w:rPr>
                    <w:t>44.06</w:t>
                  </w:r>
                </w:p>
              </w:tc>
              <w:tc>
                <w:tcPr>
                  <w:tcW w:w="611" w:type="pct"/>
                  <w:vAlign w:val="center"/>
                </w:tcPr>
                <w:p w14:paraId="00F99350">
                  <w:pPr>
                    <w:jc w:val="center"/>
                    <w:rPr>
                      <w:color w:val="EE0000"/>
                      <w:sz w:val="18"/>
                      <w:szCs w:val="18"/>
                      <w:u w:val="single"/>
                    </w:rPr>
                  </w:pPr>
                  <w:r>
                    <w:rPr>
                      <w:color w:val="EE0000"/>
                      <w:sz w:val="18"/>
                      <w:szCs w:val="18"/>
                      <w:u w:val="single"/>
                    </w:rPr>
                    <w:t>/</w:t>
                  </w:r>
                </w:p>
              </w:tc>
              <w:tc>
                <w:tcPr>
                  <w:tcW w:w="519" w:type="pct"/>
                  <w:vAlign w:val="center"/>
                </w:tcPr>
                <w:p w14:paraId="019519F1">
                  <w:pPr>
                    <w:jc w:val="center"/>
                    <w:rPr>
                      <w:color w:val="EE0000"/>
                      <w:sz w:val="18"/>
                      <w:szCs w:val="18"/>
                      <w:u w:val="single"/>
                    </w:rPr>
                  </w:pPr>
                  <w:r>
                    <w:rPr>
                      <w:color w:val="EE0000"/>
                      <w:sz w:val="18"/>
                      <w:szCs w:val="18"/>
                      <w:u w:val="single"/>
                    </w:rPr>
                    <w:t>/</w:t>
                  </w:r>
                </w:p>
              </w:tc>
            </w:tr>
            <w:tr w14:paraId="6FC5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4" w:type="pct"/>
                  <w:vAlign w:val="center"/>
                </w:tcPr>
                <w:p w14:paraId="3108323A">
                  <w:pPr>
                    <w:jc w:val="center"/>
                    <w:rPr>
                      <w:color w:val="EE0000"/>
                      <w:sz w:val="18"/>
                      <w:szCs w:val="18"/>
                      <w:u w:val="single"/>
                    </w:rPr>
                  </w:pPr>
                  <w:r>
                    <w:rPr>
                      <w:color w:val="EE0000"/>
                      <w:sz w:val="18"/>
                      <w:szCs w:val="18"/>
                      <w:u w:val="single"/>
                    </w:rPr>
                    <w:t>4</w:t>
                  </w:r>
                </w:p>
              </w:tc>
              <w:tc>
                <w:tcPr>
                  <w:tcW w:w="514" w:type="pct"/>
                  <w:vAlign w:val="center"/>
                </w:tcPr>
                <w:p w14:paraId="227BACF8">
                  <w:pPr>
                    <w:jc w:val="center"/>
                    <w:rPr>
                      <w:color w:val="EE0000"/>
                      <w:sz w:val="18"/>
                      <w:szCs w:val="18"/>
                      <w:u w:val="single"/>
                    </w:rPr>
                  </w:pPr>
                  <w:r>
                    <w:rPr>
                      <w:color w:val="EE0000"/>
                      <w:sz w:val="18"/>
                      <w:szCs w:val="18"/>
                      <w:u w:val="single"/>
                    </w:rPr>
                    <w:t>氟化物</w:t>
                  </w:r>
                </w:p>
              </w:tc>
              <w:tc>
                <w:tcPr>
                  <w:tcW w:w="401" w:type="pct"/>
                  <w:vAlign w:val="center"/>
                </w:tcPr>
                <w:p w14:paraId="7DA76E05">
                  <w:pPr>
                    <w:jc w:val="center"/>
                    <w:rPr>
                      <w:color w:val="EE0000"/>
                      <w:sz w:val="18"/>
                      <w:szCs w:val="18"/>
                      <w:u w:val="single"/>
                    </w:rPr>
                  </w:pPr>
                  <w:r>
                    <w:rPr>
                      <w:color w:val="EE0000"/>
                      <w:sz w:val="18"/>
                      <w:szCs w:val="18"/>
                      <w:u w:val="single"/>
                    </w:rPr>
                    <w:t>/</w:t>
                  </w:r>
                </w:p>
              </w:tc>
              <w:tc>
                <w:tcPr>
                  <w:tcW w:w="474" w:type="pct"/>
                  <w:vAlign w:val="center"/>
                </w:tcPr>
                <w:p w14:paraId="1B34C468">
                  <w:pPr>
                    <w:jc w:val="center"/>
                    <w:rPr>
                      <w:color w:val="EE0000"/>
                      <w:sz w:val="18"/>
                      <w:szCs w:val="18"/>
                      <w:u w:val="single"/>
                    </w:rPr>
                  </w:pPr>
                  <w:r>
                    <w:rPr>
                      <w:color w:val="EE0000"/>
                      <w:sz w:val="18"/>
                      <w:szCs w:val="18"/>
                      <w:u w:val="single"/>
                    </w:rPr>
                    <w:t>13.44</w:t>
                  </w:r>
                </w:p>
              </w:tc>
              <w:tc>
                <w:tcPr>
                  <w:tcW w:w="557" w:type="pct"/>
                  <w:vAlign w:val="center"/>
                </w:tcPr>
                <w:p w14:paraId="525F96BB">
                  <w:pPr>
                    <w:jc w:val="center"/>
                    <w:rPr>
                      <w:color w:val="EE0000"/>
                      <w:sz w:val="18"/>
                      <w:szCs w:val="18"/>
                      <w:u w:val="single"/>
                    </w:rPr>
                  </w:pPr>
                  <w:r>
                    <w:rPr>
                      <w:color w:val="EE0000"/>
                      <w:sz w:val="18"/>
                      <w:szCs w:val="18"/>
                      <w:u w:val="single"/>
                    </w:rPr>
                    <w:t>/</w:t>
                  </w:r>
                </w:p>
              </w:tc>
              <w:tc>
                <w:tcPr>
                  <w:tcW w:w="516" w:type="pct"/>
                  <w:vAlign w:val="center"/>
                </w:tcPr>
                <w:p w14:paraId="382672AE">
                  <w:pPr>
                    <w:jc w:val="center"/>
                    <w:rPr>
                      <w:color w:val="EE0000"/>
                      <w:sz w:val="18"/>
                      <w:szCs w:val="18"/>
                      <w:u w:val="single"/>
                    </w:rPr>
                  </w:pPr>
                  <w:r>
                    <w:rPr>
                      <w:color w:val="EE0000"/>
                      <w:sz w:val="18"/>
                      <w:szCs w:val="18"/>
                      <w:u w:val="single"/>
                    </w:rPr>
                    <w:t>/</w:t>
                  </w:r>
                </w:p>
              </w:tc>
              <w:tc>
                <w:tcPr>
                  <w:tcW w:w="511" w:type="pct"/>
                  <w:vAlign w:val="center"/>
                </w:tcPr>
                <w:p w14:paraId="360A4285">
                  <w:pPr>
                    <w:jc w:val="center"/>
                    <w:rPr>
                      <w:color w:val="EE0000"/>
                      <w:sz w:val="18"/>
                      <w:szCs w:val="18"/>
                      <w:u w:val="single"/>
                    </w:rPr>
                  </w:pPr>
                  <w:r>
                    <w:rPr>
                      <w:color w:val="EE0000"/>
                      <w:sz w:val="18"/>
                      <w:szCs w:val="18"/>
                      <w:u w:val="single"/>
                    </w:rPr>
                    <w:t>/</w:t>
                  </w:r>
                </w:p>
              </w:tc>
              <w:tc>
                <w:tcPr>
                  <w:tcW w:w="473" w:type="pct"/>
                  <w:vAlign w:val="center"/>
                </w:tcPr>
                <w:p w14:paraId="42A6C2D4">
                  <w:pPr>
                    <w:jc w:val="center"/>
                    <w:rPr>
                      <w:sz w:val="18"/>
                      <w:szCs w:val="18"/>
                      <w:highlight w:val="yellow"/>
                    </w:rPr>
                  </w:pPr>
                  <w:r>
                    <w:rPr>
                      <w:color w:val="EE0000"/>
                      <w:sz w:val="18"/>
                      <w:szCs w:val="18"/>
                      <w:u w:val="single"/>
                    </w:rPr>
                    <w:t>0.67</w:t>
                  </w:r>
                </w:p>
              </w:tc>
              <w:tc>
                <w:tcPr>
                  <w:tcW w:w="611" w:type="pct"/>
                  <w:vAlign w:val="center"/>
                </w:tcPr>
                <w:p w14:paraId="128D290B">
                  <w:pPr>
                    <w:jc w:val="center"/>
                    <w:rPr>
                      <w:color w:val="EE0000"/>
                      <w:sz w:val="18"/>
                      <w:szCs w:val="18"/>
                      <w:u w:val="single"/>
                    </w:rPr>
                  </w:pPr>
                  <w:r>
                    <w:rPr>
                      <w:color w:val="EE0000"/>
                      <w:sz w:val="18"/>
                      <w:szCs w:val="18"/>
                      <w:u w:val="single"/>
                    </w:rPr>
                    <w:t>/</w:t>
                  </w:r>
                </w:p>
              </w:tc>
              <w:tc>
                <w:tcPr>
                  <w:tcW w:w="519" w:type="pct"/>
                  <w:vAlign w:val="center"/>
                </w:tcPr>
                <w:p w14:paraId="4C6C3F4C">
                  <w:pPr>
                    <w:jc w:val="center"/>
                    <w:rPr>
                      <w:color w:val="EE0000"/>
                      <w:sz w:val="18"/>
                      <w:szCs w:val="18"/>
                      <w:u w:val="single"/>
                    </w:rPr>
                  </w:pPr>
                  <w:r>
                    <w:rPr>
                      <w:color w:val="EE0000"/>
                      <w:sz w:val="18"/>
                      <w:szCs w:val="18"/>
                      <w:u w:val="single"/>
                    </w:rPr>
                    <w:t>/</w:t>
                  </w:r>
                </w:p>
              </w:tc>
            </w:tr>
            <w:tr w14:paraId="0978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4" w:type="pct"/>
                  <w:vAlign w:val="center"/>
                </w:tcPr>
                <w:p w14:paraId="773E7BAC">
                  <w:pPr>
                    <w:jc w:val="center"/>
                    <w:rPr>
                      <w:color w:val="EE0000"/>
                      <w:sz w:val="18"/>
                      <w:szCs w:val="18"/>
                      <w:u w:val="single"/>
                    </w:rPr>
                  </w:pPr>
                  <w:r>
                    <w:rPr>
                      <w:color w:val="EE0000"/>
                      <w:sz w:val="18"/>
                      <w:szCs w:val="18"/>
                      <w:u w:val="single"/>
                    </w:rPr>
                    <w:t>5</w:t>
                  </w:r>
                </w:p>
              </w:tc>
              <w:tc>
                <w:tcPr>
                  <w:tcW w:w="514" w:type="pct"/>
                  <w:vAlign w:val="center"/>
                </w:tcPr>
                <w:p w14:paraId="331B6E32">
                  <w:pPr>
                    <w:jc w:val="center"/>
                    <w:rPr>
                      <w:color w:val="EE0000"/>
                      <w:sz w:val="18"/>
                      <w:szCs w:val="18"/>
                      <w:u w:val="single"/>
                    </w:rPr>
                  </w:pPr>
                  <w:r>
                    <w:rPr>
                      <w:color w:val="EE0000"/>
                      <w:sz w:val="18"/>
                      <w:szCs w:val="18"/>
                      <w:u w:val="single"/>
                    </w:rPr>
                    <w:t>HCL</w:t>
                  </w:r>
                </w:p>
              </w:tc>
              <w:tc>
                <w:tcPr>
                  <w:tcW w:w="401" w:type="pct"/>
                  <w:vAlign w:val="center"/>
                </w:tcPr>
                <w:p w14:paraId="3E5F3F9E">
                  <w:pPr>
                    <w:jc w:val="center"/>
                    <w:rPr>
                      <w:sz w:val="18"/>
                      <w:szCs w:val="18"/>
                      <w:highlight w:val="yellow"/>
                    </w:rPr>
                  </w:pPr>
                  <w:r>
                    <w:rPr>
                      <w:color w:val="EE0000"/>
                      <w:sz w:val="18"/>
                      <w:szCs w:val="18"/>
                      <w:u w:val="single"/>
                    </w:rPr>
                    <w:t>/</w:t>
                  </w:r>
                </w:p>
              </w:tc>
              <w:tc>
                <w:tcPr>
                  <w:tcW w:w="474" w:type="pct"/>
                  <w:vAlign w:val="center"/>
                </w:tcPr>
                <w:p w14:paraId="671866DD">
                  <w:pPr>
                    <w:jc w:val="center"/>
                    <w:rPr>
                      <w:sz w:val="18"/>
                      <w:szCs w:val="18"/>
                      <w:highlight w:val="yellow"/>
                    </w:rPr>
                  </w:pPr>
                  <w:r>
                    <w:rPr>
                      <w:color w:val="EE0000"/>
                      <w:sz w:val="18"/>
                      <w:szCs w:val="18"/>
                      <w:u w:val="single"/>
                    </w:rPr>
                    <w:t>27.6</w:t>
                  </w:r>
                </w:p>
              </w:tc>
              <w:tc>
                <w:tcPr>
                  <w:tcW w:w="557" w:type="pct"/>
                  <w:vAlign w:val="center"/>
                </w:tcPr>
                <w:p w14:paraId="2E2F1DA7">
                  <w:pPr>
                    <w:jc w:val="center"/>
                    <w:rPr>
                      <w:sz w:val="18"/>
                      <w:szCs w:val="18"/>
                      <w:highlight w:val="yellow"/>
                    </w:rPr>
                  </w:pPr>
                  <w:r>
                    <w:rPr>
                      <w:color w:val="EE0000"/>
                      <w:sz w:val="18"/>
                      <w:szCs w:val="18"/>
                      <w:u w:val="single"/>
                    </w:rPr>
                    <w:t>/</w:t>
                  </w:r>
                </w:p>
              </w:tc>
              <w:tc>
                <w:tcPr>
                  <w:tcW w:w="516" w:type="pct"/>
                  <w:vAlign w:val="center"/>
                </w:tcPr>
                <w:p w14:paraId="609162B0">
                  <w:pPr>
                    <w:jc w:val="center"/>
                    <w:rPr>
                      <w:sz w:val="18"/>
                      <w:szCs w:val="18"/>
                      <w:highlight w:val="yellow"/>
                    </w:rPr>
                  </w:pPr>
                  <w:r>
                    <w:rPr>
                      <w:color w:val="EE0000"/>
                      <w:sz w:val="18"/>
                      <w:szCs w:val="18"/>
                      <w:u w:val="single"/>
                    </w:rPr>
                    <w:t>/</w:t>
                  </w:r>
                </w:p>
              </w:tc>
              <w:tc>
                <w:tcPr>
                  <w:tcW w:w="511" w:type="pct"/>
                  <w:vAlign w:val="center"/>
                </w:tcPr>
                <w:p w14:paraId="4483DDAB">
                  <w:pPr>
                    <w:jc w:val="center"/>
                    <w:rPr>
                      <w:sz w:val="18"/>
                      <w:szCs w:val="18"/>
                      <w:highlight w:val="yellow"/>
                    </w:rPr>
                  </w:pPr>
                  <w:r>
                    <w:rPr>
                      <w:color w:val="EE0000"/>
                      <w:sz w:val="18"/>
                      <w:szCs w:val="18"/>
                      <w:u w:val="single"/>
                    </w:rPr>
                    <w:t>/</w:t>
                  </w:r>
                </w:p>
              </w:tc>
              <w:tc>
                <w:tcPr>
                  <w:tcW w:w="473" w:type="pct"/>
                  <w:vAlign w:val="center"/>
                </w:tcPr>
                <w:p w14:paraId="11DBB9E6">
                  <w:pPr>
                    <w:jc w:val="center"/>
                    <w:rPr>
                      <w:sz w:val="18"/>
                      <w:szCs w:val="18"/>
                      <w:highlight w:val="yellow"/>
                    </w:rPr>
                  </w:pPr>
                  <w:r>
                    <w:rPr>
                      <w:color w:val="EE0000"/>
                      <w:sz w:val="18"/>
                      <w:szCs w:val="18"/>
                      <w:u w:val="single"/>
                    </w:rPr>
                    <w:t>1.38</w:t>
                  </w:r>
                </w:p>
              </w:tc>
              <w:tc>
                <w:tcPr>
                  <w:tcW w:w="611" w:type="pct"/>
                  <w:vAlign w:val="center"/>
                </w:tcPr>
                <w:p w14:paraId="357758B0">
                  <w:pPr>
                    <w:jc w:val="center"/>
                    <w:rPr>
                      <w:sz w:val="18"/>
                      <w:szCs w:val="18"/>
                      <w:highlight w:val="yellow"/>
                    </w:rPr>
                  </w:pPr>
                  <w:r>
                    <w:rPr>
                      <w:color w:val="EE0000"/>
                      <w:sz w:val="18"/>
                      <w:szCs w:val="18"/>
                      <w:u w:val="single"/>
                    </w:rPr>
                    <w:t>/</w:t>
                  </w:r>
                </w:p>
              </w:tc>
              <w:tc>
                <w:tcPr>
                  <w:tcW w:w="519" w:type="pct"/>
                  <w:vAlign w:val="center"/>
                </w:tcPr>
                <w:p w14:paraId="3E923141">
                  <w:pPr>
                    <w:jc w:val="center"/>
                    <w:rPr>
                      <w:sz w:val="18"/>
                      <w:szCs w:val="18"/>
                    </w:rPr>
                  </w:pPr>
                  <w:r>
                    <w:rPr>
                      <w:color w:val="EE0000"/>
                      <w:sz w:val="18"/>
                      <w:szCs w:val="18"/>
                      <w:u w:val="single"/>
                    </w:rPr>
                    <w:t>/</w:t>
                  </w:r>
                </w:p>
              </w:tc>
            </w:tr>
            <w:tr w14:paraId="6111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4" w:type="pct"/>
                  <w:vAlign w:val="center"/>
                </w:tcPr>
                <w:p w14:paraId="67E9A7E2">
                  <w:pPr>
                    <w:jc w:val="center"/>
                    <w:rPr>
                      <w:color w:val="EE0000"/>
                      <w:sz w:val="18"/>
                      <w:szCs w:val="18"/>
                      <w:u w:val="single"/>
                    </w:rPr>
                  </w:pPr>
                  <w:r>
                    <w:rPr>
                      <w:color w:val="EE0000"/>
                      <w:sz w:val="18"/>
                      <w:szCs w:val="18"/>
                      <w:u w:val="single"/>
                    </w:rPr>
                    <w:t>6</w:t>
                  </w:r>
                </w:p>
              </w:tc>
              <w:tc>
                <w:tcPr>
                  <w:tcW w:w="514" w:type="pct"/>
                  <w:vAlign w:val="center"/>
                </w:tcPr>
                <w:p w14:paraId="09DA7B12">
                  <w:pPr>
                    <w:jc w:val="center"/>
                    <w:rPr>
                      <w:color w:val="EE0000"/>
                      <w:sz w:val="18"/>
                      <w:szCs w:val="18"/>
                      <w:u w:val="single"/>
                    </w:rPr>
                  </w:pPr>
                  <w:r>
                    <w:rPr>
                      <w:color w:val="EE0000"/>
                      <w:sz w:val="18"/>
                      <w:szCs w:val="18"/>
                      <w:u w:val="single"/>
                    </w:rPr>
                    <w:t>汞</w:t>
                  </w:r>
                </w:p>
              </w:tc>
              <w:tc>
                <w:tcPr>
                  <w:tcW w:w="401" w:type="pct"/>
                  <w:vAlign w:val="center"/>
                </w:tcPr>
                <w:p w14:paraId="1DB01F95">
                  <w:pPr>
                    <w:jc w:val="center"/>
                    <w:rPr>
                      <w:sz w:val="18"/>
                      <w:szCs w:val="18"/>
                      <w:highlight w:val="yellow"/>
                    </w:rPr>
                  </w:pPr>
                  <w:r>
                    <w:rPr>
                      <w:color w:val="EE0000"/>
                      <w:sz w:val="18"/>
                      <w:szCs w:val="18"/>
                      <w:u w:val="single"/>
                    </w:rPr>
                    <w:t>/</w:t>
                  </w:r>
                </w:p>
              </w:tc>
              <w:tc>
                <w:tcPr>
                  <w:tcW w:w="474" w:type="pct"/>
                  <w:vAlign w:val="center"/>
                </w:tcPr>
                <w:p w14:paraId="08B859E5">
                  <w:pPr>
                    <w:jc w:val="center"/>
                    <w:rPr>
                      <w:sz w:val="18"/>
                      <w:szCs w:val="18"/>
                      <w:highlight w:val="yellow"/>
                    </w:rPr>
                  </w:pPr>
                  <w:r>
                    <w:rPr>
                      <w:color w:val="EE0000"/>
                      <w:sz w:val="18"/>
                      <w:szCs w:val="18"/>
                      <w:u w:val="single"/>
                    </w:rPr>
                    <w:t>0.001</w:t>
                  </w:r>
                </w:p>
              </w:tc>
              <w:tc>
                <w:tcPr>
                  <w:tcW w:w="557" w:type="pct"/>
                  <w:vAlign w:val="center"/>
                </w:tcPr>
                <w:p w14:paraId="235D539A">
                  <w:pPr>
                    <w:jc w:val="center"/>
                    <w:rPr>
                      <w:sz w:val="18"/>
                      <w:szCs w:val="18"/>
                      <w:highlight w:val="yellow"/>
                    </w:rPr>
                  </w:pPr>
                  <w:r>
                    <w:rPr>
                      <w:color w:val="EE0000"/>
                      <w:sz w:val="18"/>
                      <w:szCs w:val="18"/>
                      <w:u w:val="single"/>
                    </w:rPr>
                    <w:t>/</w:t>
                  </w:r>
                </w:p>
              </w:tc>
              <w:tc>
                <w:tcPr>
                  <w:tcW w:w="516" w:type="pct"/>
                  <w:vAlign w:val="center"/>
                </w:tcPr>
                <w:p w14:paraId="4E5CF145">
                  <w:pPr>
                    <w:jc w:val="center"/>
                    <w:rPr>
                      <w:sz w:val="18"/>
                      <w:szCs w:val="18"/>
                      <w:highlight w:val="yellow"/>
                    </w:rPr>
                  </w:pPr>
                  <w:r>
                    <w:rPr>
                      <w:color w:val="EE0000"/>
                      <w:sz w:val="18"/>
                      <w:szCs w:val="18"/>
                      <w:u w:val="single"/>
                    </w:rPr>
                    <w:t>/</w:t>
                  </w:r>
                </w:p>
              </w:tc>
              <w:tc>
                <w:tcPr>
                  <w:tcW w:w="511" w:type="pct"/>
                  <w:vAlign w:val="center"/>
                </w:tcPr>
                <w:p w14:paraId="5EA0B1FE">
                  <w:pPr>
                    <w:jc w:val="center"/>
                    <w:rPr>
                      <w:sz w:val="18"/>
                      <w:szCs w:val="18"/>
                      <w:highlight w:val="yellow"/>
                    </w:rPr>
                  </w:pPr>
                  <w:r>
                    <w:rPr>
                      <w:color w:val="EE0000"/>
                      <w:sz w:val="18"/>
                      <w:szCs w:val="18"/>
                      <w:u w:val="single"/>
                    </w:rPr>
                    <w:t>/</w:t>
                  </w:r>
                </w:p>
              </w:tc>
              <w:tc>
                <w:tcPr>
                  <w:tcW w:w="473" w:type="pct"/>
                  <w:vAlign w:val="center"/>
                </w:tcPr>
                <w:p w14:paraId="55D93384">
                  <w:pPr>
                    <w:jc w:val="center"/>
                    <w:rPr>
                      <w:sz w:val="18"/>
                      <w:szCs w:val="18"/>
                      <w:highlight w:val="yellow"/>
                    </w:rPr>
                  </w:pPr>
                  <w:r>
                    <w:rPr>
                      <w:color w:val="EE0000"/>
                      <w:sz w:val="18"/>
                      <w:szCs w:val="18"/>
                      <w:u w:val="single"/>
                    </w:rPr>
                    <w:t>0.0001</w:t>
                  </w:r>
                </w:p>
              </w:tc>
              <w:tc>
                <w:tcPr>
                  <w:tcW w:w="611" w:type="pct"/>
                  <w:vAlign w:val="center"/>
                </w:tcPr>
                <w:p w14:paraId="089A2B6B">
                  <w:pPr>
                    <w:jc w:val="center"/>
                    <w:rPr>
                      <w:sz w:val="18"/>
                      <w:szCs w:val="18"/>
                      <w:highlight w:val="yellow"/>
                    </w:rPr>
                  </w:pPr>
                  <w:r>
                    <w:rPr>
                      <w:color w:val="EE0000"/>
                      <w:sz w:val="18"/>
                      <w:szCs w:val="18"/>
                      <w:u w:val="single"/>
                    </w:rPr>
                    <w:t>/</w:t>
                  </w:r>
                </w:p>
              </w:tc>
              <w:tc>
                <w:tcPr>
                  <w:tcW w:w="519" w:type="pct"/>
                  <w:vAlign w:val="center"/>
                </w:tcPr>
                <w:p w14:paraId="1D8060E5">
                  <w:pPr>
                    <w:jc w:val="center"/>
                    <w:rPr>
                      <w:sz w:val="18"/>
                      <w:szCs w:val="18"/>
                    </w:rPr>
                  </w:pPr>
                  <w:r>
                    <w:rPr>
                      <w:color w:val="EE0000"/>
                      <w:sz w:val="18"/>
                      <w:szCs w:val="18"/>
                      <w:u w:val="single"/>
                    </w:rPr>
                    <w:t>/</w:t>
                  </w:r>
                </w:p>
              </w:tc>
            </w:tr>
            <w:tr w14:paraId="0D59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4" w:type="pct"/>
                  <w:vAlign w:val="center"/>
                </w:tcPr>
                <w:p w14:paraId="07CE96AA">
                  <w:pPr>
                    <w:jc w:val="center"/>
                    <w:rPr>
                      <w:color w:val="EE0000"/>
                      <w:sz w:val="18"/>
                      <w:szCs w:val="18"/>
                      <w:u w:val="single"/>
                    </w:rPr>
                  </w:pPr>
                  <w:r>
                    <w:rPr>
                      <w:color w:val="EE0000"/>
                      <w:sz w:val="18"/>
                      <w:szCs w:val="18"/>
                      <w:u w:val="single"/>
                    </w:rPr>
                    <w:t>7</w:t>
                  </w:r>
                </w:p>
              </w:tc>
              <w:tc>
                <w:tcPr>
                  <w:tcW w:w="514" w:type="pct"/>
                  <w:vAlign w:val="center"/>
                </w:tcPr>
                <w:p w14:paraId="1B76BB58">
                  <w:pPr>
                    <w:jc w:val="center"/>
                    <w:rPr>
                      <w:color w:val="EE0000"/>
                      <w:sz w:val="18"/>
                      <w:szCs w:val="18"/>
                      <w:u w:val="single"/>
                    </w:rPr>
                  </w:pPr>
                  <w:r>
                    <w:rPr>
                      <w:color w:val="EE0000"/>
                      <w:sz w:val="18"/>
                      <w:szCs w:val="18"/>
                      <w:u w:val="single"/>
                    </w:rPr>
                    <w:t>铅</w:t>
                  </w:r>
                </w:p>
              </w:tc>
              <w:tc>
                <w:tcPr>
                  <w:tcW w:w="401" w:type="pct"/>
                  <w:vAlign w:val="center"/>
                </w:tcPr>
                <w:p w14:paraId="34FDF2AA">
                  <w:pPr>
                    <w:jc w:val="center"/>
                    <w:rPr>
                      <w:sz w:val="18"/>
                      <w:szCs w:val="18"/>
                      <w:highlight w:val="yellow"/>
                    </w:rPr>
                  </w:pPr>
                  <w:r>
                    <w:rPr>
                      <w:color w:val="EE0000"/>
                      <w:sz w:val="18"/>
                      <w:szCs w:val="18"/>
                      <w:u w:val="single"/>
                    </w:rPr>
                    <w:t>/</w:t>
                  </w:r>
                </w:p>
              </w:tc>
              <w:tc>
                <w:tcPr>
                  <w:tcW w:w="474" w:type="pct"/>
                  <w:vAlign w:val="center"/>
                </w:tcPr>
                <w:p w14:paraId="0D53397B">
                  <w:pPr>
                    <w:jc w:val="center"/>
                    <w:rPr>
                      <w:sz w:val="18"/>
                      <w:szCs w:val="18"/>
                      <w:highlight w:val="yellow"/>
                    </w:rPr>
                  </w:pPr>
                  <w:r>
                    <w:rPr>
                      <w:color w:val="EE0000"/>
                      <w:sz w:val="18"/>
                      <w:szCs w:val="18"/>
                      <w:u w:val="single"/>
                    </w:rPr>
                    <w:t>0.012</w:t>
                  </w:r>
                </w:p>
              </w:tc>
              <w:tc>
                <w:tcPr>
                  <w:tcW w:w="557" w:type="pct"/>
                  <w:vAlign w:val="center"/>
                </w:tcPr>
                <w:p w14:paraId="4CD0CF5E">
                  <w:pPr>
                    <w:jc w:val="center"/>
                    <w:rPr>
                      <w:sz w:val="18"/>
                      <w:szCs w:val="18"/>
                      <w:highlight w:val="yellow"/>
                    </w:rPr>
                  </w:pPr>
                  <w:r>
                    <w:rPr>
                      <w:color w:val="EE0000"/>
                      <w:sz w:val="18"/>
                      <w:szCs w:val="18"/>
                      <w:u w:val="single"/>
                    </w:rPr>
                    <w:t>/</w:t>
                  </w:r>
                </w:p>
              </w:tc>
              <w:tc>
                <w:tcPr>
                  <w:tcW w:w="516" w:type="pct"/>
                  <w:vAlign w:val="center"/>
                </w:tcPr>
                <w:p w14:paraId="01B01F05">
                  <w:pPr>
                    <w:jc w:val="center"/>
                    <w:rPr>
                      <w:sz w:val="18"/>
                      <w:szCs w:val="18"/>
                      <w:highlight w:val="yellow"/>
                    </w:rPr>
                  </w:pPr>
                  <w:r>
                    <w:rPr>
                      <w:color w:val="EE0000"/>
                      <w:sz w:val="18"/>
                      <w:szCs w:val="18"/>
                      <w:u w:val="single"/>
                    </w:rPr>
                    <w:t>/</w:t>
                  </w:r>
                </w:p>
              </w:tc>
              <w:tc>
                <w:tcPr>
                  <w:tcW w:w="511" w:type="pct"/>
                  <w:vAlign w:val="center"/>
                </w:tcPr>
                <w:p w14:paraId="5CA2BC6F">
                  <w:pPr>
                    <w:jc w:val="center"/>
                    <w:rPr>
                      <w:sz w:val="18"/>
                      <w:szCs w:val="18"/>
                      <w:highlight w:val="yellow"/>
                    </w:rPr>
                  </w:pPr>
                  <w:r>
                    <w:rPr>
                      <w:color w:val="EE0000"/>
                      <w:sz w:val="18"/>
                      <w:szCs w:val="18"/>
                      <w:u w:val="single"/>
                    </w:rPr>
                    <w:t>/</w:t>
                  </w:r>
                </w:p>
              </w:tc>
              <w:tc>
                <w:tcPr>
                  <w:tcW w:w="473" w:type="pct"/>
                  <w:vAlign w:val="center"/>
                </w:tcPr>
                <w:p w14:paraId="6A23E250">
                  <w:pPr>
                    <w:jc w:val="center"/>
                    <w:rPr>
                      <w:sz w:val="18"/>
                      <w:szCs w:val="18"/>
                      <w:highlight w:val="yellow"/>
                    </w:rPr>
                  </w:pPr>
                  <w:r>
                    <w:rPr>
                      <w:color w:val="EE0000"/>
                      <w:sz w:val="18"/>
                      <w:szCs w:val="18"/>
                      <w:u w:val="single"/>
                    </w:rPr>
                    <w:t>0.0012</w:t>
                  </w:r>
                </w:p>
              </w:tc>
              <w:tc>
                <w:tcPr>
                  <w:tcW w:w="611" w:type="pct"/>
                  <w:vAlign w:val="center"/>
                </w:tcPr>
                <w:p w14:paraId="7DAE0ECB">
                  <w:pPr>
                    <w:jc w:val="center"/>
                    <w:rPr>
                      <w:sz w:val="18"/>
                      <w:szCs w:val="18"/>
                      <w:highlight w:val="yellow"/>
                    </w:rPr>
                  </w:pPr>
                  <w:r>
                    <w:rPr>
                      <w:color w:val="EE0000"/>
                      <w:sz w:val="18"/>
                      <w:szCs w:val="18"/>
                      <w:u w:val="single"/>
                    </w:rPr>
                    <w:t>/</w:t>
                  </w:r>
                </w:p>
              </w:tc>
              <w:tc>
                <w:tcPr>
                  <w:tcW w:w="519" w:type="pct"/>
                  <w:vAlign w:val="center"/>
                </w:tcPr>
                <w:p w14:paraId="197A8BFE">
                  <w:pPr>
                    <w:jc w:val="center"/>
                    <w:rPr>
                      <w:sz w:val="18"/>
                      <w:szCs w:val="18"/>
                    </w:rPr>
                  </w:pPr>
                  <w:r>
                    <w:rPr>
                      <w:color w:val="EE0000"/>
                      <w:sz w:val="18"/>
                      <w:szCs w:val="18"/>
                      <w:u w:val="single"/>
                    </w:rPr>
                    <w:t>/</w:t>
                  </w:r>
                </w:p>
              </w:tc>
            </w:tr>
            <w:tr w14:paraId="420F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4" w:type="pct"/>
                  <w:vAlign w:val="center"/>
                </w:tcPr>
                <w:p w14:paraId="352048E3">
                  <w:pPr>
                    <w:jc w:val="center"/>
                    <w:rPr>
                      <w:color w:val="EE0000"/>
                      <w:sz w:val="18"/>
                      <w:szCs w:val="18"/>
                      <w:u w:val="single"/>
                    </w:rPr>
                  </w:pPr>
                  <w:r>
                    <w:rPr>
                      <w:color w:val="EE0000"/>
                      <w:sz w:val="18"/>
                      <w:szCs w:val="18"/>
                      <w:u w:val="single"/>
                    </w:rPr>
                    <w:t>8</w:t>
                  </w:r>
                </w:p>
              </w:tc>
              <w:tc>
                <w:tcPr>
                  <w:tcW w:w="514" w:type="pct"/>
                  <w:vAlign w:val="center"/>
                </w:tcPr>
                <w:p w14:paraId="32990269">
                  <w:pPr>
                    <w:jc w:val="center"/>
                    <w:rPr>
                      <w:color w:val="EE0000"/>
                      <w:sz w:val="18"/>
                      <w:szCs w:val="18"/>
                      <w:u w:val="single"/>
                    </w:rPr>
                  </w:pPr>
                  <w:r>
                    <w:rPr>
                      <w:color w:val="EE0000"/>
                      <w:sz w:val="18"/>
                      <w:szCs w:val="18"/>
                      <w:u w:val="single"/>
                    </w:rPr>
                    <w:t>铬</w:t>
                  </w:r>
                </w:p>
              </w:tc>
              <w:tc>
                <w:tcPr>
                  <w:tcW w:w="401" w:type="pct"/>
                  <w:vAlign w:val="center"/>
                </w:tcPr>
                <w:p w14:paraId="32FE36BC">
                  <w:pPr>
                    <w:jc w:val="center"/>
                    <w:rPr>
                      <w:sz w:val="18"/>
                      <w:szCs w:val="18"/>
                      <w:highlight w:val="yellow"/>
                    </w:rPr>
                  </w:pPr>
                  <w:r>
                    <w:rPr>
                      <w:color w:val="EE0000"/>
                      <w:sz w:val="18"/>
                      <w:szCs w:val="18"/>
                      <w:u w:val="single"/>
                    </w:rPr>
                    <w:t>/</w:t>
                  </w:r>
                </w:p>
              </w:tc>
              <w:tc>
                <w:tcPr>
                  <w:tcW w:w="474" w:type="pct"/>
                  <w:vAlign w:val="center"/>
                </w:tcPr>
                <w:p w14:paraId="5D8693CD">
                  <w:pPr>
                    <w:jc w:val="center"/>
                    <w:rPr>
                      <w:sz w:val="18"/>
                      <w:szCs w:val="18"/>
                      <w:highlight w:val="yellow"/>
                    </w:rPr>
                  </w:pPr>
                  <w:r>
                    <w:rPr>
                      <w:color w:val="EE0000"/>
                      <w:sz w:val="18"/>
                      <w:szCs w:val="18"/>
                      <w:u w:val="single"/>
                    </w:rPr>
                    <w:t>0.004</w:t>
                  </w:r>
                </w:p>
              </w:tc>
              <w:tc>
                <w:tcPr>
                  <w:tcW w:w="557" w:type="pct"/>
                  <w:vAlign w:val="center"/>
                </w:tcPr>
                <w:p w14:paraId="0EE10095">
                  <w:pPr>
                    <w:jc w:val="center"/>
                    <w:rPr>
                      <w:sz w:val="18"/>
                      <w:szCs w:val="18"/>
                      <w:highlight w:val="yellow"/>
                    </w:rPr>
                  </w:pPr>
                  <w:r>
                    <w:rPr>
                      <w:color w:val="EE0000"/>
                      <w:sz w:val="18"/>
                      <w:szCs w:val="18"/>
                      <w:u w:val="single"/>
                    </w:rPr>
                    <w:t>/</w:t>
                  </w:r>
                </w:p>
              </w:tc>
              <w:tc>
                <w:tcPr>
                  <w:tcW w:w="516" w:type="pct"/>
                  <w:vAlign w:val="center"/>
                </w:tcPr>
                <w:p w14:paraId="68E01730">
                  <w:pPr>
                    <w:jc w:val="center"/>
                    <w:rPr>
                      <w:sz w:val="18"/>
                      <w:szCs w:val="18"/>
                      <w:highlight w:val="yellow"/>
                    </w:rPr>
                  </w:pPr>
                  <w:r>
                    <w:rPr>
                      <w:color w:val="EE0000"/>
                      <w:sz w:val="18"/>
                      <w:szCs w:val="18"/>
                      <w:u w:val="single"/>
                    </w:rPr>
                    <w:t>/</w:t>
                  </w:r>
                </w:p>
              </w:tc>
              <w:tc>
                <w:tcPr>
                  <w:tcW w:w="511" w:type="pct"/>
                  <w:vAlign w:val="center"/>
                </w:tcPr>
                <w:p w14:paraId="77E67C14">
                  <w:pPr>
                    <w:jc w:val="center"/>
                    <w:rPr>
                      <w:sz w:val="18"/>
                      <w:szCs w:val="18"/>
                      <w:highlight w:val="yellow"/>
                    </w:rPr>
                  </w:pPr>
                  <w:r>
                    <w:rPr>
                      <w:color w:val="EE0000"/>
                      <w:sz w:val="18"/>
                      <w:szCs w:val="18"/>
                      <w:u w:val="single"/>
                    </w:rPr>
                    <w:t>/</w:t>
                  </w:r>
                </w:p>
              </w:tc>
              <w:tc>
                <w:tcPr>
                  <w:tcW w:w="473" w:type="pct"/>
                  <w:vAlign w:val="center"/>
                </w:tcPr>
                <w:p w14:paraId="6032FDD4">
                  <w:pPr>
                    <w:jc w:val="center"/>
                    <w:rPr>
                      <w:sz w:val="18"/>
                      <w:szCs w:val="18"/>
                      <w:highlight w:val="yellow"/>
                    </w:rPr>
                  </w:pPr>
                  <w:r>
                    <w:rPr>
                      <w:color w:val="EE0000"/>
                      <w:sz w:val="18"/>
                      <w:szCs w:val="18"/>
                      <w:u w:val="single"/>
                    </w:rPr>
                    <w:t>0.0004</w:t>
                  </w:r>
                </w:p>
              </w:tc>
              <w:tc>
                <w:tcPr>
                  <w:tcW w:w="611" w:type="pct"/>
                  <w:vAlign w:val="center"/>
                </w:tcPr>
                <w:p w14:paraId="1F40A3E1">
                  <w:pPr>
                    <w:jc w:val="center"/>
                    <w:rPr>
                      <w:sz w:val="18"/>
                      <w:szCs w:val="18"/>
                      <w:highlight w:val="yellow"/>
                    </w:rPr>
                  </w:pPr>
                  <w:r>
                    <w:rPr>
                      <w:color w:val="EE0000"/>
                      <w:sz w:val="18"/>
                      <w:szCs w:val="18"/>
                      <w:u w:val="single"/>
                    </w:rPr>
                    <w:t>/</w:t>
                  </w:r>
                </w:p>
              </w:tc>
              <w:tc>
                <w:tcPr>
                  <w:tcW w:w="519" w:type="pct"/>
                  <w:vAlign w:val="center"/>
                </w:tcPr>
                <w:p w14:paraId="0DDBBDDE">
                  <w:pPr>
                    <w:jc w:val="center"/>
                    <w:rPr>
                      <w:sz w:val="18"/>
                      <w:szCs w:val="18"/>
                    </w:rPr>
                  </w:pPr>
                  <w:r>
                    <w:rPr>
                      <w:color w:val="EE0000"/>
                      <w:sz w:val="18"/>
                      <w:szCs w:val="18"/>
                      <w:u w:val="single"/>
                    </w:rPr>
                    <w:t>/</w:t>
                  </w:r>
                </w:p>
              </w:tc>
            </w:tr>
            <w:tr w14:paraId="5568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4" w:type="pct"/>
                  <w:vAlign w:val="center"/>
                </w:tcPr>
                <w:p w14:paraId="6B9126B6">
                  <w:pPr>
                    <w:jc w:val="center"/>
                    <w:rPr>
                      <w:color w:val="EE0000"/>
                      <w:sz w:val="18"/>
                      <w:szCs w:val="18"/>
                      <w:u w:val="single"/>
                    </w:rPr>
                  </w:pPr>
                  <w:r>
                    <w:rPr>
                      <w:color w:val="EE0000"/>
                      <w:sz w:val="18"/>
                      <w:szCs w:val="18"/>
                      <w:u w:val="single"/>
                    </w:rPr>
                    <w:t>9</w:t>
                  </w:r>
                </w:p>
              </w:tc>
              <w:tc>
                <w:tcPr>
                  <w:tcW w:w="514" w:type="pct"/>
                  <w:vAlign w:val="center"/>
                </w:tcPr>
                <w:p w14:paraId="3A86F97F">
                  <w:pPr>
                    <w:jc w:val="center"/>
                    <w:rPr>
                      <w:color w:val="EE0000"/>
                      <w:sz w:val="18"/>
                      <w:szCs w:val="18"/>
                      <w:u w:val="single"/>
                    </w:rPr>
                  </w:pPr>
                  <w:r>
                    <w:rPr>
                      <w:bCs/>
                      <w:color w:val="EE0000"/>
                      <w:sz w:val="18"/>
                      <w:szCs w:val="18"/>
                      <w:u w:val="single"/>
                    </w:rPr>
                    <w:t>砷</w:t>
                  </w:r>
                </w:p>
              </w:tc>
              <w:tc>
                <w:tcPr>
                  <w:tcW w:w="401" w:type="pct"/>
                  <w:vAlign w:val="center"/>
                </w:tcPr>
                <w:p w14:paraId="671E4DD5">
                  <w:pPr>
                    <w:jc w:val="center"/>
                    <w:rPr>
                      <w:sz w:val="18"/>
                      <w:szCs w:val="18"/>
                      <w:highlight w:val="yellow"/>
                    </w:rPr>
                  </w:pPr>
                  <w:r>
                    <w:rPr>
                      <w:color w:val="EE0000"/>
                      <w:sz w:val="18"/>
                      <w:szCs w:val="18"/>
                      <w:u w:val="single"/>
                    </w:rPr>
                    <w:t>/</w:t>
                  </w:r>
                </w:p>
              </w:tc>
              <w:tc>
                <w:tcPr>
                  <w:tcW w:w="474" w:type="pct"/>
                  <w:vAlign w:val="center"/>
                </w:tcPr>
                <w:p w14:paraId="109CD646">
                  <w:pPr>
                    <w:jc w:val="center"/>
                    <w:rPr>
                      <w:sz w:val="18"/>
                      <w:szCs w:val="18"/>
                      <w:highlight w:val="yellow"/>
                    </w:rPr>
                  </w:pPr>
                  <w:r>
                    <w:rPr>
                      <w:color w:val="EE0000"/>
                      <w:sz w:val="18"/>
                      <w:szCs w:val="18"/>
                      <w:u w:val="single"/>
                    </w:rPr>
                    <w:t>0.002</w:t>
                  </w:r>
                </w:p>
              </w:tc>
              <w:tc>
                <w:tcPr>
                  <w:tcW w:w="557" w:type="pct"/>
                  <w:vAlign w:val="center"/>
                </w:tcPr>
                <w:p w14:paraId="6BD4F280">
                  <w:pPr>
                    <w:jc w:val="center"/>
                    <w:rPr>
                      <w:sz w:val="18"/>
                      <w:szCs w:val="18"/>
                      <w:highlight w:val="yellow"/>
                    </w:rPr>
                  </w:pPr>
                  <w:r>
                    <w:rPr>
                      <w:color w:val="EE0000"/>
                      <w:sz w:val="18"/>
                      <w:szCs w:val="18"/>
                      <w:u w:val="single"/>
                    </w:rPr>
                    <w:t>/</w:t>
                  </w:r>
                </w:p>
              </w:tc>
              <w:tc>
                <w:tcPr>
                  <w:tcW w:w="516" w:type="pct"/>
                  <w:vAlign w:val="center"/>
                </w:tcPr>
                <w:p w14:paraId="636805BE">
                  <w:pPr>
                    <w:jc w:val="center"/>
                    <w:rPr>
                      <w:sz w:val="18"/>
                      <w:szCs w:val="18"/>
                      <w:highlight w:val="yellow"/>
                    </w:rPr>
                  </w:pPr>
                  <w:r>
                    <w:rPr>
                      <w:color w:val="EE0000"/>
                      <w:sz w:val="18"/>
                      <w:szCs w:val="18"/>
                      <w:u w:val="single"/>
                    </w:rPr>
                    <w:t>/</w:t>
                  </w:r>
                </w:p>
              </w:tc>
              <w:tc>
                <w:tcPr>
                  <w:tcW w:w="511" w:type="pct"/>
                  <w:vAlign w:val="center"/>
                </w:tcPr>
                <w:p w14:paraId="28B143EF">
                  <w:pPr>
                    <w:jc w:val="center"/>
                    <w:rPr>
                      <w:sz w:val="18"/>
                      <w:szCs w:val="18"/>
                      <w:highlight w:val="yellow"/>
                    </w:rPr>
                  </w:pPr>
                  <w:r>
                    <w:rPr>
                      <w:color w:val="EE0000"/>
                      <w:sz w:val="18"/>
                      <w:szCs w:val="18"/>
                      <w:u w:val="single"/>
                    </w:rPr>
                    <w:t>/</w:t>
                  </w:r>
                </w:p>
              </w:tc>
              <w:tc>
                <w:tcPr>
                  <w:tcW w:w="473" w:type="pct"/>
                  <w:vAlign w:val="center"/>
                </w:tcPr>
                <w:p w14:paraId="3387EF9B">
                  <w:pPr>
                    <w:jc w:val="center"/>
                    <w:rPr>
                      <w:sz w:val="18"/>
                      <w:szCs w:val="18"/>
                      <w:highlight w:val="yellow"/>
                    </w:rPr>
                  </w:pPr>
                  <w:r>
                    <w:rPr>
                      <w:color w:val="EE0000"/>
                      <w:sz w:val="18"/>
                      <w:szCs w:val="18"/>
                      <w:u w:val="single"/>
                    </w:rPr>
                    <w:t>0.0002</w:t>
                  </w:r>
                </w:p>
              </w:tc>
              <w:tc>
                <w:tcPr>
                  <w:tcW w:w="611" w:type="pct"/>
                  <w:vAlign w:val="center"/>
                </w:tcPr>
                <w:p w14:paraId="00FFE79A">
                  <w:pPr>
                    <w:jc w:val="center"/>
                    <w:rPr>
                      <w:sz w:val="18"/>
                      <w:szCs w:val="18"/>
                      <w:highlight w:val="yellow"/>
                    </w:rPr>
                  </w:pPr>
                  <w:r>
                    <w:rPr>
                      <w:color w:val="EE0000"/>
                      <w:sz w:val="18"/>
                      <w:szCs w:val="18"/>
                      <w:u w:val="single"/>
                    </w:rPr>
                    <w:t>/</w:t>
                  </w:r>
                </w:p>
              </w:tc>
              <w:tc>
                <w:tcPr>
                  <w:tcW w:w="519" w:type="pct"/>
                  <w:vAlign w:val="center"/>
                </w:tcPr>
                <w:p w14:paraId="7464ADB3">
                  <w:pPr>
                    <w:jc w:val="center"/>
                    <w:rPr>
                      <w:sz w:val="18"/>
                      <w:szCs w:val="18"/>
                    </w:rPr>
                  </w:pPr>
                  <w:r>
                    <w:rPr>
                      <w:color w:val="EE0000"/>
                      <w:sz w:val="18"/>
                      <w:szCs w:val="18"/>
                      <w:u w:val="single"/>
                    </w:rPr>
                    <w:t>/</w:t>
                  </w:r>
                </w:p>
              </w:tc>
            </w:tr>
            <w:tr w14:paraId="6C7E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4" w:type="pct"/>
                  <w:vAlign w:val="center"/>
                </w:tcPr>
                <w:p w14:paraId="27DE5C2D">
                  <w:pPr>
                    <w:jc w:val="center"/>
                    <w:rPr>
                      <w:color w:val="EE0000"/>
                      <w:sz w:val="18"/>
                      <w:szCs w:val="18"/>
                      <w:u w:val="single"/>
                    </w:rPr>
                  </w:pPr>
                  <w:r>
                    <w:rPr>
                      <w:color w:val="EE0000"/>
                      <w:sz w:val="18"/>
                      <w:szCs w:val="18"/>
                      <w:u w:val="single"/>
                    </w:rPr>
                    <w:t>10</w:t>
                  </w:r>
                </w:p>
              </w:tc>
              <w:tc>
                <w:tcPr>
                  <w:tcW w:w="514" w:type="pct"/>
                  <w:vAlign w:val="center"/>
                </w:tcPr>
                <w:p w14:paraId="1882E6E4">
                  <w:pPr>
                    <w:jc w:val="center"/>
                    <w:rPr>
                      <w:color w:val="EE0000"/>
                      <w:sz w:val="18"/>
                      <w:szCs w:val="18"/>
                      <w:u w:val="single"/>
                    </w:rPr>
                  </w:pPr>
                  <w:r>
                    <w:rPr>
                      <w:bCs/>
                      <w:color w:val="EE0000"/>
                      <w:sz w:val="18"/>
                      <w:szCs w:val="18"/>
                      <w:u w:val="single"/>
                    </w:rPr>
                    <w:t>锌</w:t>
                  </w:r>
                </w:p>
              </w:tc>
              <w:tc>
                <w:tcPr>
                  <w:tcW w:w="401" w:type="pct"/>
                  <w:vAlign w:val="center"/>
                </w:tcPr>
                <w:p w14:paraId="70E089AC">
                  <w:pPr>
                    <w:jc w:val="center"/>
                    <w:rPr>
                      <w:sz w:val="18"/>
                      <w:szCs w:val="18"/>
                      <w:highlight w:val="yellow"/>
                    </w:rPr>
                  </w:pPr>
                  <w:r>
                    <w:rPr>
                      <w:color w:val="EE0000"/>
                      <w:sz w:val="18"/>
                      <w:szCs w:val="18"/>
                      <w:u w:val="single"/>
                    </w:rPr>
                    <w:t>/</w:t>
                  </w:r>
                </w:p>
              </w:tc>
              <w:tc>
                <w:tcPr>
                  <w:tcW w:w="474" w:type="pct"/>
                  <w:vAlign w:val="center"/>
                </w:tcPr>
                <w:p w14:paraId="710E8B4F">
                  <w:pPr>
                    <w:jc w:val="center"/>
                    <w:rPr>
                      <w:sz w:val="18"/>
                      <w:szCs w:val="18"/>
                      <w:highlight w:val="yellow"/>
                    </w:rPr>
                  </w:pPr>
                  <w:r>
                    <w:rPr>
                      <w:color w:val="EE0000"/>
                      <w:sz w:val="18"/>
                      <w:szCs w:val="18"/>
                      <w:u w:val="single"/>
                    </w:rPr>
                    <w:t>0.407</w:t>
                  </w:r>
                </w:p>
              </w:tc>
              <w:tc>
                <w:tcPr>
                  <w:tcW w:w="557" w:type="pct"/>
                  <w:vAlign w:val="center"/>
                </w:tcPr>
                <w:p w14:paraId="56035168">
                  <w:pPr>
                    <w:jc w:val="center"/>
                    <w:rPr>
                      <w:sz w:val="18"/>
                      <w:szCs w:val="18"/>
                      <w:highlight w:val="yellow"/>
                    </w:rPr>
                  </w:pPr>
                  <w:r>
                    <w:rPr>
                      <w:color w:val="EE0000"/>
                      <w:sz w:val="18"/>
                      <w:szCs w:val="18"/>
                      <w:u w:val="single"/>
                    </w:rPr>
                    <w:t>/</w:t>
                  </w:r>
                </w:p>
              </w:tc>
              <w:tc>
                <w:tcPr>
                  <w:tcW w:w="516" w:type="pct"/>
                  <w:vAlign w:val="center"/>
                </w:tcPr>
                <w:p w14:paraId="5856D86C">
                  <w:pPr>
                    <w:jc w:val="center"/>
                    <w:rPr>
                      <w:sz w:val="18"/>
                      <w:szCs w:val="18"/>
                      <w:highlight w:val="yellow"/>
                    </w:rPr>
                  </w:pPr>
                  <w:r>
                    <w:rPr>
                      <w:color w:val="EE0000"/>
                      <w:sz w:val="18"/>
                      <w:szCs w:val="18"/>
                      <w:u w:val="single"/>
                    </w:rPr>
                    <w:t>/</w:t>
                  </w:r>
                </w:p>
              </w:tc>
              <w:tc>
                <w:tcPr>
                  <w:tcW w:w="511" w:type="pct"/>
                  <w:vAlign w:val="center"/>
                </w:tcPr>
                <w:p w14:paraId="16B998AE">
                  <w:pPr>
                    <w:jc w:val="center"/>
                    <w:rPr>
                      <w:sz w:val="18"/>
                      <w:szCs w:val="18"/>
                      <w:highlight w:val="yellow"/>
                    </w:rPr>
                  </w:pPr>
                  <w:r>
                    <w:rPr>
                      <w:color w:val="EE0000"/>
                      <w:sz w:val="18"/>
                      <w:szCs w:val="18"/>
                      <w:u w:val="single"/>
                    </w:rPr>
                    <w:t>/</w:t>
                  </w:r>
                </w:p>
              </w:tc>
              <w:tc>
                <w:tcPr>
                  <w:tcW w:w="473" w:type="pct"/>
                  <w:vAlign w:val="center"/>
                </w:tcPr>
                <w:p w14:paraId="6922FED6">
                  <w:pPr>
                    <w:jc w:val="center"/>
                    <w:rPr>
                      <w:sz w:val="18"/>
                      <w:szCs w:val="18"/>
                      <w:highlight w:val="yellow"/>
                    </w:rPr>
                  </w:pPr>
                  <w:r>
                    <w:rPr>
                      <w:color w:val="EE0000"/>
                      <w:sz w:val="18"/>
                      <w:szCs w:val="18"/>
                      <w:u w:val="single"/>
                    </w:rPr>
                    <w:t>0.0407</w:t>
                  </w:r>
                </w:p>
              </w:tc>
              <w:tc>
                <w:tcPr>
                  <w:tcW w:w="611" w:type="pct"/>
                  <w:vAlign w:val="center"/>
                </w:tcPr>
                <w:p w14:paraId="7E973759">
                  <w:pPr>
                    <w:jc w:val="center"/>
                    <w:rPr>
                      <w:sz w:val="18"/>
                      <w:szCs w:val="18"/>
                      <w:highlight w:val="yellow"/>
                    </w:rPr>
                  </w:pPr>
                  <w:r>
                    <w:rPr>
                      <w:color w:val="EE0000"/>
                      <w:sz w:val="18"/>
                      <w:szCs w:val="18"/>
                      <w:u w:val="single"/>
                    </w:rPr>
                    <w:t>/</w:t>
                  </w:r>
                </w:p>
              </w:tc>
              <w:tc>
                <w:tcPr>
                  <w:tcW w:w="519" w:type="pct"/>
                  <w:vAlign w:val="center"/>
                </w:tcPr>
                <w:p w14:paraId="0A3348D9">
                  <w:pPr>
                    <w:jc w:val="center"/>
                    <w:rPr>
                      <w:sz w:val="18"/>
                      <w:szCs w:val="18"/>
                    </w:rPr>
                  </w:pPr>
                  <w:r>
                    <w:rPr>
                      <w:color w:val="EE0000"/>
                      <w:sz w:val="18"/>
                      <w:szCs w:val="18"/>
                      <w:u w:val="single"/>
                    </w:rPr>
                    <w:t>/</w:t>
                  </w:r>
                </w:p>
              </w:tc>
            </w:tr>
            <w:tr w14:paraId="2B84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424" w:type="pct"/>
                  <w:vAlign w:val="center"/>
                </w:tcPr>
                <w:p w14:paraId="45A39AFE">
                  <w:pPr>
                    <w:jc w:val="center"/>
                    <w:rPr>
                      <w:color w:val="EE0000"/>
                      <w:sz w:val="18"/>
                      <w:szCs w:val="18"/>
                      <w:u w:val="single"/>
                    </w:rPr>
                  </w:pPr>
                  <w:r>
                    <w:rPr>
                      <w:color w:val="EE0000"/>
                      <w:sz w:val="18"/>
                      <w:szCs w:val="18"/>
                      <w:u w:val="single"/>
                    </w:rPr>
                    <w:t>11</w:t>
                  </w:r>
                </w:p>
              </w:tc>
              <w:tc>
                <w:tcPr>
                  <w:tcW w:w="514" w:type="pct"/>
                  <w:vAlign w:val="center"/>
                </w:tcPr>
                <w:p w14:paraId="307DEDCC">
                  <w:pPr>
                    <w:jc w:val="center"/>
                    <w:rPr>
                      <w:color w:val="EE0000"/>
                      <w:sz w:val="18"/>
                      <w:szCs w:val="18"/>
                      <w:u w:val="single"/>
                    </w:rPr>
                  </w:pPr>
                  <w:r>
                    <w:rPr>
                      <w:bCs/>
                      <w:color w:val="EE0000"/>
                      <w:sz w:val="18"/>
                      <w:szCs w:val="18"/>
                      <w:u w:val="single"/>
                    </w:rPr>
                    <w:t>铜</w:t>
                  </w:r>
                </w:p>
              </w:tc>
              <w:tc>
                <w:tcPr>
                  <w:tcW w:w="401" w:type="pct"/>
                  <w:vAlign w:val="center"/>
                </w:tcPr>
                <w:p w14:paraId="6A1877AF">
                  <w:pPr>
                    <w:jc w:val="center"/>
                    <w:rPr>
                      <w:sz w:val="18"/>
                      <w:szCs w:val="18"/>
                      <w:highlight w:val="yellow"/>
                    </w:rPr>
                  </w:pPr>
                  <w:r>
                    <w:rPr>
                      <w:color w:val="EE0000"/>
                      <w:sz w:val="18"/>
                      <w:szCs w:val="18"/>
                      <w:u w:val="single"/>
                    </w:rPr>
                    <w:t>/</w:t>
                  </w:r>
                </w:p>
              </w:tc>
              <w:tc>
                <w:tcPr>
                  <w:tcW w:w="474" w:type="pct"/>
                  <w:vAlign w:val="center"/>
                </w:tcPr>
                <w:p w14:paraId="47B466D7">
                  <w:pPr>
                    <w:jc w:val="center"/>
                    <w:rPr>
                      <w:sz w:val="18"/>
                      <w:szCs w:val="18"/>
                      <w:highlight w:val="yellow"/>
                    </w:rPr>
                  </w:pPr>
                  <w:r>
                    <w:rPr>
                      <w:color w:val="EE0000"/>
                      <w:sz w:val="18"/>
                      <w:szCs w:val="18"/>
                      <w:u w:val="single"/>
                    </w:rPr>
                    <w:t>0.047</w:t>
                  </w:r>
                </w:p>
              </w:tc>
              <w:tc>
                <w:tcPr>
                  <w:tcW w:w="557" w:type="pct"/>
                  <w:vAlign w:val="center"/>
                </w:tcPr>
                <w:p w14:paraId="6EDA2004">
                  <w:pPr>
                    <w:jc w:val="center"/>
                    <w:rPr>
                      <w:sz w:val="18"/>
                      <w:szCs w:val="18"/>
                      <w:highlight w:val="yellow"/>
                    </w:rPr>
                  </w:pPr>
                  <w:r>
                    <w:rPr>
                      <w:color w:val="EE0000"/>
                      <w:sz w:val="18"/>
                      <w:szCs w:val="18"/>
                      <w:u w:val="single"/>
                    </w:rPr>
                    <w:t>/</w:t>
                  </w:r>
                </w:p>
              </w:tc>
              <w:tc>
                <w:tcPr>
                  <w:tcW w:w="516" w:type="pct"/>
                  <w:vAlign w:val="center"/>
                </w:tcPr>
                <w:p w14:paraId="410B3875">
                  <w:pPr>
                    <w:jc w:val="center"/>
                    <w:rPr>
                      <w:sz w:val="18"/>
                      <w:szCs w:val="18"/>
                      <w:highlight w:val="yellow"/>
                    </w:rPr>
                  </w:pPr>
                  <w:r>
                    <w:rPr>
                      <w:color w:val="EE0000"/>
                      <w:sz w:val="18"/>
                      <w:szCs w:val="18"/>
                      <w:u w:val="single"/>
                    </w:rPr>
                    <w:t>/</w:t>
                  </w:r>
                </w:p>
              </w:tc>
              <w:tc>
                <w:tcPr>
                  <w:tcW w:w="511" w:type="pct"/>
                  <w:vAlign w:val="center"/>
                </w:tcPr>
                <w:p w14:paraId="6681B5D8">
                  <w:pPr>
                    <w:jc w:val="center"/>
                    <w:rPr>
                      <w:sz w:val="18"/>
                      <w:szCs w:val="18"/>
                      <w:highlight w:val="yellow"/>
                    </w:rPr>
                  </w:pPr>
                  <w:r>
                    <w:rPr>
                      <w:color w:val="EE0000"/>
                      <w:sz w:val="18"/>
                      <w:szCs w:val="18"/>
                      <w:u w:val="single"/>
                    </w:rPr>
                    <w:t>/</w:t>
                  </w:r>
                </w:p>
              </w:tc>
              <w:tc>
                <w:tcPr>
                  <w:tcW w:w="473" w:type="pct"/>
                  <w:vAlign w:val="center"/>
                </w:tcPr>
                <w:p w14:paraId="192A1B67">
                  <w:pPr>
                    <w:jc w:val="center"/>
                    <w:rPr>
                      <w:sz w:val="18"/>
                      <w:szCs w:val="18"/>
                      <w:highlight w:val="yellow"/>
                    </w:rPr>
                  </w:pPr>
                  <w:r>
                    <w:rPr>
                      <w:color w:val="EE0000"/>
                      <w:sz w:val="18"/>
                      <w:szCs w:val="18"/>
                      <w:u w:val="single"/>
                    </w:rPr>
                    <w:t>0.0047</w:t>
                  </w:r>
                </w:p>
              </w:tc>
              <w:tc>
                <w:tcPr>
                  <w:tcW w:w="611" w:type="pct"/>
                  <w:vAlign w:val="center"/>
                </w:tcPr>
                <w:p w14:paraId="7F6A0286">
                  <w:pPr>
                    <w:jc w:val="center"/>
                    <w:rPr>
                      <w:sz w:val="18"/>
                      <w:szCs w:val="18"/>
                      <w:highlight w:val="yellow"/>
                    </w:rPr>
                  </w:pPr>
                  <w:r>
                    <w:rPr>
                      <w:color w:val="EE0000"/>
                      <w:sz w:val="18"/>
                      <w:szCs w:val="18"/>
                      <w:u w:val="single"/>
                    </w:rPr>
                    <w:t>/</w:t>
                  </w:r>
                </w:p>
              </w:tc>
              <w:tc>
                <w:tcPr>
                  <w:tcW w:w="519" w:type="pct"/>
                  <w:vAlign w:val="center"/>
                </w:tcPr>
                <w:p w14:paraId="20EFD328">
                  <w:pPr>
                    <w:jc w:val="center"/>
                    <w:rPr>
                      <w:sz w:val="18"/>
                      <w:szCs w:val="18"/>
                    </w:rPr>
                  </w:pPr>
                  <w:r>
                    <w:rPr>
                      <w:color w:val="EE0000"/>
                      <w:sz w:val="18"/>
                      <w:szCs w:val="18"/>
                      <w:u w:val="single"/>
                    </w:rPr>
                    <w:t>/</w:t>
                  </w:r>
                </w:p>
              </w:tc>
            </w:tr>
            <w:tr w14:paraId="0A48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4" w:type="pct"/>
                  <w:vAlign w:val="center"/>
                </w:tcPr>
                <w:p w14:paraId="10266A17">
                  <w:pPr>
                    <w:jc w:val="center"/>
                    <w:rPr>
                      <w:color w:val="EE0000"/>
                      <w:sz w:val="18"/>
                      <w:szCs w:val="18"/>
                      <w:u w:val="single"/>
                    </w:rPr>
                  </w:pPr>
                  <w:r>
                    <w:rPr>
                      <w:color w:val="EE0000"/>
                      <w:sz w:val="18"/>
                      <w:szCs w:val="18"/>
                      <w:u w:val="single"/>
                    </w:rPr>
                    <w:t>12</w:t>
                  </w:r>
                </w:p>
              </w:tc>
              <w:tc>
                <w:tcPr>
                  <w:tcW w:w="514" w:type="pct"/>
                  <w:vAlign w:val="center"/>
                </w:tcPr>
                <w:p w14:paraId="2CC0B193">
                  <w:pPr>
                    <w:jc w:val="center"/>
                    <w:rPr>
                      <w:color w:val="EE0000"/>
                      <w:sz w:val="18"/>
                      <w:szCs w:val="18"/>
                      <w:u w:val="single"/>
                    </w:rPr>
                  </w:pPr>
                  <w:r>
                    <w:rPr>
                      <w:color w:val="EE0000"/>
                      <w:sz w:val="18"/>
                      <w:szCs w:val="18"/>
                      <w:u w:val="single"/>
                    </w:rPr>
                    <w:t>二噁英类</w:t>
                  </w:r>
                </w:p>
              </w:tc>
              <w:tc>
                <w:tcPr>
                  <w:tcW w:w="401" w:type="pct"/>
                  <w:vAlign w:val="center"/>
                </w:tcPr>
                <w:p w14:paraId="7769173C">
                  <w:pPr>
                    <w:jc w:val="center"/>
                    <w:rPr>
                      <w:sz w:val="18"/>
                      <w:szCs w:val="18"/>
                      <w:highlight w:val="yellow"/>
                    </w:rPr>
                  </w:pPr>
                  <w:r>
                    <w:rPr>
                      <w:color w:val="EE0000"/>
                      <w:sz w:val="18"/>
                      <w:szCs w:val="18"/>
                      <w:u w:val="single"/>
                    </w:rPr>
                    <w:t>/</w:t>
                  </w:r>
                </w:p>
              </w:tc>
              <w:tc>
                <w:tcPr>
                  <w:tcW w:w="474" w:type="pct"/>
                  <w:vAlign w:val="center"/>
                </w:tcPr>
                <w:p w14:paraId="15AD59E7">
                  <w:pPr>
                    <w:jc w:val="center"/>
                    <w:rPr>
                      <w:color w:val="EE0000"/>
                      <w:sz w:val="18"/>
                      <w:szCs w:val="18"/>
                      <w:u w:val="single"/>
                    </w:rPr>
                  </w:pPr>
                  <w:r>
                    <w:rPr>
                      <w:color w:val="EE0000"/>
                      <w:sz w:val="18"/>
                      <w:szCs w:val="18"/>
                      <w:u w:val="single"/>
                    </w:rPr>
                    <w:t>0.675</w:t>
                  </w:r>
                </w:p>
                <w:p w14:paraId="365EA532">
                  <w:pPr>
                    <w:jc w:val="center"/>
                    <w:rPr>
                      <w:sz w:val="18"/>
                      <w:szCs w:val="18"/>
                      <w:highlight w:val="yellow"/>
                    </w:rPr>
                  </w:pPr>
                  <w:r>
                    <w:rPr>
                      <w:color w:val="EE0000"/>
                      <w:sz w:val="18"/>
                      <w:szCs w:val="18"/>
                      <w:u w:val="single"/>
                    </w:rPr>
                    <w:t>mg/a</w:t>
                  </w:r>
                </w:p>
              </w:tc>
              <w:tc>
                <w:tcPr>
                  <w:tcW w:w="557" w:type="pct"/>
                  <w:vAlign w:val="center"/>
                </w:tcPr>
                <w:p w14:paraId="67F4446E">
                  <w:pPr>
                    <w:jc w:val="center"/>
                    <w:rPr>
                      <w:sz w:val="18"/>
                      <w:szCs w:val="18"/>
                      <w:highlight w:val="yellow"/>
                    </w:rPr>
                  </w:pPr>
                  <w:r>
                    <w:rPr>
                      <w:color w:val="EE0000"/>
                      <w:sz w:val="18"/>
                      <w:szCs w:val="18"/>
                      <w:u w:val="single"/>
                    </w:rPr>
                    <w:t>/</w:t>
                  </w:r>
                </w:p>
              </w:tc>
              <w:tc>
                <w:tcPr>
                  <w:tcW w:w="516" w:type="pct"/>
                  <w:vAlign w:val="center"/>
                </w:tcPr>
                <w:p w14:paraId="20F224ED">
                  <w:pPr>
                    <w:jc w:val="center"/>
                    <w:rPr>
                      <w:sz w:val="18"/>
                      <w:szCs w:val="18"/>
                      <w:highlight w:val="yellow"/>
                    </w:rPr>
                  </w:pPr>
                  <w:r>
                    <w:rPr>
                      <w:color w:val="EE0000"/>
                      <w:sz w:val="18"/>
                      <w:szCs w:val="18"/>
                      <w:u w:val="single"/>
                    </w:rPr>
                    <w:t>/</w:t>
                  </w:r>
                </w:p>
              </w:tc>
              <w:tc>
                <w:tcPr>
                  <w:tcW w:w="511" w:type="pct"/>
                  <w:vAlign w:val="center"/>
                </w:tcPr>
                <w:p w14:paraId="047F6055">
                  <w:pPr>
                    <w:jc w:val="center"/>
                    <w:rPr>
                      <w:sz w:val="18"/>
                      <w:szCs w:val="18"/>
                      <w:highlight w:val="yellow"/>
                    </w:rPr>
                  </w:pPr>
                  <w:r>
                    <w:rPr>
                      <w:color w:val="EE0000"/>
                      <w:sz w:val="18"/>
                      <w:szCs w:val="18"/>
                      <w:u w:val="single"/>
                    </w:rPr>
                    <w:t>/</w:t>
                  </w:r>
                </w:p>
              </w:tc>
              <w:tc>
                <w:tcPr>
                  <w:tcW w:w="473" w:type="pct"/>
                  <w:vAlign w:val="center"/>
                </w:tcPr>
                <w:p w14:paraId="259F5441">
                  <w:pPr>
                    <w:jc w:val="center"/>
                    <w:rPr>
                      <w:color w:val="EE0000"/>
                      <w:sz w:val="18"/>
                      <w:szCs w:val="18"/>
                      <w:u w:val="single"/>
                    </w:rPr>
                  </w:pPr>
                  <w:r>
                    <w:rPr>
                      <w:color w:val="EE0000"/>
                      <w:sz w:val="18"/>
                      <w:szCs w:val="18"/>
                      <w:u w:val="single"/>
                    </w:rPr>
                    <w:t>0.675</w:t>
                  </w:r>
                </w:p>
                <w:p w14:paraId="6C6FFE01">
                  <w:pPr>
                    <w:jc w:val="center"/>
                    <w:rPr>
                      <w:sz w:val="18"/>
                      <w:szCs w:val="18"/>
                      <w:highlight w:val="yellow"/>
                    </w:rPr>
                  </w:pPr>
                  <w:r>
                    <w:rPr>
                      <w:color w:val="EE0000"/>
                      <w:sz w:val="18"/>
                      <w:szCs w:val="18"/>
                      <w:u w:val="single"/>
                    </w:rPr>
                    <w:t>mg/a</w:t>
                  </w:r>
                </w:p>
              </w:tc>
              <w:tc>
                <w:tcPr>
                  <w:tcW w:w="611" w:type="pct"/>
                  <w:vAlign w:val="center"/>
                </w:tcPr>
                <w:p w14:paraId="1F7055A4">
                  <w:pPr>
                    <w:jc w:val="center"/>
                    <w:rPr>
                      <w:sz w:val="18"/>
                      <w:szCs w:val="18"/>
                      <w:highlight w:val="yellow"/>
                    </w:rPr>
                  </w:pPr>
                  <w:r>
                    <w:rPr>
                      <w:color w:val="EE0000"/>
                      <w:sz w:val="18"/>
                      <w:szCs w:val="18"/>
                      <w:u w:val="single"/>
                    </w:rPr>
                    <w:t>/</w:t>
                  </w:r>
                </w:p>
              </w:tc>
              <w:tc>
                <w:tcPr>
                  <w:tcW w:w="519" w:type="pct"/>
                  <w:vAlign w:val="center"/>
                </w:tcPr>
                <w:p w14:paraId="33922FFF">
                  <w:pPr>
                    <w:jc w:val="center"/>
                    <w:rPr>
                      <w:sz w:val="18"/>
                      <w:szCs w:val="18"/>
                    </w:rPr>
                  </w:pPr>
                  <w:r>
                    <w:rPr>
                      <w:color w:val="EE0000"/>
                      <w:sz w:val="18"/>
                      <w:szCs w:val="18"/>
                      <w:u w:val="single"/>
                    </w:rPr>
                    <w:t>/</w:t>
                  </w:r>
                </w:p>
              </w:tc>
            </w:tr>
            <w:tr w14:paraId="3953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4" w:type="pct"/>
                  <w:vAlign w:val="center"/>
                </w:tcPr>
                <w:p w14:paraId="0CC22E48">
                  <w:pPr>
                    <w:jc w:val="center"/>
                    <w:rPr>
                      <w:color w:val="EE0000"/>
                      <w:sz w:val="18"/>
                      <w:szCs w:val="18"/>
                      <w:u w:val="single"/>
                    </w:rPr>
                  </w:pPr>
                  <w:r>
                    <w:rPr>
                      <w:color w:val="EE0000"/>
                      <w:sz w:val="18"/>
                      <w:szCs w:val="18"/>
                      <w:u w:val="single"/>
                    </w:rPr>
                    <w:t>13</w:t>
                  </w:r>
                </w:p>
              </w:tc>
              <w:tc>
                <w:tcPr>
                  <w:tcW w:w="514" w:type="pct"/>
                  <w:vAlign w:val="center"/>
                </w:tcPr>
                <w:p w14:paraId="1076295F">
                  <w:pPr>
                    <w:jc w:val="center"/>
                    <w:rPr>
                      <w:color w:val="EE0000"/>
                      <w:sz w:val="18"/>
                      <w:szCs w:val="18"/>
                      <w:u w:val="single"/>
                    </w:rPr>
                  </w:pPr>
                  <w:r>
                    <w:rPr>
                      <w:color w:val="EE0000"/>
                      <w:sz w:val="18"/>
                      <w:szCs w:val="18"/>
                      <w:u w:val="single"/>
                    </w:rPr>
                    <w:t>氨气</w:t>
                  </w:r>
                </w:p>
              </w:tc>
              <w:tc>
                <w:tcPr>
                  <w:tcW w:w="401" w:type="pct"/>
                  <w:vAlign w:val="center"/>
                </w:tcPr>
                <w:p w14:paraId="201DD13E">
                  <w:pPr>
                    <w:jc w:val="center"/>
                    <w:rPr>
                      <w:sz w:val="18"/>
                      <w:szCs w:val="18"/>
                      <w:highlight w:val="yellow"/>
                    </w:rPr>
                  </w:pPr>
                  <w:r>
                    <w:rPr>
                      <w:color w:val="EE0000"/>
                      <w:sz w:val="18"/>
                      <w:szCs w:val="18"/>
                      <w:u w:val="single"/>
                    </w:rPr>
                    <w:t>/</w:t>
                  </w:r>
                </w:p>
              </w:tc>
              <w:tc>
                <w:tcPr>
                  <w:tcW w:w="474" w:type="pct"/>
                  <w:vAlign w:val="center"/>
                </w:tcPr>
                <w:p w14:paraId="32F1060D">
                  <w:pPr>
                    <w:jc w:val="center"/>
                    <w:rPr>
                      <w:sz w:val="18"/>
                      <w:szCs w:val="18"/>
                      <w:highlight w:val="yellow"/>
                    </w:rPr>
                  </w:pPr>
                  <w:r>
                    <w:rPr>
                      <w:color w:val="EE0000"/>
                      <w:sz w:val="18"/>
                      <w:szCs w:val="18"/>
                      <w:u w:val="single"/>
                    </w:rPr>
                    <w:t>0.251</w:t>
                  </w:r>
                </w:p>
              </w:tc>
              <w:tc>
                <w:tcPr>
                  <w:tcW w:w="557" w:type="pct"/>
                  <w:vAlign w:val="center"/>
                </w:tcPr>
                <w:p w14:paraId="6381E1FC">
                  <w:pPr>
                    <w:jc w:val="center"/>
                    <w:rPr>
                      <w:sz w:val="18"/>
                      <w:szCs w:val="18"/>
                      <w:highlight w:val="yellow"/>
                    </w:rPr>
                  </w:pPr>
                  <w:r>
                    <w:rPr>
                      <w:color w:val="EE0000"/>
                      <w:sz w:val="18"/>
                      <w:szCs w:val="18"/>
                      <w:u w:val="single"/>
                    </w:rPr>
                    <w:t>/</w:t>
                  </w:r>
                </w:p>
              </w:tc>
              <w:tc>
                <w:tcPr>
                  <w:tcW w:w="516" w:type="pct"/>
                  <w:vAlign w:val="center"/>
                </w:tcPr>
                <w:p w14:paraId="08C76268">
                  <w:pPr>
                    <w:jc w:val="center"/>
                    <w:rPr>
                      <w:sz w:val="18"/>
                      <w:szCs w:val="18"/>
                      <w:highlight w:val="yellow"/>
                    </w:rPr>
                  </w:pPr>
                  <w:r>
                    <w:rPr>
                      <w:color w:val="EE0000"/>
                      <w:sz w:val="18"/>
                      <w:szCs w:val="18"/>
                      <w:u w:val="single"/>
                    </w:rPr>
                    <w:t>/</w:t>
                  </w:r>
                </w:p>
              </w:tc>
              <w:tc>
                <w:tcPr>
                  <w:tcW w:w="511" w:type="pct"/>
                  <w:vAlign w:val="center"/>
                </w:tcPr>
                <w:p w14:paraId="6416EBCC">
                  <w:pPr>
                    <w:jc w:val="center"/>
                    <w:rPr>
                      <w:sz w:val="18"/>
                      <w:szCs w:val="18"/>
                      <w:highlight w:val="yellow"/>
                    </w:rPr>
                  </w:pPr>
                  <w:r>
                    <w:rPr>
                      <w:color w:val="EE0000"/>
                      <w:sz w:val="18"/>
                      <w:szCs w:val="18"/>
                      <w:u w:val="single"/>
                    </w:rPr>
                    <w:t>/</w:t>
                  </w:r>
                </w:p>
              </w:tc>
              <w:tc>
                <w:tcPr>
                  <w:tcW w:w="473" w:type="pct"/>
                  <w:vAlign w:val="center"/>
                </w:tcPr>
                <w:p w14:paraId="5E60DDE7">
                  <w:pPr>
                    <w:jc w:val="center"/>
                    <w:rPr>
                      <w:color w:val="EE0000"/>
                      <w:sz w:val="18"/>
                      <w:szCs w:val="18"/>
                      <w:u w:val="single"/>
                    </w:rPr>
                  </w:pPr>
                  <w:r>
                    <w:rPr>
                      <w:color w:val="EE0000"/>
                      <w:sz w:val="18"/>
                      <w:szCs w:val="18"/>
                      <w:u w:val="single"/>
                    </w:rPr>
                    <w:t>6.081</w:t>
                  </w:r>
                </w:p>
              </w:tc>
              <w:tc>
                <w:tcPr>
                  <w:tcW w:w="611" w:type="pct"/>
                  <w:vAlign w:val="center"/>
                </w:tcPr>
                <w:p w14:paraId="452DDD3B">
                  <w:pPr>
                    <w:jc w:val="center"/>
                    <w:rPr>
                      <w:sz w:val="18"/>
                      <w:szCs w:val="18"/>
                      <w:highlight w:val="yellow"/>
                    </w:rPr>
                  </w:pPr>
                  <w:r>
                    <w:rPr>
                      <w:color w:val="EE0000"/>
                      <w:sz w:val="18"/>
                      <w:szCs w:val="18"/>
                      <w:u w:val="single"/>
                    </w:rPr>
                    <w:t>/</w:t>
                  </w:r>
                </w:p>
              </w:tc>
              <w:tc>
                <w:tcPr>
                  <w:tcW w:w="519" w:type="pct"/>
                  <w:vAlign w:val="center"/>
                </w:tcPr>
                <w:p w14:paraId="0B8CF302">
                  <w:pPr>
                    <w:jc w:val="center"/>
                    <w:rPr>
                      <w:sz w:val="18"/>
                      <w:szCs w:val="18"/>
                    </w:rPr>
                  </w:pPr>
                  <w:r>
                    <w:rPr>
                      <w:color w:val="EE0000"/>
                      <w:sz w:val="18"/>
                      <w:szCs w:val="18"/>
                      <w:u w:val="single"/>
                    </w:rPr>
                    <w:t>/</w:t>
                  </w:r>
                </w:p>
              </w:tc>
            </w:tr>
            <w:tr w14:paraId="48D5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4" w:type="pct"/>
                  <w:vAlign w:val="center"/>
                </w:tcPr>
                <w:p w14:paraId="4BD69C71">
                  <w:pPr>
                    <w:jc w:val="center"/>
                    <w:rPr>
                      <w:color w:val="EE0000"/>
                      <w:sz w:val="18"/>
                      <w:szCs w:val="18"/>
                      <w:u w:val="single"/>
                    </w:rPr>
                  </w:pPr>
                  <w:r>
                    <w:rPr>
                      <w:color w:val="EE0000"/>
                      <w:sz w:val="18"/>
                      <w:szCs w:val="18"/>
                      <w:u w:val="single"/>
                    </w:rPr>
                    <w:t>14</w:t>
                  </w:r>
                </w:p>
              </w:tc>
              <w:tc>
                <w:tcPr>
                  <w:tcW w:w="514" w:type="pct"/>
                  <w:vAlign w:val="center"/>
                </w:tcPr>
                <w:p w14:paraId="033C6B4E">
                  <w:pPr>
                    <w:jc w:val="center"/>
                    <w:rPr>
                      <w:color w:val="EE0000"/>
                      <w:sz w:val="18"/>
                      <w:szCs w:val="18"/>
                      <w:u w:val="single"/>
                    </w:rPr>
                  </w:pPr>
                  <w:r>
                    <w:rPr>
                      <w:color w:val="EE0000"/>
                      <w:sz w:val="18"/>
                      <w:szCs w:val="18"/>
                      <w:u w:val="single"/>
                    </w:rPr>
                    <w:t>硫化氢</w:t>
                  </w:r>
                </w:p>
              </w:tc>
              <w:tc>
                <w:tcPr>
                  <w:tcW w:w="401" w:type="pct"/>
                  <w:vAlign w:val="center"/>
                </w:tcPr>
                <w:p w14:paraId="3FED310E">
                  <w:pPr>
                    <w:jc w:val="center"/>
                    <w:rPr>
                      <w:sz w:val="18"/>
                      <w:szCs w:val="18"/>
                      <w:highlight w:val="yellow"/>
                    </w:rPr>
                  </w:pPr>
                  <w:r>
                    <w:rPr>
                      <w:color w:val="EE0000"/>
                      <w:sz w:val="18"/>
                      <w:szCs w:val="18"/>
                      <w:u w:val="single"/>
                    </w:rPr>
                    <w:t>/</w:t>
                  </w:r>
                </w:p>
              </w:tc>
              <w:tc>
                <w:tcPr>
                  <w:tcW w:w="474" w:type="pct"/>
                  <w:vAlign w:val="center"/>
                </w:tcPr>
                <w:p w14:paraId="097FB5E4">
                  <w:pPr>
                    <w:jc w:val="center"/>
                    <w:rPr>
                      <w:sz w:val="18"/>
                      <w:szCs w:val="18"/>
                      <w:highlight w:val="yellow"/>
                    </w:rPr>
                  </w:pPr>
                  <w:r>
                    <w:rPr>
                      <w:color w:val="EE0000"/>
                      <w:sz w:val="18"/>
                      <w:szCs w:val="18"/>
                      <w:u w:val="single"/>
                    </w:rPr>
                    <w:t>0.0174</w:t>
                  </w:r>
                </w:p>
              </w:tc>
              <w:tc>
                <w:tcPr>
                  <w:tcW w:w="557" w:type="pct"/>
                  <w:vAlign w:val="center"/>
                </w:tcPr>
                <w:p w14:paraId="0371A11B">
                  <w:pPr>
                    <w:jc w:val="center"/>
                    <w:rPr>
                      <w:sz w:val="18"/>
                      <w:szCs w:val="18"/>
                      <w:highlight w:val="yellow"/>
                    </w:rPr>
                  </w:pPr>
                  <w:r>
                    <w:rPr>
                      <w:color w:val="EE0000"/>
                      <w:sz w:val="18"/>
                      <w:szCs w:val="18"/>
                      <w:u w:val="single"/>
                    </w:rPr>
                    <w:t>/</w:t>
                  </w:r>
                </w:p>
              </w:tc>
              <w:tc>
                <w:tcPr>
                  <w:tcW w:w="516" w:type="pct"/>
                  <w:vAlign w:val="center"/>
                </w:tcPr>
                <w:p w14:paraId="393E41E8">
                  <w:pPr>
                    <w:jc w:val="center"/>
                    <w:rPr>
                      <w:sz w:val="18"/>
                      <w:szCs w:val="18"/>
                      <w:highlight w:val="yellow"/>
                    </w:rPr>
                  </w:pPr>
                  <w:r>
                    <w:rPr>
                      <w:color w:val="EE0000"/>
                      <w:sz w:val="18"/>
                      <w:szCs w:val="18"/>
                      <w:u w:val="single"/>
                    </w:rPr>
                    <w:t>/</w:t>
                  </w:r>
                </w:p>
              </w:tc>
              <w:tc>
                <w:tcPr>
                  <w:tcW w:w="511" w:type="pct"/>
                  <w:vAlign w:val="center"/>
                </w:tcPr>
                <w:p w14:paraId="2473247E">
                  <w:pPr>
                    <w:jc w:val="center"/>
                    <w:rPr>
                      <w:sz w:val="18"/>
                      <w:szCs w:val="18"/>
                      <w:highlight w:val="yellow"/>
                    </w:rPr>
                  </w:pPr>
                  <w:r>
                    <w:rPr>
                      <w:color w:val="EE0000"/>
                      <w:sz w:val="18"/>
                      <w:szCs w:val="18"/>
                      <w:u w:val="single"/>
                    </w:rPr>
                    <w:t>/</w:t>
                  </w:r>
                </w:p>
              </w:tc>
              <w:tc>
                <w:tcPr>
                  <w:tcW w:w="473" w:type="pct"/>
                  <w:vAlign w:val="center"/>
                </w:tcPr>
                <w:p w14:paraId="704BCCFD">
                  <w:pPr>
                    <w:jc w:val="center"/>
                    <w:rPr>
                      <w:color w:val="EE0000"/>
                      <w:sz w:val="18"/>
                      <w:szCs w:val="18"/>
                      <w:u w:val="single"/>
                    </w:rPr>
                  </w:pPr>
                  <w:r>
                    <w:rPr>
                      <w:color w:val="EE0000"/>
                      <w:sz w:val="18"/>
                      <w:szCs w:val="18"/>
                      <w:u w:val="single"/>
                    </w:rPr>
                    <w:t>0.0046</w:t>
                  </w:r>
                </w:p>
              </w:tc>
              <w:tc>
                <w:tcPr>
                  <w:tcW w:w="611" w:type="pct"/>
                  <w:vAlign w:val="center"/>
                </w:tcPr>
                <w:p w14:paraId="2703F03C">
                  <w:pPr>
                    <w:jc w:val="center"/>
                    <w:rPr>
                      <w:sz w:val="18"/>
                      <w:szCs w:val="18"/>
                      <w:highlight w:val="yellow"/>
                    </w:rPr>
                  </w:pPr>
                  <w:r>
                    <w:rPr>
                      <w:color w:val="EE0000"/>
                      <w:sz w:val="18"/>
                      <w:szCs w:val="18"/>
                      <w:u w:val="single"/>
                    </w:rPr>
                    <w:t>/</w:t>
                  </w:r>
                </w:p>
              </w:tc>
              <w:tc>
                <w:tcPr>
                  <w:tcW w:w="519" w:type="pct"/>
                  <w:vAlign w:val="center"/>
                </w:tcPr>
                <w:p w14:paraId="5D23FE0B">
                  <w:pPr>
                    <w:jc w:val="center"/>
                    <w:rPr>
                      <w:sz w:val="18"/>
                      <w:szCs w:val="18"/>
                    </w:rPr>
                  </w:pPr>
                  <w:r>
                    <w:rPr>
                      <w:color w:val="EE0000"/>
                      <w:sz w:val="18"/>
                      <w:szCs w:val="18"/>
                      <w:u w:val="single"/>
                    </w:rPr>
                    <w:t>/</w:t>
                  </w:r>
                </w:p>
              </w:tc>
            </w:tr>
          </w:tbl>
          <w:p w14:paraId="5409306A">
            <w:pPr>
              <w:autoSpaceDE w:val="0"/>
              <w:autoSpaceDN w:val="0"/>
              <w:adjustRightInd w:val="0"/>
              <w:spacing w:line="500" w:lineRule="exact"/>
              <w:ind w:firstLine="480" w:firstLineChars="200"/>
              <w:jc w:val="left"/>
              <w:rPr>
                <w:bCs/>
                <w:color w:val="EE0000"/>
                <w:kern w:val="0"/>
                <w:sz w:val="24"/>
              </w:rPr>
            </w:pPr>
          </w:p>
        </w:tc>
      </w:tr>
    </w:tbl>
    <w:p w14:paraId="09BF1AE7">
      <w:pPr>
        <w:adjustRightInd w:val="0"/>
        <w:snapToGrid w:val="0"/>
        <w:spacing w:line="360" w:lineRule="auto"/>
        <w:rPr>
          <w:b/>
          <w:color w:val="EE0000"/>
          <w:kern w:val="0"/>
          <w:sz w:val="28"/>
          <w:szCs w:val="28"/>
        </w:rPr>
        <w:sectPr>
          <w:pgSz w:w="11906" w:h="16838"/>
          <w:pgMar w:top="1701" w:right="1531" w:bottom="1701" w:left="1531" w:header="851" w:footer="851" w:gutter="0"/>
          <w:cols w:space="720" w:num="1"/>
          <w:docGrid w:linePitch="312" w:charSpace="0"/>
        </w:sectPr>
      </w:pPr>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8502"/>
      </w:tblGrid>
      <w:tr w14:paraId="58732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0" w:hRule="atLeast"/>
          <w:jc w:val="center"/>
        </w:trPr>
        <w:tc>
          <w:tcPr>
            <w:tcW w:w="303" w:type="pct"/>
            <w:tcBorders>
              <w:top w:val="single" w:color="auto" w:sz="8" w:space="0"/>
              <w:left w:val="single" w:color="auto" w:sz="8" w:space="0"/>
              <w:bottom w:val="single" w:color="auto" w:sz="8" w:space="0"/>
              <w:right w:val="single" w:color="auto" w:sz="4" w:space="0"/>
            </w:tcBorders>
            <w:tcMar>
              <w:top w:w="0" w:type="dxa"/>
              <w:left w:w="28" w:type="dxa"/>
              <w:bottom w:w="0" w:type="dxa"/>
              <w:right w:w="28" w:type="dxa"/>
            </w:tcMar>
            <w:vAlign w:val="center"/>
          </w:tcPr>
          <w:p w14:paraId="1AFAA844">
            <w:pPr>
              <w:adjustRightInd w:val="0"/>
              <w:snapToGrid w:val="0"/>
              <w:jc w:val="center"/>
              <w:rPr>
                <w:bCs/>
                <w:sz w:val="24"/>
              </w:rPr>
            </w:pPr>
            <w:r>
              <w:rPr>
                <w:bCs/>
                <w:sz w:val="24"/>
              </w:rPr>
              <w:t>运营</w:t>
            </w:r>
          </w:p>
          <w:p w14:paraId="1D15EC08">
            <w:pPr>
              <w:adjustRightInd w:val="0"/>
              <w:snapToGrid w:val="0"/>
              <w:jc w:val="center"/>
              <w:rPr>
                <w:bCs/>
                <w:sz w:val="24"/>
              </w:rPr>
            </w:pPr>
            <w:r>
              <w:rPr>
                <w:bCs/>
                <w:sz w:val="24"/>
              </w:rPr>
              <w:t>期环</w:t>
            </w:r>
          </w:p>
          <w:p w14:paraId="6D0CB2A4">
            <w:pPr>
              <w:adjustRightInd w:val="0"/>
              <w:snapToGrid w:val="0"/>
              <w:jc w:val="center"/>
              <w:rPr>
                <w:bCs/>
                <w:sz w:val="24"/>
              </w:rPr>
            </w:pPr>
            <w:r>
              <w:rPr>
                <w:bCs/>
                <w:sz w:val="24"/>
              </w:rPr>
              <w:t>境影</w:t>
            </w:r>
          </w:p>
          <w:p w14:paraId="1B2E1F36">
            <w:pPr>
              <w:adjustRightInd w:val="0"/>
              <w:snapToGrid w:val="0"/>
              <w:jc w:val="center"/>
              <w:rPr>
                <w:bCs/>
                <w:sz w:val="24"/>
              </w:rPr>
            </w:pPr>
            <w:r>
              <w:rPr>
                <w:bCs/>
                <w:sz w:val="24"/>
              </w:rPr>
              <w:t>响和</w:t>
            </w:r>
          </w:p>
          <w:p w14:paraId="5370282B">
            <w:pPr>
              <w:adjustRightInd w:val="0"/>
              <w:snapToGrid w:val="0"/>
              <w:jc w:val="center"/>
              <w:rPr>
                <w:bCs/>
                <w:sz w:val="24"/>
              </w:rPr>
            </w:pPr>
            <w:r>
              <w:rPr>
                <w:bCs/>
                <w:sz w:val="24"/>
              </w:rPr>
              <w:t>保护</w:t>
            </w:r>
          </w:p>
          <w:p w14:paraId="10C1D363">
            <w:pPr>
              <w:adjustRightInd w:val="0"/>
              <w:snapToGrid w:val="0"/>
              <w:jc w:val="center"/>
              <w:rPr>
                <w:bCs/>
                <w:color w:val="EE0000"/>
                <w:szCs w:val="21"/>
              </w:rPr>
            </w:pPr>
            <w:r>
              <w:rPr>
                <w:bCs/>
                <w:sz w:val="24"/>
              </w:rPr>
              <w:t>措施</w:t>
            </w:r>
          </w:p>
        </w:tc>
        <w:tc>
          <w:tcPr>
            <w:tcW w:w="4697" w:type="pct"/>
            <w:tcBorders>
              <w:top w:val="single" w:color="auto" w:sz="8" w:space="0"/>
              <w:left w:val="single" w:color="auto" w:sz="4" w:space="0"/>
              <w:bottom w:val="single" w:color="auto" w:sz="8" w:space="0"/>
              <w:right w:val="single" w:color="auto" w:sz="8" w:space="0"/>
            </w:tcBorders>
            <w:vAlign w:val="center"/>
          </w:tcPr>
          <w:p w14:paraId="328BFD17">
            <w:pPr>
              <w:spacing w:line="520" w:lineRule="exact"/>
              <w:jc w:val="left"/>
              <w:rPr>
                <w:rFonts w:eastAsia="黑体"/>
                <w:bCs/>
                <w:sz w:val="24"/>
              </w:rPr>
            </w:pPr>
            <w:bookmarkStart w:id="33" w:name="_Hlk217859669"/>
            <w:r>
              <w:rPr>
                <w:rFonts w:eastAsia="黑体"/>
                <w:bCs/>
                <w:sz w:val="24"/>
              </w:rPr>
              <w:t>1.3废气处理措施可行性分析</w:t>
            </w:r>
          </w:p>
          <w:bookmarkEnd w:id="33"/>
          <w:p w14:paraId="3F7930A0">
            <w:pPr>
              <w:pStyle w:val="24"/>
              <w:adjustRightInd w:val="0"/>
              <w:snapToGrid w:val="0"/>
              <w:spacing w:after="0" w:line="520" w:lineRule="exact"/>
              <w:ind w:left="0" w:leftChars="0" w:firstLine="480" w:firstLineChars="200"/>
              <w:rPr>
                <w:sz w:val="24"/>
              </w:rPr>
            </w:pPr>
            <w:r>
              <w:rPr>
                <w:sz w:val="24"/>
              </w:rPr>
              <w:t>根据《排污许可证申请与核发技术规范   陶瓷砖瓦工业》（HJ954—2018），砖瓦工业排污单位废气污染防治可行技术见下表：</w:t>
            </w:r>
          </w:p>
          <w:p w14:paraId="274B38BA">
            <w:pPr>
              <w:pStyle w:val="21"/>
              <w:spacing w:line="500" w:lineRule="exact"/>
              <w:jc w:val="center"/>
              <w:rPr>
                <w:rFonts w:ascii="Times New Roman" w:hAnsi="Times New Roman"/>
              </w:rPr>
            </w:pPr>
            <w:r>
              <w:rPr>
                <w:rFonts w:ascii="Times New Roman" w:hAnsi="Times New Roman" w:eastAsia="黑体"/>
                <w:kern w:val="0"/>
              </w:rPr>
              <w:t>表4-17       砖瓦工业排污单位废气污染防治可行技术</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144"/>
              <w:gridCol w:w="715"/>
              <w:gridCol w:w="2147"/>
              <w:gridCol w:w="1288"/>
              <w:gridCol w:w="1016"/>
            </w:tblGrid>
            <w:tr w14:paraId="3D40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8" w:type="pct"/>
                  <w:gridSpan w:val="4"/>
                  <w:vAlign w:val="center"/>
                </w:tcPr>
                <w:p w14:paraId="0BCBFFCE">
                  <w:pPr>
                    <w:adjustRightInd w:val="0"/>
                    <w:snapToGrid w:val="0"/>
                    <w:spacing w:line="280" w:lineRule="exact"/>
                    <w:jc w:val="center"/>
                    <w:rPr>
                      <w:rFonts w:eastAsiaTheme="minorEastAsia"/>
                      <w:kern w:val="0"/>
                      <w:szCs w:val="21"/>
                    </w:rPr>
                  </w:pPr>
                  <w:r>
                    <w:rPr>
                      <w:rFonts w:eastAsiaTheme="minorEastAsia"/>
                      <w:kern w:val="0"/>
                      <w:szCs w:val="21"/>
                    </w:rPr>
                    <w:t>（HJ954—2018）中相关要求</w:t>
                  </w:r>
                </w:p>
              </w:tc>
              <w:tc>
                <w:tcPr>
                  <w:tcW w:w="778" w:type="pct"/>
                  <w:vMerge w:val="restart"/>
                  <w:vAlign w:val="center"/>
                </w:tcPr>
                <w:p w14:paraId="2C213936">
                  <w:pPr>
                    <w:adjustRightInd w:val="0"/>
                    <w:snapToGrid w:val="0"/>
                    <w:spacing w:line="280" w:lineRule="exact"/>
                    <w:jc w:val="center"/>
                    <w:rPr>
                      <w:rFonts w:eastAsiaTheme="minorEastAsia"/>
                      <w:kern w:val="0"/>
                      <w:szCs w:val="21"/>
                    </w:rPr>
                  </w:pPr>
                  <w:r>
                    <w:rPr>
                      <w:rFonts w:eastAsiaTheme="minorEastAsia"/>
                      <w:kern w:val="0"/>
                      <w:szCs w:val="21"/>
                    </w:rPr>
                    <w:t>本项目污染治理工艺</w:t>
                  </w:r>
                </w:p>
              </w:tc>
              <w:tc>
                <w:tcPr>
                  <w:tcW w:w="614" w:type="pct"/>
                  <w:vMerge w:val="restart"/>
                  <w:vAlign w:val="center"/>
                </w:tcPr>
                <w:p w14:paraId="119C8903">
                  <w:pPr>
                    <w:adjustRightInd w:val="0"/>
                    <w:snapToGrid w:val="0"/>
                    <w:spacing w:line="280" w:lineRule="exact"/>
                    <w:jc w:val="center"/>
                    <w:rPr>
                      <w:rFonts w:eastAsiaTheme="minorEastAsia"/>
                      <w:kern w:val="0"/>
                      <w:szCs w:val="21"/>
                    </w:rPr>
                  </w:pPr>
                  <w:r>
                    <w:rPr>
                      <w:rFonts w:eastAsiaTheme="minorEastAsia"/>
                      <w:kern w:val="0"/>
                      <w:szCs w:val="21"/>
                    </w:rPr>
                    <w:t>是否为可行技术</w:t>
                  </w:r>
                </w:p>
              </w:tc>
            </w:tr>
            <w:tr w14:paraId="4277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vAlign w:val="center"/>
                </w:tcPr>
                <w:p w14:paraId="00EA10B6">
                  <w:pPr>
                    <w:adjustRightInd w:val="0"/>
                    <w:snapToGrid w:val="0"/>
                    <w:spacing w:line="280" w:lineRule="exact"/>
                    <w:jc w:val="center"/>
                    <w:rPr>
                      <w:rFonts w:eastAsiaTheme="minorEastAsia"/>
                      <w:kern w:val="0"/>
                      <w:szCs w:val="21"/>
                    </w:rPr>
                  </w:pPr>
                  <w:r>
                    <w:rPr>
                      <w:rFonts w:eastAsiaTheme="minorEastAsia"/>
                      <w:kern w:val="0"/>
                      <w:szCs w:val="21"/>
                    </w:rPr>
                    <w:t>排放口</w:t>
                  </w:r>
                </w:p>
              </w:tc>
              <w:tc>
                <w:tcPr>
                  <w:tcW w:w="691" w:type="pct"/>
                  <w:vAlign w:val="center"/>
                </w:tcPr>
                <w:p w14:paraId="2E8FC433">
                  <w:pPr>
                    <w:adjustRightInd w:val="0"/>
                    <w:snapToGrid w:val="0"/>
                    <w:spacing w:line="280" w:lineRule="exact"/>
                    <w:jc w:val="center"/>
                    <w:rPr>
                      <w:rFonts w:eastAsiaTheme="minorEastAsia"/>
                      <w:kern w:val="0"/>
                      <w:szCs w:val="21"/>
                    </w:rPr>
                  </w:pPr>
                  <w:r>
                    <w:rPr>
                      <w:rFonts w:eastAsiaTheme="minorEastAsia"/>
                      <w:kern w:val="0"/>
                      <w:szCs w:val="21"/>
                    </w:rPr>
                    <w:t>主要污染物</w:t>
                  </w:r>
                </w:p>
              </w:tc>
              <w:tc>
                <w:tcPr>
                  <w:tcW w:w="432" w:type="pct"/>
                  <w:vAlign w:val="center"/>
                </w:tcPr>
                <w:p w14:paraId="5C66A734">
                  <w:pPr>
                    <w:adjustRightInd w:val="0"/>
                    <w:snapToGrid w:val="0"/>
                    <w:spacing w:line="280" w:lineRule="exact"/>
                    <w:jc w:val="center"/>
                    <w:rPr>
                      <w:rFonts w:eastAsiaTheme="minorEastAsia"/>
                      <w:kern w:val="0"/>
                      <w:szCs w:val="21"/>
                    </w:rPr>
                  </w:pPr>
                  <w:r>
                    <w:rPr>
                      <w:rFonts w:eastAsiaTheme="minorEastAsia"/>
                      <w:kern w:val="0"/>
                      <w:szCs w:val="21"/>
                    </w:rPr>
                    <w:t>燃料名称</w:t>
                  </w:r>
                </w:p>
              </w:tc>
              <w:tc>
                <w:tcPr>
                  <w:tcW w:w="1297" w:type="pct"/>
                  <w:vAlign w:val="center"/>
                </w:tcPr>
                <w:p w14:paraId="69295097">
                  <w:pPr>
                    <w:adjustRightInd w:val="0"/>
                    <w:snapToGrid w:val="0"/>
                    <w:spacing w:line="280" w:lineRule="exact"/>
                    <w:jc w:val="center"/>
                    <w:rPr>
                      <w:rFonts w:eastAsiaTheme="minorEastAsia"/>
                      <w:kern w:val="0"/>
                      <w:szCs w:val="21"/>
                    </w:rPr>
                  </w:pPr>
                  <w:r>
                    <w:rPr>
                      <w:rFonts w:eastAsiaTheme="minorEastAsia"/>
                      <w:kern w:val="0"/>
                      <w:szCs w:val="21"/>
                    </w:rPr>
                    <w:t>可行技术</w:t>
                  </w:r>
                </w:p>
              </w:tc>
              <w:tc>
                <w:tcPr>
                  <w:tcW w:w="778" w:type="pct"/>
                  <w:vMerge w:val="continue"/>
                  <w:vAlign w:val="center"/>
                </w:tcPr>
                <w:p w14:paraId="71059927">
                  <w:pPr>
                    <w:adjustRightInd w:val="0"/>
                    <w:snapToGrid w:val="0"/>
                    <w:spacing w:line="280" w:lineRule="exact"/>
                    <w:jc w:val="center"/>
                    <w:rPr>
                      <w:rFonts w:eastAsiaTheme="minorEastAsia"/>
                      <w:kern w:val="0"/>
                      <w:szCs w:val="21"/>
                    </w:rPr>
                  </w:pPr>
                </w:p>
              </w:tc>
              <w:tc>
                <w:tcPr>
                  <w:tcW w:w="614" w:type="pct"/>
                  <w:vMerge w:val="continue"/>
                  <w:vAlign w:val="center"/>
                </w:tcPr>
                <w:p w14:paraId="7ED1675F">
                  <w:pPr>
                    <w:adjustRightInd w:val="0"/>
                    <w:snapToGrid w:val="0"/>
                    <w:spacing w:line="280" w:lineRule="exact"/>
                    <w:jc w:val="center"/>
                    <w:rPr>
                      <w:rFonts w:eastAsiaTheme="minorEastAsia"/>
                      <w:kern w:val="0"/>
                      <w:szCs w:val="21"/>
                    </w:rPr>
                  </w:pPr>
                </w:p>
              </w:tc>
            </w:tr>
            <w:tr w14:paraId="1778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vMerge w:val="restart"/>
                  <w:vAlign w:val="center"/>
                </w:tcPr>
                <w:p w14:paraId="04E55829">
                  <w:pPr>
                    <w:adjustRightInd w:val="0"/>
                    <w:snapToGrid w:val="0"/>
                    <w:spacing w:line="280" w:lineRule="exact"/>
                    <w:jc w:val="center"/>
                    <w:rPr>
                      <w:rFonts w:eastAsiaTheme="minorEastAsia"/>
                      <w:kern w:val="0"/>
                      <w:szCs w:val="21"/>
                    </w:rPr>
                  </w:pPr>
                  <w:r>
                    <w:rPr>
                      <w:rFonts w:eastAsiaTheme="minorEastAsia"/>
                      <w:kern w:val="0"/>
                      <w:szCs w:val="21"/>
                    </w:rPr>
                    <w:t>窑烟囱</w:t>
                  </w:r>
                </w:p>
              </w:tc>
              <w:tc>
                <w:tcPr>
                  <w:tcW w:w="691" w:type="pct"/>
                  <w:vAlign w:val="center"/>
                </w:tcPr>
                <w:p w14:paraId="6D73CFFE">
                  <w:pPr>
                    <w:adjustRightInd w:val="0"/>
                    <w:snapToGrid w:val="0"/>
                    <w:spacing w:line="280" w:lineRule="exact"/>
                    <w:jc w:val="center"/>
                    <w:rPr>
                      <w:rFonts w:eastAsiaTheme="minorEastAsia"/>
                      <w:kern w:val="0"/>
                      <w:szCs w:val="21"/>
                    </w:rPr>
                  </w:pPr>
                  <w:r>
                    <w:rPr>
                      <w:rFonts w:eastAsiaTheme="minorEastAsia"/>
                      <w:kern w:val="0"/>
                      <w:szCs w:val="21"/>
                    </w:rPr>
                    <w:t>颗粒物</w:t>
                  </w:r>
                </w:p>
              </w:tc>
              <w:tc>
                <w:tcPr>
                  <w:tcW w:w="432" w:type="pct"/>
                  <w:vMerge w:val="restart"/>
                  <w:vAlign w:val="center"/>
                </w:tcPr>
                <w:p w14:paraId="0EFF3ED5">
                  <w:pPr>
                    <w:adjustRightInd w:val="0"/>
                    <w:snapToGrid w:val="0"/>
                    <w:spacing w:line="280" w:lineRule="exact"/>
                    <w:jc w:val="center"/>
                    <w:rPr>
                      <w:rFonts w:eastAsiaTheme="minorEastAsia"/>
                      <w:kern w:val="0"/>
                      <w:szCs w:val="21"/>
                    </w:rPr>
                  </w:pPr>
                  <w:r>
                    <w:rPr>
                      <w:rFonts w:eastAsiaTheme="minorEastAsia"/>
                      <w:kern w:val="0"/>
                      <w:szCs w:val="21"/>
                    </w:rPr>
                    <w:t>所有燃料</w:t>
                  </w:r>
                </w:p>
              </w:tc>
              <w:tc>
                <w:tcPr>
                  <w:tcW w:w="1297" w:type="pct"/>
                  <w:vAlign w:val="center"/>
                </w:tcPr>
                <w:p w14:paraId="711A3915">
                  <w:pPr>
                    <w:adjustRightInd w:val="0"/>
                    <w:snapToGrid w:val="0"/>
                    <w:spacing w:line="280" w:lineRule="exact"/>
                    <w:jc w:val="center"/>
                    <w:rPr>
                      <w:rFonts w:eastAsiaTheme="minorEastAsia"/>
                      <w:kern w:val="0"/>
                      <w:szCs w:val="21"/>
                    </w:rPr>
                  </w:pPr>
                  <w:r>
                    <w:rPr>
                      <w:rFonts w:eastAsiaTheme="minorEastAsia"/>
                      <w:kern w:val="0"/>
                      <w:szCs w:val="21"/>
                    </w:rPr>
                    <w:t>袋式除尘、电除尘、电袋复合除尘、湿式电除尘等技术，可根据需要采用多级除尘</w:t>
                  </w:r>
                </w:p>
              </w:tc>
              <w:tc>
                <w:tcPr>
                  <w:tcW w:w="778" w:type="pct"/>
                  <w:vAlign w:val="center"/>
                </w:tcPr>
                <w:p w14:paraId="160CD451">
                  <w:pPr>
                    <w:adjustRightInd w:val="0"/>
                    <w:snapToGrid w:val="0"/>
                    <w:spacing w:line="280" w:lineRule="exact"/>
                    <w:jc w:val="center"/>
                    <w:rPr>
                      <w:rFonts w:eastAsiaTheme="minorEastAsia"/>
                      <w:kern w:val="0"/>
                      <w:szCs w:val="21"/>
                    </w:rPr>
                  </w:pPr>
                  <w:r>
                    <w:rPr>
                      <w:rFonts w:eastAsiaTheme="minorEastAsia"/>
                      <w:kern w:val="0"/>
                      <w:szCs w:val="21"/>
                    </w:rPr>
                    <w:t>脱硫塔+湿式电除尘</w:t>
                  </w:r>
                </w:p>
              </w:tc>
              <w:tc>
                <w:tcPr>
                  <w:tcW w:w="614" w:type="pct"/>
                  <w:vAlign w:val="center"/>
                </w:tcPr>
                <w:p w14:paraId="0539DA4E">
                  <w:pPr>
                    <w:adjustRightInd w:val="0"/>
                    <w:snapToGrid w:val="0"/>
                    <w:spacing w:line="280" w:lineRule="exact"/>
                    <w:jc w:val="center"/>
                    <w:rPr>
                      <w:rFonts w:eastAsiaTheme="minorEastAsia"/>
                      <w:kern w:val="0"/>
                      <w:szCs w:val="21"/>
                    </w:rPr>
                  </w:pPr>
                  <w:r>
                    <w:rPr>
                      <w:rFonts w:eastAsiaTheme="minorEastAsia"/>
                      <w:kern w:val="0"/>
                      <w:szCs w:val="21"/>
                    </w:rPr>
                    <w:t>是</w:t>
                  </w:r>
                </w:p>
              </w:tc>
            </w:tr>
            <w:tr w14:paraId="351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vMerge w:val="continue"/>
                  <w:vAlign w:val="center"/>
                </w:tcPr>
                <w:p w14:paraId="0A03A820">
                  <w:pPr>
                    <w:adjustRightInd w:val="0"/>
                    <w:snapToGrid w:val="0"/>
                    <w:spacing w:line="280" w:lineRule="exact"/>
                    <w:jc w:val="center"/>
                    <w:rPr>
                      <w:rFonts w:eastAsiaTheme="minorEastAsia"/>
                      <w:kern w:val="0"/>
                      <w:szCs w:val="21"/>
                    </w:rPr>
                  </w:pPr>
                </w:p>
              </w:tc>
              <w:tc>
                <w:tcPr>
                  <w:tcW w:w="691" w:type="pct"/>
                  <w:vAlign w:val="center"/>
                </w:tcPr>
                <w:p w14:paraId="4955787D">
                  <w:pPr>
                    <w:adjustRightInd w:val="0"/>
                    <w:snapToGrid w:val="0"/>
                    <w:spacing w:line="280" w:lineRule="exact"/>
                    <w:jc w:val="center"/>
                    <w:rPr>
                      <w:rFonts w:eastAsiaTheme="minorEastAsia"/>
                      <w:kern w:val="0"/>
                      <w:szCs w:val="21"/>
                    </w:rPr>
                  </w:pPr>
                  <w:r>
                    <w:rPr>
                      <w:rFonts w:eastAsiaTheme="minorEastAsia"/>
                      <w:kern w:val="0"/>
                      <w:szCs w:val="21"/>
                    </w:rPr>
                    <w:t>二氧化硫</w:t>
                  </w:r>
                </w:p>
              </w:tc>
              <w:tc>
                <w:tcPr>
                  <w:tcW w:w="432" w:type="pct"/>
                  <w:vMerge w:val="continue"/>
                  <w:vAlign w:val="center"/>
                </w:tcPr>
                <w:p w14:paraId="6EFC3B55">
                  <w:pPr>
                    <w:adjustRightInd w:val="0"/>
                    <w:snapToGrid w:val="0"/>
                    <w:spacing w:line="280" w:lineRule="exact"/>
                    <w:jc w:val="center"/>
                    <w:rPr>
                      <w:rFonts w:eastAsiaTheme="minorEastAsia"/>
                      <w:kern w:val="0"/>
                      <w:szCs w:val="21"/>
                    </w:rPr>
                  </w:pPr>
                </w:p>
              </w:tc>
              <w:tc>
                <w:tcPr>
                  <w:tcW w:w="1297" w:type="pct"/>
                  <w:vAlign w:val="center"/>
                </w:tcPr>
                <w:p w14:paraId="5D7D299B">
                  <w:pPr>
                    <w:adjustRightInd w:val="0"/>
                    <w:snapToGrid w:val="0"/>
                    <w:spacing w:line="280" w:lineRule="exact"/>
                    <w:jc w:val="center"/>
                    <w:rPr>
                      <w:rFonts w:eastAsiaTheme="minorEastAsia"/>
                      <w:kern w:val="0"/>
                      <w:szCs w:val="21"/>
                    </w:rPr>
                  </w:pPr>
                  <w:r>
                    <w:rPr>
                      <w:rFonts w:eastAsiaTheme="minorEastAsia"/>
                      <w:kern w:val="0"/>
                      <w:szCs w:val="21"/>
                    </w:rPr>
                    <w:t>湿法脱硫技术、干法/半干法脱硫技术等</w:t>
                  </w:r>
                </w:p>
              </w:tc>
              <w:tc>
                <w:tcPr>
                  <w:tcW w:w="778" w:type="pct"/>
                  <w:vAlign w:val="center"/>
                </w:tcPr>
                <w:p w14:paraId="25B217B8">
                  <w:pPr>
                    <w:adjustRightInd w:val="0"/>
                    <w:snapToGrid w:val="0"/>
                    <w:spacing w:line="280" w:lineRule="exact"/>
                    <w:jc w:val="center"/>
                    <w:rPr>
                      <w:rFonts w:eastAsiaTheme="minorEastAsia"/>
                      <w:kern w:val="0"/>
                      <w:szCs w:val="21"/>
                    </w:rPr>
                  </w:pPr>
                  <w:r>
                    <w:rPr>
                      <w:rFonts w:eastAsiaTheme="minorEastAsia"/>
                      <w:kern w:val="0"/>
                      <w:szCs w:val="21"/>
                    </w:rPr>
                    <w:t>石灰-石膏湿法脱硫</w:t>
                  </w:r>
                </w:p>
              </w:tc>
              <w:tc>
                <w:tcPr>
                  <w:tcW w:w="614" w:type="pct"/>
                  <w:vAlign w:val="center"/>
                </w:tcPr>
                <w:p w14:paraId="3C44C3B6">
                  <w:pPr>
                    <w:adjustRightInd w:val="0"/>
                    <w:snapToGrid w:val="0"/>
                    <w:spacing w:line="280" w:lineRule="exact"/>
                    <w:jc w:val="center"/>
                    <w:rPr>
                      <w:rFonts w:eastAsiaTheme="minorEastAsia"/>
                      <w:kern w:val="0"/>
                      <w:szCs w:val="21"/>
                    </w:rPr>
                  </w:pPr>
                  <w:r>
                    <w:rPr>
                      <w:rFonts w:eastAsiaTheme="minorEastAsia"/>
                      <w:kern w:val="0"/>
                      <w:szCs w:val="21"/>
                    </w:rPr>
                    <w:t>是</w:t>
                  </w:r>
                </w:p>
              </w:tc>
            </w:tr>
            <w:tr w14:paraId="67FF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vMerge w:val="continue"/>
                  <w:vAlign w:val="center"/>
                </w:tcPr>
                <w:p w14:paraId="013E9C13">
                  <w:pPr>
                    <w:adjustRightInd w:val="0"/>
                    <w:snapToGrid w:val="0"/>
                    <w:spacing w:line="280" w:lineRule="exact"/>
                    <w:jc w:val="center"/>
                    <w:rPr>
                      <w:rFonts w:eastAsiaTheme="minorEastAsia"/>
                      <w:kern w:val="0"/>
                      <w:szCs w:val="21"/>
                    </w:rPr>
                  </w:pPr>
                </w:p>
              </w:tc>
              <w:tc>
                <w:tcPr>
                  <w:tcW w:w="691" w:type="pct"/>
                  <w:vAlign w:val="center"/>
                </w:tcPr>
                <w:p w14:paraId="59F63F45">
                  <w:pPr>
                    <w:adjustRightInd w:val="0"/>
                    <w:snapToGrid w:val="0"/>
                    <w:spacing w:line="280" w:lineRule="exact"/>
                    <w:jc w:val="center"/>
                    <w:rPr>
                      <w:rFonts w:eastAsiaTheme="minorEastAsia"/>
                      <w:kern w:val="0"/>
                      <w:szCs w:val="21"/>
                    </w:rPr>
                  </w:pPr>
                  <w:r>
                    <w:rPr>
                      <w:rFonts w:eastAsiaTheme="minorEastAsia"/>
                      <w:kern w:val="0"/>
                      <w:szCs w:val="21"/>
                    </w:rPr>
                    <w:t>氮氧化物</w:t>
                  </w:r>
                </w:p>
              </w:tc>
              <w:tc>
                <w:tcPr>
                  <w:tcW w:w="432" w:type="pct"/>
                  <w:vMerge w:val="continue"/>
                  <w:vAlign w:val="center"/>
                </w:tcPr>
                <w:p w14:paraId="56E62703">
                  <w:pPr>
                    <w:adjustRightInd w:val="0"/>
                    <w:snapToGrid w:val="0"/>
                    <w:spacing w:line="280" w:lineRule="exact"/>
                    <w:jc w:val="center"/>
                    <w:rPr>
                      <w:rFonts w:eastAsiaTheme="minorEastAsia"/>
                      <w:kern w:val="0"/>
                      <w:szCs w:val="21"/>
                    </w:rPr>
                  </w:pPr>
                </w:p>
              </w:tc>
              <w:tc>
                <w:tcPr>
                  <w:tcW w:w="1297" w:type="pct"/>
                  <w:vAlign w:val="center"/>
                </w:tcPr>
                <w:p w14:paraId="56738770">
                  <w:pPr>
                    <w:adjustRightInd w:val="0"/>
                    <w:snapToGrid w:val="0"/>
                    <w:spacing w:line="280" w:lineRule="exact"/>
                    <w:jc w:val="center"/>
                    <w:rPr>
                      <w:rFonts w:eastAsiaTheme="minorEastAsia"/>
                      <w:kern w:val="0"/>
                      <w:szCs w:val="21"/>
                    </w:rPr>
                  </w:pPr>
                  <w:r>
                    <w:rPr>
                      <w:rFonts w:eastAsiaTheme="minorEastAsia"/>
                      <w:kern w:val="0"/>
                      <w:szCs w:val="21"/>
                    </w:rPr>
                    <w:t>低氮燃烧技术、其他组合降氮技术</w:t>
                  </w:r>
                </w:p>
              </w:tc>
              <w:tc>
                <w:tcPr>
                  <w:tcW w:w="778" w:type="pct"/>
                  <w:vAlign w:val="center"/>
                </w:tcPr>
                <w:p w14:paraId="291FBC5D">
                  <w:pPr>
                    <w:adjustRightInd w:val="0"/>
                    <w:snapToGrid w:val="0"/>
                    <w:spacing w:line="280" w:lineRule="exact"/>
                    <w:jc w:val="center"/>
                    <w:rPr>
                      <w:rFonts w:eastAsiaTheme="minorEastAsia"/>
                      <w:kern w:val="0"/>
                      <w:szCs w:val="21"/>
                    </w:rPr>
                  </w:pPr>
                  <w:r>
                    <w:rPr>
                      <w:rFonts w:eastAsiaTheme="minorEastAsia"/>
                      <w:kern w:val="0"/>
                      <w:szCs w:val="21"/>
                    </w:rPr>
                    <w:t>SNCR脱硝</w:t>
                  </w:r>
                </w:p>
              </w:tc>
              <w:tc>
                <w:tcPr>
                  <w:tcW w:w="614" w:type="pct"/>
                  <w:vAlign w:val="center"/>
                </w:tcPr>
                <w:p w14:paraId="418A0C1C">
                  <w:pPr>
                    <w:adjustRightInd w:val="0"/>
                    <w:snapToGrid w:val="0"/>
                    <w:spacing w:line="280" w:lineRule="exact"/>
                    <w:jc w:val="center"/>
                    <w:rPr>
                      <w:rFonts w:eastAsiaTheme="minorEastAsia"/>
                      <w:kern w:val="0"/>
                      <w:szCs w:val="21"/>
                    </w:rPr>
                  </w:pPr>
                  <w:r>
                    <w:rPr>
                      <w:rFonts w:eastAsiaTheme="minorEastAsia"/>
                      <w:kern w:val="0"/>
                      <w:szCs w:val="21"/>
                    </w:rPr>
                    <w:t>是</w:t>
                  </w:r>
                </w:p>
              </w:tc>
            </w:tr>
            <w:tr w14:paraId="64F1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pct"/>
                  <w:vAlign w:val="center"/>
                </w:tcPr>
                <w:p w14:paraId="4AA81F62">
                  <w:pPr>
                    <w:adjustRightInd w:val="0"/>
                    <w:snapToGrid w:val="0"/>
                    <w:spacing w:line="280" w:lineRule="exact"/>
                    <w:jc w:val="center"/>
                    <w:rPr>
                      <w:rFonts w:eastAsiaTheme="minorEastAsia"/>
                      <w:kern w:val="0"/>
                      <w:szCs w:val="21"/>
                    </w:rPr>
                  </w:pPr>
                  <w:r>
                    <w:rPr>
                      <w:rFonts w:eastAsiaTheme="minorEastAsia"/>
                      <w:kern w:val="0"/>
                      <w:szCs w:val="21"/>
                    </w:rPr>
                    <w:t>生产过程中原料制备、成型、包装机等对应排放口</w:t>
                  </w:r>
                </w:p>
              </w:tc>
              <w:tc>
                <w:tcPr>
                  <w:tcW w:w="691" w:type="pct"/>
                  <w:vAlign w:val="center"/>
                </w:tcPr>
                <w:p w14:paraId="2EC8DDFA">
                  <w:pPr>
                    <w:adjustRightInd w:val="0"/>
                    <w:snapToGrid w:val="0"/>
                    <w:spacing w:line="280" w:lineRule="exact"/>
                    <w:jc w:val="center"/>
                    <w:rPr>
                      <w:rFonts w:eastAsiaTheme="minorEastAsia"/>
                      <w:kern w:val="0"/>
                      <w:szCs w:val="21"/>
                    </w:rPr>
                  </w:pPr>
                  <w:r>
                    <w:rPr>
                      <w:rFonts w:eastAsiaTheme="minorEastAsia"/>
                      <w:kern w:val="0"/>
                      <w:szCs w:val="21"/>
                    </w:rPr>
                    <w:t>颗粒物</w:t>
                  </w:r>
                </w:p>
              </w:tc>
              <w:tc>
                <w:tcPr>
                  <w:tcW w:w="432" w:type="pct"/>
                  <w:vAlign w:val="center"/>
                </w:tcPr>
                <w:p w14:paraId="6AF87E75">
                  <w:pPr>
                    <w:adjustRightInd w:val="0"/>
                    <w:snapToGrid w:val="0"/>
                    <w:spacing w:line="280" w:lineRule="exact"/>
                    <w:jc w:val="center"/>
                    <w:rPr>
                      <w:rFonts w:eastAsiaTheme="minorEastAsia"/>
                      <w:kern w:val="0"/>
                      <w:szCs w:val="21"/>
                    </w:rPr>
                  </w:pPr>
                  <w:r>
                    <w:rPr>
                      <w:rFonts w:eastAsiaTheme="minorEastAsia"/>
                      <w:kern w:val="0"/>
                      <w:szCs w:val="21"/>
                    </w:rPr>
                    <w:t>/</w:t>
                  </w:r>
                </w:p>
              </w:tc>
              <w:tc>
                <w:tcPr>
                  <w:tcW w:w="1297" w:type="pct"/>
                  <w:vAlign w:val="center"/>
                </w:tcPr>
                <w:p w14:paraId="5A184903">
                  <w:pPr>
                    <w:adjustRightInd w:val="0"/>
                    <w:snapToGrid w:val="0"/>
                    <w:spacing w:line="280" w:lineRule="exact"/>
                    <w:jc w:val="center"/>
                    <w:rPr>
                      <w:rFonts w:eastAsiaTheme="minorEastAsia"/>
                      <w:kern w:val="0"/>
                      <w:szCs w:val="21"/>
                    </w:rPr>
                  </w:pPr>
                  <w:r>
                    <w:rPr>
                      <w:rFonts w:eastAsiaTheme="minorEastAsia"/>
                      <w:kern w:val="0"/>
                      <w:szCs w:val="21"/>
                    </w:rPr>
                    <w:t>袋式除尘</w:t>
                  </w:r>
                </w:p>
              </w:tc>
              <w:tc>
                <w:tcPr>
                  <w:tcW w:w="778" w:type="pct"/>
                  <w:vAlign w:val="center"/>
                </w:tcPr>
                <w:p w14:paraId="70B5D154">
                  <w:pPr>
                    <w:adjustRightInd w:val="0"/>
                    <w:snapToGrid w:val="0"/>
                    <w:spacing w:line="280" w:lineRule="exact"/>
                    <w:jc w:val="center"/>
                    <w:rPr>
                      <w:rFonts w:eastAsiaTheme="minorEastAsia"/>
                      <w:kern w:val="0"/>
                      <w:szCs w:val="21"/>
                    </w:rPr>
                  </w:pPr>
                  <w:r>
                    <w:rPr>
                      <w:rFonts w:eastAsiaTheme="minorEastAsia"/>
                      <w:kern w:val="0"/>
                      <w:szCs w:val="21"/>
                    </w:rPr>
                    <w:t>袋式除尘</w:t>
                  </w:r>
                </w:p>
              </w:tc>
              <w:tc>
                <w:tcPr>
                  <w:tcW w:w="614" w:type="pct"/>
                  <w:vAlign w:val="center"/>
                </w:tcPr>
                <w:p w14:paraId="0A2C6A2C">
                  <w:pPr>
                    <w:adjustRightInd w:val="0"/>
                    <w:snapToGrid w:val="0"/>
                    <w:spacing w:line="280" w:lineRule="exact"/>
                    <w:jc w:val="center"/>
                    <w:rPr>
                      <w:rFonts w:eastAsiaTheme="minorEastAsia"/>
                      <w:kern w:val="0"/>
                      <w:szCs w:val="21"/>
                    </w:rPr>
                  </w:pPr>
                  <w:r>
                    <w:rPr>
                      <w:rFonts w:eastAsiaTheme="minorEastAsia"/>
                      <w:kern w:val="0"/>
                      <w:szCs w:val="21"/>
                    </w:rPr>
                    <w:t>是</w:t>
                  </w:r>
                </w:p>
              </w:tc>
            </w:tr>
          </w:tbl>
          <w:p w14:paraId="16743952">
            <w:pPr>
              <w:autoSpaceDE w:val="0"/>
              <w:autoSpaceDN w:val="0"/>
              <w:adjustRightInd w:val="0"/>
              <w:spacing w:line="500" w:lineRule="exact"/>
              <w:ind w:firstLine="480" w:firstLineChars="200"/>
              <w:jc w:val="left"/>
              <w:rPr>
                <w:bCs/>
                <w:sz w:val="24"/>
                <w:lang w:bidi="ar"/>
              </w:rPr>
            </w:pPr>
            <w:bookmarkStart w:id="34" w:name="_Hlk217869003"/>
            <w:r>
              <w:rPr>
                <w:bCs/>
                <w:sz w:val="24"/>
                <w:lang w:bidi="ar"/>
              </w:rPr>
              <w:t>项目污泥储存恶臭气体采用活性炭吸附处理，根据《排污许可证申请与核发技术规范水处理（试行）》（HJ978-2018）表5污泥处理段恶臭气体治理可行技术，吸附工艺为污泥恶臭气体治理可行技术。</w:t>
            </w:r>
          </w:p>
          <w:bookmarkEnd w:id="34"/>
          <w:p w14:paraId="2A89835F">
            <w:pPr>
              <w:spacing w:line="500" w:lineRule="exact"/>
              <w:ind w:firstLine="480" w:firstLineChars="200"/>
            </w:pPr>
            <w:r>
              <w:rPr>
                <w:sz w:val="24"/>
              </w:rPr>
              <w:t>综上可知，本项目废气治理措施均为技术规范推荐的可行技术，治理措施可行。</w:t>
            </w:r>
          </w:p>
          <w:p w14:paraId="78818CD4">
            <w:pPr>
              <w:spacing w:line="520" w:lineRule="exact"/>
              <w:jc w:val="left"/>
              <w:rPr>
                <w:rFonts w:eastAsia="黑体"/>
                <w:bCs/>
                <w:sz w:val="24"/>
              </w:rPr>
            </w:pPr>
            <w:r>
              <w:rPr>
                <w:rFonts w:eastAsia="黑体"/>
                <w:bCs/>
                <w:sz w:val="24"/>
              </w:rPr>
              <w:t>1.4废气处理措施依托可行性分析</w:t>
            </w:r>
          </w:p>
          <w:p w14:paraId="7AC2DF73">
            <w:pPr>
              <w:spacing w:line="500" w:lineRule="exact"/>
              <w:ind w:firstLine="480" w:firstLineChars="200"/>
              <w:rPr>
                <w:sz w:val="24"/>
              </w:rPr>
            </w:pPr>
            <w:r>
              <w:rPr>
                <w:sz w:val="24"/>
              </w:rPr>
              <w:t>本次技改工程依托三兴建材现有的废气处理措施主要有窑车清理工序袋式除尘器；石灰粉仓仓顶除尘器。</w:t>
            </w:r>
          </w:p>
          <w:p w14:paraId="032E3849">
            <w:pPr>
              <w:spacing w:line="520" w:lineRule="exact"/>
              <w:ind w:firstLine="480" w:firstLineChars="200"/>
              <w:jc w:val="left"/>
              <w:rPr>
                <w:color w:val="EE0000"/>
                <w:sz w:val="24"/>
                <w:u w:val="single"/>
              </w:rPr>
            </w:pPr>
            <w:r>
              <w:rPr>
                <w:color w:val="EE0000"/>
                <w:sz w:val="24"/>
                <w:u w:val="single"/>
              </w:rPr>
              <w:t>技改工程窑车清理采用人工清理，三兴建材成型车间南侧现设置有窑车清理工位，工位上方设置集气罩收集窑车清理过程产尘，含尘废气经袋式除尘器处理后经1根15m高排气筒排放。技改工程依托现有窑车清理工位及集尘除尘系统，窑车清理工序工作时长增加，窑车清理粉尘依托现有袋式除尘器处理可行。</w:t>
            </w:r>
          </w:p>
          <w:p w14:paraId="1F32016E">
            <w:pPr>
              <w:spacing w:line="520" w:lineRule="exact"/>
              <w:ind w:firstLine="480" w:firstLineChars="200"/>
              <w:jc w:val="left"/>
              <w:rPr>
                <w:color w:val="EE0000"/>
                <w:sz w:val="24"/>
                <w:u w:val="single"/>
              </w:rPr>
            </w:pPr>
            <w:r>
              <w:rPr>
                <w:color w:val="EE0000"/>
                <w:sz w:val="24"/>
                <w:u w:val="single"/>
              </w:rPr>
              <w:t>技改工程拟利用场区现有石灰筒仓，仓顶袋式除尘器为现有筒仓配套设施，技改工程石灰用量增加，石灰粉气力输送能力不变，仍然为</w:t>
            </w:r>
            <w:r>
              <w:rPr>
                <w:color w:val="EE0000"/>
                <w:kern w:val="0"/>
                <w:sz w:val="24"/>
                <w:u w:val="single"/>
              </w:rPr>
              <w:t>10t/h，输送风量控制在25m</w:t>
            </w:r>
            <w:r>
              <w:rPr>
                <w:color w:val="EE0000"/>
                <w:kern w:val="0"/>
                <w:sz w:val="24"/>
                <w:u w:val="single"/>
                <w:vertAlign w:val="superscript"/>
              </w:rPr>
              <w:t>3</w:t>
            </w:r>
            <w:r>
              <w:rPr>
                <w:color w:val="EE0000"/>
                <w:kern w:val="0"/>
                <w:sz w:val="24"/>
                <w:u w:val="single"/>
              </w:rPr>
              <w:t>/min左右，输送时长增加</w:t>
            </w:r>
            <w:r>
              <w:rPr>
                <w:color w:val="EE0000"/>
                <w:sz w:val="24"/>
                <w:u w:val="single"/>
              </w:rPr>
              <w:t>，仓顶除尘器处理能力不变，处理时长增加，依托可行。</w:t>
            </w:r>
          </w:p>
          <w:p w14:paraId="140611BA">
            <w:pPr>
              <w:spacing w:line="520" w:lineRule="exact"/>
              <w:jc w:val="left"/>
              <w:rPr>
                <w:rFonts w:eastAsia="黑体"/>
                <w:bCs/>
                <w:sz w:val="24"/>
              </w:rPr>
            </w:pPr>
            <w:r>
              <w:rPr>
                <w:rFonts w:eastAsia="黑体"/>
                <w:bCs/>
                <w:sz w:val="24"/>
              </w:rPr>
              <w:t>1.5废气排放口情况</w:t>
            </w:r>
          </w:p>
          <w:p w14:paraId="08852829">
            <w:pPr>
              <w:spacing w:line="520" w:lineRule="exact"/>
              <w:ind w:firstLine="480" w:firstLineChars="200"/>
              <w:jc w:val="left"/>
              <w:rPr>
                <w:sz w:val="24"/>
              </w:rPr>
            </w:pPr>
            <w:r>
              <w:rPr>
                <w:sz w:val="24"/>
              </w:rPr>
              <w:t>项目营运后全厂设置5个废气排放口，其基本情况见表</w:t>
            </w:r>
            <w:r>
              <w:rPr>
                <w:rFonts w:eastAsia="黑体"/>
                <w:kern w:val="0"/>
              </w:rPr>
              <w:t>4-18</w:t>
            </w:r>
            <w:r>
              <w:rPr>
                <w:sz w:val="24"/>
              </w:rPr>
              <w:t>。</w:t>
            </w:r>
          </w:p>
          <w:p w14:paraId="17148BC9">
            <w:pPr>
              <w:pStyle w:val="21"/>
              <w:spacing w:line="500" w:lineRule="exact"/>
              <w:jc w:val="center"/>
              <w:rPr>
                <w:rFonts w:ascii="Times New Roman" w:hAnsi="Times New Roman"/>
              </w:rPr>
            </w:pPr>
            <w:r>
              <w:rPr>
                <w:rFonts w:ascii="Times New Roman" w:hAnsi="Times New Roman" w:eastAsia="黑体"/>
                <w:kern w:val="0"/>
              </w:rPr>
              <w:t>表4-18       废气排放口情况表</w:t>
            </w:r>
          </w:p>
          <w:tbl>
            <w:tblPr>
              <w:tblStyle w:val="38"/>
              <w:tblpPr w:leftFromText="180" w:rightFromText="180" w:vertAnchor="text" w:tblpXSpec="center" w:tblpY="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837"/>
              <w:gridCol w:w="1122"/>
              <w:gridCol w:w="1988"/>
              <w:gridCol w:w="829"/>
              <w:gridCol w:w="905"/>
              <w:gridCol w:w="900"/>
              <w:gridCol w:w="853"/>
            </w:tblGrid>
            <w:tr w14:paraId="16BE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8" w:hRule="exact"/>
              </w:trPr>
              <w:tc>
                <w:tcPr>
                  <w:tcW w:w="429" w:type="pct"/>
                  <w:vAlign w:val="center"/>
                </w:tcPr>
                <w:p w14:paraId="1AC8FD66">
                  <w:pPr>
                    <w:jc w:val="center"/>
                    <w:rPr>
                      <w:szCs w:val="21"/>
                    </w:rPr>
                  </w:pPr>
                  <w:bookmarkStart w:id="35" w:name="_Hlk217862926"/>
                  <w:r>
                    <w:rPr>
                      <w:szCs w:val="21"/>
                    </w:rPr>
                    <w:t>排气口</w:t>
                  </w:r>
                </w:p>
              </w:tc>
              <w:tc>
                <w:tcPr>
                  <w:tcW w:w="519" w:type="pct"/>
                  <w:vAlign w:val="center"/>
                </w:tcPr>
                <w:p w14:paraId="6614BFF9">
                  <w:pPr>
                    <w:jc w:val="center"/>
                    <w:rPr>
                      <w:szCs w:val="21"/>
                    </w:rPr>
                  </w:pPr>
                  <w:r>
                    <w:rPr>
                      <w:szCs w:val="21"/>
                    </w:rPr>
                    <w:t>污染源</w:t>
                  </w:r>
                </w:p>
              </w:tc>
              <w:tc>
                <w:tcPr>
                  <w:tcW w:w="691" w:type="pct"/>
                  <w:vAlign w:val="center"/>
                </w:tcPr>
                <w:p w14:paraId="05A2963B">
                  <w:pPr>
                    <w:jc w:val="center"/>
                    <w:rPr>
                      <w:szCs w:val="21"/>
                    </w:rPr>
                  </w:pPr>
                  <w:r>
                    <w:rPr>
                      <w:szCs w:val="21"/>
                    </w:rPr>
                    <w:t>污染物</w:t>
                  </w:r>
                </w:p>
              </w:tc>
              <w:tc>
                <w:tcPr>
                  <w:tcW w:w="1215" w:type="pct"/>
                  <w:vAlign w:val="center"/>
                </w:tcPr>
                <w:p w14:paraId="4515A007">
                  <w:pPr>
                    <w:jc w:val="center"/>
                    <w:rPr>
                      <w:szCs w:val="21"/>
                    </w:rPr>
                  </w:pPr>
                  <w:r>
                    <w:rPr>
                      <w:szCs w:val="21"/>
                    </w:rPr>
                    <w:t>坐标</w:t>
                  </w:r>
                </w:p>
              </w:tc>
              <w:tc>
                <w:tcPr>
                  <w:tcW w:w="514" w:type="pct"/>
                  <w:vAlign w:val="center"/>
                </w:tcPr>
                <w:p w14:paraId="3B51F440">
                  <w:pPr>
                    <w:jc w:val="center"/>
                    <w:rPr>
                      <w:szCs w:val="21"/>
                    </w:rPr>
                  </w:pPr>
                  <w:r>
                    <w:rPr>
                      <w:szCs w:val="21"/>
                    </w:rPr>
                    <w:t>排放口类型</w:t>
                  </w:r>
                </w:p>
              </w:tc>
              <w:tc>
                <w:tcPr>
                  <w:tcW w:w="560" w:type="pct"/>
                  <w:vAlign w:val="center"/>
                </w:tcPr>
                <w:p w14:paraId="621CE3EC">
                  <w:pPr>
                    <w:jc w:val="center"/>
                    <w:rPr>
                      <w:szCs w:val="21"/>
                    </w:rPr>
                  </w:pPr>
                  <w:r>
                    <w:rPr>
                      <w:szCs w:val="21"/>
                    </w:rPr>
                    <w:t>排气筒高度（m）</w:t>
                  </w:r>
                </w:p>
              </w:tc>
              <w:tc>
                <w:tcPr>
                  <w:tcW w:w="557" w:type="pct"/>
                  <w:vAlign w:val="center"/>
                </w:tcPr>
                <w:p w14:paraId="12955EF7">
                  <w:pPr>
                    <w:jc w:val="center"/>
                    <w:rPr>
                      <w:szCs w:val="21"/>
                    </w:rPr>
                  </w:pPr>
                  <w:r>
                    <w:rPr>
                      <w:szCs w:val="21"/>
                    </w:rPr>
                    <w:t>排气筒内径（m）</w:t>
                  </w:r>
                </w:p>
              </w:tc>
              <w:tc>
                <w:tcPr>
                  <w:tcW w:w="515" w:type="pct"/>
                  <w:vAlign w:val="center"/>
                </w:tcPr>
                <w:p w14:paraId="5E9835D4">
                  <w:pPr>
                    <w:jc w:val="center"/>
                    <w:rPr>
                      <w:szCs w:val="21"/>
                    </w:rPr>
                  </w:pPr>
                  <w:r>
                    <w:rPr>
                      <w:szCs w:val="21"/>
                    </w:rPr>
                    <w:t>温度（℃）</w:t>
                  </w:r>
                </w:p>
              </w:tc>
            </w:tr>
            <w:tr w14:paraId="7E0C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429" w:type="pct"/>
                  <w:vAlign w:val="center"/>
                </w:tcPr>
                <w:p w14:paraId="311B8224">
                  <w:pPr>
                    <w:jc w:val="center"/>
                    <w:rPr>
                      <w:szCs w:val="21"/>
                    </w:rPr>
                  </w:pPr>
                  <w:r>
                    <w:rPr>
                      <w:kern w:val="0"/>
                      <w:szCs w:val="21"/>
                    </w:rPr>
                    <w:t>DA001</w:t>
                  </w:r>
                </w:p>
              </w:tc>
              <w:tc>
                <w:tcPr>
                  <w:tcW w:w="519" w:type="pct"/>
                  <w:vAlign w:val="center"/>
                </w:tcPr>
                <w:p w14:paraId="075C59FA">
                  <w:pPr>
                    <w:jc w:val="center"/>
                    <w:rPr>
                      <w:szCs w:val="21"/>
                    </w:rPr>
                  </w:pPr>
                  <w:r>
                    <w:rPr>
                      <w:szCs w:val="21"/>
                    </w:rPr>
                    <w:t>筛分、搅拌</w:t>
                  </w:r>
                </w:p>
              </w:tc>
              <w:tc>
                <w:tcPr>
                  <w:tcW w:w="691" w:type="pct"/>
                  <w:vAlign w:val="center"/>
                </w:tcPr>
                <w:p w14:paraId="7CF47673">
                  <w:pPr>
                    <w:jc w:val="center"/>
                    <w:rPr>
                      <w:szCs w:val="21"/>
                    </w:rPr>
                  </w:pPr>
                  <w:r>
                    <w:rPr>
                      <w:szCs w:val="21"/>
                    </w:rPr>
                    <w:t>颗粒物</w:t>
                  </w:r>
                </w:p>
              </w:tc>
              <w:tc>
                <w:tcPr>
                  <w:tcW w:w="1215" w:type="pct"/>
                  <w:vAlign w:val="center"/>
                </w:tcPr>
                <w:p w14:paraId="6FB8E63C">
                  <w:pPr>
                    <w:jc w:val="center"/>
                    <w:rPr>
                      <w:szCs w:val="21"/>
                    </w:rPr>
                  </w:pPr>
                  <w:r>
                    <w:rPr>
                      <w:szCs w:val="21"/>
                    </w:rPr>
                    <w:t>E113.22826811°；</w:t>
                  </w:r>
                </w:p>
                <w:p w14:paraId="4971278B">
                  <w:pPr>
                    <w:jc w:val="center"/>
                    <w:rPr>
                      <w:szCs w:val="21"/>
                    </w:rPr>
                  </w:pPr>
                  <w:r>
                    <w:rPr>
                      <w:szCs w:val="21"/>
                    </w:rPr>
                    <w:t>N 33.85473690°</w:t>
                  </w:r>
                </w:p>
              </w:tc>
              <w:tc>
                <w:tcPr>
                  <w:tcW w:w="514" w:type="pct"/>
                  <w:vAlign w:val="center"/>
                </w:tcPr>
                <w:p w14:paraId="1506CC73">
                  <w:pPr>
                    <w:jc w:val="center"/>
                    <w:rPr>
                      <w:szCs w:val="21"/>
                    </w:rPr>
                  </w:pPr>
                  <w:r>
                    <w:rPr>
                      <w:szCs w:val="21"/>
                    </w:rPr>
                    <w:t>一般排放口</w:t>
                  </w:r>
                </w:p>
              </w:tc>
              <w:tc>
                <w:tcPr>
                  <w:tcW w:w="560" w:type="pct"/>
                  <w:vAlign w:val="center"/>
                </w:tcPr>
                <w:p w14:paraId="40DE2029">
                  <w:pPr>
                    <w:jc w:val="center"/>
                    <w:rPr>
                      <w:color w:val="FF0000"/>
                      <w:szCs w:val="21"/>
                      <w:u w:val="single"/>
                    </w:rPr>
                  </w:pPr>
                  <w:r>
                    <w:rPr>
                      <w:color w:val="FF0000"/>
                      <w:szCs w:val="21"/>
                      <w:u w:val="single"/>
                    </w:rPr>
                    <w:t>15</w:t>
                  </w:r>
                </w:p>
              </w:tc>
              <w:tc>
                <w:tcPr>
                  <w:tcW w:w="557" w:type="pct"/>
                  <w:vAlign w:val="center"/>
                </w:tcPr>
                <w:p w14:paraId="24848A35">
                  <w:pPr>
                    <w:jc w:val="center"/>
                    <w:rPr>
                      <w:color w:val="FF0000"/>
                      <w:szCs w:val="21"/>
                      <w:u w:val="single"/>
                    </w:rPr>
                  </w:pPr>
                  <w:r>
                    <w:rPr>
                      <w:color w:val="FF0000"/>
                      <w:szCs w:val="21"/>
                      <w:u w:val="single"/>
                    </w:rPr>
                    <w:t>0.75</w:t>
                  </w:r>
                </w:p>
              </w:tc>
              <w:tc>
                <w:tcPr>
                  <w:tcW w:w="515" w:type="pct"/>
                  <w:vAlign w:val="center"/>
                </w:tcPr>
                <w:p w14:paraId="0BB6C768">
                  <w:pPr>
                    <w:jc w:val="center"/>
                    <w:rPr>
                      <w:szCs w:val="21"/>
                    </w:rPr>
                  </w:pPr>
                  <w:r>
                    <w:rPr>
                      <w:szCs w:val="21"/>
                    </w:rPr>
                    <w:t>25</w:t>
                  </w:r>
                </w:p>
              </w:tc>
            </w:tr>
            <w:tr w14:paraId="4859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29" w:type="pct"/>
                  <w:vAlign w:val="center"/>
                </w:tcPr>
                <w:p w14:paraId="3CEE644D">
                  <w:pPr>
                    <w:jc w:val="center"/>
                    <w:rPr>
                      <w:szCs w:val="21"/>
                    </w:rPr>
                  </w:pPr>
                  <w:r>
                    <w:rPr>
                      <w:szCs w:val="21"/>
                    </w:rPr>
                    <w:t>DA002</w:t>
                  </w:r>
                </w:p>
              </w:tc>
              <w:tc>
                <w:tcPr>
                  <w:tcW w:w="519" w:type="pct"/>
                  <w:vAlign w:val="center"/>
                </w:tcPr>
                <w:p w14:paraId="5813859E">
                  <w:pPr>
                    <w:jc w:val="center"/>
                    <w:rPr>
                      <w:szCs w:val="21"/>
                    </w:rPr>
                  </w:pPr>
                  <w:r>
                    <w:rPr>
                      <w:szCs w:val="21"/>
                    </w:rPr>
                    <w:t>喂料、破碎</w:t>
                  </w:r>
                </w:p>
              </w:tc>
              <w:tc>
                <w:tcPr>
                  <w:tcW w:w="691" w:type="pct"/>
                  <w:vAlign w:val="center"/>
                </w:tcPr>
                <w:p w14:paraId="7FF9E978">
                  <w:pPr>
                    <w:jc w:val="center"/>
                    <w:rPr>
                      <w:szCs w:val="21"/>
                    </w:rPr>
                  </w:pPr>
                  <w:r>
                    <w:rPr>
                      <w:szCs w:val="21"/>
                    </w:rPr>
                    <w:t>颗粒物</w:t>
                  </w:r>
                </w:p>
              </w:tc>
              <w:tc>
                <w:tcPr>
                  <w:tcW w:w="1215" w:type="pct"/>
                  <w:vAlign w:val="center"/>
                </w:tcPr>
                <w:p w14:paraId="2EEC3949">
                  <w:pPr>
                    <w:jc w:val="center"/>
                    <w:rPr>
                      <w:szCs w:val="21"/>
                    </w:rPr>
                  </w:pPr>
                  <w:r>
                    <w:rPr>
                      <w:szCs w:val="21"/>
                    </w:rPr>
                    <w:t>E113.22787693°；</w:t>
                  </w:r>
                </w:p>
                <w:p w14:paraId="317E9017">
                  <w:pPr>
                    <w:jc w:val="center"/>
                    <w:rPr>
                      <w:szCs w:val="21"/>
                    </w:rPr>
                  </w:pPr>
                  <w:r>
                    <w:rPr>
                      <w:szCs w:val="21"/>
                    </w:rPr>
                    <w:t>N 33.85483086°</w:t>
                  </w:r>
                </w:p>
              </w:tc>
              <w:tc>
                <w:tcPr>
                  <w:tcW w:w="514" w:type="pct"/>
                  <w:vAlign w:val="center"/>
                </w:tcPr>
                <w:p w14:paraId="65C7D88E">
                  <w:pPr>
                    <w:jc w:val="center"/>
                    <w:rPr>
                      <w:szCs w:val="21"/>
                    </w:rPr>
                  </w:pPr>
                  <w:r>
                    <w:rPr>
                      <w:szCs w:val="21"/>
                    </w:rPr>
                    <w:t>一般排放口</w:t>
                  </w:r>
                </w:p>
              </w:tc>
              <w:tc>
                <w:tcPr>
                  <w:tcW w:w="560" w:type="pct"/>
                  <w:vAlign w:val="center"/>
                </w:tcPr>
                <w:p w14:paraId="5EB3FC73">
                  <w:pPr>
                    <w:jc w:val="center"/>
                    <w:rPr>
                      <w:color w:val="FF0000"/>
                      <w:szCs w:val="21"/>
                      <w:u w:val="single"/>
                    </w:rPr>
                  </w:pPr>
                  <w:r>
                    <w:rPr>
                      <w:color w:val="FF0000"/>
                      <w:szCs w:val="21"/>
                      <w:u w:val="single"/>
                    </w:rPr>
                    <w:t>15</w:t>
                  </w:r>
                </w:p>
              </w:tc>
              <w:tc>
                <w:tcPr>
                  <w:tcW w:w="557" w:type="pct"/>
                  <w:vAlign w:val="center"/>
                </w:tcPr>
                <w:p w14:paraId="5DB303A6">
                  <w:pPr>
                    <w:jc w:val="center"/>
                    <w:rPr>
                      <w:color w:val="FF0000"/>
                      <w:szCs w:val="21"/>
                      <w:u w:val="single"/>
                    </w:rPr>
                  </w:pPr>
                  <w:r>
                    <w:rPr>
                      <w:color w:val="FF0000"/>
                      <w:szCs w:val="21"/>
                      <w:u w:val="single"/>
                    </w:rPr>
                    <w:t>0.80</w:t>
                  </w:r>
                </w:p>
              </w:tc>
              <w:tc>
                <w:tcPr>
                  <w:tcW w:w="515" w:type="pct"/>
                  <w:vAlign w:val="center"/>
                </w:tcPr>
                <w:p w14:paraId="4B317271">
                  <w:pPr>
                    <w:jc w:val="center"/>
                    <w:rPr>
                      <w:szCs w:val="21"/>
                    </w:rPr>
                  </w:pPr>
                  <w:r>
                    <w:rPr>
                      <w:szCs w:val="21"/>
                    </w:rPr>
                    <w:t>25</w:t>
                  </w:r>
                </w:p>
              </w:tc>
            </w:tr>
            <w:tr w14:paraId="5CE5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429" w:type="pct"/>
                  <w:vAlign w:val="center"/>
                </w:tcPr>
                <w:p w14:paraId="3739390A">
                  <w:pPr>
                    <w:jc w:val="center"/>
                    <w:rPr>
                      <w:szCs w:val="21"/>
                    </w:rPr>
                  </w:pPr>
                  <w:r>
                    <w:rPr>
                      <w:szCs w:val="21"/>
                    </w:rPr>
                    <w:t>DA003</w:t>
                  </w:r>
                </w:p>
              </w:tc>
              <w:tc>
                <w:tcPr>
                  <w:tcW w:w="519" w:type="pct"/>
                  <w:vAlign w:val="center"/>
                </w:tcPr>
                <w:p w14:paraId="294DFA65">
                  <w:pPr>
                    <w:jc w:val="center"/>
                    <w:rPr>
                      <w:szCs w:val="21"/>
                    </w:rPr>
                  </w:pPr>
                  <w:r>
                    <w:rPr>
                      <w:szCs w:val="21"/>
                    </w:rPr>
                    <w:t>窑炉烟气</w:t>
                  </w:r>
                </w:p>
              </w:tc>
              <w:tc>
                <w:tcPr>
                  <w:tcW w:w="691" w:type="pct"/>
                  <w:vAlign w:val="center"/>
                </w:tcPr>
                <w:p w14:paraId="2F8BAC4A">
                  <w:pPr>
                    <w:jc w:val="center"/>
                    <w:rPr>
                      <w:szCs w:val="21"/>
                    </w:rPr>
                  </w:pPr>
                  <w:r>
                    <w:rPr>
                      <w:szCs w:val="21"/>
                    </w:rPr>
                    <w:t>颗粒物、二氧化硫、氮氧化物、氟化物、氯化氢、重金属、二噁英类、NH</w:t>
                  </w:r>
                  <w:r>
                    <w:rPr>
                      <w:szCs w:val="21"/>
                      <w:vertAlign w:val="subscript"/>
                    </w:rPr>
                    <w:t>3</w:t>
                  </w:r>
                </w:p>
              </w:tc>
              <w:tc>
                <w:tcPr>
                  <w:tcW w:w="1215" w:type="pct"/>
                  <w:vAlign w:val="center"/>
                </w:tcPr>
                <w:p w14:paraId="1C5D642F">
                  <w:pPr>
                    <w:jc w:val="center"/>
                    <w:rPr>
                      <w:szCs w:val="21"/>
                    </w:rPr>
                  </w:pPr>
                  <w:r>
                    <w:rPr>
                      <w:szCs w:val="21"/>
                    </w:rPr>
                    <w:t>E113.22895941°；N33.85484316°</w:t>
                  </w:r>
                </w:p>
              </w:tc>
              <w:tc>
                <w:tcPr>
                  <w:tcW w:w="514" w:type="pct"/>
                  <w:vAlign w:val="center"/>
                </w:tcPr>
                <w:p w14:paraId="45D9159F">
                  <w:pPr>
                    <w:jc w:val="center"/>
                    <w:rPr>
                      <w:szCs w:val="21"/>
                    </w:rPr>
                  </w:pPr>
                  <w:r>
                    <w:rPr>
                      <w:szCs w:val="21"/>
                    </w:rPr>
                    <w:t>一般排放口</w:t>
                  </w:r>
                </w:p>
              </w:tc>
              <w:tc>
                <w:tcPr>
                  <w:tcW w:w="560" w:type="pct"/>
                  <w:vAlign w:val="center"/>
                </w:tcPr>
                <w:p w14:paraId="341F5798">
                  <w:pPr>
                    <w:jc w:val="center"/>
                    <w:rPr>
                      <w:color w:val="FF0000"/>
                      <w:szCs w:val="21"/>
                      <w:u w:val="single"/>
                    </w:rPr>
                  </w:pPr>
                  <w:r>
                    <w:rPr>
                      <w:color w:val="FF0000"/>
                      <w:szCs w:val="21"/>
                      <w:u w:val="single"/>
                    </w:rPr>
                    <w:t>19.5</w:t>
                  </w:r>
                </w:p>
              </w:tc>
              <w:tc>
                <w:tcPr>
                  <w:tcW w:w="557" w:type="pct"/>
                  <w:vAlign w:val="center"/>
                </w:tcPr>
                <w:p w14:paraId="31702C19">
                  <w:pPr>
                    <w:jc w:val="center"/>
                    <w:rPr>
                      <w:color w:val="FF0000"/>
                      <w:szCs w:val="21"/>
                      <w:u w:val="single"/>
                    </w:rPr>
                  </w:pPr>
                  <w:r>
                    <w:rPr>
                      <w:color w:val="FF0000"/>
                      <w:szCs w:val="21"/>
                      <w:u w:val="single"/>
                    </w:rPr>
                    <w:t>2.4</w:t>
                  </w:r>
                </w:p>
              </w:tc>
              <w:tc>
                <w:tcPr>
                  <w:tcW w:w="515" w:type="pct"/>
                  <w:vAlign w:val="center"/>
                </w:tcPr>
                <w:p w14:paraId="375898AB">
                  <w:pPr>
                    <w:jc w:val="center"/>
                    <w:rPr>
                      <w:szCs w:val="21"/>
                    </w:rPr>
                  </w:pPr>
                  <w:r>
                    <w:rPr>
                      <w:szCs w:val="21"/>
                    </w:rPr>
                    <w:t>60</w:t>
                  </w:r>
                </w:p>
              </w:tc>
            </w:tr>
            <w:tr w14:paraId="6D3B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29" w:type="pct"/>
                  <w:vAlign w:val="center"/>
                </w:tcPr>
                <w:p w14:paraId="4092F183">
                  <w:pPr>
                    <w:jc w:val="center"/>
                    <w:rPr>
                      <w:szCs w:val="21"/>
                    </w:rPr>
                  </w:pPr>
                  <w:r>
                    <w:rPr>
                      <w:kern w:val="0"/>
                      <w:szCs w:val="21"/>
                    </w:rPr>
                    <w:t>DA004</w:t>
                  </w:r>
                </w:p>
              </w:tc>
              <w:tc>
                <w:tcPr>
                  <w:tcW w:w="519" w:type="pct"/>
                  <w:vAlign w:val="center"/>
                </w:tcPr>
                <w:p w14:paraId="6047F924">
                  <w:pPr>
                    <w:jc w:val="center"/>
                    <w:rPr>
                      <w:szCs w:val="21"/>
                    </w:rPr>
                  </w:pPr>
                  <w:r>
                    <w:rPr>
                      <w:szCs w:val="21"/>
                    </w:rPr>
                    <w:t>窑车清理</w:t>
                  </w:r>
                </w:p>
              </w:tc>
              <w:tc>
                <w:tcPr>
                  <w:tcW w:w="691" w:type="pct"/>
                  <w:vAlign w:val="center"/>
                </w:tcPr>
                <w:p w14:paraId="442DD004">
                  <w:pPr>
                    <w:jc w:val="center"/>
                    <w:rPr>
                      <w:szCs w:val="21"/>
                    </w:rPr>
                  </w:pPr>
                  <w:r>
                    <w:rPr>
                      <w:szCs w:val="21"/>
                    </w:rPr>
                    <w:t>颗粒物</w:t>
                  </w:r>
                </w:p>
              </w:tc>
              <w:tc>
                <w:tcPr>
                  <w:tcW w:w="1215" w:type="pct"/>
                  <w:vAlign w:val="center"/>
                </w:tcPr>
                <w:p w14:paraId="203DEE3F">
                  <w:pPr>
                    <w:jc w:val="center"/>
                    <w:rPr>
                      <w:szCs w:val="21"/>
                    </w:rPr>
                  </w:pPr>
                  <w:r>
                    <w:rPr>
                      <w:szCs w:val="21"/>
                    </w:rPr>
                    <w:t>E113.22810185°；</w:t>
                  </w:r>
                </w:p>
                <w:p w14:paraId="2C91FF8C">
                  <w:pPr>
                    <w:jc w:val="center"/>
                    <w:rPr>
                      <w:szCs w:val="21"/>
                    </w:rPr>
                  </w:pPr>
                  <w:r>
                    <w:rPr>
                      <w:szCs w:val="21"/>
                    </w:rPr>
                    <w:t>N 33.85344487°</w:t>
                  </w:r>
                </w:p>
              </w:tc>
              <w:tc>
                <w:tcPr>
                  <w:tcW w:w="514" w:type="pct"/>
                  <w:vAlign w:val="center"/>
                </w:tcPr>
                <w:p w14:paraId="78056C62">
                  <w:pPr>
                    <w:jc w:val="center"/>
                    <w:rPr>
                      <w:szCs w:val="21"/>
                    </w:rPr>
                  </w:pPr>
                  <w:r>
                    <w:rPr>
                      <w:szCs w:val="21"/>
                    </w:rPr>
                    <w:t>一般排放口</w:t>
                  </w:r>
                </w:p>
              </w:tc>
              <w:tc>
                <w:tcPr>
                  <w:tcW w:w="560" w:type="pct"/>
                  <w:vAlign w:val="center"/>
                </w:tcPr>
                <w:p w14:paraId="031BD33B">
                  <w:pPr>
                    <w:jc w:val="center"/>
                    <w:rPr>
                      <w:color w:val="FF0000"/>
                      <w:szCs w:val="21"/>
                      <w:u w:val="single"/>
                    </w:rPr>
                  </w:pPr>
                  <w:r>
                    <w:rPr>
                      <w:color w:val="FF0000"/>
                      <w:szCs w:val="21"/>
                      <w:u w:val="single"/>
                    </w:rPr>
                    <w:t>15</w:t>
                  </w:r>
                </w:p>
              </w:tc>
              <w:tc>
                <w:tcPr>
                  <w:tcW w:w="557" w:type="pct"/>
                  <w:vAlign w:val="center"/>
                </w:tcPr>
                <w:p w14:paraId="5D833A00">
                  <w:pPr>
                    <w:jc w:val="center"/>
                    <w:rPr>
                      <w:color w:val="FF0000"/>
                      <w:szCs w:val="21"/>
                      <w:u w:val="single"/>
                    </w:rPr>
                  </w:pPr>
                  <w:r>
                    <w:rPr>
                      <w:color w:val="FF0000"/>
                      <w:szCs w:val="21"/>
                      <w:u w:val="single"/>
                    </w:rPr>
                    <w:t>0.35</w:t>
                  </w:r>
                </w:p>
              </w:tc>
              <w:tc>
                <w:tcPr>
                  <w:tcW w:w="515" w:type="pct"/>
                  <w:vAlign w:val="center"/>
                </w:tcPr>
                <w:p w14:paraId="0E54FB5B">
                  <w:pPr>
                    <w:jc w:val="center"/>
                    <w:rPr>
                      <w:szCs w:val="21"/>
                    </w:rPr>
                  </w:pPr>
                  <w:r>
                    <w:rPr>
                      <w:szCs w:val="21"/>
                    </w:rPr>
                    <w:t>25</w:t>
                  </w:r>
                </w:p>
              </w:tc>
            </w:tr>
            <w:tr w14:paraId="5A99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29" w:type="pct"/>
                  <w:vAlign w:val="center"/>
                </w:tcPr>
                <w:p w14:paraId="69EA6682">
                  <w:pPr>
                    <w:jc w:val="center"/>
                    <w:rPr>
                      <w:szCs w:val="21"/>
                    </w:rPr>
                  </w:pPr>
                  <w:r>
                    <w:rPr>
                      <w:szCs w:val="21"/>
                    </w:rPr>
                    <w:t>DA005</w:t>
                  </w:r>
                </w:p>
              </w:tc>
              <w:tc>
                <w:tcPr>
                  <w:tcW w:w="519" w:type="pct"/>
                  <w:vAlign w:val="center"/>
                </w:tcPr>
                <w:p w14:paraId="16258DEC">
                  <w:pPr>
                    <w:jc w:val="center"/>
                    <w:rPr>
                      <w:szCs w:val="21"/>
                    </w:rPr>
                  </w:pPr>
                  <w:r>
                    <w:rPr>
                      <w:szCs w:val="21"/>
                    </w:rPr>
                    <w:t>污泥储存</w:t>
                  </w:r>
                </w:p>
              </w:tc>
              <w:tc>
                <w:tcPr>
                  <w:tcW w:w="691" w:type="pct"/>
                  <w:vAlign w:val="center"/>
                </w:tcPr>
                <w:p w14:paraId="39C26350">
                  <w:pPr>
                    <w:jc w:val="center"/>
                    <w:rPr>
                      <w:szCs w:val="21"/>
                    </w:rPr>
                  </w:pPr>
                  <w:r>
                    <w:rPr>
                      <w:szCs w:val="21"/>
                    </w:rPr>
                    <w:t>氨气、硫化氢</w:t>
                  </w:r>
                </w:p>
              </w:tc>
              <w:tc>
                <w:tcPr>
                  <w:tcW w:w="1215" w:type="pct"/>
                  <w:vAlign w:val="center"/>
                </w:tcPr>
                <w:p w14:paraId="7168BFF6">
                  <w:pPr>
                    <w:jc w:val="center"/>
                    <w:rPr>
                      <w:szCs w:val="21"/>
                    </w:rPr>
                  </w:pPr>
                  <w:r>
                    <w:rPr>
                      <w:szCs w:val="21"/>
                    </w:rPr>
                    <w:t>E113.22790635°；N33.85431173°</w:t>
                  </w:r>
                </w:p>
              </w:tc>
              <w:tc>
                <w:tcPr>
                  <w:tcW w:w="514" w:type="pct"/>
                  <w:vAlign w:val="center"/>
                </w:tcPr>
                <w:p w14:paraId="24FD4E6F">
                  <w:pPr>
                    <w:jc w:val="center"/>
                    <w:rPr>
                      <w:szCs w:val="21"/>
                    </w:rPr>
                  </w:pPr>
                  <w:r>
                    <w:rPr>
                      <w:szCs w:val="21"/>
                    </w:rPr>
                    <w:t>一般排放口</w:t>
                  </w:r>
                </w:p>
              </w:tc>
              <w:tc>
                <w:tcPr>
                  <w:tcW w:w="560" w:type="pct"/>
                  <w:vAlign w:val="center"/>
                </w:tcPr>
                <w:p w14:paraId="2F8999AC">
                  <w:pPr>
                    <w:jc w:val="center"/>
                    <w:rPr>
                      <w:color w:val="FF0000"/>
                      <w:szCs w:val="21"/>
                      <w:u w:val="single"/>
                    </w:rPr>
                  </w:pPr>
                  <w:r>
                    <w:rPr>
                      <w:color w:val="FF0000"/>
                      <w:u w:val="single"/>
                    </w:rPr>
                    <w:t>15</w:t>
                  </w:r>
                </w:p>
              </w:tc>
              <w:tc>
                <w:tcPr>
                  <w:tcW w:w="557" w:type="pct"/>
                  <w:vAlign w:val="center"/>
                </w:tcPr>
                <w:p w14:paraId="09CE029E">
                  <w:pPr>
                    <w:jc w:val="center"/>
                    <w:rPr>
                      <w:color w:val="FF0000"/>
                      <w:szCs w:val="21"/>
                      <w:u w:val="single"/>
                    </w:rPr>
                  </w:pPr>
                  <w:r>
                    <w:rPr>
                      <w:color w:val="FF0000"/>
                      <w:u w:val="single"/>
                    </w:rPr>
                    <w:t>0.55</w:t>
                  </w:r>
                </w:p>
              </w:tc>
              <w:tc>
                <w:tcPr>
                  <w:tcW w:w="515" w:type="pct"/>
                  <w:vAlign w:val="center"/>
                </w:tcPr>
                <w:p w14:paraId="7CDAA1E6">
                  <w:pPr>
                    <w:jc w:val="center"/>
                    <w:rPr>
                      <w:szCs w:val="21"/>
                    </w:rPr>
                  </w:pPr>
                  <w:r>
                    <w:rPr>
                      <w:szCs w:val="21"/>
                    </w:rPr>
                    <w:t>25</w:t>
                  </w:r>
                </w:p>
              </w:tc>
            </w:tr>
            <w:tr w14:paraId="27DF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9" w:type="pct"/>
                  <w:vAlign w:val="center"/>
                </w:tcPr>
                <w:p w14:paraId="7CC7517C">
                  <w:pPr>
                    <w:jc w:val="center"/>
                    <w:rPr>
                      <w:szCs w:val="21"/>
                    </w:rPr>
                  </w:pPr>
                  <w:r>
                    <w:rPr>
                      <w:szCs w:val="21"/>
                    </w:rPr>
                    <w:t>DA006</w:t>
                  </w:r>
                </w:p>
              </w:tc>
              <w:tc>
                <w:tcPr>
                  <w:tcW w:w="519" w:type="pct"/>
                  <w:vAlign w:val="center"/>
                </w:tcPr>
                <w:p w14:paraId="3E17B57C">
                  <w:pPr>
                    <w:jc w:val="center"/>
                    <w:rPr>
                      <w:szCs w:val="21"/>
                    </w:rPr>
                  </w:pPr>
                  <w:r>
                    <w:rPr>
                      <w:szCs w:val="21"/>
                    </w:rPr>
                    <w:t>石灰粉仓</w:t>
                  </w:r>
                </w:p>
              </w:tc>
              <w:tc>
                <w:tcPr>
                  <w:tcW w:w="691" w:type="pct"/>
                  <w:vAlign w:val="center"/>
                </w:tcPr>
                <w:p w14:paraId="2E9A2450">
                  <w:pPr>
                    <w:jc w:val="center"/>
                    <w:rPr>
                      <w:szCs w:val="21"/>
                    </w:rPr>
                  </w:pPr>
                  <w:r>
                    <w:rPr>
                      <w:szCs w:val="21"/>
                    </w:rPr>
                    <w:t>颗粒物</w:t>
                  </w:r>
                </w:p>
              </w:tc>
              <w:tc>
                <w:tcPr>
                  <w:tcW w:w="1215" w:type="pct"/>
                  <w:vAlign w:val="center"/>
                </w:tcPr>
                <w:p w14:paraId="6A6FCD27">
                  <w:pPr>
                    <w:jc w:val="center"/>
                    <w:rPr>
                      <w:szCs w:val="21"/>
                    </w:rPr>
                  </w:pPr>
                  <w:r>
                    <w:rPr>
                      <w:szCs w:val="21"/>
                    </w:rPr>
                    <w:t>E113.22883613°；N 33.85462049°</w:t>
                  </w:r>
                </w:p>
              </w:tc>
              <w:tc>
                <w:tcPr>
                  <w:tcW w:w="514" w:type="pct"/>
                  <w:vAlign w:val="center"/>
                </w:tcPr>
                <w:p w14:paraId="11C0E86E">
                  <w:pPr>
                    <w:jc w:val="center"/>
                    <w:rPr>
                      <w:szCs w:val="21"/>
                    </w:rPr>
                  </w:pPr>
                  <w:r>
                    <w:rPr>
                      <w:szCs w:val="21"/>
                    </w:rPr>
                    <w:t>一般排放口</w:t>
                  </w:r>
                </w:p>
              </w:tc>
              <w:tc>
                <w:tcPr>
                  <w:tcW w:w="560" w:type="pct"/>
                  <w:vAlign w:val="center"/>
                </w:tcPr>
                <w:p w14:paraId="4081299F">
                  <w:pPr>
                    <w:jc w:val="center"/>
                    <w:rPr>
                      <w:color w:val="FF0000"/>
                      <w:szCs w:val="21"/>
                      <w:u w:val="single"/>
                    </w:rPr>
                  </w:pPr>
                  <w:r>
                    <w:rPr>
                      <w:color w:val="FF0000"/>
                      <w:spacing w:val="-6"/>
                      <w:szCs w:val="21"/>
                      <w:u w:val="single"/>
                    </w:rPr>
                    <w:t>15</w:t>
                  </w:r>
                </w:p>
              </w:tc>
              <w:tc>
                <w:tcPr>
                  <w:tcW w:w="557" w:type="pct"/>
                  <w:vAlign w:val="center"/>
                </w:tcPr>
                <w:p w14:paraId="247A6516">
                  <w:pPr>
                    <w:jc w:val="center"/>
                    <w:rPr>
                      <w:color w:val="FF0000"/>
                      <w:szCs w:val="21"/>
                      <w:u w:val="single"/>
                    </w:rPr>
                  </w:pPr>
                  <w:r>
                    <w:rPr>
                      <w:color w:val="FF0000"/>
                      <w:spacing w:val="-6"/>
                      <w:szCs w:val="21"/>
                      <w:u w:val="single"/>
                    </w:rPr>
                    <w:t>0.20</w:t>
                  </w:r>
                </w:p>
              </w:tc>
              <w:tc>
                <w:tcPr>
                  <w:tcW w:w="515" w:type="pct"/>
                  <w:vAlign w:val="center"/>
                </w:tcPr>
                <w:p w14:paraId="14390370">
                  <w:pPr>
                    <w:jc w:val="center"/>
                    <w:rPr>
                      <w:szCs w:val="21"/>
                    </w:rPr>
                  </w:pPr>
                  <w:r>
                    <w:rPr>
                      <w:szCs w:val="21"/>
                    </w:rPr>
                    <w:t>25</w:t>
                  </w:r>
                </w:p>
              </w:tc>
            </w:tr>
            <w:bookmarkEnd w:id="35"/>
          </w:tbl>
          <w:p w14:paraId="6E40956F">
            <w:pPr>
              <w:spacing w:line="520" w:lineRule="exact"/>
              <w:jc w:val="left"/>
              <w:rPr>
                <w:rFonts w:eastAsia="黑体"/>
                <w:bCs/>
                <w:sz w:val="24"/>
              </w:rPr>
            </w:pPr>
            <w:r>
              <w:rPr>
                <w:rFonts w:eastAsia="黑体"/>
                <w:bCs/>
                <w:sz w:val="24"/>
              </w:rPr>
              <w:t>1.6废气环境影响分析</w:t>
            </w:r>
          </w:p>
          <w:p w14:paraId="2C71B4A7">
            <w:pPr>
              <w:spacing w:line="500" w:lineRule="exact"/>
              <w:ind w:firstLine="480" w:firstLineChars="200"/>
              <w:rPr>
                <w:sz w:val="24"/>
              </w:rPr>
            </w:pPr>
            <w:r>
              <w:rPr>
                <w:sz w:val="24"/>
              </w:rPr>
              <w:t>（1）有组织废气影响分析</w:t>
            </w:r>
          </w:p>
          <w:p w14:paraId="099F3E94">
            <w:pPr>
              <w:spacing w:line="500" w:lineRule="exact"/>
              <w:ind w:firstLine="480" w:firstLineChars="200"/>
              <w:rPr>
                <w:sz w:val="24"/>
              </w:rPr>
            </w:pPr>
            <w:r>
              <w:rPr>
                <w:sz w:val="24"/>
              </w:rPr>
              <w:t>本项目有组织废气污染物执行《砖瓦工业大气污染物排放标准》（DB41/2234-2022）中标准限值要求，污染物经治理后排放达标情况见表4-19。</w:t>
            </w:r>
          </w:p>
          <w:p w14:paraId="7F7846A4">
            <w:pPr>
              <w:pStyle w:val="21"/>
              <w:spacing w:line="500" w:lineRule="exact"/>
              <w:jc w:val="center"/>
              <w:rPr>
                <w:rFonts w:ascii="Times New Roman" w:hAnsi="Times New Roman"/>
                <w:color w:val="FF0000"/>
                <w:u w:val="single"/>
              </w:rPr>
            </w:pPr>
            <w:r>
              <w:rPr>
                <w:rFonts w:ascii="Times New Roman" w:hAnsi="Times New Roman" w:eastAsia="黑体"/>
                <w:color w:val="FF0000"/>
                <w:kern w:val="0"/>
                <w:u w:val="single"/>
              </w:rPr>
              <w:t>表4-19       本项目有组织废气排放达标情况分析</w:t>
            </w:r>
          </w:p>
          <w:tbl>
            <w:tblPr>
              <w:tblStyle w:val="38"/>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55"/>
              <w:gridCol w:w="1056"/>
              <w:gridCol w:w="841"/>
              <w:gridCol w:w="1166"/>
              <w:gridCol w:w="1003"/>
              <w:gridCol w:w="1397"/>
              <w:gridCol w:w="1038"/>
            </w:tblGrid>
            <w:tr w14:paraId="6CF0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072" w:type="pct"/>
                  <w:gridSpan w:val="2"/>
                  <w:vAlign w:val="center"/>
                </w:tcPr>
                <w:p w14:paraId="7AEEAB47">
                  <w:pPr>
                    <w:jc w:val="center"/>
                    <w:rPr>
                      <w:color w:val="FF0000"/>
                      <w:szCs w:val="21"/>
                      <w:u w:val="single"/>
                    </w:rPr>
                  </w:pPr>
                  <w:bookmarkStart w:id="36" w:name="_Hlk217867520"/>
                  <w:r>
                    <w:rPr>
                      <w:color w:val="FF0000"/>
                      <w:szCs w:val="21"/>
                      <w:u w:val="single"/>
                    </w:rPr>
                    <w:t>产污环节</w:t>
                  </w:r>
                </w:p>
              </w:tc>
              <w:tc>
                <w:tcPr>
                  <w:tcW w:w="638" w:type="pct"/>
                  <w:vAlign w:val="center"/>
                </w:tcPr>
                <w:p w14:paraId="317924C7">
                  <w:pPr>
                    <w:jc w:val="center"/>
                    <w:rPr>
                      <w:color w:val="FF0000"/>
                      <w:szCs w:val="21"/>
                      <w:u w:val="single"/>
                    </w:rPr>
                  </w:pPr>
                  <w:r>
                    <w:rPr>
                      <w:color w:val="FF0000"/>
                      <w:szCs w:val="21"/>
                      <w:u w:val="single"/>
                    </w:rPr>
                    <w:t>处理</w:t>
                  </w:r>
                </w:p>
                <w:p w14:paraId="0F84A16A">
                  <w:pPr>
                    <w:jc w:val="center"/>
                    <w:rPr>
                      <w:color w:val="FF0000"/>
                      <w:szCs w:val="21"/>
                      <w:u w:val="single"/>
                    </w:rPr>
                  </w:pPr>
                  <w:r>
                    <w:rPr>
                      <w:color w:val="FF0000"/>
                      <w:szCs w:val="21"/>
                      <w:u w:val="single"/>
                    </w:rPr>
                    <w:t>措施</w:t>
                  </w:r>
                </w:p>
              </w:tc>
              <w:tc>
                <w:tcPr>
                  <w:tcW w:w="508" w:type="pct"/>
                  <w:vAlign w:val="center"/>
                </w:tcPr>
                <w:p w14:paraId="6E311F0B">
                  <w:pPr>
                    <w:jc w:val="center"/>
                    <w:rPr>
                      <w:color w:val="FF0000"/>
                      <w:szCs w:val="21"/>
                      <w:u w:val="single"/>
                    </w:rPr>
                  </w:pPr>
                  <w:r>
                    <w:rPr>
                      <w:color w:val="FF0000"/>
                      <w:szCs w:val="21"/>
                      <w:u w:val="single"/>
                    </w:rPr>
                    <w:t>排放量</w:t>
                  </w:r>
                </w:p>
                <w:p w14:paraId="6D80EA65">
                  <w:pPr>
                    <w:jc w:val="center"/>
                    <w:rPr>
                      <w:color w:val="FF0000"/>
                      <w:szCs w:val="21"/>
                      <w:u w:val="single"/>
                    </w:rPr>
                  </w:pPr>
                  <w:r>
                    <w:rPr>
                      <w:color w:val="FF0000"/>
                      <w:szCs w:val="21"/>
                      <w:u w:val="single"/>
                    </w:rPr>
                    <w:t>t/a</w:t>
                  </w:r>
                </w:p>
              </w:tc>
              <w:tc>
                <w:tcPr>
                  <w:tcW w:w="704" w:type="pct"/>
                  <w:vAlign w:val="center"/>
                </w:tcPr>
                <w:p w14:paraId="5CACCB1D">
                  <w:pPr>
                    <w:jc w:val="center"/>
                    <w:rPr>
                      <w:color w:val="FF0000"/>
                      <w:szCs w:val="21"/>
                      <w:u w:val="single"/>
                    </w:rPr>
                  </w:pPr>
                  <w:r>
                    <w:rPr>
                      <w:color w:val="FF0000"/>
                      <w:szCs w:val="21"/>
                      <w:u w:val="single"/>
                    </w:rPr>
                    <w:t>排放速率kg/h</w:t>
                  </w:r>
                </w:p>
              </w:tc>
              <w:tc>
                <w:tcPr>
                  <w:tcW w:w="606" w:type="pct"/>
                  <w:vAlign w:val="center"/>
                </w:tcPr>
                <w:p w14:paraId="47E66655">
                  <w:pPr>
                    <w:jc w:val="center"/>
                    <w:rPr>
                      <w:color w:val="FF0000"/>
                      <w:szCs w:val="21"/>
                      <w:u w:val="single"/>
                    </w:rPr>
                  </w:pPr>
                  <w:r>
                    <w:rPr>
                      <w:color w:val="FF0000"/>
                      <w:szCs w:val="21"/>
                      <w:u w:val="single"/>
                    </w:rPr>
                    <w:t>排放浓度mg/m</w:t>
                  </w:r>
                  <w:r>
                    <w:rPr>
                      <w:color w:val="FF0000"/>
                      <w:szCs w:val="21"/>
                      <w:u w:val="single"/>
                      <w:vertAlign w:val="superscript"/>
                    </w:rPr>
                    <w:t>3</w:t>
                  </w:r>
                </w:p>
              </w:tc>
              <w:tc>
                <w:tcPr>
                  <w:tcW w:w="844" w:type="pct"/>
                  <w:vAlign w:val="center"/>
                </w:tcPr>
                <w:p w14:paraId="3613B9C6">
                  <w:pPr>
                    <w:jc w:val="center"/>
                    <w:rPr>
                      <w:color w:val="FF0000"/>
                      <w:szCs w:val="21"/>
                      <w:u w:val="single"/>
                    </w:rPr>
                  </w:pPr>
                  <w:r>
                    <w:rPr>
                      <w:color w:val="FF0000"/>
                      <w:szCs w:val="21"/>
                      <w:u w:val="single"/>
                    </w:rPr>
                    <w:t>排放浓度限值mg/m</w:t>
                  </w:r>
                  <w:r>
                    <w:rPr>
                      <w:color w:val="FF0000"/>
                      <w:szCs w:val="21"/>
                      <w:u w:val="single"/>
                      <w:vertAlign w:val="superscript"/>
                    </w:rPr>
                    <w:t>3</w:t>
                  </w:r>
                </w:p>
              </w:tc>
              <w:tc>
                <w:tcPr>
                  <w:tcW w:w="627" w:type="pct"/>
                  <w:vAlign w:val="center"/>
                </w:tcPr>
                <w:p w14:paraId="50728B54">
                  <w:pPr>
                    <w:jc w:val="center"/>
                    <w:rPr>
                      <w:color w:val="FF0000"/>
                      <w:szCs w:val="21"/>
                      <w:u w:val="single"/>
                    </w:rPr>
                  </w:pPr>
                  <w:r>
                    <w:rPr>
                      <w:color w:val="FF0000"/>
                      <w:szCs w:val="21"/>
                      <w:u w:val="single"/>
                    </w:rPr>
                    <w:t>是否达标</w:t>
                  </w:r>
                </w:p>
              </w:tc>
            </w:tr>
            <w:tr w14:paraId="668B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trPr>
              <w:tc>
                <w:tcPr>
                  <w:tcW w:w="435" w:type="pct"/>
                  <w:vMerge w:val="restart"/>
                  <w:vAlign w:val="center"/>
                </w:tcPr>
                <w:p w14:paraId="1EC1AC47">
                  <w:pPr>
                    <w:jc w:val="center"/>
                    <w:rPr>
                      <w:color w:val="FF0000"/>
                      <w:szCs w:val="21"/>
                      <w:u w:val="single"/>
                    </w:rPr>
                  </w:pPr>
                  <w:r>
                    <w:rPr>
                      <w:color w:val="FF0000"/>
                      <w:szCs w:val="21"/>
                      <w:u w:val="single"/>
                    </w:rPr>
                    <w:t>原料制备</w:t>
                  </w:r>
                </w:p>
              </w:tc>
              <w:tc>
                <w:tcPr>
                  <w:tcW w:w="637" w:type="pct"/>
                  <w:vAlign w:val="center"/>
                </w:tcPr>
                <w:p w14:paraId="06FADF09">
                  <w:pPr>
                    <w:jc w:val="center"/>
                    <w:rPr>
                      <w:color w:val="FF0000"/>
                      <w:szCs w:val="21"/>
                      <w:u w:val="single"/>
                    </w:rPr>
                  </w:pPr>
                  <w:r>
                    <w:rPr>
                      <w:color w:val="FF0000"/>
                      <w:szCs w:val="21"/>
                      <w:u w:val="single"/>
                    </w:rPr>
                    <w:t>筛分、搅拌颗粒物</w:t>
                  </w:r>
                </w:p>
              </w:tc>
              <w:tc>
                <w:tcPr>
                  <w:tcW w:w="638" w:type="pct"/>
                  <w:vAlign w:val="center"/>
                </w:tcPr>
                <w:p w14:paraId="0B554033">
                  <w:pPr>
                    <w:jc w:val="center"/>
                    <w:rPr>
                      <w:color w:val="FF0000"/>
                      <w:szCs w:val="21"/>
                      <w:u w:val="single"/>
                    </w:rPr>
                  </w:pPr>
                  <w:r>
                    <w:rPr>
                      <w:color w:val="FF0000"/>
                      <w:szCs w:val="21"/>
                      <w:u w:val="single"/>
                    </w:rPr>
                    <w:t>1座袋式除尘器</w:t>
                  </w:r>
                </w:p>
              </w:tc>
              <w:tc>
                <w:tcPr>
                  <w:tcW w:w="508" w:type="pct"/>
                  <w:vAlign w:val="center"/>
                </w:tcPr>
                <w:p w14:paraId="608C923B">
                  <w:pPr>
                    <w:jc w:val="center"/>
                    <w:rPr>
                      <w:color w:val="FF0000"/>
                      <w:szCs w:val="21"/>
                      <w:u w:val="single"/>
                    </w:rPr>
                  </w:pPr>
                  <w:r>
                    <w:rPr>
                      <w:color w:val="FF0000"/>
                      <w:sz w:val="18"/>
                      <w:szCs w:val="18"/>
                      <w:u w:val="single"/>
                    </w:rPr>
                    <w:t>0.84</w:t>
                  </w:r>
                </w:p>
              </w:tc>
              <w:tc>
                <w:tcPr>
                  <w:tcW w:w="704" w:type="pct"/>
                  <w:vAlign w:val="center"/>
                </w:tcPr>
                <w:p w14:paraId="0BD2D9FF">
                  <w:pPr>
                    <w:jc w:val="center"/>
                    <w:rPr>
                      <w:color w:val="FF0000"/>
                      <w:szCs w:val="21"/>
                      <w:u w:val="single"/>
                    </w:rPr>
                  </w:pPr>
                  <w:r>
                    <w:rPr>
                      <w:color w:val="FF0000"/>
                      <w:sz w:val="18"/>
                      <w:szCs w:val="18"/>
                      <w:u w:val="single"/>
                    </w:rPr>
                    <w:t xml:space="preserve">0.16 </w:t>
                  </w:r>
                </w:p>
              </w:tc>
              <w:tc>
                <w:tcPr>
                  <w:tcW w:w="606" w:type="pct"/>
                  <w:vAlign w:val="center"/>
                </w:tcPr>
                <w:p w14:paraId="3301C914">
                  <w:pPr>
                    <w:jc w:val="center"/>
                    <w:rPr>
                      <w:color w:val="FF0000"/>
                      <w:szCs w:val="21"/>
                      <w:u w:val="single"/>
                    </w:rPr>
                  </w:pPr>
                  <w:r>
                    <w:rPr>
                      <w:color w:val="FF0000"/>
                      <w:sz w:val="18"/>
                      <w:szCs w:val="18"/>
                      <w:u w:val="single"/>
                    </w:rPr>
                    <w:t>7.2</w:t>
                  </w:r>
                </w:p>
              </w:tc>
              <w:tc>
                <w:tcPr>
                  <w:tcW w:w="844" w:type="pct"/>
                  <w:vAlign w:val="center"/>
                </w:tcPr>
                <w:p w14:paraId="514CF8B3">
                  <w:pPr>
                    <w:jc w:val="center"/>
                    <w:rPr>
                      <w:color w:val="FF0000"/>
                      <w:szCs w:val="21"/>
                      <w:u w:val="single"/>
                    </w:rPr>
                  </w:pPr>
                  <w:r>
                    <w:rPr>
                      <w:color w:val="FF0000"/>
                      <w:szCs w:val="21"/>
                      <w:u w:val="single"/>
                    </w:rPr>
                    <w:t>10</w:t>
                  </w:r>
                </w:p>
              </w:tc>
              <w:tc>
                <w:tcPr>
                  <w:tcW w:w="627" w:type="pct"/>
                  <w:vAlign w:val="center"/>
                </w:tcPr>
                <w:p w14:paraId="2C046B06">
                  <w:pPr>
                    <w:jc w:val="center"/>
                    <w:rPr>
                      <w:color w:val="FF0000"/>
                      <w:szCs w:val="21"/>
                      <w:u w:val="single"/>
                    </w:rPr>
                  </w:pPr>
                  <w:r>
                    <w:rPr>
                      <w:color w:val="FF0000"/>
                      <w:szCs w:val="21"/>
                      <w:u w:val="single"/>
                    </w:rPr>
                    <w:t>达标</w:t>
                  </w:r>
                </w:p>
              </w:tc>
            </w:tr>
            <w:tr w14:paraId="0248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5" w:type="pct"/>
                  <w:vMerge w:val="continue"/>
                  <w:tcBorders>
                    <w:bottom w:val="single" w:color="auto" w:sz="4" w:space="0"/>
                  </w:tcBorders>
                  <w:vAlign w:val="center"/>
                </w:tcPr>
                <w:p w14:paraId="0022A0AE">
                  <w:pPr>
                    <w:jc w:val="center"/>
                    <w:rPr>
                      <w:color w:val="FF0000"/>
                      <w:szCs w:val="21"/>
                      <w:u w:val="single"/>
                    </w:rPr>
                  </w:pPr>
                </w:p>
              </w:tc>
              <w:tc>
                <w:tcPr>
                  <w:tcW w:w="637" w:type="pct"/>
                  <w:tcBorders>
                    <w:bottom w:val="single" w:color="auto" w:sz="4" w:space="0"/>
                  </w:tcBorders>
                  <w:vAlign w:val="center"/>
                </w:tcPr>
                <w:p w14:paraId="4B7AE809">
                  <w:pPr>
                    <w:jc w:val="center"/>
                    <w:rPr>
                      <w:color w:val="FF0000"/>
                      <w:szCs w:val="21"/>
                      <w:u w:val="single"/>
                    </w:rPr>
                  </w:pPr>
                  <w:r>
                    <w:rPr>
                      <w:color w:val="FF0000"/>
                      <w:szCs w:val="21"/>
                      <w:u w:val="single"/>
                    </w:rPr>
                    <w:t>喂料、破碎颗粒物</w:t>
                  </w:r>
                </w:p>
              </w:tc>
              <w:tc>
                <w:tcPr>
                  <w:tcW w:w="638" w:type="pct"/>
                  <w:vAlign w:val="center"/>
                </w:tcPr>
                <w:p w14:paraId="45247D48">
                  <w:pPr>
                    <w:jc w:val="center"/>
                    <w:rPr>
                      <w:color w:val="FF0000"/>
                      <w:szCs w:val="21"/>
                      <w:u w:val="single"/>
                    </w:rPr>
                  </w:pPr>
                  <w:r>
                    <w:rPr>
                      <w:color w:val="FF0000"/>
                      <w:szCs w:val="21"/>
                      <w:u w:val="single"/>
                    </w:rPr>
                    <w:t>1座袋式除尘器</w:t>
                  </w:r>
                </w:p>
              </w:tc>
              <w:tc>
                <w:tcPr>
                  <w:tcW w:w="508" w:type="pct"/>
                  <w:tcBorders>
                    <w:bottom w:val="single" w:color="auto" w:sz="4" w:space="0"/>
                  </w:tcBorders>
                  <w:vAlign w:val="center"/>
                </w:tcPr>
                <w:p w14:paraId="23E71D7B">
                  <w:pPr>
                    <w:jc w:val="center"/>
                    <w:rPr>
                      <w:color w:val="FF0000"/>
                      <w:szCs w:val="21"/>
                      <w:u w:val="single"/>
                    </w:rPr>
                  </w:pPr>
                  <w:r>
                    <w:rPr>
                      <w:color w:val="FF0000"/>
                      <w:sz w:val="18"/>
                      <w:szCs w:val="18"/>
                      <w:u w:val="single"/>
                    </w:rPr>
                    <w:t>0.44</w:t>
                  </w:r>
                </w:p>
              </w:tc>
              <w:tc>
                <w:tcPr>
                  <w:tcW w:w="704" w:type="pct"/>
                  <w:tcBorders>
                    <w:bottom w:val="single" w:color="auto" w:sz="4" w:space="0"/>
                  </w:tcBorders>
                  <w:vAlign w:val="center"/>
                </w:tcPr>
                <w:p w14:paraId="7462C7DB">
                  <w:pPr>
                    <w:jc w:val="center"/>
                    <w:rPr>
                      <w:color w:val="FF0000"/>
                      <w:szCs w:val="21"/>
                      <w:u w:val="single"/>
                    </w:rPr>
                  </w:pPr>
                  <w:r>
                    <w:rPr>
                      <w:color w:val="FF0000"/>
                      <w:sz w:val="18"/>
                      <w:szCs w:val="18"/>
                      <w:u w:val="single"/>
                    </w:rPr>
                    <w:t xml:space="preserve">0.083 </w:t>
                  </w:r>
                </w:p>
              </w:tc>
              <w:tc>
                <w:tcPr>
                  <w:tcW w:w="606" w:type="pct"/>
                  <w:tcBorders>
                    <w:bottom w:val="single" w:color="auto" w:sz="4" w:space="0"/>
                  </w:tcBorders>
                  <w:vAlign w:val="center"/>
                </w:tcPr>
                <w:p w14:paraId="0C9A040A">
                  <w:pPr>
                    <w:jc w:val="center"/>
                    <w:rPr>
                      <w:color w:val="FF0000"/>
                      <w:szCs w:val="21"/>
                      <w:u w:val="single"/>
                    </w:rPr>
                  </w:pPr>
                  <w:r>
                    <w:rPr>
                      <w:color w:val="FF0000"/>
                      <w:sz w:val="18"/>
                      <w:szCs w:val="18"/>
                      <w:u w:val="single"/>
                    </w:rPr>
                    <w:t>3.0</w:t>
                  </w:r>
                </w:p>
              </w:tc>
              <w:tc>
                <w:tcPr>
                  <w:tcW w:w="844" w:type="pct"/>
                  <w:tcBorders>
                    <w:bottom w:val="single" w:color="auto" w:sz="4" w:space="0"/>
                  </w:tcBorders>
                  <w:vAlign w:val="center"/>
                </w:tcPr>
                <w:p w14:paraId="0B99A145">
                  <w:pPr>
                    <w:jc w:val="center"/>
                    <w:rPr>
                      <w:color w:val="FF0000"/>
                      <w:szCs w:val="21"/>
                      <w:u w:val="single"/>
                    </w:rPr>
                  </w:pPr>
                  <w:r>
                    <w:rPr>
                      <w:color w:val="FF0000"/>
                      <w:szCs w:val="21"/>
                      <w:u w:val="single"/>
                    </w:rPr>
                    <w:t>10</w:t>
                  </w:r>
                </w:p>
              </w:tc>
              <w:tc>
                <w:tcPr>
                  <w:tcW w:w="627" w:type="pct"/>
                  <w:tcBorders>
                    <w:bottom w:val="single" w:color="auto" w:sz="4" w:space="0"/>
                  </w:tcBorders>
                  <w:vAlign w:val="center"/>
                </w:tcPr>
                <w:p w14:paraId="1FCC78EF">
                  <w:pPr>
                    <w:jc w:val="center"/>
                    <w:rPr>
                      <w:color w:val="FF0000"/>
                      <w:szCs w:val="21"/>
                      <w:u w:val="single"/>
                    </w:rPr>
                  </w:pPr>
                  <w:r>
                    <w:rPr>
                      <w:color w:val="FF0000"/>
                      <w:szCs w:val="21"/>
                      <w:u w:val="single"/>
                    </w:rPr>
                    <w:t>达标</w:t>
                  </w:r>
                </w:p>
              </w:tc>
            </w:tr>
            <w:tr w14:paraId="7FA8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5" w:type="pct"/>
                  <w:vMerge w:val="restart"/>
                  <w:vAlign w:val="center"/>
                </w:tcPr>
                <w:p w14:paraId="5EAB99AB">
                  <w:pPr>
                    <w:jc w:val="center"/>
                    <w:rPr>
                      <w:color w:val="FF0000"/>
                      <w:szCs w:val="21"/>
                      <w:u w:val="single"/>
                    </w:rPr>
                  </w:pPr>
                  <w:r>
                    <w:rPr>
                      <w:color w:val="FF0000"/>
                      <w:szCs w:val="21"/>
                      <w:u w:val="single"/>
                    </w:rPr>
                    <w:t>窑炉烟气</w:t>
                  </w:r>
                </w:p>
              </w:tc>
              <w:tc>
                <w:tcPr>
                  <w:tcW w:w="637" w:type="pct"/>
                  <w:vAlign w:val="center"/>
                </w:tcPr>
                <w:p w14:paraId="7833103B">
                  <w:pPr>
                    <w:jc w:val="center"/>
                    <w:rPr>
                      <w:color w:val="FF0000"/>
                      <w:szCs w:val="21"/>
                      <w:u w:val="single"/>
                    </w:rPr>
                  </w:pPr>
                  <w:r>
                    <w:rPr>
                      <w:color w:val="FF0000"/>
                      <w:szCs w:val="21"/>
                      <w:u w:val="single"/>
                    </w:rPr>
                    <w:t>颗粒物</w:t>
                  </w:r>
                </w:p>
              </w:tc>
              <w:tc>
                <w:tcPr>
                  <w:tcW w:w="638" w:type="pct"/>
                  <w:vMerge w:val="restart"/>
                  <w:vAlign w:val="center"/>
                </w:tcPr>
                <w:p w14:paraId="16E8385D">
                  <w:pPr>
                    <w:jc w:val="center"/>
                    <w:rPr>
                      <w:color w:val="FF0000"/>
                      <w:szCs w:val="21"/>
                      <w:u w:val="single"/>
                    </w:rPr>
                  </w:pPr>
                  <w:r>
                    <w:rPr>
                      <w:color w:val="FF0000"/>
                      <w:szCs w:val="21"/>
                      <w:u w:val="single"/>
                    </w:rPr>
                    <w:t>1套“SNCR脱硝＋石灰-石膏湿法脱硫塔＋湿电除尘器”</w:t>
                  </w:r>
                </w:p>
              </w:tc>
              <w:tc>
                <w:tcPr>
                  <w:tcW w:w="508" w:type="pct"/>
                  <w:vAlign w:val="center"/>
                </w:tcPr>
                <w:p w14:paraId="65C6F843">
                  <w:pPr>
                    <w:jc w:val="center"/>
                    <w:rPr>
                      <w:color w:val="FF0000"/>
                      <w:szCs w:val="21"/>
                      <w:u w:val="single"/>
                    </w:rPr>
                  </w:pPr>
                  <w:r>
                    <w:rPr>
                      <w:color w:val="FF0000"/>
                      <w:sz w:val="18"/>
                      <w:szCs w:val="18"/>
                      <w:u w:val="single"/>
                    </w:rPr>
                    <w:t>7.80</w:t>
                  </w:r>
                </w:p>
              </w:tc>
              <w:tc>
                <w:tcPr>
                  <w:tcW w:w="704" w:type="pct"/>
                  <w:vAlign w:val="center"/>
                </w:tcPr>
                <w:p w14:paraId="1D2F1030">
                  <w:pPr>
                    <w:jc w:val="center"/>
                    <w:rPr>
                      <w:color w:val="FF0000"/>
                      <w:szCs w:val="21"/>
                      <w:u w:val="single"/>
                    </w:rPr>
                  </w:pPr>
                  <w:r>
                    <w:rPr>
                      <w:color w:val="FF0000"/>
                      <w:sz w:val="18"/>
                      <w:szCs w:val="18"/>
                      <w:u w:val="single"/>
                    </w:rPr>
                    <w:t>1.0</w:t>
                  </w:r>
                </w:p>
              </w:tc>
              <w:tc>
                <w:tcPr>
                  <w:tcW w:w="606" w:type="pct"/>
                  <w:vAlign w:val="center"/>
                </w:tcPr>
                <w:p w14:paraId="318CBFDB">
                  <w:pPr>
                    <w:jc w:val="center"/>
                    <w:rPr>
                      <w:color w:val="FF0000"/>
                      <w:szCs w:val="21"/>
                      <w:u w:val="single"/>
                    </w:rPr>
                  </w:pPr>
                  <w:r>
                    <w:rPr>
                      <w:color w:val="FF0000"/>
                      <w:sz w:val="18"/>
                      <w:szCs w:val="18"/>
                      <w:u w:val="single"/>
                    </w:rPr>
                    <w:t>5.0</w:t>
                  </w:r>
                </w:p>
              </w:tc>
              <w:tc>
                <w:tcPr>
                  <w:tcW w:w="844" w:type="pct"/>
                  <w:vAlign w:val="center"/>
                </w:tcPr>
                <w:p w14:paraId="7F3B63C9">
                  <w:pPr>
                    <w:jc w:val="center"/>
                    <w:rPr>
                      <w:color w:val="FF0000"/>
                      <w:szCs w:val="21"/>
                      <w:u w:val="single"/>
                    </w:rPr>
                  </w:pPr>
                  <w:r>
                    <w:rPr>
                      <w:color w:val="FF0000"/>
                      <w:szCs w:val="21"/>
                      <w:u w:val="single"/>
                    </w:rPr>
                    <w:t>10</w:t>
                  </w:r>
                </w:p>
              </w:tc>
              <w:tc>
                <w:tcPr>
                  <w:tcW w:w="627" w:type="pct"/>
                  <w:vAlign w:val="center"/>
                </w:tcPr>
                <w:p w14:paraId="551BD9CC">
                  <w:pPr>
                    <w:jc w:val="center"/>
                    <w:rPr>
                      <w:color w:val="FF0000"/>
                      <w:szCs w:val="21"/>
                      <w:u w:val="single"/>
                    </w:rPr>
                  </w:pPr>
                  <w:r>
                    <w:rPr>
                      <w:color w:val="FF0000"/>
                      <w:szCs w:val="21"/>
                      <w:u w:val="single"/>
                    </w:rPr>
                    <w:t>达标</w:t>
                  </w:r>
                </w:p>
              </w:tc>
            </w:tr>
            <w:tr w14:paraId="65F0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0F9DBEA4">
                  <w:pPr>
                    <w:jc w:val="center"/>
                    <w:rPr>
                      <w:color w:val="FF0000"/>
                      <w:szCs w:val="21"/>
                      <w:u w:val="single"/>
                    </w:rPr>
                  </w:pPr>
                </w:p>
              </w:tc>
              <w:tc>
                <w:tcPr>
                  <w:tcW w:w="637" w:type="pct"/>
                  <w:vAlign w:val="center"/>
                </w:tcPr>
                <w:p w14:paraId="31A751DA">
                  <w:pPr>
                    <w:jc w:val="center"/>
                    <w:rPr>
                      <w:color w:val="FF0000"/>
                      <w:szCs w:val="21"/>
                      <w:u w:val="single"/>
                    </w:rPr>
                  </w:pPr>
                  <w:r>
                    <w:rPr>
                      <w:color w:val="FF0000"/>
                      <w:szCs w:val="21"/>
                      <w:u w:val="single"/>
                    </w:rPr>
                    <w:t>二氧化硫</w:t>
                  </w:r>
                </w:p>
              </w:tc>
              <w:tc>
                <w:tcPr>
                  <w:tcW w:w="638" w:type="pct"/>
                  <w:vMerge w:val="continue"/>
                  <w:vAlign w:val="center"/>
                </w:tcPr>
                <w:p w14:paraId="272FB6DF">
                  <w:pPr>
                    <w:jc w:val="center"/>
                    <w:rPr>
                      <w:color w:val="FF0000"/>
                      <w:szCs w:val="21"/>
                      <w:u w:val="single"/>
                    </w:rPr>
                  </w:pPr>
                </w:p>
              </w:tc>
              <w:tc>
                <w:tcPr>
                  <w:tcW w:w="508" w:type="pct"/>
                  <w:vAlign w:val="center"/>
                </w:tcPr>
                <w:p w14:paraId="6C875716">
                  <w:pPr>
                    <w:jc w:val="center"/>
                    <w:rPr>
                      <w:color w:val="FF0000"/>
                      <w:szCs w:val="21"/>
                      <w:u w:val="single"/>
                    </w:rPr>
                  </w:pPr>
                  <w:r>
                    <w:rPr>
                      <w:color w:val="FF0000"/>
                      <w:sz w:val="18"/>
                      <w:szCs w:val="18"/>
                      <w:u w:val="single"/>
                    </w:rPr>
                    <w:t>57.75</w:t>
                  </w:r>
                </w:p>
              </w:tc>
              <w:tc>
                <w:tcPr>
                  <w:tcW w:w="704" w:type="pct"/>
                  <w:vAlign w:val="center"/>
                </w:tcPr>
                <w:p w14:paraId="1F24CB2C">
                  <w:pPr>
                    <w:jc w:val="center"/>
                    <w:rPr>
                      <w:color w:val="FF0000"/>
                      <w:szCs w:val="21"/>
                      <w:u w:val="single"/>
                    </w:rPr>
                  </w:pPr>
                  <w:r>
                    <w:rPr>
                      <w:color w:val="FF0000"/>
                      <w:sz w:val="18"/>
                      <w:szCs w:val="18"/>
                      <w:u w:val="single"/>
                    </w:rPr>
                    <w:t>7.29</w:t>
                  </w:r>
                </w:p>
              </w:tc>
              <w:tc>
                <w:tcPr>
                  <w:tcW w:w="606" w:type="pct"/>
                  <w:vAlign w:val="center"/>
                </w:tcPr>
                <w:p w14:paraId="61932B47">
                  <w:pPr>
                    <w:jc w:val="center"/>
                    <w:rPr>
                      <w:color w:val="FF0000"/>
                      <w:szCs w:val="21"/>
                      <w:u w:val="single"/>
                    </w:rPr>
                  </w:pPr>
                  <w:r>
                    <w:rPr>
                      <w:color w:val="FF0000"/>
                      <w:sz w:val="18"/>
                      <w:szCs w:val="18"/>
                      <w:u w:val="single"/>
                    </w:rPr>
                    <w:t>36.45</w:t>
                  </w:r>
                </w:p>
              </w:tc>
              <w:tc>
                <w:tcPr>
                  <w:tcW w:w="844" w:type="pct"/>
                  <w:vAlign w:val="center"/>
                </w:tcPr>
                <w:p w14:paraId="78203C56">
                  <w:pPr>
                    <w:jc w:val="center"/>
                    <w:rPr>
                      <w:color w:val="FF0000"/>
                      <w:szCs w:val="21"/>
                      <w:u w:val="single"/>
                    </w:rPr>
                  </w:pPr>
                  <w:r>
                    <w:rPr>
                      <w:color w:val="FF0000"/>
                      <w:szCs w:val="21"/>
                      <w:u w:val="single"/>
                    </w:rPr>
                    <w:t>50</w:t>
                  </w:r>
                </w:p>
              </w:tc>
              <w:tc>
                <w:tcPr>
                  <w:tcW w:w="627" w:type="pct"/>
                  <w:vAlign w:val="center"/>
                </w:tcPr>
                <w:p w14:paraId="38F08DA7">
                  <w:pPr>
                    <w:jc w:val="center"/>
                    <w:rPr>
                      <w:color w:val="FF0000"/>
                      <w:szCs w:val="21"/>
                      <w:u w:val="single"/>
                    </w:rPr>
                  </w:pPr>
                  <w:r>
                    <w:rPr>
                      <w:color w:val="FF0000"/>
                      <w:szCs w:val="21"/>
                      <w:u w:val="single"/>
                    </w:rPr>
                    <w:t>达标</w:t>
                  </w:r>
                </w:p>
              </w:tc>
            </w:tr>
            <w:tr w14:paraId="355A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5" w:type="pct"/>
                  <w:vMerge w:val="continue"/>
                  <w:vAlign w:val="center"/>
                </w:tcPr>
                <w:p w14:paraId="49840DA2">
                  <w:pPr>
                    <w:jc w:val="center"/>
                    <w:rPr>
                      <w:color w:val="FF0000"/>
                      <w:szCs w:val="21"/>
                      <w:u w:val="single"/>
                    </w:rPr>
                  </w:pPr>
                </w:p>
              </w:tc>
              <w:tc>
                <w:tcPr>
                  <w:tcW w:w="637" w:type="pct"/>
                  <w:vAlign w:val="center"/>
                </w:tcPr>
                <w:p w14:paraId="6A0BD8B7">
                  <w:pPr>
                    <w:jc w:val="center"/>
                    <w:rPr>
                      <w:color w:val="FF0000"/>
                      <w:szCs w:val="21"/>
                      <w:u w:val="single"/>
                    </w:rPr>
                  </w:pPr>
                  <w:r>
                    <w:rPr>
                      <w:color w:val="FF0000"/>
                      <w:szCs w:val="21"/>
                      <w:u w:val="single"/>
                    </w:rPr>
                    <w:t>氮氧化物</w:t>
                  </w:r>
                </w:p>
              </w:tc>
              <w:tc>
                <w:tcPr>
                  <w:tcW w:w="638" w:type="pct"/>
                  <w:vMerge w:val="continue"/>
                  <w:vAlign w:val="center"/>
                </w:tcPr>
                <w:p w14:paraId="784F1415">
                  <w:pPr>
                    <w:jc w:val="center"/>
                    <w:rPr>
                      <w:color w:val="FF0000"/>
                      <w:szCs w:val="21"/>
                      <w:u w:val="single"/>
                    </w:rPr>
                  </w:pPr>
                </w:p>
              </w:tc>
              <w:tc>
                <w:tcPr>
                  <w:tcW w:w="508" w:type="pct"/>
                  <w:vAlign w:val="center"/>
                </w:tcPr>
                <w:p w14:paraId="0CC25887">
                  <w:pPr>
                    <w:jc w:val="center"/>
                    <w:rPr>
                      <w:color w:val="FF0000"/>
                      <w:szCs w:val="21"/>
                      <w:u w:val="single"/>
                    </w:rPr>
                  </w:pPr>
                  <w:r>
                    <w:rPr>
                      <w:color w:val="FF0000"/>
                      <w:sz w:val="18"/>
                      <w:szCs w:val="18"/>
                      <w:u w:val="single"/>
                    </w:rPr>
                    <w:t>44.06</w:t>
                  </w:r>
                </w:p>
              </w:tc>
              <w:tc>
                <w:tcPr>
                  <w:tcW w:w="704" w:type="pct"/>
                  <w:vAlign w:val="center"/>
                </w:tcPr>
                <w:p w14:paraId="16CADFEE">
                  <w:pPr>
                    <w:jc w:val="center"/>
                    <w:rPr>
                      <w:color w:val="FF0000"/>
                      <w:szCs w:val="21"/>
                      <w:u w:val="single"/>
                    </w:rPr>
                  </w:pPr>
                  <w:r>
                    <w:rPr>
                      <w:color w:val="FF0000"/>
                      <w:sz w:val="18"/>
                      <w:szCs w:val="18"/>
                      <w:u w:val="single"/>
                    </w:rPr>
                    <w:t>5.56</w:t>
                  </w:r>
                </w:p>
              </w:tc>
              <w:tc>
                <w:tcPr>
                  <w:tcW w:w="606" w:type="pct"/>
                  <w:vAlign w:val="center"/>
                </w:tcPr>
                <w:p w14:paraId="7FFD595E">
                  <w:pPr>
                    <w:jc w:val="center"/>
                    <w:rPr>
                      <w:color w:val="FF0000"/>
                      <w:szCs w:val="21"/>
                      <w:u w:val="single"/>
                    </w:rPr>
                  </w:pPr>
                  <w:r>
                    <w:rPr>
                      <w:color w:val="FF0000"/>
                      <w:sz w:val="18"/>
                      <w:szCs w:val="18"/>
                      <w:u w:val="single"/>
                    </w:rPr>
                    <w:t>27.8</w:t>
                  </w:r>
                </w:p>
              </w:tc>
              <w:tc>
                <w:tcPr>
                  <w:tcW w:w="844" w:type="pct"/>
                  <w:vAlign w:val="center"/>
                </w:tcPr>
                <w:p w14:paraId="28E1877B">
                  <w:pPr>
                    <w:jc w:val="center"/>
                    <w:rPr>
                      <w:color w:val="FF0000"/>
                      <w:szCs w:val="21"/>
                      <w:u w:val="single"/>
                    </w:rPr>
                  </w:pPr>
                  <w:r>
                    <w:rPr>
                      <w:color w:val="FF0000"/>
                      <w:szCs w:val="21"/>
                      <w:u w:val="single"/>
                    </w:rPr>
                    <w:t>100</w:t>
                  </w:r>
                </w:p>
              </w:tc>
              <w:tc>
                <w:tcPr>
                  <w:tcW w:w="627" w:type="pct"/>
                  <w:vAlign w:val="center"/>
                </w:tcPr>
                <w:p w14:paraId="146880F1">
                  <w:pPr>
                    <w:jc w:val="center"/>
                    <w:rPr>
                      <w:color w:val="FF0000"/>
                      <w:szCs w:val="21"/>
                      <w:u w:val="single"/>
                    </w:rPr>
                  </w:pPr>
                  <w:r>
                    <w:rPr>
                      <w:color w:val="FF0000"/>
                      <w:szCs w:val="21"/>
                      <w:u w:val="single"/>
                    </w:rPr>
                    <w:t>达标</w:t>
                  </w:r>
                </w:p>
              </w:tc>
            </w:tr>
            <w:tr w14:paraId="2336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659F126D">
                  <w:pPr>
                    <w:jc w:val="center"/>
                    <w:rPr>
                      <w:color w:val="FF0000"/>
                      <w:szCs w:val="21"/>
                      <w:u w:val="single"/>
                    </w:rPr>
                  </w:pPr>
                </w:p>
              </w:tc>
              <w:tc>
                <w:tcPr>
                  <w:tcW w:w="637" w:type="pct"/>
                  <w:vAlign w:val="center"/>
                </w:tcPr>
                <w:p w14:paraId="2292DBAE">
                  <w:pPr>
                    <w:jc w:val="center"/>
                    <w:rPr>
                      <w:color w:val="FF0000"/>
                      <w:szCs w:val="21"/>
                      <w:u w:val="single"/>
                    </w:rPr>
                  </w:pPr>
                  <w:r>
                    <w:rPr>
                      <w:color w:val="FF0000"/>
                      <w:szCs w:val="21"/>
                      <w:u w:val="single"/>
                    </w:rPr>
                    <w:t>氟化物</w:t>
                  </w:r>
                </w:p>
              </w:tc>
              <w:tc>
                <w:tcPr>
                  <w:tcW w:w="638" w:type="pct"/>
                  <w:vMerge w:val="continue"/>
                  <w:vAlign w:val="center"/>
                </w:tcPr>
                <w:p w14:paraId="349A25B8">
                  <w:pPr>
                    <w:jc w:val="center"/>
                    <w:rPr>
                      <w:color w:val="FF0000"/>
                      <w:szCs w:val="21"/>
                      <w:u w:val="single"/>
                    </w:rPr>
                  </w:pPr>
                </w:p>
              </w:tc>
              <w:tc>
                <w:tcPr>
                  <w:tcW w:w="508" w:type="pct"/>
                  <w:vAlign w:val="center"/>
                </w:tcPr>
                <w:p w14:paraId="18A5CB2E">
                  <w:pPr>
                    <w:jc w:val="center"/>
                    <w:rPr>
                      <w:color w:val="FF0000"/>
                      <w:szCs w:val="21"/>
                      <w:u w:val="single"/>
                    </w:rPr>
                  </w:pPr>
                  <w:r>
                    <w:rPr>
                      <w:color w:val="FF0000"/>
                      <w:sz w:val="18"/>
                      <w:szCs w:val="18"/>
                      <w:u w:val="single"/>
                    </w:rPr>
                    <w:t>0.67</w:t>
                  </w:r>
                </w:p>
              </w:tc>
              <w:tc>
                <w:tcPr>
                  <w:tcW w:w="704" w:type="pct"/>
                  <w:vAlign w:val="center"/>
                </w:tcPr>
                <w:p w14:paraId="2B705431">
                  <w:pPr>
                    <w:jc w:val="center"/>
                    <w:rPr>
                      <w:color w:val="FF0000"/>
                      <w:szCs w:val="21"/>
                      <w:u w:val="single"/>
                    </w:rPr>
                  </w:pPr>
                  <w:r>
                    <w:rPr>
                      <w:color w:val="FF0000"/>
                      <w:sz w:val="18"/>
                      <w:szCs w:val="18"/>
                      <w:u w:val="single"/>
                    </w:rPr>
                    <w:t>0.085</w:t>
                  </w:r>
                </w:p>
              </w:tc>
              <w:tc>
                <w:tcPr>
                  <w:tcW w:w="606" w:type="pct"/>
                  <w:vAlign w:val="center"/>
                </w:tcPr>
                <w:p w14:paraId="0F5AA349">
                  <w:pPr>
                    <w:jc w:val="center"/>
                    <w:rPr>
                      <w:color w:val="FF0000"/>
                      <w:szCs w:val="21"/>
                      <w:u w:val="single"/>
                    </w:rPr>
                  </w:pPr>
                  <w:r>
                    <w:rPr>
                      <w:color w:val="FF0000"/>
                      <w:sz w:val="18"/>
                      <w:szCs w:val="18"/>
                      <w:u w:val="single"/>
                    </w:rPr>
                    <w:t>0.42</w:t>
                  </w:r>
                </w:p>
              </w:tc>
              <w:tc>
                <w:tcPr>
                  <w:tcW w:w="844" w:type="pct"/>
                  <w:vAlign w:val="center"/>
                </w:tcPr>
                <w:p w14:paraId="6B28C1A7">
                  <w:pPr>
                    <w:jc w:val="center"/>
                    <w:rPr>
                      <w:color w:val="FF0000"/>
                      <w:szCs w:val="21"/>
                      <w:u w:val="single"/>
                    </w:rPr>
                  </w:pPr>
                  <w:r>
                    <w:rPr>
                      <w:color w:val="FF0000"/>
                      <w:szCs w:val="21"/>
                      <w:u w:val="single"/>
                    </w:rPr>
                    <w:t>3</w:t>
                  </w:r>
                </w:p>
              </w:tc>
              <w:tc>
                <w:tcPr>
                  <w:tcW w:w="627" w:type="pct"/>
                  <w:vAlign w:val="center"/>
                </w:tcPr>
                <w:p w14:paraId="660EDA37">
                  <w:pPr>
                    <w:jc w:val="center"/>
                    <w:rPr>
                      <w:color w:val="FF0000"/>
                      <w:szCs w:val="21"/>
                      <w:u w:val="single"/>
                    </w:rPr>
                  </w:pPr>
                  <w:r>
                    <w:rPr>
                      <w:color w:val="FF0000"/>
                      <w:szCs w:val="21"/>
                      <w:u w:val="single"/>
                    </w:rPr>
                    <w:t>达标</w:t>
                  </w:r>
                </w:p>
              </w:tc>
            </w:tr>
            <w:tr w14:paraId="3440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2761313A">
                  <w:pPr>
                    <w:jc w:val="center"/>
                    <w:rPr>
                      <w:color w:val="FF0000"/>
                      <w:szCs w:val="21"/>
                      <w:u w:val="single"/>
                    </w:rPr>
                  </w:pPr>
                </w:p>
              </w:tc>
              <w:tc>
                <w:tcPr>
                  <w:tcW w:w="637" w:type="pct"/>
                  <w:vAlign w:val="center"/>
                </w:tcPr>
                <w:p w14:paraId="56AA38F7">
                  <w:pPr>
                    <w:jc w:val="center"/>
                    <w:rPr>
                      <w:color w:val="FF0000"/>
                      <w:szCs w:val="21"/>
                      <w:u w:val="single"/>
                    </w:rPr>
                  </w:pPr>
                  <w:r>
                    <w:rPr>
                      <w:color w:val="FF0000"/>
                      <w:sz w:val="18"/>
                      <w:szCs w:val="18"/>
                      <w:u w:val="single"/>
                    </w:rPr>
                    <w:t>HCL</w:t>
                  </w:r>
                </w:p>
              </w:tc>
              <w:tc>
                <w:tcPr>
                  <w:tcW w:w="638" w:type="pct"/>
                  <w:vMerge w:val="continue"/>
                  <w:vAlign w:val="center"/>
                </w:tcPr>
                <w:p w14:paraId="5B582CBA">
                  <w:pPr>
                    <w:jc w:val="center"/>
                    <w:rPr>
                      <w:color w:val="FF0000"/>
                      <w:szCs w:val="21"/>
                      <w:u w:val="single"/>
                    </w:rPr>
                  </w:pPr>
                </w:p>
              </w:tc>
              <w:tc>
                <w:tcPr>
                  <w:tcW w:w="508" w:type="pct"/>
                  <w:vAlign w:val="center"/>
                </w:tcPr>
                <w:p w14:paraId="60B8C2F8">
                  <w:pPr>
                    <w:jc w:val="center"/>
                    <w:rPr>
                      <w:color w:val="FF0000"/>
                      <w:szCs w:val="21"/>
                      <w:u w:val="single"/>
                    </w:rPr>
                  </w:pPr>
                  <w:r>
                    <w:rPr>
                      <w:color w:val="FF0000"/>
                      <w:sz w:val="18"/>
                      <w:szCs w:val="18"/>
                      <w:u w:val="single"/>
                    </w:rPr>
                    <w:t>1.38</w:t>
                  </w:r>
                </w:p>
              </w:tc>
              <w:tc>
                <w:tcPr>
                  <w:tcW w:w="704" w:type="pct"/>
                  <w:vAlign w:val="center"/>
                </w:tcPr>
                <w:p w14:paraId="2B1C9769">
                  <w:pPr>
                    <w:jc w:val="center"/>
                    <w:rPr>
                      <w:color w:val="FF0000"/>
                      <w:szCs w:val="21"/>
                      <w:u w:val="single"/>
                    </w:rPr>
                  </w:pPr>
                  <w:r>
                    <w:rPr>
                      <w:color w:val="FF0000"/>
                      <w:sz w:val="18"/>
                      <w:szCs w:val="18"/>
                      <w:u w:val="single"/>
                    </w:rPr>
                    <w:t>0.174</w:t>
                  </w:r>
                </w:p>
              </w:tc>
              <w:tc>
                <w:tcPr>
                  <w:tcW w:w="606" w:type="pct"/>
                  <w:vAlign w:val="center"/>
                </w:tcPr>
                <w:p w14:paraId="02E95F88">
                  <w:pPr>
                    <w:jc w:val="center"/>
                    <w:rPr>
                      <w:color w:val="FF0000"/>
                      <w:szCs w:val="21"/>
                      <w:u w:val="single"/>
                    </w:rPr>
                  </w:pPr>
                  <w:r>
                    <w:rPr>
                      <w:color w:val="FF0000"/>
                      <w:sz w:val="18"/>
                      <w:szCs w:val="18"/>
                      <w:u w:val="single"/>
                    </w:rPr>
                    <w:t>0.87</w:t>
                  </w:r>
                </w:p>
              </w:tc>
              <w:tc>
                <w:tcPr>
                  <w:tcW w:w="844" w:type="pct"/>
                  <w:vAlign w:val="center"/>
                </w:tcPr>
                <w:p w14:paraId="4E02835A">
                  <w:pPr>
                    <w:jc w:val="center"/>
                    <w:rPr>
                      <w:color w:val="FF0000"/>
                      <w:szCs w:val="21"/>
                      <w:u w:val="single"/>
                    </w:rPr>
                  </w:pPr>
                  <w:r>
                    <w:rPr>
                      <w:color w:val="FF0000"/>
                      <w:szCs w:val="21"/>
                      <w:u w:val="single"/>
                    </w:rPr>
                    <w:t>75</w:t>
                  </w:r>
                </w:p>
              </w:tc>
              <w:tc>
                <w:tcPr>
                  <w:tcW w:w="627" w:type="pct"/>
                  <w:vAlign w:val="center"/>
                </w:tcPr>
                <w:p w14:paraId="5175EE36">
                  <w:pPr>
                    <w:jc w:val="center"/>
                    <w:rPr>
                      <w:color w:val="FF0000"/>
                      <w:szCs w:val="21"/>
                      <w:u w:val="single"/>
                    </w:rPr>
                  </w:pPr>
                  <w:r>
                    <w:rPr>
                      <w:color w:val="FF0000"/>
                      <w:szCs w:val="21"/>
                      <w:u w:val="single"/>
                    </w:rPr>
                    <w:t>达标</w:t>
                  </w:r>
                </w:p>
              </w:tc>
            </w:tr>
            <w:tr w14:paraId="7061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0895660B">
                  <w:pPr>
                    <w:jc w:val="center"/>
                    <w:rPr>
                      <w:color w:val="FF0000"/>
                      <w:szCs w:val="21"/>
                      <w:u w:val="single"/>
                    </w:rPr>
                  </w:pPr>
                </w:p>
              </w:tc>
              <w:tc>
                <w:tcPr>
                  <w:tcW w:w="637" w:type="pct"/>
                  <w:vAlign w:val="center"/>
                </w:tcPr>
                <w:p w14:paraId="667874BB">
                  <w:pPr>
                    <w:jc w:val="center"/>
                    <w:rPr>
                      <w:color w:val="FF0000"/>
                      <w:szCs w:val="21"/>
                      <w:u w:val="single"/>
                    </w:rPr>
                  </w:pPr>
                  <w:r>
                    <w:rPr>
                      <w:color w:val="FF0000"/>
                      <w:szCs w:val="21"/>
                      <w:u w:val="single"/>
                    </w:rPr>
                    <w:t>汞</w:t>
                  </w:r>
                </w:p>
              </w:tc>
              <w:tc>
                <w:tcPr>
                  <w:tcW w:w="638" w:type="pct"/>
                  <w:vMerge w:val="continue"/>
                  <w:vAlign w:val="center"/>
                </w:tcPr>
                <w:p w14:paraId="362327BD">
                  <w:pPr>
                    <w:jc w:val="center"/>
                    <w:rPr>
                      <w:color w:val="FF0000"/>
                      <w:szCs w:val="21"/>
                      <w:u w:val="single"/>
                    </w:rPr>
                  </w:pPr>
                </w:p>
              </w:tc>
              <w:tc>
                <w:tcPr>
                  <w:tcW w:w="508" w:type="pct"/>
                  <w:vAlign w:val="center"/>
                </w:tcPr>
                <w:p w14:paraId="7DB85686">
                  <w:pPr>
                    <w:jc w:val="center"/>
                    <w:rPr>
                      <w:color w:val="FF0000"/>
                      <w:szCs w:val="21"/>
                      <w:u w:val="single"/>
                    </w:rPr>
                  </w:pPr>
                  <w:r>
                    <w:rPr>
                      <w:color w:val="FF0000"/>
                      <w:sz w:val="18"/>
                      <w:szCs w:val="18"/>
                      <w:u w:val="single"/>
                    </w:rPr>
                    <w:t>0.0001</w:t>
                  </w:r>
                </w:p>
              </w:tc>
              <w:tc>
                <w:tcPr>
                  <w:tcW w:w="704" w:type="pct"/>
                  <w:vAlign w:val="center"/>
                </w:tcPr>
                <w:p w14:paraId="23DC3CDB">
                  <w:pPr>
                    <w:jc w:val="center"/>
                    <w:rPr>
                      <w:color w:val="FF0000"/>
                      <w:szCs w:val="21"/>
                      <w:u w:val="single"/>
                    </w:rPr>
                  </w:pPr>
                  <w:r>
                    <w:rPr>
                      <w:color w:val="FF0000"/>
                      <w:sz w:val="18"/>
                      <w:szCs w:val="18"/>
                      <w:u w:val="single"/>
                    </w:rPr>
                    <w:t>1.0E-05</w:t>
                  </w:r>
                </w:p>
              </w:tc>
              <w:tc>
                <w:tcPr>
                  <w:tcW w:w="606" w:type="pct"/>
                  <w:vAlign w:val="center"/>
                </w:tcPr>
                <w:p w14:paraId="53175FDF">
                  <w:pPr>
                    <w:jc w:val="center"/>
                    <w:rPr>
                      <w:color w:val="FF0000"/>
                      <w:szCs w:val="21"/>
                      <w:u w:val="single"/>
                    </w:rPr>
                  </w:pPr>
                  <w:r>
                    <w:rPr>
                      <w:color w:val="FF0000"/>
                      <w:sz w:val="18"/>
                      <w:szCs w:val="18"/>
                      <w:u w:val="single"/>
                    </w:rPr>
                    <w:t>5.0E-05</w:t>
                  </w:r>
                </w:p>
              </w:tc>
              <w:tc>
                <w:tcPr>
                  <w:tcW w:w="844" w:type="pct"/>
                  <w:vAlign w:val="center"/>
                </w:tcPr>
                <w:p w14:paraId="42C5BE56">
                  <w:pPr>
                    <w:jc w:val="center"/>
                    <w:rPr>
                      <w:color w:val="FF0000"/>
                      <w:szCs w:val="21"/>
                      <w:u w:val="single"/>
                    </w:rPr>
                  </w:pPr>
                  <w:r>
                    <w:rPr>
                      <w:color w:val="FF0000"/>
                      <w:szCs w:val="21"/>
                      <w:u w:val="single"/>
                    </w:rPr>
                    <w:t>0.2</w:t>
                  </w:r>
                </w:p>
              </w:tc>
              <w:tc>
                <w:tcPr>
                  <w:tcW w:w="627" w:type="pct"/>
                  <w:vAlign w:val="center"/>
                </w:tcPr>
                <w:p w14:paraId="3723B84B">
                  <w:pPr>
                    <w:jc w:val="center"/>
                    <w:rPr>
                      <w:color w:val="FF0000"/>
                      <w:szCs w:val="21"/>
                      <w:u w:val="single"/>
                    </w:rPr>
                  </w:pPr>
                  <w:r>
                    <w:rPr>
                      <w:color w:val="FF0000"/>
                      <w:szCs w:val="21"/>
                      <w:u w:val="single"/>
                    </w:rPr>
                    <w:t>达标</w:t>
                  </w:r>
                </w:p>
              </w:tc>
            </w:tr>
            <w:tr w14:paraId="1047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3AB2D566">
                  <w:pPr>
                    <w:jc w:val="center"/>
                    <w:rPr>
                      <w:color w:val="FF0000"/>
                      <w:szCs w:val="21"/>
                      <w:u w:val="single"/>
                    </w:rPr>
                  </w:pPr>
                </w:p>
              </w:tc>
              <w:tc>
                <w:tcPr>
                  <w:tcW w:w="637" w:type="pct"/>
                  <w:vAlign w:val="center"/>
                </w:tcPr>
                <w:p w14:paraId="79B16A91">
                  <w:pPr>
                    <w:jc w:val="center"/>
                    <w:rPr>
                      <w:color w:val="FF0000"/>
                      <w:szCs w:val="21"/>
                      <w:u w:val="single"/>
                    </w:rPr>
                  </w:pPr>
                  <w:r>
                    <w:rPr>
                      <w:color w:val="FF0000"/>
                      <w:szCs w:val="21"/>
                      <w:u w:val="single"/>
                    </w:rPr>
                    <w:t>铅</w:t>
                  </w:r>
                </w:p>
              </w:tc>
              <w:tc>
                <w:tcPr>
                  <w:tcW w:w="638" w:type="pct"/>
                  <w:vMerge w:val="continue"/>
                  <w:vAlign w:val="center"/>
                </w:tcPr>
                <w:p w14:paraId="26522594">
                  <w:pPr>
                    <w:jc w:val="center"/>
                    <w:rPr>
                      <w:color w:val="FF0000"/>
                      <w:szCs w:val="21"/>
                      <w:u w:val="single"/>
                    </w:rPr>
                  </w:pPr>
                </w:p>
              </w:tc>
              <w:tc>
                <w:tcPr>
                  <w:tcW w:w="508" w:type="pct"/>
                  <w:vAlign w:val="center"/>
                </w:tcPr>
                <w:p w14:paraId="38785DA2">
                  <w:pPr>
                    <w:jc w:val="center"/>
                    <w:rPr>
                      <w:color w:val="FF0000"/>
                      <w:szCs w:val="21"/>
                      <w:u w:val="single"/>
                    </w:rPr>
                  </w:pPr>
                  <w:r>
                    <w:rPr>
                      <w:color w:val="FF0000"/>
                      <w:sz w:val="18"/>
                      <w:szCs w:val="18"/>
                      <w:u w:val="single"/>
                    </w:rPr>
                    <w:t>0.0012</w:t>
                  </w:r>
                </w:p>
              </w:tc>
              <w:tc>
                <w:tcPr>
                  <w:tcW w:w="704" w:type="pct"/>
                  <w:vAlign w:val="center"/>
                </w:tcPr>
                <w:p w14:paraId="7CACD289">
                  <w:pPr>
                    <w:jc w:val="center"/>
                    <w:rPr>
                      <w:color w:val="FF0000"/>
                      <w:szCs w:val="21"/>
                      <w:u w:val="single"/>
                    </w:rPr>
                  </w:pPr>
                  <w:r>
                    <w:rPr>
                      <w:color w:val="FF0000"/>
                      <w:sz w:val="18"/>
                      <w:szCs w:val="18"/>
                      <w:u w:val="single"/>
                    </w:rPr>
                    <w:t>1.5E-04</w:t>
                  </w:r>
                </w:p>
              </w:tc>
              <w:tc>
                <w:tcPr>
                  <w:tcW w:w="606" w:type="pct"/>
                  <w:vAlign w:val="center"/>
                </w:tcPr>
                <w:p w14:paraId="0D15C4F0">
                  <w:pPr>
                    <w:jc w:val="center"/>
                    <w:rPr>
                      <w:color w:val="FF0000"/>
                      <w:szCs w:val="21"/>
                      <w:u w:val="single"/>
                    </w:rPr>
                  </w:pPr>
                  <w:r>
                    <w:rPr>
                      <w:color w:val="FF0000"/>
                      <w:sz w:val="18"/>
                      <w:szCs w:val="18"/>
                      <w:u w:val="single"/>
                    </w:rPr>
                    <w:t>7.5E-04</w:t>
                  </w:r>
                </w:p>
              </w:tc>
              <w:tc>
                <w:tcPr>
                  <w:tcW w:w="844" w:type="pct"/>
                  <w:vAlign w:val="center"/>
                </w:tcPr>
                <w:p w14:paraId="1730E5B6">
                  <w:pPr>
                    <w:jc w:val="center"/>
                    <w:rPr>
                      <w:color w:val="FF0000"/>
                      <w:szCs w:val="21"/>
                      <w:u w:val="single"/>
                    </w:rPr>
                  </w:pPr>
                  <w:r>
                    <w:rPr>
                      <w:color w:val="FF0000"/>
                      <w:szCs w:val="21"/>
                      <w:u w:val="single"/>
                    </w:rPr>
                    <w:t>1.6</w:t>
                  </w:r>
                </w:p>
              </w:tc>
              <w:tc>
                <w:tcPr>
                  <w:tcW w:w="627" w:type="pct"/>
                  <w:vAlign w:val="center"/>
                </w:tcPr>
                <w:p w14:paraId="49E92546">
                  <w:pPr>
                    <w:jc w:val="center"/>
                    <w:rPr>
                      <w:color w:val="FF0000"/>
                      <w:szCs w:val="21"/>
                      <w:u w:val="single"/>
                    </w:rPr>
                  </w:pPr>
                  <w:r>
                    <w:rPr>
                      <w:color w:val="FF0000"/>
                      <w:szCs w:val="21"/>
                      <w:u w:val="single"/>
                    </w:rPr>
                    <w:t>达标</w:t>
                  </w:r>
                </w:p>
              </w:tc>
            </w:tr>
            <w:tr w14:paraId="21D3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3A6AFA41">
                  <w:pPr>
                    <w:jc w:val="center"/>
                    <w:rPr>
                      <w:color w:val="FF0000"/>
                      <w:szCs w:val="21"/>
                      <w:u w:val="single"/>
                    </w:rPr>
                  </w:pPr>
                </w:p>
              </w:tc>
              <w:tc>
                <w:tcPr>
                  <w:tcW w:w="637" w:type="pct"/>
                  <w:vAlign w:val="center"/>
                </w:tcPr>
                <w:p w14:paraId="350F60FD">
                  <w:pPr>
                    <w:jc w:val="center"/>
                    <w:rPr>
                      <w:color w:val="FF0000"/>
                      <w:szCs w:val="21"/>
                      <w:u w:val="single"/>
                    </w:rPr>
                  </w:pPr>
                  <w:r>
                    <w:rPr>
                      <w:color w:val="FF0000"/>
                      <w:szCs w:val="21"/>
                      <w:u w:val="single"/>
                    </w:rPr>
                    <w:t>铬</w:t>
                  </w:r>
                </w:p>
              </w:tc>
              <w:tc>
                <w:tcPr>
                  <w:tcW w:w="638" w:type="pct"/>
                  <w:vMerge w:val="continue"/>
                  <w:vAlign w:val="center"/>
                </w:tcPr>
                <w:p w14:paraId="2A08876E">
                  <w:pPr>
                    <w:jc w:val="center"/>
                    <w:rPr>
                      <w:color w:val="FF0000"/>
                      <w:szCs w:val="21"/>
                      <w:u w:val="single"/>
                    </w:rPr>
                  </w:pPr>
                </w:p>
              </w:tc>
              <w:tc>
                <w:tcPr>
                  <w:tcW w:w="508" w:type="pct"/>
                  <w:vAlign w:val="center"/>
                </w:tcPr>
                <w:p w14:paraId="24403F4F">
                  <w:pPr>
                    <w:jc w:val="center"/>
                    <w:rPr>
                      <w:color w:val="FF0000"/>
                      <w:szCs w:val="21"/>
                      <w:u w:val="single"/>
                    </w:rPr>
                  </w:pPr>
                  <w:r>
                    <w:rPr>
                      <w:color w:val="FF0000"/>
                      <w:sz w:val="18"/>
                      <w:szCs w:val="18"/>
                      <w:u w:val="single"/>
                    </w:rPr>
                    <w:t>0.0004</w:t>
                  </w:r>
                </w:p>
              </w:tc>
              <w:tc>
                <w:tcPr>
                  <w:tcW w:w="704" w:type="pct"/>
                  <w:vAlign w:val="center"/>
                </w:tcPr>
                <w:p w14:paraId="4FC983F4">
                  <w:pPr>
                    <w:jc w:val="center"/>
                    <w:rPr>
                      <w:color w:val="FF0000"/>
                      <w:szCs w:val="21"/>
                      <w:u w:val="single"/>
                    </w:rPr>
                  </w:pPr>
                  <w:r>
                    <w:rPr>
                      <w:color w:val="FF0000"/>
                      <w:sz w:val="18"/>
                      <w:szCs w:val="18"/>
                      <w:u w:val="single"/>
                    </w:rPr>
                    <w:t>5.0E-05</w:t>
                  </w:r>
                </w:p>
              </w:tc>
              <w:tc>
                <w:tcPr>
                  <w:tcW w:w="606" w:type="pct"/>
                  <w:vAlign w:val="center"/>
                </w:tcPr>
                <w:p w14:paraId="00D801B5">
                  <w:pPr>
                    <w:jc w:val="center"/>
                    <w:rPr>
                      <w:color w:val="FF0000"/>
                      <w:szCs w:val="21"/>
                      <w:u w:val="single"/>
                    </w:rPr>
                  </w:pPr>
                  <w:r>
                    <w:rPr>
                      <w:color w:val="FF0000"/>
                      <w:sz w:val="18"/>
                      <w:szCs w:val="18"/>
                      <w:u w:val="single"/>
                    </w:rPr>
                    <w:t>2.5E-04</w:t>
                  </w:r>
                </w:p>
              </w:tc>
              <w:tc>
                <w:tcPr>
                  <w:tcW w:w="844" w:type="pct"/>
                  <w:vAlign w:val="center"/>
                </w:tcPr>
                <w:p w14:paraId="79C63CF7">
                  <w:pPr>
                    <w:jc w:val="center"/>
                    <w:rPr>
                      <w:color w:val="FF0000"/>
                      <w:szCs w:val="21"/>
                      <w:u w:val="single"/>
                    </w:rPr>
                  </w:pPr>
                  <w:r>
                    <w:rPr>
                      <w:color w:val="FF0000"/>
                      <w:szCs w:val="21"/>
                      <w:u w:val="single"/>
                    </w:rPr>
                    <w:t>/</w:t>
                  </w:r>
                </w:p>
              </w:tc>
              <w:tc>
                <w:tcPr>
                  <w:tcW w:w="627" w:type="pct"/>
                  <w:vAlign w:val="center"/>
                </w:tcPr>
                <w:p w14:paraId="451DC31F">
                  <w:pPr>
                    <w:jc w:val="center"/>
                    <w:rPr>
                      <w:color w:val="FF0000"/>
                      <w:szCs w:val="21"/>
                      <w:u w:val="single"/>
                    </w:rPr>
                  </w:pPr>
                  <w:r>
                    <w:rPr>
                      <w:color w:val="FF0000"/>
                      <w:szCs w:val="21"/>
                      <w:u w:val="single"/>
                    </w:rPr>
                    <w:t>/</w:t>
                  </w:r>
                </w:p>
              </w:tc>
            </w:tr>
            <w:tr w14:paraId="52E0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538DBD93">
                  <w:pPr>
                    <w:jc w:val="center"/>
                    <w:rPr>
                      <w:color w:val="FF0000"/>
                      <w:szCs w:val="21"/>
                      <w:u w:val="single"/>
                    </w:rPr>
                  </w:pPr>
                </w:p>
              </w:tc>
              <w:tc>
                <w:tcPr>
                  <w:tcW w:w="637" w:type="pct"/>
                  <w:vAlign w:val="center"/>
                </w:tcPr>
                <w:p w14:paraId="7FAEA2AA">
                  <w:pPr>
                    <w:jc w:val="center"/>
                    <w:rPr>
                      <w:color w:val="FF0000"/>
                      <w:szCs w:val="21"/>
                      <w:u w:val="single"/>
                    </w:rPr>
                  </w:pPr>
                  <w:r>
                    <w:rPr>
                      <w:bCs/>
                      <w:color w:val="FF0000"/>
                      <w:szCs w:val="21"/>
                      <w:u w:val="single"/>
                    </w:rPr>
                    <w:t>砷</w:t>
                  </w:r>
                </w:p>
              </w:tc>
              <w:tc>
                <w:tcPr>
                  <w:tcW w:w="638" w:type="pct"/>
                  <w:vMerge w:val="continue"/>
                  <w:vAlign w:val="center"/>
                </w:tcPr>
                <w:p w14:paraId="69A35408">
                  <w:pPr>
                    <w:jc w:val="center"/>
                    <w:rPr>
                      <w:color w:val="FF0000"/>
                      <w:szCs w:val="21"/>
                      <w:u w:val="single"/>
                    </w:rPr>
                  </w:pPr>
                </w:p>
              </w:tc>
              <w:tc>
                <w:tcPr>
                  <w:tcW w:w="508" w:type="pct"/>
                  <w:vAlign w:val="center"/>
                </w:tcPr>
                <w:p w14:paraId="39DBB5E9">
                  <w:pPr>
                    <w:jc w:val="center"/>
                    <w:rPr>
                      <w:color w:val="FF0000"/>
                      <w:szCs w:val="21"/>
                      <w:u w:val="single"/>
                    </w:rPr>
                  </w:pPr>
                  <w:r>
                    <w:rPr>
                      <w:color w:val="FF0000"/>
                      <w:sz w:val="18"/>
                      <w:szCs w:val="18"/>
                      <w:u w:val="single"/>
                    </w:rPr>
                    <w:t>0.0002</w:t>
                  </w:r>
                </w:p>
              </w:tc>
              <w:tc>
                <w:tcPr>
                  <w:tcW w:w="704" w:type="pct"/>
                  <w:vAlign w:val="center"/>
                </w:tcPr>
                <w:p w14:paraId="3CDE80EA">
                  <w:pPr>
                    <w:jc w:val="center"/>
                    <w:rPr>
                      <w:color w:val="FF0000"/>
                      <w:szCs w:val="21"/>
                      <w:u w:val="single"/>
                    </w:rPr>
                  </w:pPr>
                  <w:r>
                    <w:rPr>
                      <w:color w:val="FF0000"/>
                      <w:sz w:val="18"/>
                      <w:szCs w:val="18"/>
                      <w:u w:val="single"/>
                    </w:rPr>
                    <w:t>3.0E-05</w:t>
                  </w:r>
                </w:p>
              </w:tc>
              <w:tc>
                <w:tcPr>
                  <w:tcW w:w="606" w:type="pct"/>
                  <w:vAlign w:val="center"/>
                </w:tcPr>
                <w:p w14:paraId="3F045F9C">
                  <w:pPr>
                    <w:jc w:val="center"/>
                    <w:rPr>
                      <w:color w:val="FF0000"/>
                      <w:szCs w:val="21"/>
                      <w:u w:val="single"/>
                    </w:rPr>
                  </w:pPr>
                  <w:r>
                    <w:rPr>
                      <w:color w:val="FF0000"/>
                      <w:sz w:val="18"/>
                      <w:szCs w:val="18"/>
                      <w:u w:val="single"/>
                    </w:rPr>
                    <w:t>1.5E-04</w:t>
                  </w:r>
                </w:p>
              </w:tc>
              <w:tc>
                <w:tcPr>
                  <w:tcW w:w="844" w:type="pct"/>
                  <w:vAlign w:val="center"/>
                </w:tcPr>
                <w:p w14:paraId="25D4ABE8">
                  <w:pPr>
                    <w:jc w:val="center"/>
                    <w:rPr>
                      <w:color w:val="FF0000"/>
                      <w:szCs w:val="21"/>
                      <w:u w:val="single"/>
                    </w:rPr>
                  </w:pPr>
                  <w:r>
                    <w:rPr>
                      <w:color w:val="FF0000"/>
                      <w:szCs w:val="21"/>
                      <w:u w:val="single"/>
                    </w:rPr>
                    <w:t>/</w:t>
                  </w:r>
                </w:p>
              </w:tc>
              <w:tc>
                <w:tcPr>
                  <w:tcW w:w="627" w:type="pct"/>
                  <w:vAlign w:val="center"/>
                </w:tcPr>
                <w:p w14:paraId="6AD39AA7">
                  <w:pPr>
                    <w:jc w:val="center"/>
                    <w:rPr>
                      <w:color w:val="FF0000"/>
                      <w:szCs w:val="21"/>
                      <w:u w:val="single"/>
                    </w:rPr>
                  </w:pPr>
                  <w:r>
                    <w:rPr>
                      <w:color w:val="FF0000"/>
                      <w:szCs w:val="21"/>
                      <w:u w:val="single"/>
                    </w:rPr>
                    <w:t>/</w:t>
                  </w:r>
                </w:p>
              </w:tc>
            </w:tr>
            <w:tr w14:paraId="06D9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350674A1">
                  <w:pPr>
                    <w:jc w:val="center"/>
                    <w:rPr>
                      <w:color w:val="FF0000"/>
                      <w:szCs w:val="21"/>
                      <w:u w:val="single"/>
                    </w:rPr>
                  </w:pPr>
                </w:p>
              </w:tc>
              <w:tc>
                <w:tcPr>
                  <w:tcW w:w="637" w:type="pct"/>
                  <w:vAlign w:val="center"/>
                </w:tcPr>
                <w:p w14:paraId="53B5169C">
                  <w:pPr>
                    <w:jc w:val="center"/>
                    <w:rPr>
                      <w:color w:val="FF0000"/>
                      <w:szCs w:val="21"/>
                      <w:u w:val="single"/>
                    </w:rPr>
                  </w:pPr>
                  <w:r>
                    <w:rPr>
                      <w:bCs/>
                      <w:color w:val="FF0000"/>
                      <w:szCs w:val="21"/>
                      <w:u w:val="single"/>
                    </w:rPr>
                    <w:t>锌</w:t>
                  </w:r>
                </w:p>
              </w:tc>
              <w:tc>
                <w:tcPr>
                  <w:tcW w:w="638" w:type="pct"/>
                  <w:vMerge w:val="continue"/>
                  <w:vAlign w:val="center"/>
                </w:tcPr>
                <w:p w14:paraId="65313B82">
                  <w:pPr>
                    <w:jc w:val="center"/>
                    <w:rPr>
                      <w:color w:val="FF0000"/>
                      <w:szCs w:val="21"/>
                      <w:u w:val="single"/>
                    </w:rPr>
                  </w:pPr>
                </w:p>
              </w:tc>
              <w:tc>
                <w:tcPr>
                  <w:tcW w:w="508" w:type="pct"/>
                  <w:vAlign w:val="center"/>
                </w:tcPr>
                <w:p w14:paraId="2CC4C617">
                  <w:pPr>
                    <w:jc w:val="center"/>
                    <w:rPr>
                      <w:color w:val="FF0000"/>
                      <w:szCs w:val="21"/>
                      <w:u w:val="single"/>
                    </w:rPr>
                  </w:pPr>
                  <w:r>
                    <w:rPr>
                      <w:color w:val="FF0000"/>
                      <w:sz w:val="18"/>
                      <w:szCs w:val="18"/>
                      <w:u w:val="single"/>
                    </w:rPr>
                    <w:t>0.0407</w:t>
                  </w:r>
                </w:p>
              </w:tc>
              <w:tc>
                <w:tcPr>
                  <w:tcW w:w="704" w:type="pct"/>
                  <w:vAlign w:val="center"/>
                </w:tcPr>
                <w:p w14:paraId="13F02E5C">
                  <w:pPr>
                    <w:jc w:val="center"/>
                    <w:rPr>
                      <w:color w:val="FF0000"/>
                      <w:szCs w:val="21"/>
                      <w:u w:val="single"/>
                    </w:rPr>
                  </w:pPr>
                  <w:r>
                    <w:rPr>
                      <w:color w:val="FF0000"/>
                      <w:sz w:val="18"/>
                      <w:szCs w:val="18"/>
                      <w:u w:val="single"/>
                    </w:rPr>
                    <w:t>5.1E-03</w:t>
                  </w:r>
                </w:p>
              </w:tc>
              <w:tc>
                <w:tcPr>
                  <w:tcW w:w="606" w:type="pct"/>
                  <w:vAlign w:val="center"/>
                </w:tcPr>
                <w:p w14:paraId="002F3646">
                  <w:pPr>
                    <w:jc w:val="center"/>
                    <w:rPr>
                      <w:color w:val="FF0000"/>
                      <w:szCs w:val="21"/>
                      <w:u w:val="single"/>
                    </w:rPr>
                  </w:pPr>
                  <w:r>
                    <w:rPr>
                      <w:color w:val="FF0000"/>
                      <w:sz w:val="18"/>
                      <w:szCs w:val="18"/>
                      <w:u w:val="single"/>
                    </w:rPr>
                    <w:t>2.6E-02</w:t>
                  </w:r>
                </w:p>
              </w:tc>
              <w:tc>
                <w:tcPr>
                  <w:tcW w:w="844" w:type="pct"/>
                  <w:vAlign w:val="center"/>
                </w:tcPr>
                <w:p w14:paraId="2E41CD69">
                  <w:pPr>
                    <w:jc w:val="center"/>
                    <w:rPr>
                      <w:color w:val="FF0000"/>
                      <w:szCs w:val="21"/>
                      <w:u w:val="single"/>
                    </w:rPr>
                  </w:pPr>
                  <w:r>
                    <w:rPr>
                      <w:color w:val="FF0000"/>
                      <w:szCs w:val="21"/>
                      <w:u w:val="single"/>
                    </w:rPr>
                    <w:t>/</w:t>
                  </w:r>
                </w:p>
              </w:tc>
              <w:tc>
                <w:tcPr>
                  <w:tcW w:w="627" w:type="pct"/>
                  <w:vAlign w:val="center"/>
                </w:tcPr>
                <w:p w14:paraId="2D71EE8B">
                  <w:pPr>
                    <w:jc w:val="center"/>
                    <w:rPr>
                      <w:color w:val="FF0000"/>
                      <w:szCs w:val="21"/>
                      <w:u w:val="single"/>
                    </w:rPr>
                  </w:pPr>
                  <w:r>
                    <w:rPr>
                      <w:color w:val="FF0000"/>
                      <w:szCs w:val="21"/>
                      <w:u w:val="single"/>
                    </w:rPr>
                    <w:t>/</w:t>
                  </w:r>
                </w:p>
              </w:tc>
            </w:tr>
            <w:tr w14:paraId="27F2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10371A0A">
                  <w:pPr>
                    <w:jc w:val="center"/>
                    <w:rPr>
                      <w:color w:val="FF0000"/>
                      <w:szCs w:val="21"/>
                      <w:u w:val="single"/>
                    </w:rPr>
                  </w:pPr>
                </w:p>
              </w:tc>
              <w:tc>
                <w:tcPr>
                  <w:tcW w:w="637" w:type="pct"/>
                  <w:vAlign w:val="center"/>
                </w:tcPr>
                <w:p w14:paraId="2CEE9BE5">
                  <w:pPr>
                    <w:jc w:val="center"/>
                    <w:rPr>
                      <w:color w:val="FF0000"/>
                      <w:szCs w:val="21"/>
                      <w:u w:val="single"/>
                    </w:rPr>
                  </w:pPr>
                  <w:r>
                    <w:rPr>
                      <w:bCs/>
                      <w:color w:val="FF0000"/>
                      <w:szCs w:val="21"/>
                      <w:u w:val="single"/>
                    </w:rPr>
                    <w:t>铜</w:t>
                  </w:r>
                </w:p>
              </w:tc>
              <w:tc>
                <w:tcPr>
                  <w:tcW w:w="638" w:type="pct"/>
                  <w:vMerge w:val="continue"/>
                  <w:vAlign w:val="center"/>
                </w:tcPr>
                <w:p w14:paraId="58DF64C0">
                  <w:pPr>
                    <w:jc w:val="center"/>
                    <w:rPr>
                      <w:color w:val="FF0000"/>
                      <w:szCs w:val="21"/>
                      <w:u w:val="single"/>
                    </w:rPr>
                  </w:pPr>
                </w:p>
              </w:tc>
              <w:tc>
                <w:tcPr>
                  <w:tcW w:w="508" w:type="pct"/>
                  <w:vAlign w:val="center"/>
                </w:tcPr>
                <w:p w14:paraId="0D28FB4F">
                  <w:pPr>
                    <w:jc w:val="center"/>
                    <w:rPr>
                      <w:color w:val="FF0000"/>
                      <w:szCs w:val="21"/>
                      <w:u w:val="single"/>
                    </w:rPr>
                  </w:pPr>
                  <w:r>
                    <w:rPr>
                      <w:color w:val="FF0000"/>
                      <w:sz w:val="18"/>
                      <w:szCs w:val="18"/>
                      <w:u w:val="single"/>
                    </w:rPr>
                    <w:t>0.0047</w:t>
                  </w:r>
                </w:p>
              </w:tc>
              <w:tc>
                <w:tcPr>
                  <w:tcW w:w="704" w:type="pct"/>
                  <w:vAlign w:val="center"/>
                </w:tcPr>
                <w:p w14:paraId="783DCC34">
                  <w:pPr>
                    <w:jc w:val="center"/>
                    <w:rPr>
                      <w:color w:val="FF0000"/>
                      <w:szCs w:val="21"/>
                      <w:u w:val="single"/>
                    </w:rPr>
                  </w:pPr>
                  <w:r>
                    <w:rPr>
                      <w:color w:val="FF0000"/>
                      <w:sz w:val="18"/>
                      <w:szCs w:val="18"/>
                      <w:u w:val="single"/>
                    </w:rPr>
                    <w:t>5.9E-04</w:t>
                  </w:r>
                </w:p>
              </w:tc>
              <w:tc>
                <w:tcPr>
                  <w:tcW w:w="606" w:type="pct"/>
                  <w:vAlign w:val="center"/>
                </w:tcPr>
                <w:p w14:paraId="75CFE42B">
                  <w:pPr>
                    <w:jc w:val="center"/>
                    <w:rPr>
                      <w:color w:val="FF0000"/>
                      <w:szCs w:val="21"/>
                      <w:u w:val="single"/>
                    </w:rPr>
                  </w:pPr>
                  <w:r>
                    <w:rPr>
                      <w:color w:val="FF0000"/>
                      <w:sz w:val="18"/>
                      <w:szCs w:val="18"/>
                      <w:u w:val="single"/>
                    </w:rPr>
                    <w:t>3.0E-03</w:t>
                  </w:r>
                </w:p>
              </w:tc>
              <w:tc>
                <w:tcPr>
                  <w:tcW w:w="844" w:type="pct"/>
                  <w:vAlign w:val="center"/>
                </w:tcPr>
                <w:p w14:paraId="43713A6F">
                  <w:pPr>
                    <w:jc w:val="center"/>
                    <w:rPr>
                      <w:color w:val="FF0000"/>
                      <w:szCs w:val="21"/>
                      <w:u w:val="single"/>
                    </w:rPr>
                  </w:pPr>
                  <w:r>
                    <w:rPr>
                      <w:color w:val="FF0000"/>
                      <w:szCs w:val="21"/>
                      <w:u w:val="single"/>
                    </w:rPr>
                    <w:t>/</w:t>
                  </w:r>
                </w:p>
              </w:tc>
              <w:tc>
                <w:tcPr>
                  <w:tcW w:w="627" w:type="pct"/>
                  <w:vAlign w:val="center"/>
                </w:tcPr>
                <w:p w14:paraId="69DB950E">
                  <w:pPr>
                    <w:jc w:val="center"/>
                    <w:rPr>
                      <w:color w:val="FF0000"/>
                      <w:szCs w:val="21"/>
                      <w:u w:val="single"/>
                    </w:rPr>
                  </w:pPr>
                  <w:r>
                    <w:rPr>
                      <w:color w:val="FF0000"/>
                      <w:szCs w:val="21"/>
                      <w:u w:val="single"/>
                    </w:rPr>
                    <w:t>/</w:t>
                  </w:r>
                </w:p>
              </w:tc>
            </w:tr>
            <w:tr w14:paraId="486F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5" w:type="pct"/>
                  <w:vMerge w:val="continue"/>
                  <w:vAlign w:val="center"/>
                </w:tcPr>
                <w:p w14:paraId="0C1FE76E">
                  <w:pPr>
                    <w:jc w:val="center"/>
                    <w:rPr>
                      <w:color w:val="FF0000"/>
                      <w:szCs w:val="21"/>
                      <w:u w:val="single"/>
                    </w:rPr>
                  </w:pPr>
                </w:p>
              </w:tc>
              <w:tc>
                <w:tcPr>
                  <w:tcW w:w="637" w:type="pct"/>
                  <w:vAlign w:val="center"/>
                </w:tcPr>
                <w:p w14:paraId="3EFE2620">
                  <w:pPr>
                    <w:jc w:val="center"/>
                    <w:rPr>
                      <w:color w:val="FF0000"/>
                      <w:szCs w:val="21"/>
                      <w:u w:val="single"/>
                    </w:rPr>
                  </w:pPr>
                  <w:r>
                    <w:rPr>
                      <w:color w:val="FF0000"/>
                      <w:szCs w:val="21"/>
                      <w:u w:val="single"/>
                    </w:rPr>
                    <w:t>二噁英类</w:t>
                  </w:r>
                </w:p>
              </w:tc>
              <w:tc>
                <w:tcPr>
                  <w:tcW w:w="638" w:type="pct"/>
                  <w:vMerge w:val="continue"/>
                  <w:vAlign w:val="center"/>
                </w:tcPr>
                <w:p w14:paraId="50757F99">
                  <w:pPr>
                    <w:jc w:val="center"/>
                    <w:rPr>
                      <w:color w:val="FF0000"/>
                      <w:szCs w:val="21"/>
                      <w:u w:val="single"/>
                    </w:rPr>
                  </w:pPr>
                </w:p>
              </w:tc>
              <w:tc>
                <w:tcPr>
                  <w:tcW w:w="508" w:type="pct"/>
                  <w:vAlign w:val="center"/>
                </w:tcPr>
                <w:p w14:paraId="789FCBDB">
                  <w:pPr>
                    <w:jc w:val="center"/>
                    <w:rPr>
                      <w:color w:val="FF0000"/>
                      <w:sz w:val="18"/>
                      <w:szCs w:val="18"/>
                      <w:u w:val="single"/>
                    </w:rPr>
                  </w:pPr>
                  <w:r>
                    <w:rPr>
                      <w:color w:val="FF0000"/>
                      <w:sz w:val="18"/>
                      <w:szCs w:val="18"/>
                      <w:u w:val="single"/>
                    </w:rPr>
                    <w:t>0.675</w:t>
                  </w:r>
                </w:p>
                <w:p w14:paraId="46ACF164">
                  <w:pPr>
                    <w:jc w:val="center"/>
                    <w:rPr>
                      <w:color w:val="FF0000"/>
                      <w:szCs w:val="21"/>
                      <w:u w:val="single"/>
                    </w:rPr>
                  </w:pPr>
                  <w:r>
                    <w:rPr>
                      <w:color w:val="FF0000"/>
                      <w:sz w:val="18"/>
                      <w:szCs w:val="18"/>
                      <w:u w:val="single"/>
                    </w:rPr>
                    <w:t>mg/a</w:t>
                  </w:r>
                </w:p>
              </w:tc>
              <w:tc>
                <w:tcPr>
                  <w:tcW w:w="704" w:type="pct"/>
                  <w:vAlign w:val="center"/>
                </w:tcPr>
                <w:p w14:paraId="73B556E0">
                  <w:pPr>
                    <w:jc w:val="center"/>
                    <w:rPr>
                      <w:color w:val="FF0000"/>
                      <w:szCs w:val="21"/>
                      <w:u w:val="single"/>
                    </w:rPr>
                  </w:pPr>
                  <w:r>
                    <w:rPr>
                      <w:color w:val="FF0000"/>
                      <w:sz w:val="18"/>
                      <w:szCs w:val="18"/>
                      <w:u w:val="single"/>
                    </w:rPr>
                    <w:t>85.2ng/h</w:t>
                  </w:r>
                </w:p>
              </w:tc>
              <w:tc>
                <w:tcPr>
                  <w:tcW w:w="606" w:type="pct"/>
                  <w:vAlign w:val="center"/>
                </w:tcPr>
                <w:p w14:paraId="50A722B1">
                  <w:pPr>
                    <w:jc w:val="center"/>
                    <w:rPr>
                      <w:color w:val="FF0000"/>
                      <w:sz w:val="18"/>
                      <w:szCs w:val="18"/>
                      <w:u w:val="single"/>
                    </w:rPr>
                  </w:pPr>
                  <w:r>
                    <w:rPr>
                      <w:color w:val="FF0000"/>
                      <w:sz w:val="18"/>
                      <w:szCs w:val="18"/>
                      <w:u w:val="single"/>
                    </w:rPr>
                    <w:t>0.0004</w:t>
                  </w:r>
                </w:p>
                <w:p w14:paraId="0ED2CF81">
                  <w:pPr>
                    <w:jc w:val="center"/>
                    <w:rPr>
                      <w:color w:val="FF0000"/>
                      <w:szCs w:val="21"/>
                      <w:u w:val="single"/>
                    </w:rPr>
                  </w:pPr>
                  <w:r>
                    <w:rPr>
                      <w:color w:val="FF0000"/>
                      <w:sz w:val="18"/>
                      <w:szCs w:val="18"/>
                      <w:u w:val="single"/>
                    </w:rPr>
                    <w:t>ng/m</w:t>
                  </w:r>
                  <w:r>
                    <w:rPr>
                      <w:color w:val="FF0000"/>
                      <w:sz w:val="18"/>
                      <w:szCs w:val="18"/>
                      <w:u w:val="single"/>
                      <w:vertAlign w:val="superscript"/>
                    </w:rPr>
                    <w:t>3</w:t>
                  </w:r>
                </w:p>
              </w:tc>
              <w:tc>
                <w:tcPr>
                  <w:tcW w:w="844" w:type="pct"/>
                  <w:vAlign w:val="center"/>
                </w:tcPr>
                <w:p w14:paraId="548A3D54">
                  <w:pPr>
                    <w:jc w:val="center"/>
                    <w:rPr>
                      <w:color w:val="FF0000"/>
                      <w:szCs w:val="21"/>
                      <w:u w:val="single"/>
                    </w:rPr>
                  </w:pPr>
                  <w:r>
                    <w:rPr>
                      <w:color w:val="FF0000"/>
                      <w:szCs w:val="21"/>
                      <w:u w:val="single"/>
                    </w:rPr>
                    <w:t>1.0ngTEQ/m</w:t>
                  </w:r>
                  <w:r>
                    <w:rPr>
                      <w:color w:val="FF0000"/>
                      <w:sz w:val="24"/>
                      <w:u w:val="single"/>
                      <w:vertAlign w:val="superscript"/>
                    </w:rPr>
                    <w:t>3</w:t>
                  </w:r>
                </w:p>
              </w:tc>
              <w:tc>
                <w:tcPr>
                  <w:tcW w:w="627" w:type="pct"/>
                  <w:vAlign w:val="center"/>
                </w:tcPr>
                <w:p w14:paraId="546FF137">
                  <w:pPr>
                    <w:jc w:val="center"/>
                    <w:rPr>
                      <w:color w:val="FF0000"/>
                      <w:szCs w:val="21"/>
                      <w:u w:val="single"/>
                    </w:rPr>
                  </w:pPr>
                  <w:r>
                    <w:rPr>
                      <w:color w:val="FF0000"/>
                      <w:szCs w:val="21"/>
                      <w:u w:val="single"/>
                    </w:rPr>
                    <w:t>达标</w:t>
                  </w:r>
                </w:p>
              </w:tc>
            </w:tr>
            <w:tr w14:paraId="7827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35" w:type="pct"/>
                  <w:vMerge w:val="continue"/>
                  <w:vAlign w:val="center"/>
                </w:tcPr>
                <w:p w14:paraId="71C521ED">
                  <w:pPr>
                    <w:jc w:val="center"/>
                    <w:rPr>
                      <w:color w:val="FF0000"/>
                      <w:szCs w:val="21"/>
                      <w:u w:val="single"/>
                    </w:rPr>
                  </w:pPr>
                </w:p>
              </w:tc>
              <w:tc>
                <w:tcPr>
                  <w:tcW w:w="637" w:type="pct"/>
                  <w:vAlign w:val="center"/>
                </w:tcPr>
                <w:p w14:paraId="32B36D12">
                  <w:pPr>
                    <w:jc w:val="center"/>
                    <w:rPr>
                      <w:color w:val="FF0000"/>
                      <w:szCs w:val="21"/>
                      <w:u w:val="single"/>
                    </w:rPr>
                  </w:pPr>
                  <w:r>
                    <w:rPr>
                      <w:color w:val="FF0000"/>
                      <w:szCs w:val="21"/>
                      <w:u w:val="single"/>
                    </w:rPr>
                    <w:t>NH</w:t>
                  </w:r>
                  <w:r>
                    <w:rPr>
                      <w:color w:val="FF0000"/>
                      <w:szCs w:val="21"/>
                      <w:u w:val="single"/>
                      <w:vertAlign w:val="subscript"/>
                    </w:rPr>
                    <w:t>3</w:t>
                  </w:r>
                </w:p>
              </w:tc>
              <w:tc>
                <w:tcPr>
                  <w:tcW w:w="638" w:type="pct"/>
                  <w:vMerge w:val="continue"/>
                  <w:vAlign w:val="center"/>
                </w:tcPr>
                <w:p w14:paraId="3A9B7BEC">
                  <w:pPr>
                    <w:jc w:val="center"/>
                    <w:rPr>
                      <w:color w:val="FF0000"/>
                      <w:szCs w:val="21"/>
                      <w:u w:val="single"/>
                    </w:rPr>
                  </w:pPr>
                </w:p>
              </w:tc>
              <w:tc>
                <w:tcPr>
                  <w:tcW w:w="508" w:type="pct"/>
                  <w:vAlign w:val="center"/>
                </w:tcPr>
                <w:p w14:paraId="79EDD1F7">
                  <w:pPr>
                    <w:jc w:val="center"/>
                    <w:rPr>
                      <w:color w:val="FF0000"/>
                      <w:szCs w:val="21"/>
                      <w:u w:val="single"/>
                    </w:rPr>
                  </w:pPr>
                  <w:r>
                    <w:rPr>
                      <w:color w:val="FF0000"/>
                      <w:sz w:val="18"/>
                      <w:szCs w:val="18"/>
                      <w:u w:val="single"/>
                    </w:rPr>
                    <w:t>6.02</w:t>
                  </w:r>
                </w:p>
              </w:tc>
              <w:tc>
                <w:tcPr>
                  <w:tcW w:w="704" w:type="pct"/>
                  <w:vAlign w:val="center"/>
                </w:tcPr>
                <w:p w14:paraId="339CEAA4">
                  <w:pPr>
                    <w:jc w:val="center"/>
                    <w:rPr>
                      <w:color w:val="FF0000"/>
                      <w:szCs w:val="21"/>
                      <w:u w:val="single"/>
                    </w:rPr>
                  </w:pPr>
                  <w:r>
                    <w:rPr>
                      <w:color w:val="FF0000"/>
                      <w:sz w:val="18"/>
                      <w:szCs w:val="18"/>
                      <w:u w:val="single"/>
                    </w:rPr>
                    <w:t>0.76</w:t>
                  </w:r>
                </w:p>
              </w:tc>
              <w:tc>
                <w:tcPr>
                  <w:tcW w:w="606" w:type="pct"/>
                  <w:vAlign w:val="center"/>
                </w:tcPr>
                <w:p w14:paraId="25E25D70">
                  <w:pPr>
                    <w:jc w:val="center"/>
                    <w:rPr>
                      <w:color w:val="FF0000"/>
                      <w:szCs w:val="21"/>
                      <w:u w:val="single"/>
                    </w:rPr>
                  </w:pPr>
                  <w:r>
                    <w:rPr>
                      <w:color w:val="FF0000"/>
                      <w:sz w:val="18"/>
                      <w:szCs w:val="18"/>
                      <w:u w:val="single"/>
                    </w:rPr>
                    <w:t>3.8</w:t>
                  </w:r>
                </w:p>
              </w:tc>
              <w:tc>
                <w:tcPr>
                  <w:tcW w:w="844" w:type="pct"/>
                  <w:vAlign w:val="center"/>
                </w:tcPr>
                <w:p w14:paraId="2D3A61D8">
                  <w:pPr>
                    <w:jc w:val="center"/>
                    <w:rPr>
                      <w:color w:val="FF0000"/>
                      <w:szCs w:val="21"/>
                      <w:u w:val="single"/>
                    </w:rPr>
                  </w:pPr>
                  <w:r>
                    <w:rPr>
                      <w:color w:val="FF0000"/>
                      <w:szCs w:val="21"/>
                      <w:u w:val="single"/>
                    </w:rPr>
                    <w:t>8</w:t>
                  </w:r>
                </w:p>
              </w:tc>
              <w:tc>
                <w:tcPr>
                  <w:tcW w:w="627" w:type="pct"/>
                  <w:vAlign w:val="center"/>
                </w:tcPr>
                <w:p w14:paraId="54AECB56">
                  <w:pPr>
                    <w:jc w:val="center"/>
                    <w:rPr>
                      <w:color w:val="FF0000"/>
                      <w:szCs w:val="21"/>
                      <w:u w:val="single"/>
                    </w:rPr>
                  </w:pPr>
                  <w:r>
                    <w:rPr>
                      <w:color w:val="FF0000"/>
                      <w:szCs w:val="21"/>
                      <w:u w:val="single"/>
                    </w:rPr>
                    <w:t>达标</w:t>
                  </w:r>
                </w:p>
              </w:tc>
            </w:tr>
            <w:tr w14:paraId="4A05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35" w:type="pct"/>
                  <w:vAlign w:val="center"/>
                </w:tcPr>
                <w:p w14:paraId="10D29203">
                  <w:pPr>
                    <w:jc w:val="center"/>
                    <w:rPr>
                      <w:color w:val="FF0000"/>
                      <w:szCs w:val="21"/>
                      <w:u w:val="single"/>
                    </w:rPr>
                  </w:pPr>
                  <w:r>
                    <w:rPr>
                      <w:color w:val="FF0000"/>
                      <w:szCs w:val="21"/>
                      <w:u w:val="single"/>
                    </w:rPr>
                    <w:t>窑车清理</w:t>
                  </w:r>
                </w:p>
              </w:tc>
              <w:tc>
                <w:tcPr>
                  <w:tcW w:w="637" w:type="pct"/>
                  <w:vAlign w:val="center"/>
                </w:tcPr>
                <w:p w14:paraId="793839A1">
                  <w:pPr>
                    <w:jc w:val="center"/>
                    <w:rPr>
                      <w:color w:val="FF0000"/>
                      <w:szCs w:val="21"/>
                      <w:u w:val="single"/>
                    </w:rPr>
                  </w:pPr>
                  <w:r>
                    <w:rPr>
                      <w:color w:val="FF0000"/>
                      <w:szCs w:val="21"/>
                      <w:u w:val="single"/>
                    </w:rPr>
                    <w:t>窑车清理颗粒物</w:t>
                  </w:r>
                </w:p>
              </w:tc>
              <w:tc>
                <w:tcPr>
                  <w:tcW w:w="638" w:type="pct"/>
                  <w:vAlign w:val="center"/>
                </w:tcPr>
                <w:p w14:paraId="7D07CCB2">
                  <w:pPr>
                    <w:jc w:val="center"/>
                    <w:rPr>
                      <w:color w:val="FF0000"/>
                      <w:szCs w:val="21"/>
                      <w:u w:val="single"/>
                    </w:rPr>
                  </w:pPr>
                  <w:r>
                    <w:rPr>
                      <w:color w:val="FF0000"/>
                      <w:szCs w:val="21"/>
                      <w:u w:val="single"/>
                    </w:rPr>
                    <w:t>1座袋式除尘器</w:t>
                  </w:r>
                </w:p>
              </w:tc>
              <w:tc>
                <w:tcPr>
                  <w:tcW w:w="508" w:type="pct"/>
                  <w:vAlign w:val="center"/>
                </w:tcPr>
                <w:p w14:paraId="2F44C891">
                  <w:pPr>
                    <w:jc w:val="center"/>
                    <w:rPr>
                      <w:color w:val="FF0000"/>
                      <w:szCs w:val="21"/>
                      <w:u w:val="single"/>
                    </w:rPr>
                  </w:pPr>
                  <w:r>
                    <w:rPr>
                      <w:color w:val="FF0000"/>
                      <w:sz w:val="18"/>
                      <w:szCs w:val="18"/>
                      <w:u w:val="single"/>
                    </w:rPr>
                    <w:t>0.11</w:t>
                  </w:r>
                </w:p>
              </w:tc>
              <w:tc>
                <w:tcPr>
                  <w:tcW w:w="704" w:type="pct"/>
                  <w:vAlign w:val="center"/>
                </w:tcPr>
                <w:p w14:paraId="7CCF3EE9">
                  <w:pPr>
                    <w:jc w:val="center"/>
                    <w:rPr>
                      <w:color w:val="FF0000"/>
                      <w:szCs w:val="21"/>
                      <w:u w:val="single"/>
                    </w:rPr>
                  </w:pPr>
                  <w:r>
                    <w:rPr>
                      <w:color w:val="FF0000"/>
                      <w:sz w:val="18"/>
                      <w:szCs w:val="18"/>
                      <w:u w:val="single"/>
                    </w:rPr>
                    <w:t xml:space="preserve">0.021 </w:t>
                  </w:r>
                </w:p>
              </w:tc>
              <w:tc>
                <w:tcPr>
                  <w:tcW w:w="606" w:type="pct"/>
                  <w:vAlign w:val="center"/>
                </w:tcPr>
                <w:p w14:paraId="35AD617D">
                  <w:pPr>
                    <w:jc w:val="center"/>
                    <w:rPr>
                      <w:color w:val="FF0000"/>
                      <w:szCs w:val="21"/>
                      <w:u w:val="single"/>
                    </w:rPr>
                  </w:pPr>
                  <w:r>
                    <w:rPr>
                      <w:color w:val="FF0000"/>
                      <w:sz w:val="18"/>
                      <w:szCs w:val="18"/>
                      <w:u w:val="single"/>
                    </w:rPr>
                    <w:t>4.2</w:t>
                  </w:r>
                </w:p>
              </w:tc>
              <w:tc>
                <w:tcPr>
                  <w:tcW w:w="844" w:type="pct"/>
                  <w:vAlign w:val="center"/>
                </w:tcPr>
                <w:p w14:paraId="5781C12A">
                  <w:pPr>
                    <w:jc w:val="center"/>
                    <w:rPr>
                      <w:color w:val="FF0000"/>
                      <w:szCs w:val="21"/>
                      <w:u w:val="single"/>
                    </w:rPr>
                  </w:pPr>
                  <w:r>
                    <w:rPr>
                      <w:color w:val="FF0000"/>
                      <w:szCs w:val="21"/>
                      <w:u w:val="single"/>
                    </w:rPr>
                    <w:t>10</w:t>
                  </w:r>
                </w:p>
              </w:tc>
              <w:tc>
                <w:tcPr>
                  <w:tcW w:w="627" w:type="pct"/>
                  <w:vAlign w:val="center"/>
                </w:tcPr>
                <w:p w14:paraId="27DC5069">
                  <w:pPr>
                    <w:jc w:val="center"/>
                    <w:rPr>
                      <w:color w:val="FF0000"/>
                      <w:szCs w:val="21"/>
                      <w:u w:val="single"/>
                    </w:rPr>
                  </w:pPr>
                  <w:r>
                    <w:rPr>
                      <w:color w:val="FF0000"/>
                      <w:szCs w:val="21"/>
                      <w:u w:val="single"/>
                    </w:rPr>
                    <w:t>达标</w:t>
                  </w:r>
                </w:p>
              </w:tc>
            </w:tr>
            <w:tr w14:paraId="21FC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35" w:type="pct"/>
                  <w:vMerge w:val="restart"/>
                  <w:vAlign w:val="center"/>
                </w:tcPr>
                <w:p w14:paraId="16B1C121">
                  <w:pPr>
                    <w:jc w:val="center"/>
                    <w:rPr>
                      <w:color w:val="FF0000"/>
                      <w:szCs w:val="21"/>
                      <w:u w:val="single"/>
                    </w:rPr>
                  </w:pPr>
                  <w:r>
                    <w:rPr>
                      <w:color w:val="FF0000"/>
                      <w:szCs w:val="21"/>
                      <w:u w:val="single"/>
                    </w:rPr>
                    <w:t>污泥储存</w:t>
                  </w:r>
                </w:p>
              </w:tc>
              <w:tc>
                <w:tcPr>
                  <w:tcW w:w="637" w:type="pct"/>
                  <w:vAlign w:val="center"/>
                </w:tcPr>
                <w:p w14:paraId="3C4AD01A">
                  <w:pPr>
                    <w:jc w:val="center"/>
                    <w:rPr>
                      <w:color w:val="FF0000"/>
                      <w:szCs w:val="21"/>
                      <w:u w:val="single"/>
                    </w:rPr>
                  </w:pPr>
                  <w:r>
                    <w:rPr>
                      <w:color w:val="FF0000"/>
                      <w:szCs w:val="21"/>
                      <w:u w:val="single"/>
                    </w:rPr>
                    <w:t>氨气</w:t>
                  </w:r>
                </w:p>
              </w:tc>
              <w:tc>
                <w:tcPr>
                  <w:tcW w:w="638" w:type="pct"/>
                  <w:vMerge w:val="restart"/>
                  <w:vAlign w:val="center"/>
                </w:tcPr>
                <w:p w14:paraId="71F6F224">
                  <w:pPr>
                    <w:jc w:val="center"/>
                    <w:rPr>
                      <w:color w:val="FF0000"/>
                      <w:szCs w:val="21"/>
                      <w:u w:val="single"/>
                    </w:rPr>
                  </w:pPr>
                  <w:r>
                    <w:rPr>
                      <w:color w:val="FF0000"/>
                      <w:szCs w:val="21"/>
                      <w:u w:val="single"/>
                    </w:rPr>
                    <w:t>1套活性炭吸附装置</w:t>
                  </w:r>
                </w:p>
              </w:tc>
              <w:tc>
                <w:tcPr>
                  <w:tcW w:w="508" w:type="pct"/>
                  <w:vAlign w:val="center"/>
                </w:tcPr>
                <w:p w14:paraId="29B451FB">
                  <w:pPr>
                    <w:jc w:val="center"/>
                    <w:rPr>
                      <w:color w:val="FF0000"/>
                      <w:szCs w:val="21"/>
                      <w:u w:val="single"/>
                    </w:rPr>
                  </w:pPr>
                  <w:r>
                    <w:rPr>
                      <w:color w:val="FF0000"/>
                      <w:sz w:val="18"/>
                      <w:szCs w:val="18"/>
                      <w:u w:val="single"/>
                    </w:rPr>
                    <w:t>0.048</w:t>
                  </w:r>
                </w:p>
              </w:tc>
              <w:tc>
                <w:tcPr>
                  <w:tcW w:w="704" w:type="pct"/>
                  <w:vAlign w:val="center"/>
                </w:tcPr>
                <w:p w14:paraId="05B9CA40">
                  <w:pPr>
                    <w:jc w:val="center"/>
                    <w:rPr>
                      <w:color w:val="FF0000"/>
                      <w:szCs w:val="21"/>
                      <w:u w:val="single"/>
                    </w:rPr>
                  </w:pPr>
                  <w:r>
                    <w:rPr>
                      <w:color w:val="FF0000"/>
                      <w:sz w:val="18"/>
                      <w:szCs w:val="18"/>
                      <w:u w:val="single"/>
                    </w:rPr>
                    <w:t>0.006</w:t>
                  </w:r>
                </w:p>
              </w:tc>
              <w:tc>
                <w:tcPr>
                  <w:tcW w:w="606" w:type="pct"/>
                  <w:vAlign w:val="center"/>
                </w:tcPr>
                <w:p w14:paraId="4390B857">
                  <w:pPr>
                    <w:jc w:val="center"/>
                    <w:rPr>
                      <w:color w:val="FF0000"/>
                      <w:szCs w:val="21"/>
                      <w:u w:val="single"/>
                    </w:rPr>
                  </w:pPr>
                  <w:r>
                    <w:rPr>
                      <w:color w:val="FF0000"/>
                      <w:sz w:val="18"/>
                      <w:szCs w:val="18"/>
                      <w:u w:val="single"/>
                    </w:rPr>
                    <w:t>0.5</w:t>
                  </w:r>
                </w:p>
              </w:tc>
              <w:tc>
                <w:tcPr>
                  <w:tcW w:w="844" w:type="pct"/>
                  <w:vAlign w:val="center"/>
                </w:tcPr>
                <w:p w14:paraId="290A6EBF">
                  <w:pPr>
                    <w:jc w:val="center"/>
                    <w:rPr>
                      <w:color w:val="FF0000"/>
                      <w:szCs w:val="21"/>
                      <w:u w:val="single"/>
                    </w:rPr>
                  </w:pPr>
                  <w:r>
                    <w:rPr>
                      <w:color w:val="FF0000"/>
                      <w:szCs w:val="21"/>
                      <w:u w:val="single"/>
                    </w:rPr>
                    <w:t>4.9（kg/h）</w:t>
                  </w:r>
                </w:p>
              </w:tc>
              <w:tc>
                <w:tcPr>
                  <w:tcW w:w="627" w:type="pct"/>
                  <w:vAlign w:val="center"/>
                </w:tcPr>
                <w:p w14:paraId="4690A0E6">
                  <w:pPr>
                    <w:jc w:val="center"/>
                    <w:rPr>
                      <w:color w:val="FF0000"/>
                      <w:szCs w:val="21"/>
                      <w:u w:val="single"/>
                    </w:rPr>
                  </w:pPr>
                  <w:r>
                    <w:rPr>
                      <w:color w:val="FF0000"/>
                      <w:szCs w:val="21"/>
                      <w:u w:val="single"/>
                    </w:rPr>
                    <w:t>达标</w:t>
                  </w:r>
                </w:p>
              </w:tc>
            </w:tr>
            <w:tr w14:paraId="56E0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35" w:type="pct"/>
                  <w:vMerge w:val="continue"/>
                  <w:vAlign w:val="center"/>
                </w:tcPr>
                <w:p w14:paraId="775999F6">
                  <w:pPr>
                    <w:jc w:val="center"/>
                    <w:rPr>
                      <w:color w:val="FF0000"/>
                      <w:szCs w:val="21"/>
                      <w:u w:val="single"/>
                    </w:rPr>
                  </w:pPr>
                </w:p>
              </w:tc>
              <w:tc>
                <w:tcPr>
                  <w:tcW w:w="637" w:type="pct"/>
                  <w:vAlign w:val="center"/>
                </w:tcPr>
                <w:p w14:paraId="43747AA9">
                  <w:pPr>
                    <w:jc w:val="center"/>
                    <w:rPr>
                      <w:color w:val="FF0000"/>
                      <w:szCs w:val="21"/>
                      <w:u w:val="single"/>
                    </w:rPr>
                  </w:pPr>
                  <w:r>
                    <w:rPr>
                      <w:color w:val="FF0000"/>
                      <w:szCs w:val="21"/>
                      <w:u w:val="single"/>
                    </w:rPr>
                    <w:t>硫化氢</w:t>
                  </w:r>
                </w:p>
              </w:tc>
              <w:tc>
                <w:tcPr>
                  <w:tcW w:w="638" w:type="pct"/>
                  <w:vMerge w:val="continue"/>
                  <w:vAlign w:val="center"/>
                </w:tcPr>
                <w:p w14:paraId="574E4F6F">
                  <w:pPr>
                    <w:jc w:val="center"/>
                    <w:rPr>
                      <w:color w:val="FF0000"/>
                      <w:szCs w:val="21"/>
                      <w:u w:val="single"/>
                    </w:rPr>
                  </w:pPr>
                </w:p>
              </w:tc>
              <w:tc>
                <w:tcPr>
                  <w:tcW w:w="508" w:type="pct"/>
                  <w:vAlign w:val="center"/>
                </w:tcPr>
                <w:p w14:paraId="724A2C17">
                  <w:pPr>
                    <w:jc w:val="center"/>
                    <w:rPr>
                      <w:color w:val="FF0000"/>
                      <w:szCs w:val="21"/>
                      <w:u w:val="single"/>
                    </w:rPr>
                  </w:pPr>
                  <w:r>
                    <w:rPr>
                      <w:color w:val="FF0000"/>
                      <w:sz w:val="18"/>
                      <w:szCs w:val="18"/>
                      <w:u w:val="single"/>
                    </w:rPr>
                    <w:t>0.0032</w:t>
                  </w:r>
                </w:p>
              </w:tc>
              <w:tc>
                <w:tcPr>
                  <w:tcW w:w="704" w:type="pct"/>
                  <w:vAlign w:val="center"/>
                </w:tcPr>
                <w:p w14:paraId="228A553C">
                  <w:pPr>
                    <w:jc w:val="center"/>
                    <w:rPr>
                      <w:color w:val="FF0000"/>
                      <w:szCs w:val="21"/>
                      <w:u w:val="single"/>
                    </w:rPr>
                  </w:pPr>
                  <w:r>
                    <w:rPr>
                      <w:color w:val="FF0000"/>
                      <w:sz w:val="18"/>
                      <w:szCs w:val="18"/>
                      <w:u w:val="single"/>
                    </w:rPr>
                    <w:t>0.0004</w:t>
                  </w:r>
                </w:p>
              </w:tc>
              <w:tc>
                <w:tcPr>
                  <w:tcW w:w="606" w:type="pct"/>
                  <w:vAlign w:val="center"/>
                </w:tcPr>
                <w:p w14:paraId="2FF4A169">
                  <w:pPr>
                    <w:jc w:val="center"/>
                    <w:rPr>
                      <w:color w:val="FF0000"/>
                      <w:szCs w:val="21"/>
                      <w:u w:val="single"/>
                    </w:rPr>
                  </w:pPr>
                  <w:r>
                    <w:rPr>
                      <w:color w:val="FF0000"/>
                      <w:sz w:val="18"/>
                      <w:szCs w:val="18"/>
                      <w:u w:val="single"/>
                    </w:rPr>
                    <w:t>0.034</w:t>
                  </w:r>
                </w:p>
              </w:tc>
              <w:tc>
                <w:tcPr>
                  <w:tcW w:w="844" w:type="pct"/>
                  <w:vAlign w:val="center"/>
                </w:tcPr>
                <w:p w14:paraId="1FB3B38C">
                  <w:pPr>
                    <w:jc w:val="center"/>
                    <w:rPr>
                      <w:color w:val="FF0000"/>
                      <w:szCs w:val="21"/>
                      <w:u w:val="single"/>
                    </w:rPr>
                  </w:pPr>
                  <w:r>
                    <w:rPr>
                      <w:color w:val="FF0000"/>
                      <w:szCs w:val="21"/>
                      <w:u w:val="single"/>
                    </w:rPr>
                    <w:t>0.33（kg/h）</w:t>
                  </w:r>
                </w:p>
              </w:tc>
              <w:tc>
                <w:tcPr>
                  <w:tcW w:w="627" w:type="pct"/>
                  <w:vAlign w:val="center"/>
                </w:tcPr>
                <w:p w14:paraId="116165F3">
                  <w:pPr>
                    <w:jc w:val="center"/>
                    <w:rPr>
                      <w:color w:val="FF0000"/>
                      <w:szCs w:val="21"/>
                      <w:u w:val="single"/>
                    </w:rPr>
                  </w:pPr>
                  <w:r>
                    <w:rPr>
                      <w:color w:val="FF0000"/>
                      <w:szCs w:val="21"/>
                      <w:u w:val="single"/>
                    </w:rPr>
                    <w:t>达标</w:t>
                  </w:r>
                </w:p>
              </w:tc>
            </w:tr>
            <w:tr w14:paraId="5B2B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5" w:type="pct"/>
                  <w:vAlign w:val="center"/>
                </w:tcPr>
                <w:p w14:paraId="10A2A1C0">
                  <w:pPr>
                    <w:jc w:val="center"/>
                    <w:rPr>
                      <w:color w:val="FF0000"/>
                      <w:szCs w:val="21"/>
                      <w:u w:val="single"/>
                    </w:rPr>
                  </w:pPr>
                  <w:r>
                    <w:rPr>
                      <w:color w:val="FF0000"/>
                      <w:szCs w:val="21"/>
                      <w:u w:val="single"/>
                    </w:rPr>
                    <w:t>石灰粉仓</w:t>
                  </w:r>
                </w:p>
              </w:tc>
              <w:tc>
                <w:tcPr>
                  <w:tcW w:w="637" w:type="pct"/>
                  <w:vAlign w:val="center"/>
                </w:tcPr>
                <w:p w14:paraId="4A240FED">
                  <w:pPr>
                    <w:jc w:val="center"/>
                    <w:rPr>
                      <w:color w:val="FF0000"/>
                      <w:szCs w:val="21"/>
                      <w:u w:val="single"/>
                    </w:rPr>
                  </w:pPr>
                  <w:r>
                    <w:rPr>
                      <w:color w:val="FF0000"/>
                      <w:szCs w:val="21"/>
                      <w:u w:val="single"/>
                    </w:rPr>
                    <w:t>石灰粉出入仓粉尘</w:t>
                  </w:r>
                </w:p>
              </w:tc>
              <w:tc>
                <w:tcPr>
                  <w:tcW w:w="638" w:type="pct"/>
                  <w:vAlign w:val="center"/>
                </w:tcPr>
                <w:p w14:paraId="7FE925C1">
                  <w:pPr>
                    <w:jc w:val="center"/>
                    <w:rPr>
                      <w:color w:val="FF0000"/>
                      <w:szCs w:val="21"/>
                      <w:u w:val="single"/>
                    </w:rPr>
                  </w:pPr>
                  <w:r>
                    <w:rPr>
                      <w:color w:val="FF0000"/>
                      <w:szCs w:val="21"/>
                      <w:u w:val="single"/>
                    </w:rPr>
                    <w:t>1座仓顶除尘器</w:t>
                  </w:r>
                </w:p>
              </w:tc>
              <w:tc>
                <w:tcPr>
                  <w:tcW w:w="508" w:type="pct"/>
                  <w:vAlign w:val="center"/>
                </w:tcPr>
                <w:p w14:paraId="2E5A68A2">
                  <w:pPr>
                    <w:jc w:val="center"/>
                    <w:rPr>
                      <w:color w:val="FF0000"/>
                      <w:szCs w:val="21"/>
                      <w:u w:val="single"/>
                    </w:rPr>
                  </w:pPr>
                  <w:r>
                    <w:rPr>
                      <w:color w:val="FF0000"/>
                      <w:sz w:val="18"/>
                      <w:szCs w:val="18"/>
                      <w:u w:val="single"/>
                    </w:rPr>
                    <w:t>0.0022</w:t>
                  </w:r>
                </w:p>
              </w:tc>
              <w:tc>
                <w:tcPr>
                  <w:tcW w:w="704" w:type="pct"/>
                  <w:vAlign w:val="center"/>
                </w:tcPr>
                <w:p w14:paraId="5D6CCAB8">
                  <w:pPr>
                    <w:jc w:val="center"/>
                    <w:rPr>
                      <w:color w:val="FF0000"/>
                      <w:szCs w:val="21"/>
                      <w:u w:val="single"/>
                    </w:rPr>
                  </w:pPr>
                  <w:r>
                    <w:rPr>
                      <w:color w:val="FF0000"/>
                      <w:sz w:val="18"/>
                      <w:szCs w:val="18"/>
                      <w:u w:val="single"/>
                    </w:rPr>
                    <w:t>0.01</w:t>
                  </w:r>
                </w:p>
              </w:tc>
              <w:tc>
                <w:tcPr>
                  <w:tcW w:w="606" w:type="pct"/>
                  <w:vAlign w:val="center"/>
                </w:tcPr>
                <w:p w14:paraId="31A9D3B4">
                  <w:pPr>
                    <w:jc w:val="center"/>
                    <w:rPr>
                      <w:color w:val="FF0000"/>
                      <w:szCs w:val="21"/>
                      <w:u w:val="single"/>
                    </w:rPr>
                  </w:pPr>
                  <w:r>
                    <w:rPr>
                      <w:color w:val="FF0000"/>
                      <w:sz w:val="18"/>
                      <w:szCs w:val="18"/>
                      <w:u w:val="single"/>
                    </w:rPr>
                    <w:t>6.67</w:t>
                  </w:r>
                </w:p>
              </w:tc>
              <w:tc>
                <w:tcPr>
                  <w:tcW w:w="844" w:type="pct"/>
                  <w:vAlign w:val="center"/>
                </w:tcPr>
                <w:p w14:paraId="13570B2F">
                  <w:pPr>
                    <w:jc w:val="center"/>
                    <w:rPr>
                      <w:color w:val="FF0000"/>
                      <w:szCs w:val="21"/>
                      <w:u w:val="single"/>
                    </w:rPr>
                  </w:pPr>
                  <w:r>
                    <w:rPr>
                      <w:color w:val="FF0000"/>
                      <w:szCs w:val="21"/>
                      <w:u w:val="single"/>
                    </w:rPr>
                    <w:t>10</w:t>
                  </w:r>
                </w:p>
              </w:tc>
              <w:tc>
                <w:tcPr>
                  <w:tcW w:w="627" w:type="pct"/>
                  <w:vAlign w:val="center"/>
                </w:tcPr>
                <w:p w14:paraId="2F94C590">
                  <w:pPr>
                    <w:jc w:val="center"/>
                    <w:rPr>
                      <w:color w:val="FF0000"/>
                      <w:szCs w:val="21"/>
                      <w:u w:val="single"/>
                    </w:rPr>
                  </w:pPr>
                  <w:r>
                    <w:rPr>
                      <w:color w:val="FF0000"/>
                      <w:szCs w:val="21"/>
                      <w:u w:val="single"/>
                    </w:rPr>
                    <w:t>达标</w:t>
                  </w:r>
                </w:p>
              </w:tc>
            </w:tr>
            <w:bookmarkEnd w:id="36"/>
          </w:tbl>
          <w:p w14:paraId="3EB1B9A3">
            <w:pPr>
              <w:spacing w:line="480" w:lineRule="exact"/>
              <w:ind w:firstLine="480" w:firstLineChars="200"/>
              <w:rPr>
                <w:bCs/>
                <w:sz w:val="24"/>
                <w:lang w:bidi="ar"/>
              </w:rPr>
            </w:pPr>
            <w:r>
              <w:rPr>
                <w:sz w:val="24"/>
              </w:rPr>
              <w:t>由上表可知，</w:t>
            </w:r>
            <w:bookmarkStart w:id="37" w:name="_Hlk217869321"/>
            <w:r>
              <w:rPr>
                <w:sz w:val="24"/>
              </w:rPr>
              <w:t>项目颗粒物、二氧化硫、氮氧化物、氟化物、氨气经处理后均可以满足《砖瓦工业大气污染物排放标准》（DB41/2234-2022）中标准限值要求；</w:t>
            </w:r>
            <w:bookmarkEnd w:id="37"/>
            <w:r>
              <w:rPr>
                <w:sz w:val="24"/>
              </w:rPr>
              <w:t>二噁英类、HCL、</w:t>
            </w:r>
            <w:r>
              <w:rPr>
                <w:kern w:val="0"/>
                <w:sz w:val="24"/>
              </w:rPr>
              <w:t>铅、汞</w:t>
            </w:r>
            <w:r>
              <w:rPr>
                <w:sz w:val="24"/>
              </w:rPr>
              <w:t>排放浓度满足《城镇污水处理污泥处置 单独焚烧用泥质》(GB/T26402-2009)表3标准限值要</w:t>
            </w:r>
            <w:r>
              <w:rPr>
                <w:kern w:val="0"/>
                <w:sz w:val="24"/>
              </w:rPr>
              <w:t>；</w:t>
            </w:r>
            <w:bookmarkStart w:id="38" w:name="_Hlk217869289"/>
            <w:r>
              <w:rPr>
                <w:bCs/>
                <w:sz w:val="24"/>
                <w:lang w:bidi="ar"/>
              </w:rPr>
              <w:t>项目污泥储存过程恶臭污染物可以满足《恶臭污染物排放标准》（GB14554-93）二级标准要求；</w:t>
            </w:r>
            <w:bookmarkEnd w:id="38"/>
            <w:r>
              <w:rPr>
                <w:sz w:val="24"/>
              </w:rPr>
              <w:t>项目废气可以做到达标排放，对周围环境影响不大。</w:t>
            </w:r>
          </w:p>
          <w:p w14:paraId="51E3C23A">
            <w:pPr>
              <w:spacing w:line="500" w:lineRule="exact"/>
              <w:ind w:firstLine="480" w:firstLineChars="200"/>
              <w:rPr>
                <w:sz w:val="24"/>
              </w:rPr>
            </w:pPr>
            <w:r>
              <w:rPr>
                <w:sz w:val="24"/>
              </w:rPr>
              <w:t>（2）无组织废气影响分析</w:t>
            </w:r>
          </w:p>
          <w:p w14:paraId="55FBAB64">
            <w:pPr>
              <w:spacing w:line="520" w:lineRule="exact"/>
              <w:ind w:firstLine="480" w:firstLineChars="200"/>
              <w:jc w:val="left"/>
              <w:rPr>
                <w:bCs/>
                <w:color w:val="EE0000"/>
                <w:sz w:val="24"/>
              </w:rPr>
            </w:pPr>
            <w:r>
              <w:rPr>
                <w:bCs/>
                <w:sz w:val="24"/>
              </w:rPr>
              <w:t>本项目营运后严格按照《重污染天气重点行业应急减排措施制定技术指南（2020 年修订版）》中烧结砖瓦制品企业绩效分级 A 级指标相关要求，从装备水平、能源类型、污染治理技术、排放限值、无组织排放、监测监控水平、环境管理水平、运输方式、运输监管等方面逐条逐项落实各项环保措施和降尘措施，通过建设全封闭原料仓库、窑炉配备自动温控系统、干燥和焙烧窑进窑车端设 2 道窑门、窑炉烧成废气采用脱硝脱硫除尘工艺、窑车清理区域设置除尘器，带式输送机设置密闭廊道，采用含硫率低的煤矸石等措施，降低工艺环节废气无组织排放量。原料和产品运输尽可能采用新能源车辆运输，并通过门禁系统监控车辆类型；同时利用厂区大门口车辆自动冲洗装置对进出车辆进行冲洗，对生产车间和厂区运输道路定时清扫、洒水等，保持地面和路面清洁，无明显可见积尘，加大绿化面积，提升厂区厂容厂貌。通过采取以上措施，厂界颗粒物、SO</w:t>
            </w:r>
            <w:r>
              <w:rPr>
                <w:bCs/>
                <w:sz w:val="24"/>
                <w:vertAlign w:val="subscript"/>
              </w:rPr>
              <w:t>2</w:t>
            </w:r>
            <w:r>
              <w:rPr>
                <w:bCs/>
                <w:sz w:val="24"/>
              </w:rPr>
              <w:t>、氟化物无组织排放浓度满足《砖瓦工业大气污染物排放标准》（DB41/2234-2022）中标准限值要求（颗粒物：1.0mg/m</w:t>
            </w:r>
            <w:r>
              <w:rPr>
                <w:bCs/>
                <w:sz w:val="24"/>
                <w:vertAlign w:val="superscript"/>
              </w:rPr>
              <w:t>3</w:t>
            </w:r>
            <w:r>
              <w:rPr>
                <w:bCs/>
                <w:sz w:val="24"/>
              </w:rPr>
              <w:t>，SO</w:t>
            </w:r>
            <w:r>
              <w:rPr>
                <w:bCs/>
                <w:sz w:val="24"/>
                <w:vertAlign w:val="subscript"/>
              </w:rPr>
              <w:t>2</w:t>
            </w:r>
            <w:r>
              <w:rPr>
                <w:bCs/>
                <w:sz w:val="24"/>
              </w:rPr>
              <w:t>：0.5mg/m</w:t>
            </w:r>
            <w:r>
              <w:rPr>
                <w:bCs/>
                <w:sz w:val="24"/>
                <w:vertAlign w:val="superscript"/>
              </w:rPr>
              <w:t>3</w:t>
            </w:r>
            <w:r>
              <w:rPr>
                <w:bCs/>
                <w:sz w:val="24"/>
              </w:rPr>
              <w:t>，氟化物：0.02mg/m</w:t>
            </w:r>
            <w:r>
              <w:rPr>
                <w:bCs/>
                <w:sz w:val="24"/>
                <w:vertAlign w:val="superscript"/>
              </w:rPr>
              <w:t>3</w:t>
            </w:r>
            <w:r>
              <w:rPr>
                <w:bCs/>
                <w:sz w:val="24"/>
              </w:rPr>
              <w:t>），可以实现达标排放，对周围环境空气影响不大。</w:t>
            </w:r>
          </w:p>
          <w:p w14:paraId="63D4F996">
            <w:pPr>
              <w:spacing w:line="520" w:lineRule="exact"/>
              <w:jc w:val="left"/>
              <w:rPr>
                <w:rFonts w:eastAsia="黑体"/>
                <w:bCs/>
                <w:sz w:val="24"/>
              </w:rPr>
            </w:pPr>
            <w:r>
              <w:rPr>
                <w:rFonts w:eastAsia="黑体"/>
                <w:bCs/>
                <w:sz w:val="24"/>
              </w:rPr>
              <w:t>1.7废气监测要求</w:t>
            </w:r>
          </w:p>
          <w:p w14:paraId="7C77D727">
            <w:pPr>
              <w:spacing w:line="500" w:lineRule="exact"/>
              <w:ind w:firstLine="480" w:firstLineChars="200"/>
              <w:rPr>
                <w:sz w:val="24"/>
              </w:rPr>
            </w:pPr>
            <w:bookmarkStart w:id="39" w:name="_Hlk217869683"/>
            <w:r>
              <w:rPr>
                <w:sz w:val="24"/>
              </w:rPr>
              <w:t>项目日常环境监测由建设单位委托具有环境质量检测资质的单位进行监测，根据《排污单位自行监测技术指南   砖瓦工业》（HJ1254-2022）中相关要求，结合建设单位实际情况（窑炉烟气安装在线监测设施），制定出本项目运行期环境监测计划：</w:t>
            </w:r>
          </w:p>
          <w:p w14:paraId="1C85EBA8">
            <w:pPr>
              <w:pStyle w:val="12"/>
              <w:spacing w:line="520" w:lineRule="exact"/>
              <w:ind w:left="480" w:hanging="480"/>
              <w:jc w:val="center"/>
              <w:rPr>
                <w:rFonts w:eastAsia="黑体"/>
                <w:bCs/>
                <w:kern w:val="0"/>
                <w:sz w:val="24"/>
              </w:rPr>
            </w:pPr>
            <w:r>
              <w:rPr>
                <w:rFonts w:eastAsia="黑体"/>
                <w:bCs/>
                <w:kern w:val="0"/>
                <w:sz w:val="24"/>
              </w:rPr>
              <w:t>表4-20       废气排放监测指标及最低监测频次</w:t>
            </w:r>
          </w:p>
          <w:tbl>
            <w:tblPr>
              <w:tblStyle w:val="37"/>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5"/>
              <w:gridCol w:w="2541"/>
              <w:gridCol w:w="1354"/>
              <w:gridCol w:w="6"/>
              <w:gridCol w:w="1360"/>
            </w:tblGrid>
            <w:tr w14:paraId="2744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018" w:type="dxa"/>
                  <w:vAlign w:val="center"/>
                </w:tcPr>
                <w:p w14:paraId="58AE4281">
                  <w:pPr>
                    <w:widowControl/>
                    <w:spacing w:before="20" w:line="240" w:lineRule="atLeast"/>
                    <w:jc w:val="center"/>
                    <w:rPr>
                      <w:szCs w:val="21"/>
                    </w:rPr>
                  </w:pPr>
                  <w:r>
                    <w:rPr>
                      <w:szCs w:val="21"/>
                    </w:rPr>
                    <w:t>监测点位</w:t>
                  </w:r>
                </w:p>
              </w:tc>
              <w:tc>
                <w:tcPr>
                  <w:tcW w:w="2544" w:type="dxa"/>
                  <w:vAlign w:val="center"/>
                </w:tcPr>
                <w:p w14:paraId="303A2ABA">
                  <w:pPr>
                    <w:widowControl/>
                    <w:spacing w:before="20" w:line="240" w:lineRule="atLeast"/>
                    <w:jc w:val="center"/>
                    <w:rPr>
                      <w:szCs w:val="21"/>
                    </w:rPr>
                  </w:pPr>
                  <w:r>
                    <w:rPr>
                      <w:szCs w:val="21"/>
                    </w:rPr>
                    <w:t>监测指标</w:t>
                  </w:r>
                </w:p>
              </w:tc>
              <w:tc>
                <w:tcPr>
                  <w:tcW w:w="2722" w:type="dxa"/>
                  <w:gridSpan w:val="3"/>
                  <w:vAlign w:val="center"/>
                </w:tcPr>
                <w:p w14:paraId="505A31B2">
                  <w:pPr>
                    <w:widowControl/>
                    <w:spacing w:before="20" w:line="240" w:lineRule="atLeast"/>
                    <w:jc w:val="center"/>
                    <w:rPr>
                      <w:szCs w:val="21"/>
                    </w:rPr>
                  </w:pPr>
                  <w:r>
                    <w:rPr>
                      <w:szCs w:val="21"/>
                    </w:rPr>
                    <w:t>监测频次</w:t>
                  </w:r>
                </w:p>
              </w:tc>
            </w:tr>
            <w:tr w14:paraId="2B16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018" w:type="dxa"/>
                  <w:vAlign w:val="center"/>
                </w:tcPr>
                <w:p w14:paraId="54C60219">
                  <w:pPr>
                    <w:widowControl/>
                    <w:spacing w:before="20" w:line="240" w:lineRule="atLeast"/>
                    <w:jc w:val="center"/>
                    <w:rPr>
                      <w:szCs w:val="21"/>
                    </w:rPr>
                  </w:pPr>
                  <w:r>
                    <w:rPr>
                      <w:szCs w:val="21"/>
                    </w:rPr>
                    <w:t>搅拌、筛分工序排气筒DA001</w:t>
                  </w:r>
                </w:p>
              </w:tc>
              <w:tc>
                <w:tcPr>
                  <w:tcW w:w="2544" w:type="dxa"/>
                  <w:vAlign w:val="center"/>
                </w:tcPr>
                <w:p w14:paraId="4B4B6D4C">
                  <w:pPr>
                    <w:widowControl/>
                    <w:spacing w:before="20" w:line="240" w:lineRule="atLeast"/>
                    <w:jc w:val="center"/>
                    <w:rPr>
                      <w:szCs w:val="21"/>
                    </w:rPr>
                  </w:pPr>
                  <w:r>
                    <w:rPr>
                      <w:szCs w:val="21"/>
                    </w:rPr>
                    <w:t>颗粒物</w:t>
                  </w:r>
                </w:p>
              </w:tc>
              <w:tc>
                <w:tcPr>
                  <w:tcW w:w="1355" w:type="dxa"/>
                  <w:vAlign w:val="center"/>
                </w:tcPr>
                <w:p w14:paraId="27ACCBE3">
                  <w:pPr>
                    <w:widowControl/>
                    <w:spacing w:before="20" w:line="240" w:lineRule="atLeast"/>
                    <w:jc w:val="center"/>
                    <w:rPr>
                      <w:szCs w:val="21"/>
                    </w:rPr>
                  </w:pPr>
                  <w:r>
                    <w:rPr>
                      <w:szCs w:val="21"/>
                    </w:rPr>
                    <w:t>手动监测</w:t>
                  </w:r>
                </w:p>
              </w:tc>
              <w:tc>
                <w:tcPr>
                  <w:tcW w:w="1367" w:type="dxa"/>
                  <w:gridSpan w:val="2"/>
                  <w:vAlign w:val="center"/>
                </w:tcPr>
                <w:p w14:paraId="2B866AC3">
                  <w:pPr>
                    <w:widowControl/>
                    <w:spacing w:before="20" w:line="240" w:lineRule="atLeast"/>
                    <w:jc w:val="center"/>
                    <w:rPr>
                      <w:szCs w:val="21"/>
                    </w:rPr>
                  </w:pPr>
                  <w:r>
                    <w:rPr>
                      <w:szCs w:val="21"/>
                    </w:rPr>
                    <w:t>1次/年</w:t>
                  </w:r>
                </w:p>
              </w:tc>
            </w:tr>
            <w:tr w14:paraId="5339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Align w:val="center"/>
                </w:tcPr>
                <w:p w14:paraId="5F45248C">
                  <w:pPr>
                    <w:widowControl/>
                    <w:spacing w:before="20" w:line="240" w:lineRule="atLeast"/>
                    <w:jc w:val="center"/>
                    <w:rPr>
                      <w:szCs w:val="21"/>
                    </w:rPr>
                  </w:pPr>
                  <w:r>
                    <w:t>喂料、破碎工序排气筒DA002</w:t>
                  </w:r>
                </w:p>
              </w:tc>
              <w:tc>
                <w:tcPr>
                  <w:tcW w:w="2544" w:type="dxa"/>
                  <w:vAlign w:val="center"/>
                </w:tcPr>
                <w:p w14:paraId="7A97E71F">
                  <w:pPr>
                    <w:widowControl/>
                    <w:spacing w:before="20" w:line="240" w:lineRule="atLeast"/>
                    <w:jc w:val="center"/>
                    <w:rPr>
                      <w:szCs w:val="21"/>
                    </w:rPr>
                  </w:pPr>
                  <w:r>
                    <w:t>颗粒物</w:t>
                  </w:r>
                </w:p>
              </w:tc>
              <w:tc>
                <w:tcPr>
                  <w:tcW w:w="1355" w:type="dxa"/>
                  <w:vAlign w:val="center"/>
                </w:tcPr>
                <w:p w14:paraId="308A8F6B">
                  <w:pPr>
                    <w:widowControl/>
                    <w:spacing w:before="20" w:line="240" w:lineRule="atLeast"/>
                    <w:jc w:val="center"/>
                    <w:rPr>
                      <w:szCs w:val="21"/>
                    </w:rPr>
                  </w:pPr>
                  <w:r>
                    <w:t>手动监测</w:t>
                  </w:r>
                </w:p>
              </w:tc>
              <w:tc>
                <w:tcPr>
                  <w:tcW w:w="1367" w:type="dxa"/>
                  <w:gridSpan w:val="2"/>
                  <w:vAlign w:val="center"/>
                </w:tcPr>
                <w:p w14:paraId="4EACB8CA">
                  <w:pPr>
                    <w:widowControl/>
                    <w:spacing w:before="20" w:line="240" w:lineRule="atLeast"/>
                    <w:jc w:val="center"/>
                    <w:rPr>
                      <w:szCs w:val="21"/>
                    </w:rPr>
                  </w:pPr>
                  <w:r>
                    <w:t>1次/年</w:t>
                  </w:r>
                </w:p>
              </w:tc>
            </w:tr>
            <w:tr w14:paraId="526B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018" w:type="dxa"/>
                  <w:vMerge w:val="restart"/>
                  <w:vAlign w:val="center"/>
                </w:tcPr>
                <w:p w14:paraId="59EC4D18">
                  <w:pPr>
                    <w:widowControl/>
                    <w:spacing w:before="20" w:line="240" w:lineRule="atLeast"/>
                    <w:jc w:val="center"/>
                    <w:rPr>
                      <w:szCs w:val="21"/>
                    </w:rPr>
                  </w:pPr>
                  <w:r>
                    <w:rPr>
                      <w:szCs w:val="21"/>
                    </w:rPr>
                    <w:t>窑炉烟气排气筒DA003</w:t>
                  </w:r>
                </w:p>
              </w:tc>
              <w:tc>
                <w:tcPr>
                  <w:tcW w:w="2544" w:type="dxa"/>
                  <w:vAlign w:val="center"/>
                </w:tcPr>
                <w:p w14:paraId="59567A2B">
                  <w:pPr>
                    <w:widowControl/>
                    <w:spacing w:before="20" w:line="240" w:lineRule="atLeast"/>
                    <w:jc w:val="center"/>
                    <w:rPr>
                      <w:szCs w:val="21"/>
                    </w:rPr>
                  </w:pPr>
                  <w:r>
                    <w:rPr>
                      <w:szCs w:val="21"/>
                    </w:rPr>
                    <w:t>颗粒物</w:t>
                  </w:r>
                </w:p>
              </w:tc>
              <w:tc>
                <w:tcPr>
                  <w:tcW w:w="1361" w:type="dxa"/>
                  <w:gridSpan w:val="2"/>
                  <w:vAlign w:val="center"/>
                </w:tcPr>
                <w:p w14:paraId="6599A567">
                  <w:pPr>
                    <w:widowControl/>
                    <w:spacing w:before="20" w:line="240" w:lineRule="atLeast"/>
                    <w:jc w:val="center"/>
                    <w:rPr>
                      <w:szCs w:val="21"/>
                    </w:rPr>
                  </w:pPr>
                  <w:r>
                    <w:rPr>
                      <w:szCs w:val="21"/>
                    </w:rPr>
                    <w:t>自动监测</w:t>
                  </w:r>
                </w:p>
              </w:tc>
              <w:tc>
                <w:tcPr>
                  <w:tcW w:w="1361" w:type="dxa"/>
                  <w:vAlign w:val="center"/>
                </w:tcPr>
                <w:p w14:paraId="1296CAF4">
                  <w:pPr>
                    <w:widowControl/>
                    <w:spacing w:before="20" w:line="240" w:lineRule="atLeast"/>
                    <w:jc w:val="center"/>
                    <w:rPr>
                      <w:szCs w:val="21"/>
                    </w:rPr>
                  </w:pPr>
                  <w:r>
                    <w:rPr>
                      <w:szCs w:val="21"/>
                    </w:rPr>
                    <w:t>/</w:t>
                  </w:r>
                </w:p>
              </w:tc>
            </w:tr>
            <w:tr w14:paraId="32C6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018" w:type="dxa"/>
                  <w:vMerge w:val="continue"/>
                  <w:vAlign w:val="center"/>
                </w:tcPr>
                <w:p w14:paraId="76E324EE">
                  <w:pPr>
                    <w:widowControl/>
                    <w:spacing w:before="20" w:line="240" w:lineRule="atLeast"/>
                    <w:jc w:val="center"/>
                    <w:rPr>
                      <w:szCs w:val="21"/>
                    </w:rPr>
                  </w:pPr>
                </w:p>
              </w:tc>
              <w:tc>
                <w:tcPr>
                  <w:tcW w:w="2544" w:type="dxa"/>
                  <w:vAlign w:val="center"/>
                </w:tcPr>
                <w:p w14:paraId="030CB467">
                  <w:pPr>
                    <w:widowControl/>
                    <w:spacing w:before="20" w:line="240" w:lineRule="atLeast"/>
                    <w:jc w:val="center"/>
                    <w:rPr>
                      <w:szCs w:val="21"/>
                    </w:rPr>
                  </w:pPr>
                  <w:r>
                    <w:rPr>
                      <w:szCs w:val="21"/>
                    </w:rPr>
                    <w:t>二氧化硫</w:t>
                  </w:r>
                </w:p>
              </w:tc>
              <w:tc>
                <w:tcPr>
                  <w:tcW w:w="1361" w:type="dxa"/>
                  <w:gridSpan w:val="2"/>
                  <w:vAlign w:val="center"/>
                </w:tcPr>
                <w:p w14:paraId="1971834D">
                  <w:pPr>
                    <w:widowControl/>
                    <w:spacing w:before="20" w:line="240" w:lineRule="atLeast"/>
                    <w:jc w:val="center"/>
                    <w:rPr>
                      <w:szCs w:val="21"/>
                    </w:rPr>
                  </w:pPr>
                  <w:r>
                    <w:rPr>
                      <w:szCs w:val="21"/>
                    </w:rPr>
                    <w:t>自动监测</w:t>
                  </w:r>
                </w:p>
              </w:tc>
              <w:tc>
                <w:tcPr>
                  <w:tcW w:w="1361" w:type="dxa"/>
                  <w:vAlign w:val="center"/>
                </w:tcPr>
                <w:p w14:paraId="6CA9E92C">
                  <w:pPr>
                    <w:widowControl/>
                    <w:spacing w:before="20" w:line="240" w:lineRule="atLeast"/>
                    <w:jc w:val="center"/>
                    <w:rPr>
                      <w:szCs w:val="21"/>
                    </w:rPr>
                  </w:pPr>
                  <w:r>
                    <w:rPr>
                      <w:szCs w:val="21"/>
                    </w:rPr>
                    <w:t>/</w:t>
                  </w:r>
                </w:p>
              </w:tc>
            </w:tr>
            <w:tr w14:paraId="0083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Merge w:val="continue"/>
                  <w:vAlign w:val="center"/>
                </w:tcPr>
                <w:p w14:paraId="1135C3EE">
                  <w:pPr>
                    <w:widowControl/>
                    <w:spacing w:before="20" w:line="240" w:lineRule="atLeast"/>
                    <w:jc w:val="center"/>
                    <w:rPr>
                      <w:szCs w:val="21"/>
                    </w:rPr>
                  </w:pPr>
                </w:p>
              </w:tc>
              <w:tc>
                <w:tcPr>
                  <w:tcW w:w="2544" w:type="dxa"/>
                  <w:vAlign w:val="center"/>
                </w:tcPr>
                <w:p w14:paraId="56AA34A3">
                  <w:pPr>
                    <w:widowControl/>
                    <w:spacing w:before="20" w:line="240" w:lineRule="atLeast"/>
                    <w:jc w:val="center"/>
                    <w:rPr>
                      <w:szCs w:val="21"/>
                    </w:rPr>
                  </w:pPr>
                  <w:r>
                    <w:rPr>
                      <w:szCs w:val="21"/>
                    </w:rPr>
                    <w:t>氮氧化物</w:t>
                  </w:r>
                </w:p>
              </w:tc>
              <w:tc>
                <w:tcPr>
                  <w:tcW w:w="1361" w:type="dxa"/>
                  <w:gridSpan w:val="2"/>
                  <w:vAlign w:val="center"/>
                </w:tcPr>
                <w:p w14:paraId="5AB22D60">
                  <w:pPr>
                    <w:widowControl/>
                    <w:spacing w:before="20" w:line="240" w:lineRule="atLeast"/>
                    <w:jc w:val="center"/>
                    <w:rPr>
                      <w:szCs w:val="21"/>
                    </w:rPr>
                  </w:pPr>
                  <w:r>
                    <w:rPr>
                      <w:szCs w:val="21"/>
                    </w:rPr>
                    <w:t>自动监测</w:t>
                  </w:r>
                </w:p>
              </w:tc>
              <w:tc>
                <w:tcPr>
                  <w:tcW w:w="1361" w:type="dxa"/>
                  <w:vAlign w:val="center"/>
                </w:tcPr>
                <w:p w14:paraId="720439A2">
                  <w:pPr>
                    <w:widowControl/>
                    <w:spacing w:before="20" w:line="240" w:lineRule="atLeast"/>
                    <w:jc w:val="center"/>
                    <w:rPr>
                      <w:szCs w:val="21"/>
                    </w:rPr>
                  </w:pPr>
                  <w:r>
                    <w:rPr>
                      <w:szCs w:val="21"/>
                    </w:rPr>
                    <w:t>/</w:t>
                  </w:r>
                </w:p>
              </w:tc>
            </w:tr>
            <w:tr w14:paraId="4389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3018" w:type="dxa"/>
                  <w:vMerge w:val="continue"/>
                  <w:vAlign w:val="center"/>
                </w:tcPr>
                <w:p w14:paraId="557A837A">
                  <w:pPr>
                    <w:widowControl/>
                    <w:spacing w:before="20" w:line="240" w:lineRule="atLeast"/>
                    <w:jc w:val="center"/>
                    <w:rPr>
                      <w:szCs w:val="21"/>
                    </w:rPr>
                  </w:pPr>
                </w:p>
              </w:tc>
              <w:tc>
                <w:tcPr>
                  <w:tcW w:w="2544" w:type="dxa"/>
                  <w:vAlign w:val="center"/>
                </w:tcPr>
                <w:p w14:paraId="5812B929">
                  <w:pPr>
                    <w:widowControl/>
                    <w:spacing w:before="20" w:line="240" w:lineRule="atLeast"/>
                    <w:jc w:val="center"/>
                    <w:rPr>
                      <w:szCs w:val="21"/>
                    </w:rPr>
                  </w:pPr>
                  <w:r>
                    <w:rPr>
                      <w:szCs w:val="21"/>
                    </w:rPr>
                    <w:t>氨气</w:t>
                  </w:r>
                </w:p>
              </w:tc>
              <w:tc>
                <w:tcPr>
                  <w:tcW w:w="1361" w:type="dxa"/>
                  <w:gridSpan w:val="2"/>
                  <w:vAlign w:val="center"/>
                </w:tcPr>
                <w:p w14:paraId="61563707">
                  <w:pPr>
                    <w:widowControl/>
                    <w:spacing w:before="20" w:line="240" w:lineRule="atLeast"/>
                    <w:jc w:val="center"/>
                    <w:rPr>
                      <w:szCs w:val="21"/>
                    </w:rPr>
                  </w:pPr>
                  <w:r>
                    <w:rPr>
                      <w:szCs w:val="21"/>
                    </w:rPr>
                    <w:t>手动监测</w:t>
                  </w:r>
                </w:p>
              </w:tc>
              <w:tc>
                <w:tcPr>
                  <w:tcW w:w="1361" w:type="dxa"/>
                  <w:vAlign w:val="center"/>
                </w:tcPr>
                <w:p w14:paraId="26C0C27E">
                  <w:pPr>
                    <w:widowControl/>
                    <w:spacing w:before="20" w:line="240" w:lineRule="atLeast"/>
                    <w:jc w:val="center"/>
                    <w:rPr>
                      <w:szCs w:val="21"/>
                    </w:rPr>
                  </w:pPr>
                  <w:r>
                    <w:rPr>
                      <w:szCs w:val="21"/>
                    </w:rPr>
                    <w:t>1次/半年</w:t>
                  </w:r>
                </w:p>
              </w:tc>
            </w:tr>
            <w:tr w14:paraId="1F83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Merge w:val="continue"/>
                  <w:vAlign w:val="center"/>
                </w:tcPr>
                <w:p w14:paraId="20132AAD">
                  <w:pPr>
                    <w:widowControl/>
                    <w:spacing w:before="20" w:line="240" w:lineRule="atLeast"/>
                    <w:jc w:val="center"/>
                    <w:rPr>
                      <w:szCs w:val="21"/>
                    </w:rPr>
                  </w:pPr>
                </w:p>
              </w:tc>
              <w:tc>
                <w:tcPr>
                  <w:tcW w:w="2544" w:type="dxa"/>
                  <w:vAlign w:val="center"/>
                </w:tcPr>
                <w:p w14:paraId="1A58E732">
                  <w:pPr>
                    <w:widowControl/>
                    <w:spacing w:before="20" w:line="240" w:lineRule="atLeast"/>
                    <w:jc w:val="center"/>
                    <w:rPr>
                      <w:szCs w:val="21"/>
                    </w:rPr>
                  </w:pPr>
                  <w:r>
                    <w:rPr>
                      <w:szCs w:val="21"/>
                    </w:rPr>
                    <w:t>氟化物</w:t>
                  </w:r>
                </w:p>
              </w:tc>
              <w:tc>
                <w:tcPr>
                  <w:tcW w:w="1361" w:type="dxa"/>
                  <w:gridSpan w:val="2"/>
                  <w:vAlign w:val="center"/>
                </w:tcPr>
                <w:p w14:paraId="5FAA336B">
                  <w:pPr>
                    <w:widowControl/>
                    <w:spacing w:before="20" w:line="240" w:lineRule="atLeast"/>
                    <w:jc w:val="center"/>
                    <w:rPr>
                      <w:szCs w:val="21"/>
                    </w:rPr>
                  </w:pPr>
                  <w:r>
                    <w:rPr>
                      <w:szCs w:val="21"/>
                    </w:rPr>
                    <w:t>手动监测</w:t>
                  </w:r>
                </w:p>
              </w:tc>
              <w:tc>
                <w:tcPr>
                  <w:tcW w:w="1361" w:type="dxa"/>
                  <w:vAlign w:val="center"/>
                </w:tcPr>
                <w:p w14:paraId="236D5753">
                  <w:pPr>
                    <w:widowControl/>
                    <w:spacing w:before="20" w:line="240" w:lineRule="atLeast"/>
                    <w:jc w:val="center"/>
                    <w:rPr>
                      <w:szCs w:val="21"/>
                    </w:rPr>
                  </w:pPr>
                  <w:r>
                    <w:rPr>
                      <w:szCs w:val="21"/>
                    </w:rPr>
                    <w:t>1次/年</w:t>
                  </w:r>
                </w:p>
              </w:tc>
            </w:tr>
            <w:tr w14:paraId="3B88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Merge w:val="continue"/>
                  <w:vAlign w:val="center"/>
                </w:tcPr>
                <w:p w14:paraId="4DC7C1F1">
                  <w:pPr>
                    <w:widowControl/>
                    <w:spacing w:before="20" w:line="240" w:lineRule="atLeast"/>
                    <w:jc w:val="center"/>
                    <w:rPr>
                      <w:szCs w:val="21"/>
                    </w:rPr>
                  </w:pPr>
                </w:p>
              </w:tc>
              <w:tc>
                <w:tcPr>
                  <w:tcW w:w="2544" w:type="dxa"/>
                  <w:vAlign w:val="center"/>
                </w:tcPr>
                <w:p w14:paraId="0368119F">
                  <w:pPr>
                    <w:widowControl/>
                    <w:spacing w:before="20" w:line="240" w:lineRule="atLeast"/>
                    <w:jc w:val="center"/>
                    <w:rPr>
                      <w:szCs w:val="21"/>
                    </w:rPr>
                  </w:pPr>
                  <w:r>
                    <w:rPr>
                      <w:szCs w:val="21"/>
                    </w:rPr>
                    <w:t>HCL</w:t>
                  </w:r>
                </w:p>
              </w:tc>
              <w:tc>
                <w:tcPr>
                  <w:tcW w:w="1361" w:type="dxa"/>
                  <w:gridSpan w:val="2"/>
                  <w:vAlign w:val="center"/>
                </w:tcPr>
                <w:p w14:paraId="4A78B6C9">
                  <w:pPr>
                    <w:widowControl/>
                    <w:spacing w:before="20" w:line="240" w:lineRule="atLeast"/>
                    <w:jc w:val="center"/>
                    <w:rPr>
                      <w:szCs w:val="21"/>
                    </w:rPr>
                  </w:pPr>
                  <w:r>
                    <w:rPr>
                      <w:szCs w:val="21"/>
                    </w:rPr>
                    <w:t>手动监测</w:t>
                  </w:r>
                </w:p>
              </w:tc>
              <w:tc>
                <w:tcPr>
                  <w:tcW w:w="1361" w:type="dxa"/>
                  <w:vAlign w:val="center"/>
                </w:tcPr>
                <w:p w14:paraId="14091570">
                  <w:pPr>
                    <w:widowControl/>
                    <w:spacing w:before="20" w:line="240" w:lineRule="atLeast"/>
                    <w:jc w:val="center"/>
                    <w:rPr>
                      <w:szCs w:val="21"/>
                    </w:rPr>
                  </w:pPr>
                  <w:r>
                    <w:rPr>
                      <w:szCs w:val="21"/>
                    </w:rPr>
                    <w:t>1次/年</w:t>
                  </w:r>
                </w:p>
              </w:tc>
            </w:tr>
            <w:tr w14:paraId="6607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018" w:type="dxa"/>
                  <w:vMerge w:val="continue"/>
                  <w:vAlign w:val="center"/>
                </w:tcPr>
                <w:p w14:paraId="7C42B517">
                  <w:pPr>
                    <w:widowControl/>
                    <w:spacing w:before="20" w:line="240" w:lineRule="atLeast"/>
                    <w:jc w:val="center"/>
                    <w:rPr>
                      <w:szCs w:val="21"/>
                    </w:rPr>
                  </w:pPr>
                </w:p>
              </w:tc>
              <w:tc>
                <w:tcPr>
                  <w:tcW w:w="2544" w:type="dxa"/>
                  <w:vAlign w:val="center"/>
                </w:tcPr>
                <w:p w14:paraId="262A2360">
                  <w:pPr>
                    <w:widowControl/>
                    <w:spacing w:before="20" w:line="240" w:lineRule="atLeast"/>
                    <w:jc w:val="center"/>
                    <w:rPr>
                      <w:szCs w:val="21"/>
                    </w:rPr>
                  </w:pPr>
                  <w:r>
                    <w:rPr>
                      <w:szCs w:val="21"/>
                    </w:rPr>
                    <w:t>铅</w:t>
                  </w:r>
                </w:p>
              </w:tc>
              <w:tc>
                <w:tcPr>
                  <w:tcW w:w="1361" w:type="dxa"/>
                  <w:gridSpan w:val="2"/>
                  <w:vAlign w:val="center"/>
                </w:tcPr>
                <w:p w14:paraId="399BE2A2">
                  <w:pPr>
                    <w:widowControl/>
                    <w:spacing w:before="20" w:line="240" w:lineRule="atLeast"/>
                    <w:jc w:val="center"/>
                    <w:rPr>
                      <w:szCs w:val="21"/>
                    </w:rPr>
                  </w:pPr>
                  <w:r>
                    <w:rPr>
                      <w:szCs w:val="21"/>
                    </w:rPr>
                    <w:t>手动监测</w:t>
                  </w:r>
                </w:p>
              </w:tc>
              <w:tc>
                <w:tcPr>
                  <w:tcW w:w="1361" w:type="dxa"/>
                  <w:vAlign w:val="center"/>
                </w:tcPr>
                <w:p w14:paraId="2C5222A4">
                  <w:pPr>
                    <w:widowControl/>
                    <w:spacing w:before="20" w:line="240" w:lineRule="atLeast"/>
                    <w:jc w:val="center"/>
                    <w:rPr>
                      <w:szCs w:val="21"/>
                    </w:rPr>
                  </w:pPr>
                  <w:r>
                    <w:rPr>
                      <w:szCs w:val="21"/>
                    </w:rPr>
                    <w:t>1次/年</w:t>
                  </w:r>
                </w:p>
              </w:tc>
            </w:tr>
            <w:tr w14:paraId="4FCF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Merge w:val="continue"/>
                  <w:vAlign w:val="center"/>
                </w:tcPr>
                <w:p w14:paraId="4EDBF7F5">
                  <w:pPr>
                    <w:widowControl/>
                    <w:spacing w:before="20" w:line="240" w:lineRule="atLeast"/>
                    <w:jc w:val="center"/>
                    <w:rPr>
                      <w:szCs w:val="21"/>
                    </w:rPr>
                  </w:pPr>
                </w:p>
              </w:tc>
              <w:tc>
                <w:tcPr>
                  <w:tcW w:w="2544" w:type="dxa"/>
                  <w:vAlign w:val="center"/>
                </w:tcPr>
                <w:p w14:paraId="67C462D8">
                  <w:pPr>
                    <w:widowControl/>
                    <w:spacing w:before="20" w:line="240" w:lineRule="atLeast"/>
                    <w:jc w:val="center"/>
                    <w:rPr>
                      <w:szCs w:val="21"/>
                    </w:rPr>
                  </w:pPr>
                  <w:r>
                    <w:rPr>
                      <w:szCs w:val="21"/>
                    </w:rPr>
                    <w:t>汞</w:t>
                  </w:r>
                </w:p>
              </w:tc>
              <w:tc>
                <w:tcPr>
                  <w:tcW w:w="1361" w:type="dxa"/>
                  <w:gridSpan w:val="2"/>
                  <w:vAlign w:val="center"/>
                </w:tcPr>
                <w:p w14:paraId="7410E76F">
                  <w:pPr>
                    <w:widowControl/>
                    <w:spacing w:before="20" w:line="240" w:lineRule="atLeast"/>
                    <w:jc w:val="center"/>
                    <w:rPr>
                      <w:szCs w:val="21"/>
                    </w:rPr>
                  </w:pPr>
                  <w:r>
                    <w:rPr>
                      <w:szCs w:val="21"/>
                    </w:rPr>
                    <w:t>手动监测</w:t>
                  </w:r>
                </w:p>
              </w:tc>
              <w:tc>
                <w:tcPr>
                  <w:tcW w:w="1361" w:type="dxa"/>
                  <w:vAlign w:val="center"/>
                </w:tcPr>
                <w:p w14:paraId="478B8DE7">
                  <w:pPr>
                    <w:widowControl/>
                    <w:spacing w:before="20" w:line="240" w:lineRule="atLeast"/>
                    <w:jc w:val="center"/>
                    <w:rPr>
                      <w:szCs w:val="21"/>
                    </w:rPr>
                  </w:pPr>
                  <w:r>
                    <w:rPr>
                      <w:szCs w:val="21"/>
                    </w:rPr>
                    <w:t>1次/年</w:t>
                  </w:r>
                </w:p>
              </w:tc>
            </w:tr>
            <w:tr w14:paraId="7A82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Merge w:val="continue"/>
                  <w:vAlign w:val="center"/>
                </w:tcPr>
                <w:p w14:paraId="7F512AAF">
                  <w:pPr>
                    <w:widowControl/>
                    <w:spacing w:before="20" w:line="240" w:lineRule="atLeast"/>
                    <w:jc w:val="center"/>
                    <w:rPr>
                      <w:szCs w:val="21"/>
                    </w:rPr>
                  </w:pPr>
                </w:p>
              </w:tc>
              <w:tc>
                <w:tcPr>
                  <w:tcW w:w="2544" w:type="dxa"/>
                  <w:vAlign w:val="center"/>
                </w:tcPr>
                <w:p w14:paraId="67DF6C1D">
                  <w:pPr>
                    <w:widowControl/>
                    <w:spacing w:before="20" w:line="240" w:lineRule="atLeast"/>
                    <w:jc w:val="center"/>
                    <w:rPr>
                      <w:szCs w:val="21"/>
                    </w:rPr>
                  </w:pPr>
                  <w:r>
                    <w:rPr>
                      <w:szCs w:val="21"/>
                    </w:rPr>
                    <w:t>镉</w:t>
                  </w:r>
                </w:p>
              </w:tc>
              <w:tc>
                <w:tcPr>
                  <w:tcW w:w="1361" w:type="dxa"/>
                  <w:gridSpan w:val="2"/>
                  <w:vAlign w:val="center"/>
                </w:tcPr>
                <w:p w14:paraId="01438E26">
                  <w:pPr>
                    <w:widowControl/>
                    <w:spacing w:before="20" w:line="240" w:lineRule="atLeast"/>
                    <w:jc w:val="center"/>
                    <w:rPr>
                      <w:szCs w:val="21"/>
                    </w:rPr>
                  </w:pPr>
                  <w:r>
                    <w:rPr>
                      <w:szCs w:val="21"/>
                    </w:rPr>
                    <w:t>手动监测</w:t>
                  </w:r>
                </w:p>
              </w:tc>
              <w:tc>
                <w:tcPr>
                  <w:tcW w:w="1361" w:type="dxa"/>
                  <w:vAlign w:val="center"/>
                </w:tcPr>
                <w:p w14:paraId="17B0F3B7">
                  <w:pPr>
                    <w:widowControl/>
                    <w:spacing w:before="20" w:line="240" w:lineRule="atLeast"/>
                    <w:jc w:val="center"/>
                    <w:rPr>
                      <w:szCs w:val="21"/>
                    </w:rPr>
                  </w:pPr>
                  <w:r>
                    <w:rPr>
                      <w:szCs w:val="21"/>
                    </w:rPr>
                    <w:t>1次/年</w:t>
                  </w:r>
                </w:p>
              </w:tc>
            </w:tr>
            <w:tr w14:paraId="009E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Merge w:val="continue"/>
                  <w:vAlign w:val="center"/>
                </w:tcPr>
                <w:p w14:paraId="6CC182CE">
                  <w:pPr>
                    <w:widowControl/>
                    <w:spacing w:before="20" w:line="240" w:lineRule="atLeast"/>
                    <w:jc w:val="center"/>
                    <w:rPr>
                      <w:szCs w:val="21"/>
                    </w:rPr>
                  </w:pPr>
                </w:p>
              </w:tc>
              <w:tc>
                <w:tcPr>
                  <w:tcW w:w="2544" w:type="dxa"/>
                  <w:vAlign w:val="center"/>
                </w:tcPr>
                <w:p w14:paraId="56C40BDA">
                  <w:pPr>
                    <w:widowControl/>
                    <w:spacing w:before="20" w:line="240" w:lineRule="atLeast"/>
                    <w:jc w:val="center"/>
                    <w:rPr>
                      <w:szCs w:val="21"/>
                    </w:rPr>
                  </w:pPr>
                  <w:r>
                    <w:rPr>
                      <w:szCs w:val="21"/>
                    </w:rPr>
                    <w:t>镍</w:t>
                  </w:r>
                </w:p>
              </w:tc>
              <w:tc>
                <w:tcPr>
                  <w:tcW w:w="1361" w:type="dxa"/>
                  <w:gridSpan w:val="2"/>
                  <w:vAlign w:val="center"/>
                </w:tcPr>
                <w:p w14:paraId="3A077D24">
                  <w:pPr>
                    <w:widowControl/>
                    <w:spacing w:before="20" w:line="240" w:lineRule="atLeast"/>
                    <w:jc w:val="center"/>
                    <w:rPr>
                      <w:szCs w:val="21"/>
                    </w:rPr>
                  </w:pPr>
                  <w:r>
                    <w:rPr>
                      <w:szCs w:val="21"/>
                    </w:rPr>
                    <w:t>手动监测</w:t>
                  </w:r>
                </w:p>
              </w:tc>
              <w:tc>
                <w:tcPr>
                  <w:tcW w:w="1361" w:type="dxa"/>
                  <w:vAlign w:val="center"/>
                </w:tcPr>
                <w:p w14:paraId="4C58AAD7">
                  <w:pPr>
                    <w:widowControl/>
                    <w:spacing w:before="20" w:line="240" w:lineRule="atLeast"/>
                    <w:jc w:val="center"/>
                    <w:rPr>
                      <w:szCs w:val="21"/>
                    </w:rPr>
                  </w:pPr>
                  <w:r>
                    <w:rPr>
                      <w:szCs w:val="21"/>
                    </w:rPr>
                    <w:t>1次/年</w:t>
                  </w:r>
                </w:p>
              </w:tc>
            </w:tr>
            <w:tr w14:paraId="23F7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018" w:type="dxa"/>
                  <w:vMerge w:val="continue"/>
                  <w:vAlign w:val="center"/>
                </w:tcPr>
                <w:p w14:paraId="6C5E915A">
                  <w:pPr>
                    <w:widowControl/>
                    <w:spacing w:before="20" w:line="240" w:lineRule="atLeast"/>
                    <w:jc w:val="center"/>
                    <w:rPr>
                      <w:szCs w:val="21"/>
                    </w:rPr>
                  </w:pPr>
                </w:p>
              </w:tc>
              <w:tc>
                <w:tcPr>
                  <w:tcW w:w="2544" w:type="dxa"/>
                  <w:vAlign w:val="center"/>
                </w:tcPr>
                <w:p w14:paraId="02FB25B5">
                  <w:pPr>
                    <w:widowControl/>
                    <w:spacing w:before="20" w:line="240" w:lineRule="atLeast"/>
                    <w:jc w:val="center"/>
                    <w:rPr>
                      <w:szCs w:val="21"/>
                    </w:rPr>
                  </w:pPr>
                  <w:r>
                    <w:rPr>
                      <w:szCs w:val="21"/>
                    </w:rPr>
                    <w:t>二噁英类</w:t>
                  </w:r>
                </w:p>
              </w:tc>
              <w:tc>
                <w:tcPr>
                  <w:tcW w:w="1361" w:type="dxa"/>
                  <w:gridSpan w:val="2"/>
                  <w:vAlign w:val="center"/>
                </w:tcPr>
                <w:p w14:paraId="77E2358A">
                  <w:pPr>
                    <w:widowControl/>
                    <w:spacing w:before="20" w:line="240" w:lineRule="atLeast"/>
                    <w:jc w:val="center"/>
                    <w:rPr>
                      <w:szCs w:val="21"/>
                    </w:rPr>
                  </w:pPr>
                  <w:r>
                    <w:rPr>
                      <w:szCs w:val="21"/>
                    </w:rPr>
                    <w:t>手动监测</w:t>
                  </w:r>
                </w:p>
              </w:tc>
              <w:tc>
                <w:tcPr>
                  <w:tcW w:w="1361" w:type="dxa"/>
                  <w:vAlign w:val="center"/>
                </w:tcPr>
                <w:p w14:paraId="3C2CF675">
                  <w:pPr>
                    <w:widowControl/>
                    <w:spacing w:before="20" w:line="240" w:lineRule="atLeast"/>
                    <w:jc w:val="center"/>
                    <w:rPr>
                      <w:szCs w:val="21"/>
                    </w:rPr>
                  </w:pPr>
                  <w:r>
                    <w:rPr>
                      <w:szCs w:val="21"/>
                    </w:rPr>
                    <w:t>1次/年</w:t>
                  </w:r>
                </w:p>
              </w:tc>
            </w:tr>
            <w:tr w14:paraId="79BA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018" w:type="dxa"/>
                  <w:vAlign w:val="center"/>
                </w:tcPr>
                <w:p w14:paraId="5559C19E">
                  <w:pPr>
                    <w:widowControl/>
                    <w:spacing w:before="20" w:line="240" w:lineRule="atLeast"/>
                    <w:jc w:val="center"/>
                    <w:rPr>
                      <w:szCs w:val="21"/>
                    </w:rPr>
                  </w:pPr>
                  <w:r>
                    <w:rPr>
                      <w:szCs w:val="21"/>
                    </w:rPr>
                    <w:t>窑车清理工序排气筒DA004</w:t>
                  </w:r>
                </w:p>
              </w:tc>
              <w:tc>
                <w:tcPr>
                  <w:tcW w:w="2544" w:type="dxa"/>
                  <w:vAlign w:val="center"/>
                </w:tcPr>
                <w:p w14:paraId="6F65A5F5">
                  <w:pPr>
                    <w:widowControl/>
                    <w:spacing w:before="20" w:line="240" w:lineRule="atLeast"/>
                    <w:jc w:val="center"/>
                    <w:rPr>
                      <w:szCs w:val="21"/>
                    </w:rPr>
                  </w:pPr>
                  <w:r>
                    <w:rPr>
                      <w:szCs w:val="21"/>
                    </w:rPr>
                    <w:t>颗粒物</w:t>
                  </w:r>
                </w:p>
              </w:tc>
              <w:tc>
                <w:tcPr>
                  <w:tcW w:w="1361" w:type="dxa"/>
                  <w:gridSpan w:val="2"/>
                  <w:vAlign w:val="center"/>
                </w:tcPr>
                <w:p w14:paraId="299CA6DC">
                  <w:pPr>
                    <w:widowControl/>
                    <w:spacing w:before="20" w:line="240" w:lineRule="atLeast"/>
                    <w:jc w:val="center"/>
                    <w:rPr>
                      <w:szCs w:val="21"/>
                    </w:rPr>
                  </w:pPr>
                  <w:r>
                    <w:rPr>
                      <w:szCs w:val="21"/>
                    </w:rPr>
                    <w:t>手动监测</w:t>
                  </w:r>
                </w:p>
              </w:tc>
              <w:tc>
                <w:tcPr>
                  <w:tcW w:w="1361" w:type="dxa"/>
                  <w:vAlign w:val="center"/>
                </w:tcPr>
                <w:p w14:paraId="24EE313C">
                  <w:pPr>
                    <w:widowControl/>
                    <w:spacing w:before="20" w:line="240" w:lineRule="atLeast"/>
                    <w:jc w:val="center"/>
                    <w:rPr>
                      <w:szCs w:val="21"/>
                    </w:rPr>
                  </w:pPr>
                  <w:r>
                    <w:rPr>
                      <w:szCs w:val="21"/>
                    </w:rPr>
                    <w:t>1次/年</w:t>
                  </w:r>
                </w:p>
              </w:tc>
            </w:tr>
            <w:tr w14:paraId="5D78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Merge w:val="restart"/>
                  <w:vAlign w:val="center"/>
                </w:tcPr>
                <w:p w14:paraId="1E851849">
                  <w:pPr>
                    <w:widowControl/>
                    <w:spacing w:before="20" w:line="240" w:lineRule="atLeast"/>
                    <w:jc w:val="center"/>
                    <w:rPr>
                      <w:szCs w:val="21"/>
                    </w:rPr>
                  </w:pPr>
                  <w:r>
                    <w:rPr>
                      <w:szCs w:val="21"/>
                    </w:rPr>
                    <w:t>污泥储存工序排气筒DA005</w:t>
                  </w:r>
                </w:p>
              </w:tc>
              <w:tc>
                <w:tcPr>
                  <w:tcW w:w="2544" w:type="dxa"/>
                  <w:vAlign w:val="center"/>
                </w:tcPr>
                <w:p w14:paraId="730172EC">
                  <w:pPr>
                    <w:widowControl/>
                    <w:spacing w:before="20" w:line="240" w:lineRule="atLeast"/>
                    <w:jc w:val="center"/>
                    <w:rPr>
                      <w:szCs w:val="21"/>
                    </w:rPr>
                  </w:pPr>
                  <w:r>
                    <w:rPr>
                      <w:szCs w:val="21"/>
                    </w:rPr>
                    <w:t>氨气</w:t>
                  </w:r>
                </w:p>
              </w:tc>
              <w:tc>
                <w:tcPr>
                  <w:tcW w:w="1361" w:type="dxa"/>
                  <w:gridSpan w:val="2"/>
                  <w:vAlign w:val="center"/>
                </w:tcPr>
                <w:p w14:paraId="19A2AFBD">
                  <w:pPr>
                    <w:widowControl/>
                    <w:spacing w:before="20" w:line="240" w:lineRule="atLeast"/>
                    <w:jc w:val="center"/>
                    <w:rPr>
                      <w:szCs w:val="21"/>
                    </w:rPr>
                  </w:pPr>
                  <w:r>
                    <w:rPr>
                      <w:szCs w:val="21"/>
                    </w:rPr>
                    <w:t>手动监测</w:t>
                  </w:r>
                </w:p>
              </w:tc>
              <w:tc>
                <w:tcPr>
                  <w:tcW w:w="1361" w:type="dxa"/>
                  <w:vAlign w:val="center"/>
                </w:tcPr>
                <w:p w14:paraId="113C9DA3">
                  <w:pPr>
                    <w:widowControl/>
                    <w:spacing w:before="20" w:line="240" w:lineRule="atLeast"/>
                    <w:jc w:val="center"/>
                    <w:rPr>
                      <w:szCs w:val="21"/>
                    </w:rPr>
                  </w:pPr>
                  <w:r>
                    <w:rPr>
                      <w:szCs w:val="21"/>
                    </w:rPr>
                    <w:t>1次/年</w:t>
                  </w:r>
                </w:p>
              </w:tc>
            </w:tr>
            <w:tr w14:paraId="6F50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Merge w:val="continue"/>
                  <w:vAlign w:val="center"/>
                </w:tcPr>
                <w:p w14:paraId="15AB2F90">
                  <w:pPr>
                    <w:widowControl/>
                    <w:spacing w:before="20" w:line="240" w:lineRule="atLeast"/>
                    <w:jc w:val="center"/>
                    <w:rPr>
                      <w:szCs w:val="21"/>
                    </w:rPr>
                  </w:pPr>
                </w:p>
              </w:tc>
              <w:tc>
                <w:tcPr>
                  <w:tcW w:w="2544" w:type="dxa"/>
                  <w:vAlign w:val="center"/>
                </w:tcPr>
                <w:p w14:paraId="634C6D72">
                  <w:pPr>
                    <w:widowControl/>
                    <w:spacing w:before="20" w:line="240" w:lineRule="atLeast"/>
                    <w:jc w:val="center"/>
                    <w:rPr>
                      <w:szCs w:val="21"/>
                    </w:rPr>
                  </w:pPr>
                  <w:r>
                    <w:rPr>
                      <w:szCs w:val="21"/>
                    </w:rPr>
                    <w:t>硫化氢</w:t>
                  </w:r>
                </w:p>
              </w:tc>
              <w:tc>
                <w:tcPr>
                  <w:tcW w:w="1361" w:type="dxa"/>
                  <w:gridSpan w:val="2"/>
                  <w:vAlign w:val="center"/>
                </w:tcPr>
                <w:p w14:paraId="060F88DB">
                  <w:pPr>
                    <w:widowControl/>
                    <w:spacing w:before="20" w:line="240" w:lineRule="atLeast"/>
                    <w:jc w:val="center"/>
                    <w:rPr>
                      <w:szCs w:val="21"/>
                    </w:rPr>
                  </w:pPr>
                  <w:r>
                    <w:rPr>
                      <w:szCs w:val="21"/>
                    </w:rPr>
                    <w:t>手动监测</w:t>
                  </w:r>
                </w:p>
              </w:tc>
              <w:tc>
                <w:tcPr>
                  <w:tcW w:w="1361" w:type="dxa"/>
                  <w:vAlign w:val="center"/>
                </w:tcPr>
                <w:p w14:paraId="1D01F641">
                  <w:pPr>
                    <w:widowControl/>
                    <w:spacing w:before="20" w:line="240" w:lineRule="atLeast"/>
                    <w:jc w:val="center"/>
                    <w:rPr>
                      <w:szCs w:val="21"/>
                    </w:rPr>
                  </w:pPr>
                  <w:r>
                    <w:rPr>
                      <w:szCs w:val="21"/>
                    </w:rPr>
                    <w:t>1次/年</w:t>
                  </w:r>
                </w:p>
              </w:tc>
            </w:tr>
            <w:tr w14:paraId="2A40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Align w:val="center"/>
                </w:tcPr>
                <w:p w14:paraId="23C5D5C2">
                  <w:pPr>
                    <w:widowControl/>
                    <w:spacing w:before="20" w:line="240" w:lineRule="atLeast"/>
                    <w:jc w:val="center"/>
                    <w:rPr>
                      <w:szCs w:val="21"/>
                    </w:rPr>
                  </w:pPr>
                  <w:r>
                    <w:rPr>
                      <w:szCs w:val="21"/>
                    </w:rPr>
                    <w:t>石灰粉仓排气筒DA006</w:t>
                  </w:r>
                </w:p>
              </w:tc>
              <w:tc>
                <w:tcPr>
                  <w:tcW w:w="2544" w:type="dxa"/>
                  <w:vAlign w:val="center"/>
                </w:tcPr>
                <w:p w14:paraId="77A627C6">
                  <w:pPr>
                    <w:widowControl/>
                    <w:spacing w:before="20" w:line="240" w:lineRule="atLeast"/>
                    <w:jc w:val="center"/>
                    <w:rPr>
                      <w:szCs w:val="21"/>
                    </w:rPr>
                  </w:pPr>
                  <w:r>
                    <w:rPr>
                      <w:szCs w:val="21"/>
                    </w:rPr>
                    <w:t>颗粒物</w:t>
                  </w:r>
                </w:p>
              </w:tc>
              <w:tc>
                <w:tcPr>
                  <w:tcW w:w="1361" w:type="dxa"/>
                  <w:gridSpan w:val="2"/>
                  <w:vAlign w:val="center"/>
                </w:tcPr>
                <w:p w14:paraId="3C50CEE4">
                  <w:pPr>
                    <w:widowControl/>
                    <w:spacing w:before="20" w:line="240" w:lineRule="atLeast"/>
                    <w:jc w:val="center"/>
                    <w:rPr>
                      <w:szCs w:val="21"/>
                    </w:rPr>
                  </w:pPr>
                  <w:r>
                    <w:rPr>
                      <w:szCs w:val="21"/>
                    </w:rPr>
                    <w:t>手动监测</w:t>
                  </w:r>
                </w:p>
              </w:tc>
              <w:tc>
                <w:tcPr>
                  <w:tcW w:w="1361" w:type="dxa"/>
                  <w:vAlign w:val="center"/>
                </w:tcPr>
                <w:p w14:paraId="031DD354">
                  <w:pPr>
                    <w:widowControl/>
                    <w:spacing w:before="20" w:line="240" w:lineRule="atLeast"/>
                    <w:jc w:val="center"/>
                    <w:rPr>
                      <w:szCs w:val="21"/>
                    </w:rPr>
                  </w:pPr>
                  <w:r>
                    <w:rPr>
                      <w:szCs w:val="21"/>
                    </w:rPr>
                    <w:t>1次/年</w:t>
                  </w:r>
                </w:p>
              </w:tc>
            </w:tr>
            <w:tr w14:paraId="6FC8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18" w:type="dxa"/>
                  <w:vAlign w:val="center"/>
                </w:tcPr>
                <w:p w14:paraId="0F83DC68">
                  <w:pPr>
                    <w:widowControl/>
                    <w:spacing w:before="20" w:line="240" w:lineRule="atLeast"/>
                    <w:jc w:val="center"/>
                    <w:rPr>
                      <w:szCs w:val="21"/>
                    </w:rPr>
                  </w:pPr>
                  <w:r>
                    <w:rPr>
                      <w:szCs w:val="21"/>
                    </w:rPr>
                    <w:t>厂界</w:t>
                  </w:r>
                </w:p>
              </w:tc>
              <w:tc>
                <w:tcPr>
                  <w:tcW w:w="2544" w:type="dxa"/>
                  <w:vAlign w:val="center"/>
                </w:tcPr>
                <w:p w14:paraId="50AB2872">
                  <w:pPr>
                    <w:widowControl/>
                    <w:spacing w:before="20" w:line="240" w:lineRule="atLeast"/>
                    <w:jc w:val="center"/>
                    <w:rPr>
                      <w:szCs w:val="21"/>
                    </w:rPr>
                  </w:pPr>
                  <w:r>
                    <w:rPr>
                      <w:szCs w:val="21"/>
                    </w:rPr>
                    <w:t>颗粒物、二氧化硫、氟化物、氨气、硫化氢</w:t>
                  </w:r>
                </w:p>
              </w:tc>
              <w:tc>
                <w:tcPr>
                  <w:tcW w:w="1361" w:type="dxa"/>
                  <w:gridSpan w:val="2"/>
                  <w:vAlign w:val="center"/>
                </w:tcPr>
                <w:p w14:paraId="513B6CC3">
                  <w:pPr>
                    <w:widowControl/>
                    <w:spacing w:before="20" w:line="240" w:lineRule="atLeast"/>
                    <w:jc w:val="center"/>
                    <w:rPr>
                      <w:szCs w:val="21"/>
                    </w:rPr>
                  </w:pPr>
                  <w:r>
                    <w:rPr>
                      <w:szCs w:val="21"/>
                    </w:rPr>
                    <w:t>手动监测</w:t>
                  </w:r>
                </w:p>
              </w:tc>
              <w:tc>
                <w:tcPr>
                  <w:tcW w:w="1361" w:type="dxa"/>
                  <w:vAlign w:val="center"/>
                </w:tcPr>
                <w:p w14:paraId="21D456E5">
                  <w:pPr>
                    <w:widowControl/>
                    <w:spacing w:before="20" w:line="240" w:lineRule="atLeast"/>
                    <w:jc w:val="center"/>
                    <w:rPr>
                      <w:szCs w:val="21"/>
                    </w:rPr>
                  </w:pPr>
                  <w:r>
                    <w:rPr>
                      <w:szCs w:val="21"/>
                    </w:rPr>
                    <w:t>1次/年</w:t>
                  </w:r>
                </w:p>
              </w:tc>
            </w:tr>
          </w:tbl>
          <w:p w14:paraId="4DC61541">
            <w:pPr>
              <w:spacing w:line="520" w:lineRule="exact"/>
              <w:jc w:val="left"/>
              <w:rPr>
                <w:rFonts w:eastAsia="黑体"/>
                <w:bCs/>
                <w:sz w:val="24"/>
              </w:rPr>
            </w:pPr>
            <w:r>
              <w:rPr>
                <w:rFonts w:eastAsia="黑体"/>
                <w:bCs/>
                <w:sz w:val="24"/>
              </w:rPr>
              <w:t>1.8非正常工况分析</w:t>
            </w:r>
          </w:p>
          <w:bookmarkEnd w:id="39"/>
          <w:p w14:paraId="432A3861">
            <w:pPr>
              <w:spacing w:line="520" w:lineRule="exact"/>
              <w:ind w:firstLine="480" w:firstLineChars="200"/>
              <w:rPr>
                <w:bCs/>
                <w:sz w:val="24"/>
              </w:rPr>
            </w:pPr>
            <w:bookmarkStart w:id="40" w:name="_Hlk217863288"/>
            <w:r>
              <w:rPr>
                <w:bCs/>
                <w:sz w:val="24"/>
              </w:rPr>
              <w:t>非正常排放是指生产过程中开停车（工、炉）、设备检修、工艺设备运转异常等非正常工况下的污染物排放，以及污染物排放控制措施达不到应有效率等情况下的排放。</w:t>
            </w:r>
          </w:p>
          <w:p w14:paraId="45C1ABF1">
            <w:pPr>
              <w:spacing w:line="520" w:lineRule="exact"/>
              <w:ind w:firstLine="480" w:firstLineChars="200"/>
              <w:rPr>
                <w:sz w:val="24"/>
              </w:rPr>
            </w:pPr>
            <w:r>
              <w:rPr>
                <w:bCs/>
                <w:sz w:val="24"/>
              </w:rPr>
              <w:t>项目</w:t>
            </w:r>
            <w:r>
              <w:rPr>
                <w:sz w:val="24"/>
              </w:rPr>
              <w:t>生产运行过程中，废气处理系统执行“先开后停”制度，即：生产设备启动时：在生产设备启动之前，首先启动废气处理系统，待废气处理系统运行正常后，再启动生产设备。生产设备停运时：首先停运生产设备，生产设备停运后，废气处理系统继续运行至无废气排出再停运。</w:t>
            </w:r>
          </w:p>
          <w:p w14:paraId="31EE1A10">
            <w:pPr>
              <w:pStyle w:val="24"/>
              <w:adjustRightInd w:val="0"/>
              <w:snapToGrid w:val="0"/>
              <w:spacing w:after="0" w:line="520" w:lineRule="exact"/>
              <w:ind w:left="0" w:leftChars="0" w:firstLine="480" w:firstLineChars="200"/>
              <w:rPr>
                <w:bCs/>
                <w:sz w:val="24"/>
              </w:rPr>
            </w:pPr>
            <w:r>
              <w:rPr>
                <w:bCs/>
                <w:sz w:val="24"/>
              </w:rPr>
              <w:t>因此，项目废气非正常工况排放主要为废气处理设施故障时（处理效率为0）的状态进行估算，但废气收集系统可以正常运行，废气通过排气筒排放等情况，废气处理设施出现故障不能正常运行时，应立即停产进行维修，避免对周围环境造成污染。废气非正常工况源强情况见下表。</w:t>
            </w:r>
          </w:p>
          <w:p w14:paraId="166AA5AA">
            <w:pPr>
              <w:pStyle w:val="21"/>
              <w:spacing w:line="500" w:lineRule="exact"/>
              <w:ind w:left="0" w:right="0" w:firstLine="0"/>
              <w:jc w:val="center"/>
              <w:rPr>
                <w:rFonts w:ascii="Times New Roman" w:hAnsi="Times New Roman" w:eastAsia="黑体"/>
                <w:kern w:val="0"/>
              </w:rPr>
            </w:pPr>
            <w:r>
              <w:rPr>
                <w:rFonts w:ascii="Times New Roman" w:hAnsi="Times New Roman" w:eastAsia="黑体"/>
                <w:kern w:val="0"/>
              </w:rPr>
              <w:t>表4-21        非正常工况排放量核算一览表</w:t>
            </w:r>
          </w:p>
          <w:tbl>
            <w:tblPr>
              <w:tblStyle w:val="38"/>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12"/>
              <w:gridCol w:w="917"/>
              <w:gridCol w:w="978"/>
              <w:gridCol w:w="1044"/>
              <w:gridCol w:w="1139"/>
              <w:gridCol w:w="1144"/>
              <w:gridCol w:w="849"/>
            </w:tblGrid>
            <w:tr w14:paraId="575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1332" w:type="pct"/>
                  <w:gridSpan w:val="2"/>
                  <w:vAlign w:val="center"/>
                </w:tcPr>
                <w:p w14:paraId="2EB2B691">
                  <w:pPr>
                    <w:jc w:val="center"/>
                    <w:rPr>
                      <w:color w:val="EE0000"/>
                      <w:sz w:val="18"/>
                      <w:szCs w:val="18"/>
                      <w:u w:val="single"/>
                    </w:rPr>
                  </w:pPr>
                  <w:r>
                    <w:rPr>
                      <w:color w:val="EE0000"/>
                      <w:sz w:val="18"/>
                      <w:szCs w:val="18"/>
                      <w:u w:val="single"/>
                    </w:rPr>
                    <w:t>产污环节</w:t>
                  </w:r>
                </w:p>
              </w:tc>
              <w:tc>
                <w:tcPr>
                  <w:tcW w:w="554" w:type="pct"/>
                  <w:vAlign w:val="center"/>
                </w:tcPr>
                <w:p w14:paraId="1912A3FB">
                  <w:pPr>
                    <w:jc w:val="center"/>
                    <w:rPr>
                      <w:color w:val="EE0000"/>
                      <w:sz w:val="18"/>
                      <w:szCs w:val="18"/>
                      <w:u w:val="single"/>
                    </w:rPr>
                  </w:pPr>
                  <w:r>
                    <w:rPr>
                      <w:color w:val="EE0000"/>
                      <w:sz w:val="18"/>
                      <w:szCs w:val="18"/>
                      <w:u w:val="single"/>
                    </w:rPr>
                    <w:t>故障情况</w:t>
                  </w:r>
                </w:p>
              </w:tc>
              <w:tc>
                <w:tcPr>
                  <w:tcW w:w="591" w:type="pct"/>
                  <w:vAlign w:val="center"/>
                </w:tcPr>
                <w:p w14:paraId="7B299CB6">
                  <w:pPr>
                    <w:jc w:val="center"/>
                    <w:rPr>
                      <w:color w:val="EE0000"/>
                      <w:sz w:val="18"/>
                      <w:szCs w:val="18"/>
                      <w:u w:val="single"/>
                    </w:rPr>
                  </w:pPr>
                  <w:r>
                    <w:rPr>
                      <w:color w:val="EE0000"/>
                      <w:sz w:val="18"/>
                      <w:szCs w:val="18"/>
                      <w:u w:val="single"/>
                    </w:rPr>
                    <w:t>非正常排放</w:t>
                  </w:r>
                </w:p>
                <w:p w14:paraId="066DEBBB">
                  <w:pPr>
                    <w:jc w:val="center"/>
                    <w:rPr>
                      <w:color w:val="EE0000"/>
                      <w:sz w:val="18"/>
                      <w:szCs w:val="18"/>
                      <w:u w:val="single"/>
                    </w:rPr>
                  </w:pPr>
                  <w:r>
                    <w:rPr>
                      <w:color w:val="EE0000"/>
                      <w:sz w:val="18"/>
                      <w:szCs w:val="18"/>
                      <w:u w:val="single"/>
                    </w:rPr>
                    <w:t>量kg/h</w:t>
                  </w:r>
                </w:p>
              </w:tc>
              <w:tc>
                <w:tcPr>
                  <w:tcW w:w="631" w:type="pct"/>
                  <w:vAlign w:val="center"/>
                </w:tcPr>
                <w:p w14:paraId="41F910EB">
                  <w:pPr>
                    <w:jc w:val="center"/>
                    <w:rPr>
                      <w:color w:val="EE0000"/>
                      <w:sz w:val="18"/>
                      <w:szCs w:val="18"/>
                      <w:u w:val="single"/>
                    </w:rPr>
                  </w:pPr>
                  <w:r>
                    <w:rPr>
                      <w:color w:val="EE0000"/>
                      <w:sz w:val="18"/>
                      <w:szCs w:val="18"/>
                      <w:u w:val="single"/>
                    </w:rPr>
                    <w:t>非正常排放浓度</w:t>
                  </w:r>
                </w:p>
                <w:p w14:paraId="0B0AD2C1">
                  <w:pPr>
                    <w:jc w:val="center"/>
                    <w:rPr>
                      <w:color w:val="EE0000"/>
                      <w:sz w:val="18"/>
                      <w:szCs w:val="18"/>
                      <w:u w:val="single"/>
                    </w:rPr>
                  </w:pPr>
                  <w:r>
                    <w:rPr>
                      <w:color w:val="EE0000"/>
                      <w:sz w:val="18"/>
                      <w:szCs w:val="18"/>
                      <w:u w:val="single"/>
                    </w:rPr>
                    <w:t>mg/m</w:t>
                  </w:r>
                  <w:r>
                    <w:rPr>
                      <w:color w:val="EE0000"/>
                      <w:sz w:val="18"/>
                      <w:szCs w:val="18"/>
                      <w:u w:val="single"/>
                      <w:vertAlign w:val="superscript"/>
                    </w:rPr>
                    <w:t>3</w:t>
                  </w:r>
                </w:p>
              </w:tc>
              <w:tc>
                <w:tcPr>
                  <w:tcW w:w="688" w:type="pct"/>
                  <w:vAlign w:val="center"/>
                </w:tcPr>
                <w:p w14:paraId="3943DF40">
                  <w:pPr>
                    <w:jc w:val="center"/>
                    <w:rPr>
                      <w:color w:val="EE0000"/>
                      <w:sz w:val="18"/>
                      <w:szCs w:val="18"/>
                      <w:u w:val="single"/>
                    </w:rPr>
                  </w:pPr>
                  <w:r>
                    <w:rPr>
                      <w:color w:val="EE0000"/>
                      <w:sz w:val="18"/>
                      <w:szCs w:val="18"/>
                      <w:u w:val="single"/>
                    </w:rPr>
                    <w:t>单次持续时间</w:t>
                  </w:r>
                </w:p>
              </w:tc>
              <w:tc>
                <w:tcPr>
                  <w:tcW w:w="691" w:type="pct"/>
                  <w:vAlign w:val="center"/>
                </w:tcPr>
                <w:p w14:paraId="7BD8695F">
                  <w:pPr>
                    <w:jc w:val="center"/>
                    <w:rPr>
                      <w:color w:val="EE0000"/>
                      <w:sz w:val="18"/>
                      <w:szCs w:val="18"/>
                      <w:u w:val="single"/>
                    </w:rPr>
                  </w:pPr>
                  <w:r>
                    <w:rPr>
                      <w:color w:val="EE0000"/>
                      <w:sz w:val="18"/>
                      <w:szCs w:val="18"/>
                      <w:u w:val="single"/>
                    </w:rPr>
                    <w:t>发生频次（次/年）</w:t>
                  </w:r>
                </w:p>
              </w:tc>
              <w:tc>
                <w:tcPr>
                  <w:tcW w:w="513" w:type="pct"/>
                  <w:vAlign w:val="center"/>
                </w:tcPr>
                <w:p w14:paraId="384F5A86">
                  <w:pPr>
                    <w:jc w:val="center"/>
                    <w:rPr>
                      <w:color w:val="EE0000"/>
                      <w:sz w:val="18"/>
                      <w:szCs w:val="18"/>
                      <w:u w:val="single"/>
                    </w:rPr>
                  </w:pPr>
                  <w:r>
                    <w:rPr>
                      <w:color w:val="EE0000"/>
                      <w:sz w:val="18"/>
                      <w:szCs w:val="18"/>
                      <w:u w:val="single"/>
                    </w:rPr>
                    <w:t>应对措施</w:t>
                  </w:r>
                </w:p>
              </w:tc>
            </w:tr>
            <w:tr w14:paraId="3B25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0" w:type="pct"/>
                  <w:vAlign w:val="center"/>
                </w:tcPr>
                <w:p w14:paraId="47708AED">
                  <w:pPr>
                    <w:jc w:val="center"/>
                    <w:rPr>
                      <w:color w:val="EE0000"/>
                      <w:sz w:val="18"/>
                      <w:szCs w:val="18"/>
                      <w:u w:val="single"/>
                    </w:rPr>
                  </w:pPr>
                  <w:r>
                    <w:rPr>
                      <w:color w:val="EE0000"/>
                      <w:sz w:val="18"/>
                      <w:szCs w:val="18"/>
                      <w:u w:val="single"/>
                    </w:rPr>
                    <w:t>原料制备DA001</w:t>
                  </w:r>
                </w:p>
              </w:tc>
              <w:tc>
                <w:tcPr>
                  <w:tcW w:w="732" w:type="pct"/>
                  <w:tcBorders>
                    <w:bottom w:val="single" w:color="auto" w:sz="4" w:space="0"/>
                  </w:tcBorders>
                  <w:vAlign w:val="center"/>
                </w:tcPr>
                <w:p w14:paraId="438E7299">
                  <w:pPr>
                    <w:jc w:val="center"/>
                    <w:rPr>
                      <w:color w:val="EE0000"/>
                      <w:sz w:val="18"/>
                      <w:szCs w:val="18"/>
                      <w:u w:val="single"/>
                    </w:rPr>
                  </w:pPr>
                  <w:r>
                    <w:rPr>
                      <w:color w:val="EE0000"/>
                      <w:sz w:val="18"/>
                      <w:szCs w:val="18"/>
                      <w:u w:val="single"/>
                    </w:rPr>
                    <w:t>筛分、搅拌颗粒物</w:t>
                  </w:r>
                </w:p>
              </w:tc>
              <w:tc>
                <w:tcPr>
                  <w:tcW w:w="554" w:type="pct"/>
                  <w:vMerge w:val="restart"/>
                  <w:vAlign w:val="center"/>
                </w:tcPr>
                <w:p w14:paraId="4ACF42E1">
                  <w:pPr>
                    <w:jc w:val="center"/>
                    <w:rPr>
                      <w:color w:val="EE0000"/>
                      <w:sz w:val="18"/>
                      <w:szCs w:val="18"/>
                      <w:u w:val="single"/>
                    </w:rPr>
                  </w:pPr>
                  <w:r>
                    <w:rPr>
                      <w:color w:val="EE0000"/>
                      <w:sz w:val="18"/>
                      <w:szCs w:val="18"/>
                      <w:u w:val="single"/>
                    </w:rPr>
                    <w:t>废气治理设施故障，</w:t>
                  </w:r>
                </w:p>
                <w:p w14:paraId="0C458FC7">
                  <w:pPr>
                    <w:jc w:val="center"/>
                    <w:rPr>
                      <w:color w:val="EE0000"/>
                      <w:sz w:val="18"/>
                      <w:szCs w:val="18"/>
                      <w:u w:val="single"/>
                    </w:rPr>
                  </w:pPr>
                  <w:r>
                    <w:rPr>
                      <w:color w:val="EE0000"/>
                      <w:sz w:val="18"/>
                      <w:szCs w:val="18"/>
                      <w:u w:val="single"/>
                    </w:rPr>
                    <w:t>处理效率为0</w:t>
                  </w:r>
                </w:p>
              </w:tc>
              <w:tc>
                <w:tcPr>
                  <w:tcW w:w="591" w:type="pct"/>
                  <w:vAlign w:val="center"/>
                </w:tcPr>
                <w:p w14:paraId="63A97732">
                  <w:pPr>
                    <w:jc w:val="center"/>
                    <w:rPr>
                      <w:color w:val="EE0000"/>
                      <w:sz w:val="18"/>
                      <w:szCs w:val="18"/>
                      <w:u w:val="single"/>
                    </w:rPr>
                  </w:pPr>
                  <w:r>
                    <w:rPr>
                      <w:color w:val="EE0000"/>
                      <w:sz w:val="18"/>
                      <w:szCs w:val="18"/>
                      <w:u w:val="single"/>
                    </w:rPr>
                    <w:t>5.31</w:t>
                  </w:r>
                </w:p>
              </w:tc>
              <w:tc>
                <w:tcPr>
                  <w:tcW w:w="631" w:type="pct"/>
                  <w:vAlign w:val="center"/>
                </w:tcPr>
                <w:p w14:paraId="774E91F3">
                  <w:pPr>
                    <w:jc w:val="center"/>
                    <w:rPr>
                      <w:color w:val="EE0000"/>
                      <w:sz w:val="18"/>
                      <w:szCs w:val="18"/>
                      <w:u w:val="single"/>
                    </w:rPr>
                  </w:pPr>
                  <w:r>
                    <w:rPr>
                      <w:color w:val="EE0000"/>
                      <w:sz w:val="18"/>
                      <w:szCs w:val="18"/>
                      <w:u w:val="single"/>
                    </w:rPr>
                    <w:t>237.9</w:t>
                  </w:r>
                </w:p>
              </w:tc>
              <w:tc>
                <w:tcPr>
                  <w:tcW w:w="688" w:type="pct"/>
                  <w:vAlign w:val="center"/>
                </w:tcPr>
                <w:p w14:paraId="1C4220D9">
                  <w:pPr>
                    <w:jc w:val="center"/>
                    <w:rPr>
                      <w:color w:val="EE0000"/>
                      <w:sz w:val="18"/>
                      <w:szCs w:val="18"/>
                      <w:u w:val="single"/>
                    </w:rPr>
                  </w:pPr>
                  <w:r>
                    <w:rPr>
                      <w:color w:val="EE0000"/>
                      <w:sz w:val="18"/>
                      <w:szCs w:val="18"/>
                      <w:u w:val="single"/>
                    </w:rPr>
                    <w:t>1小时</w:t>
                  </w:r>
                </w:p>
              </w:tc>
              <w:tc>
                <w:tcPr>
                  <w:tcW w:w="691" w:type="pct"/>
                  <w:vAlign w:val="center"/>
                </w:tcPr>
                <w:p w14:paraId="2FF2EB31">
                  <w:pPr>
                    <w:jc w:val="center"/>
                    <w:rPr>
                      <w:color w:val="EE0000"/>
                      <w:sz w:val="18"/>
                      <w:szCs w:val="18"/>
                      <w:u w:val="single"/>
                    </w:rPr>
                  </w:pPr>
                  <w:r>
                    <w:rPr>
                      <w:color w:val="EE0000"/>
                      <w:sz w:val="18"/>
                      <w:szCs w:val="18"/>
                      <w:u w:val="single"/>
                    </w:rPr>
                    <w:t>1</w:t>
                  </w:r>
                </w:p>
              </w:tc>
              <w:tc>
                <w:tcPr>
                  <w:tcW w:w="513" w:type="pct"/>
                  <w:vMerge w:val="restart"/>
                  <w:vAlign w:val="center"/>
                </w:tcPr>
                <w:p w14:paraId="15357FC9">
                  <w:pPr>
                    <w:jc w:val="center"/>
                    <w:rPr>
                      <w:color w:val="EE0000"/>
                      <w:sz w:val="18"/>
                      <w:szCs w:val="18"/>
                      <w:u w:val="single"/>
                    </w:rPr>
                  </w:pPr>
                  <w:r>
                    <w:rPr>
                      <w:color w:val="EE0000"/>
                      <w:sz w:val="18"/>
                      <w:szCs w:val="18"/>
                      <w:u w:val="single"/>
                    </w:rPr>
                    <w:t>立即停止生产，对产生故障的设施进行检查维修，待</w:t>
                  </w:r>
                </w:p>
                <w:p w14:paraId="4073F259">
                  <w:pPr>
                    <w:jc w:val="center"/>
                    <w:rPr>
                      <w:color w:val="EE0000"/>
                      <w:sz w:val="18"/>
                      <w:szCs w:val="18"/>
                      <w:u w:val="single"/>
                    </w:rPr>
                  </w:pPr>
                  <w:r>
                    <w:rPr>
                      <w:color w:val="EE0000"/>
                      <w:sz w:val="18"/>
                      <w:szCs w:val="18"/>
                      <w:u w:val="single"/>
                    </w:rPr>
                    <w:t>恢复正常方可运行</w:t>
                  </w:r>
                </w:p>
              </w:tc>
            </w:tr>
            <w:tr w14:paraId="449C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0" w:type="pct"/>
                  <w:vAlign w:val="center"/>
                </w:tcPr>
                <w:p w14:paraId="1A52B12F">
                  <w:pPr>
                    <w:jc w:val="center"/>
                    <w:rPr>
                      <w:color w:val="EE0000"/>
                      <w:sz w:val="18"/>
                      <w:szCs w:val="18"/>
                      <w:u w:val="single"/>
                    </w:rPr>
                  </w:pPr>
                  <w:r>
                    <w:rPr>
                      <w:color w:val="EE0000"/>
                      <w:sz w:val="18"/>
                      <w:szCs w:val="18"/>
                      <w:u w:val="single"/>
                    </w:rPr>
                    <w:t>原料制备DA002</w:t>
                  </w:r>
                </w:p>
              </w:tc>
              <w:tc>
                <w:tcPr>
                  <w:tcW w:w="732" w:type="pct"/>
                  <w:tcBorders>
                    <w:bottom w:val="single" w:color="auto" w:sz="4" w:space="0"/>
                  </w:tcBorders>
                  <w:vAlign w:val="center"/>
                </w:tcPr>
                <w:p w14:paraId="71641690">
                  <w:pPr>
                    <w:jc w:val="center"/>
                    <w:rPr>
                      <w:color w:val="EE0000"/>
                      <w:sz w:val="18"/>
                      <w:szCs w:val="18"/>
                      <w:u w:val="single"/>
                    </w:rPr>
                  </w:pPr>
                  <w:r>
                    <w:rPr>
                      <w:color w:val="EE0000"/>
                      <w:sz w:val="18"/>
                      <w:szCs w:val="18"/>
                      <w:u w:val="single"/>
                    </w:rPr>
                    <w:t>喂料、破碎颗粒物</w:t>
                  </w:r>
                </w:p>
              </w:tc>
              <w:tc>
                <w:tcPr>
                  <w:tcW w:w="554" w:type="pct"/>
                  <w:vMerge w:val="continue"/>
                  <w:vAlign w:val="center"/>
                </w:tcPr>
                <w:p w14:paraId="27C27EE3">
                  <w:pPr>
                    <w:jc w:val="center"/>
                    <w:rPr>
                      <w:color w:val="EE0000"/>
                      <w:sz w:val="18"/>
                      <w:szCs w:val="18"/>
                      <w:u w:val="single"/>
                    </w:rPr>
                  </w:pPr>
                </w:p>
              </w:tc>
              <w:tc>
                <w:tcPr>
                  <w:tcW w:w="591" w:type="pct"/>
                  <w:vAlign w:val="center"/>
                </w:tcPr>
                <w:p w14:paraId="6B8A8595">
                  <w:pPr>
                    <w:jc w:val="center"/>
                    <w:rPr>
                      <w:color w:val="EE0000"/>
                      <w:sz w:val="18"/>
                      <w:szCs w:val="18"/>
                      <w:u w:val="single"/>
                    </w:rPr>
                  </w:pPr>
                  <w:r>
                    <w:rPr>
                      <w:color w:val="EE0000"/>
                      <w:sz w:val="18"/>
                      <w:szCs w:val="18"/>
                      <w:u w:val="single"/>
                    </w:rPr>
                    <w:t>2.77</w:t>
                  </w:r>
                </w:p>
              </w:tc>
              <w:tc>
                <w:tcPr>
                  <w:tcW w:w="631" w:type="pct"/>
                  <w:vAlign w:val="center"/>
                </w:tcPr>
                <w:p w14:paraId="3C338B08">
                  <w:pPr>
                    <w:jc w:val="center"/>
                    <w:rPr>
                      <w:color w:val="EE0000"/>
                      <w:sz w:val="18"/>
                      <w:szCs w:val="18"/>
                      <w:u w:val="single"/>
                    </w:rPr>
                  </w:pPr>
                  <w:r>
                    <w:rPr>
                      <w:color w:val="EE0000"/>
                      <w:sz w:val="18"/>
                      <w:szCs w:val="18"/>
                      <w:u w:val="single"/>
                    </w:rPr>
                    <w:t>99.9</w:t>
                  </w:r>
                </w:p>
              </w:tc>
              <w:tc>
                <w:tcPr>
                  <w:tcW w:w="688" w:type="pct"/>
                  <w:vAlign w:val="center"/>
                </w:tcPr>
                <w:p w14:paraId="20698CF2">
                  <w:pPr>
                    <w:jc w:val="center"/>
                    <w:rPr>
                      <w:color w:val="EE0000"/>
                      <w:sz w:val="18"/>
                      <w:szCs w:val="18"/>
                      <w:u w:val="single"/>
                    </w:rPr>
                  </w:pPr>
                  <w:r>
                    <w:rPr>
                      <w:color w:val="EE0000"/>
                      <w:sz w:val="18"/>
                      <w:szCs w:val="18"/>
                      <w:u w:val="single"/>
                    </w:rPr>
                    <w:t>1小时</w:t>
                  </w:r>
                </w:p>
              </w:tc>
              <w:tc>
                <w:tcPr>
                  <w:tcW w:w="691" w:type="pct"/>
                  <w:vAlign w:val="center"/>
                </w:tcPr>
                <w:p w14:paraId="0C50EDFE">
                  <w:pPr>
                    <w:jc w:val="center"/>
                    <w:rPr>
                      <w:color w:val="EE0000"/>
                      <w:sz w:val="18"/>
                      <w:szCs w:val="18"/>
                      <w:u w:val="single"/>
                    </w:rPr>
                  </w:pPr>
                  <w:r>
                    <w:rPr>
                      <w:color w:val="EE0000"/>
                      <w:sz w:val="18"/>
                      <w:szCs w:val="18"/>
                      <w:u w:val="single"/>
                    </w:rPr>
                    <w:t>1</w:t>
                  </w:r>
                </w:p>
              </w:tc>
              <w:tc>
                <w:tcPr>
                  <w:tcW w:w="513" w:type="pct"/>
                  <w:vMerge w:val="continue"/>
                  <w:vAlign w:val="center"/>
                </w:tcPr>
                <w:p w14:paraId="17C6E718">
                  <w:pPr>
                    <w:jc w:val="center"/>
                    <w:rPr>
                      <w:color w:val="EE0000"/>
                      <w:sz w:val="18"/>
                      <w:szCs w:val="18"/>
                      <w:u w:val="single"/>
                    </w:rPr>
                  </w:pPr>
                </w:p>
              </w:tc>
            </w:tr>
            <w:tr w14:paraId="546C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00" w:type="pct"/>
                  <w:vMerge w:val="restart"/>
                  <w:vAlign w:val="center"/>
                </w:tcPr>
                <w:p w14:paraId="3726B489">
                  <w:pPr>
                    <w:jc w:val="center"/>
                    <w:rPr>
                      <w:color w:val="EE0000"/>
                      <w:sz w:val="18"/>
                      <w:szCs w:val="18"/>
                      <w:u w:val="single"/>
                    </w:rPr>
                  </w:pPr>
                  <w:r>
                    <w:rPr>
                      <w:color w:val="EE0000"/>
                      <w:sz w:val="18"/>
                      <w:szCs w:val="18"/>
                      <w:u w:val="single"/>
                    </w:rPr>
                    <w:t>窑炉烟气DA003</w:t>
                  </w:r>
                </w:p>
              </w:tc>
              <w:tc>
                <w:tcPr>
                  <w:tcW w:w="732" w:type="pct"/>
                  <w:vAlign w:val="center"/>
                </w:tcPr>
                <w:p w14:paraId="62E8C755">
                  <w:pPr>
                    <w:jc w:val="center"/>
                    <w:rPr>
                      <w:color w:val="EE0000"/>
                      <w:sz w:val="18"/>
                      <w:szCs w:val="18"/>
                      <w:u w:val="single"/>
                    </w:rPr>
                  </w:pPr>
                  <w:r>
                    <w:rPr>
                      <w:color w:val="EE0000"/>
                      <w:sz w:val="18"/>
                      <w:szCs w:val="18"/>
                      <w:u w:val="single"/>
                    </w:rPr>
                    <w:t>颗粒物</w:t>
                  </w:r>
                </w:p>
              </w:tc>
              <w:tc>
                <w:tcPr>
                  <w:tcW w:w="554" w:type="pct"/>
                  <w:vMerge w:val="continue"/>
                  <w:vAlign w:val="center"/>
                </w:tcPr>
                <w:p w14:paraId="1733E05F">
                  <w:pPr>
                    <w:jc w:val="center"/>
                    <w:rPr>
                      <w:color w:val="EE0000"/>
                      <w:sz w:val="18"/>
                      <w:szCs w:val="18"/>
                      <w:u w:val="single"/>
                    </w:rPr>
                  </w:pPr>
                </w:p>
              </w:tc>
              <w:tc>
                <w:tcPr>
                  <w:tcW w:w="591" w:type="pct"/>
                  <w:vAlign w:val="center"/>
                </w:tcPr>
                <w:p w14:paraId="3C3363D8">
                  <w:pPr>
                    <w:jc w:val="center"/>
                    <w:rPr>
                      <w:color w:val="EE0000"/>
                      <w:sz w:val="18"/>
                      <w:szCs w:val="18"/>
                      <w:u w:val="single"/>
                    </w:rPr>
                  </w:pPr>
                  <w:r>
                    <w:rPr>
                      <w:color w:val="EE0000"/>
                      <w:sz w:val="18"/>
                      <w:szCs w:val="18"/>
                      <w:u w:val="single"/>
                    </w:rPr>
                    <w:t>9.85</w:t>
                  </w:r>
                </w:p>
              </w:tc>
              <w:tc>
                <w:tcPr>
                  <w:tcW w:w="631" w:type="pct"/>
                  <w:vAlign w:val="center"/>
                </w:tcPr>
                <w:p w14:paraId="1A8A2C50">
                  <w:pPr>
                    <w:jc w:val="center"/>
                    <w:rPr>
                      <w:color w:val="EE0000"/>
                      <w:sz w:val="18"/>
                      <w:szCs w:val="18"/>
                      <w:u w:val="single"/>
                    </w:rPr>
                  </w:pPr>
                  <w:r>
                    <w:rPr>
                      <w:color w:val="EE0000"/>
                      <w:sz w:val="18"/>
                      <w:szCs w:val="18"/>
                      <w:u w:val="single"/>
                    </w:rPr>
                    <w:t>49.25</w:t>
                  </w:r>
                </w:p>
              </w:tc>
              <w:tc>
                <w:tcPr>
                  <w:tcW w:w="688" w:type="pct"/>
                  <w:vAlign w:val="center"/>
                </w:tcPr>
                <w:p w14:paraId="41D2C08B">
                  <w:pPr>
                    <w:jc w:val="center"/>
                    <w:rPr>
                      <w:color w:val="EE0000"/>
                      <w:sz w:val="18"/>
                      <w:szCs w:val="18"/>
                      <w:u w:val="single"/>
                    </w:rPr>
                  </w:pPr>
                  <w:r>
                    <w:rPr>
                      <w:color w:val="EE0000"/>
                      <w:sz w:val="18"/>
                      <w:szCs w:val="18"/>
                      <w:u w:val="single"/>
                    </w:rPr>
                    <w:t>1小时</w:t>
                  </w:r>
                </w:p>
              </w:tc>
              <w:tc>
                <w:tcPr>
                  <w:tcW w:w="691" w:type="pct"/>
                  <w:vAlign w:val="center"/>
                </w:tcPr>
                <w:p w14:paraId="4D317946">
                  <w:pPr>
                    <w:jc w:val="center"/>
                    <w:rPr>
                      <w:color w:val="EE0000"/>
                      <w:sz w:val="18"/>
                      <w:szCs w:val="18"/>
                      <w:u w:val="single"/>
                    </w:rPr>
                  </w:pPr>
                  <w:r>
                    <w:rPr>
                      <w:color w:val="EE0000"/>
                      <w:sz w:val="18"/>
                      <w:szCs w:val="18"/>
                      <w:u w:val="single"/>
                    </w:rPr>
                    <w:t>1</w:t>
                  </w:r>
                </w:p>
              </w:tc>
              <w:tc>
                <w:tcPr>
                  <w:tcW w:w="513" w:type="pct"/>
                  <w:vMerge w:val="continue"/>
                  <w:vAlign w:val="center"/>
                </w:tcPr>
                <w:p w14:paraId="7E065807">
                  <w:pPr>
                    <w:jc w:val="center"/>
                    <w:rPr>
                      <w:color w:val="EE0000"/>
                      <w:sz w:val="18"/>
                      <w:szCs w:val="18"/>
                      <w:u w:val="single"/>
                    </w:rPr>
                  </w:pPr>
                </w:p>
              </w:tc>
            </w:tr>
            <w:tr w14:paraId="49BC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50BF50F5">
                  <w:pPr>
                    <w:jc w:val="center"/>
                    <w:rPr>
                      <w:color w:val="EE0000"/>
                      <w:sz w:val="18"/>
                      <w:szCs w:val="18"/>
                      <w:u w:val="single"/>
                    </w:rPr>
                  </w:pPr>
                </w:p>
              </w:tc>
              <w:tc>
                <w:tcPr>
                  <w:tcW w:w="732" w:type="pct"/>
                  <w:vAlign w:val="center"/>
                </w:tcPr>
                <w:p w14:paraId="5691B0A7">
                  <w:pPr>
                    <w:jc w:val="center"/>
                    <w:rPr>
                      <w:color w:val="EE0000"/>
                      <w:sz w:val="18"/>
                      <w:szCs w:val="18"/>
                      <w:u w:val="single"/>
                    </w:rPr>
                  </w:pPr>
                  <w:r>
                    <w:rPr>
                      <w:color w:val="EE0000"/>
                      <w:sz w:val="18"/>
                      <w:szCs w:val="18"/>
                      <w:u w:val="single"/>
                    </w:rPr>
                    <w:t>二氧化硫</w:t>
                  </w:r>
                </w:p>
              </w:tc>
              <w:tc>
                <w:tcPr>
                  <w:tcW w:w="554" w:type="pct"/>
                  <w:vMerge w:val="continue"/>
                  <w:vAlign w:val="center"/>
                </w:tcPr>
                <w:p w14:paraId="2E32D4DB">
                  <w:pPr>
                    <w:jc w:val="center"/>
                    <w:rPr>
                      <w:color w:val="EE0000"/>
                      <w:sz w:val="18"/>
                      <w:szCs w:val="18"/>
                      <w:u w:val="single"/>
                    </w:rPr>
                  </w:pPr>
                </w:p>
              </w:tc>
              <w:tc>
                <w:tcPr>
                  <w:tcW w:w="591" w:type="pct"/>
                  <w:vAlign w:val="center"/>
                </w:tcPr>
                <w:p w14:paraId="6F1C9565">
                  <w:pPr>
                    <w:jc w:val="center"/>
                    <w:rPr>
                      <w:color w:val="EE0000"/>
                      <w:sz w:val="18"/>
                      <w:szCs w:val="18"/>
                      <w:u w:val="single"/>
                    </w:rPr>
                  </w:pPr>
                  <w:r>
                    <w:rPr>
                      <w:color w:val="EE0000"/>
                      <w:sz w:val="18"/>
                      <w:szCs w:val="18"/>
                      <w:u w:val="single"/>
                    </w:rPr>
                    <w:t>145.82</w:t>
                  </w:r>
                </w:p>
              </w:tc>
              <w:tc>
                <w:tcPr>
                  <w:tcW w:w="631" w:type="pct"/>
                  <w:vAlign w:val="center"/>
                </w:tcPr>
                <w:p w14:paraId="369C3A9A">
                  <w:pPr>
                    <w:jc w:val="center"/>
                    <w:rPr>
                      <w:color w:val="EE0000"/>
                      <w:sz w:val="18"/>
                      <w:szCs w:val="18"/>
                      <w:u w:val="single"/>
                    </w:rPr>
                  </w:pPr>
                  <w:r>
                    <w:rPr>
                      <w:color w:val="EE0000"/>
                      <w:sz w:val="18"/>
                      <w:szCs w:val="18"/>
                      <w:u w:val="single"/>
                    </w:rPr>
                    <w:t>729.1</w:t>
                  </w:r>
                </w:p>
              </w:tc>
              <w:tc>
                <w:tcPr>
                  <w:tcW w:w="688" w:type="pct"/>
                  <w:vAlign w:val="center"/>
                </w:tcPr>
                <w:p w14:paraId="228109FA">
                  <w:pPr>
                    <w:jc w:val="center"/>
                    <w:rPr>
                      <w:color w:val="EE0000"/>
                      <w:sz w:val="18"/>
                      <w:szCs w:val="18"/>
                      <w:u w:val="single"/>
                    </w:rPr>
                  </w:pPr>
                  <w:r>
                    <w:rPr>
                      <w:color w:val="EE0000"/>
                      <w:sz w:val="18"/>
                      <w:szCs w:val="18"/>
                      <w:u w:val="single"/>
                    </w:rPr>
                    <w:t>1小时</w:t>
                  </w:r>
                </w:p>
              </w:tc>
              <w:tc>
                <w:tcPr>
                  <w:tcW w:w="691" w:type="pct"/>
                  <w:vAlign w:val="center"/>
                </w:tcPr>
                <w:p w14:paraId="4B68821A">
                  <w:pPr>
                    <w:jc w:val="center"/>
                    <w:rPr>
                      <w:color w:val="EE0000"/>
                      <w:sz w:val="18"/>
                      <w:szCs w:val="18"/>
                      <w:u w:val="single"/>
                    </w:rPr>
                  </w:pPr>
                  <w:r>
                    <w:rPr>
                      <w:color w:val="EE0000"/>
                      <w:sz w:val="18"/>
                      <w:szCs w:val="18"/>
                      <w:u w:val="single"/>
                    </w:rPr>
                    <w:t>1</w:t>
                  </w:r>
                </w:p>
              </w:tc>
              <w:tc>
                <w:tcPr>
                  <w:tcW w:w="513" w:type="pct"/>
                  <w:vMerge w:val="continue"/>
                  <w:vAlign w:val="center"/>
                </w:tcPr>
                <w:p w14:paraId="035407D3">
                  <w:pPr>
                    <w:jc w:val="center"/>
                    <w:rPr>
                      <w:color w:val="EE0000"/>
                      <w:sz w:val="18"/>
                      <w:szCs w:val="18"/>
                      <w:u w:val="single"/>
                    </w:rPr>
                  </w:pPr>
                </w:p>
              </w:tc>
            </w:tr>
            <w:tr w14:paraId="55D7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00" w:type="pct"/>
                  <w:vMerge w:val="continue"/>
                  <w:vAlign w:val="center"/>
                </w:tcPr>
                <w:p w14:paraId="6DA16AFB">
                  <w:pPr>
                    <w:jc w:val="center"/>
                    <w:rPr>
                      <w:color w:val="EE0000"/>
                      <w:sz w:val="18"/>
                      <w:szCs w:val="18"/>
                      <w:u w:val="single"/>
                    </w:rPr>
                  </w:pPr>
                </w:p>
              </w:tc>
              <w:tc>
                <w:tcPr>
                  <w:tcW w:w="732" w:type="pct"/>
                  <w:vAlign w:val="center"/>
                </w:tcPr>
                <w:p w14:paraId="6492005D">
                  <w:pPr>
                    <w:jc w:val="center"/>
                    <w:rPr>
                      <w:color w:val="EE0000"/>
                      <w:sz w:val="18"/>
                      <w:szCs w:val="18"/>
                      <w:u w:val="single"/>
                    </w:rPr>
                  </w:pPr>
                  <w:r>
                    <w:rPr>
                      <w:color w:val="EE0000"/>
                      <w:sz w:val="18"/>
                      <w:szCs w:val="18"/>
                      <w:u w:val="single"/>
                    </w:rPr>
                    <w:t>氮氧化物</w:t>
                  </w:r>
                </w:p>
              </w:tc>
              <w:tc>
                <w:tcPr>
                  <w:tcW w:w="554" w:type="pct"/>
                  <w:vMerge w:val="continue"/>
                  <w:vAlign w:val="center"/>
                </w:tcPr>
                <w:p w14:paraId="5024E040">
                  <w:pPr>
                    <w:jc w:val="center"/>
                    <w:rPr>
                      <w:color w:val="EE0000"/>
                      <w:sz w:val="18"/>
                      <w:szCs w:val="18"/>
                      <w:u w:val="single"/>
                    </w:rPr>
                  </w:pPr>
                </w:p>
              </w:tc>
              <w:tc>
                <w:tcPr>
                  <w:tcW w:w="591" w:type="pct"/>
                  <w:vAlign w:val="center"/>
                </w:tcPr>
                <w:p w14:paraId="31BBE9BE">
                  <w:pPr>
                    <w:jc w:val="center"/>
                    <w:rPr>
                      <w:color w:val="EE0000"/>
                      <w:sz w:val="18"/>
                      <w:szCs w:val="18"/>
                      <w:u w:val="single"/>
                    </w:rPr>
                  </w:pPr>
                  <w:r>
                    <w:rPr>
                      <w:color w:val="EE0000"/>
                      <w:sz w:val="18"/>
                      <w:szCs w:val="18"/>
                      <w:u w:val="single"/>
                    </w:rPr>
                    <w:t>12.36</w:t>
                  </w:r>
                </w:p>
              </w:tc>
              <w:tc>
                <w:tcPr>
                  <w:tcW w:w="631" w:type="pct"/>
                  <w:vAlign w:val="center"/>
                </w:tcPr>
                <w:p w14:paraId="1102E67B">
                  <w:pPr>
                    <w:jc w:val="center"/>
                    <w:rPr>
                      <w:color w:val="EE0000"/>
                      <w:sz w:val="18"/>
                      <w:szCs w:val="18"/>
                      <w:u w:val="single"/>
                    </w:rPr>
                  </w:pPr>
                  <w:r>
                    <w:rPr>
                      <w:color w:val="EE0000"/>
                      <w:sz w:val="18"/>
                      <w:szCs w:val="18"/>
                      <w:u w:val="single"/>
                    </w:rPr>
                    <w:t>61.8</w:t>
                  </w:r>
                </w:p>
              </w:tc>
              <w:tc>
                <w:tcPr>
                  <w:tcW w:w="688" w:type="pct"/>
                  <w:vAlign w:val="center"/>
                </w:tcPr>
                <w:p w14:paraId="3750C8F6">
                  <w:pPr>
                    <w:jc w:val="center"/>
                    <w:rPr>
                      <w:color w:val="EE0000"/>
                      <w:sz w:val="18"/>
                      <w:szCs w:val="18"/>
                      <w:u w:val="single"/>
                    </w:rPr>
                  </w:pPr>
                  <w:r>
                    <w:rPr>
                      <w:color w:val="EE0000"/>
                      <w:sz w:val="18"/>
                      <w:szCs w:val="18"/>
                      <w:u w:val="single"/>
                    </w:rPr>
                    <w:t>1小时</w:t>
                  </w:r>
                </w:p>
              </w:tc>
              <w:tc>
                <w:tcPr>
                  <w:tcW w:w="691" w:type="pct"/>
                  <w:vAlign w:val="center"/>
                </w:tcPr>
                <w:p w14:paraId="313A5BC3">
                  <w:pPr>
                    <w:jc w:val="center"/>
                    <w:rPr>
                      <w:color w:val="EE0000"/>
                      <w:sz w:val="18"/>
                      <w:szCs w:val="18"/>
                      <w:u w:val="single"/>
                    </w:rPr>
                  </w:pPr>
                  <w:r>
                    <w:rPr>
                      <w:color w:val="EE0000"/>
                      <w:sz w:val="18"/>
                      <w:szCs w:val="18"/>
                      <w:u w:val="single"/>
                    </w:rPr>
                    <w:t>1</w:t>
                  </w:r>
                </w:p>
              </w:tc>
              <w:tc>
                <w:tcPr>
                  <w:tcW w:w="513" w:type="pct"/>
                  <w:vMerge w:val="continue"/>
                  <w:vAlign w:val="center"/>
                </w:tcPr>
                <w:p w14:paraId="26DF0BE0">
                  <w:pPr>
                    <w:jc w:val="center"/>
                    <w:rPr>
                      <w:color w:val="EE0000"/>
                      <w:sz w:val="18"/>
                      <w:szCs w:val="18"/>
                      <w:u w:val="single"/>
                    </w:rPr>
                  </w:pPr>
                </w:p>
              </w:tc>
            </w:tr>
            <w:tr w14:paraId="7A71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43AB164F">
                  <w:pPr>
                    <w:jc w:val="center"/>
                    <w:rPr>
                      <w:color w:val="EE0000"/>
                      <w:sz w:val="18"/>
                      <w:szCs w:val="18"/>
                      <w:u w:val="single"/>
                    </w:rPr>
                  </w:pPr>
                </w:p>
              </w:tc>
              <w:tc>
                <w:tcPr>
                  <w:tcW w:w="732" w:type="pct"/>
                  <w:vAlign w:val="center"/>
                </w:tcPr>
                <w:p w14:paraId="1583A8FF">
                  <w:pPr>
                    <w:jc w:val="center"/>
                    <w:rPr>
                      <w:color w:val="EE0000"/>
                      <w:sz w:val="18"/>
                      <w:szCs w:val="18"/>
                      <w:u w:val="single"/>
                    </w:rPr>
                  </w:pPr>
                  <w:r>
                    <w:rPr>
                      <w:color w:val="EE0000"/>
                      <w:sz w:val="18"/>
                      <w:szCs w:val="18"/>
                      <w:u w:val="single"/>
                    </w:rPr>
                    <w:t>氟化物</w:t>
                  </w:r>
                </w:p>
              </w:tc>
              <w:tc>
                <w:tcPr>
                  <w:tcW w:w="554" w:type="pct"/>
                  <w:vMerge w:val="continue"/>
                  <w:vAlign w:val="center"/>
                </w:tcPr>
                <w:p w14:paraId="76F6FF5F">
                  <w:pPr>
                    <w:jc w:val="center"/>
                    <w:rPr>
                      <w:color w:val="EE0000"/>
                      <w:sz w:val="18"/>
                      <w:szCs w:val="18"/>
                      <w:u w:val="single"/>
                    </w:rPr>
                  </w:pPr>
                </w:p>
              </w:tc>
              <w:tc>
                <w:tcPr>
                  <w:tcW w:w="591" w:type="pct"/>
                  <w:vAlign w:val="center"/>
                </w:tcPr>
                <w:p w14:paraId="7CAFDD50">
                  <w:pPr>
                    <w:jc w:val="center"/>
                    <w:rPr>
                      <w:color w:val="EE0000"/>
                      <w:sz w:val="18"/>
                      <w:szCs w:val="18"/>
                      <w:u w:val="single"/>
                    </w:rPr>
                  </w:pPr>
                  <w:r>
                    <w:rPr>
                      <w:color w:val="EE0000"/>
                      <w:sz w:val="18"/>
                      <w:szCs w:val="18"/>
                      <w:u w:val="single"/>
                    </w:rPr>
                    <w:t>1.70</w:t>
                  </w:r>
                </w:p>
              </w:tc>
              <w:tc>
                <w:tcPr>
                  <w:tcW w:w="631" w:type="pct"/>
                  <w:vAlign w:val="center"/>
                </w:tcPr>
                <w:p w14:paraId="01CA455F">
                  <w:pPr>
                    <w:jc w:val="center"/>
                    <w:rPr>
                      <w:color w:val="EE0000"/>
                      <w:sz w:val="18"/>
                      <w:szCs w:val="18"/>
                      <w:u w:val="single"/>
                    </w:rPr>
                  </w:pPr>
                  <w:r>
                    <w:rPr>
                      <w:color w:val="EE0000"/>
                      <w:sz w:val="18"/>
                      <w:szCs w:val="18"/>
                      <w:u w:val="single"/>
                    </w:rPr>
                    <w:t>8.5</w:t>
                  </w:r>
                </w:p>
              </w:tc>
              <w:tc>
                <w:tcPr>
                  <w:tcW w:w="688" w:type="pct"/>
                  <w:vAlign w:val="center"/>
                </w:tcPr>
                <w:p w14:paraId="47D3F200">
                  <w:pPr>
                    <w:jc w:val="center"/>
                    <w:rPr>
                      <w:color w:val="EE0000"/>
                      <w:sz w:val="18"/>
                      <w:szCs w:val="18"/>
                      <w:u w:val="single"/>
                    </w:rPr>
                  </w:pPr>
                  <w:r>
                    <w:rPr>
                      <w:color w:val="EE0000"/>
                      <w:sz w:val="18"/>
                      <w:szCs w:val="18"/>
                      <w:u w:val="single"/>
                    </w:rPr>
                    <w:t>1小时</w:t>
                  </w:r>
                </w:p>
              </w:tc>
              <w:tc>
                <w:tcPr>
                  <w:tcW w:w="691" w:type="pct"/>
                  <w:vAlign w:val="center"/>
                </w:tcPr>
                <w:p w14:paraId="28F7D574">
                  <w:pPr>
                    <w:jc w:val="center"/>
                    <w:rPr>
                      <w:color w:val="EE0000"/>
                      <w:sz w:val="18"/>
                      <w:szCs w:val="18"/>
                      <w:u w:val="single"/>
                    </w:rPr>
                  </w:pPr>
                  <w:r>
                    <w:rPr>
                      <w:color w:val="EE0000"/>
                      <w:sz w:val="18"/>
                      <w:szCs w:val="18"/>
                      <w:u w:val="single"/>
                    </w:rPr>
                    <w:t>1</w:t>
                  </w:r>
                </w:p>
              </w:tc>
              <w:tc>
                <w:tcPr>
                  <w:tcW w:w="513" w:type="pct"/>
                  <w:vMerge w:val="continue"/>
                  <w:vAlign w:val="center"/>
                </w:tcPr>
                <w:p w14:paraId="46C47963">
                  <w:pPr>
                    <w:jc w:val="center"/>
                    <w:rPr>
                      <w:color w:val="EE0000"/>
                      <w:sz w:val="18"/>
                      <w:szCs w:val="18"/>
                      <w:u w:val="single"/>
                    </w:rPr>
                  </w:pPr>
                </w:p>
              </w:tc>
            </w:tr>
            <w:tr w14:paraId="7B3F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77B7A2E1">
                  <w:pPr>
                    <w:jc w:val="center"/>
                    <w:rPr>
                      <w:color w:val="EE0000"/>
                      <w:sz w:val="18"/>
                      <w:szCs w:val="18"/>
                      <w:u w:val="single"/>
                    </w:rPr>
                  </w:pPr>
                </w:p>
              </w:tc>
              <w:tc>
                <w:tcPr>
                  <w:tcW w:w="732" w:type="pct"/>
                  <w:vAlign w:val="center"/>
                </w:tcPr>
                <w:p w14:paraId="5AF09456">
                  <w:pPr>
                    <w:jc w:val="center"/>
                    <w:rPr>
                      <w:color w:val="EE0000"/>
                      <w:sz w:val="18"/>
                      <w:szCs w:val="18"/>
                      <w:u w:val="single"/>
                    </w:rPr>
                  </w:pPr>
                  <w:r>
                    <w:rPr>
                      <w:color w:val="EE0000"/>
                      <w:sz w:val="18"/>
                      <w:szCs w:val="18"/>
                      <w:u w:val="single"/>
                    </w:rPr>
                    <w:t>HCL</w:t>
                  </w:r>
                </w:p>
              </w:tc>
              <w:tc>
                <w:tcPr>
                  <w:tcW w:w="554" w:type="pct"/>
                  <w:vMerge w:val="continue"/>
                  <w:vAlign w:val="center"/>
                </w:tcPr>
                <w:p w14:paraId="5A779828">
                  <w:pPr>
                    <w:jc w:val="center"/>
                    <w:rPr>
                      <w:color w:val="EE0000"/>
                      <w:sz w:val="18"/>
                      <w:szCs w:val="18"/>
                      <w:u w:val="single"/>
                    </w:rPr>
                  </w:pPr>
                </w:p>
              </w:tc>
              <w:tc>
                <w:tcPr>
                  <w:tcW w:w="591" w:type="pct"/>
                  <w:vAlign w:val="center"/>
                </w:tcPr>
                <w:p w14:paraId="39152C78">
                  <w:pPr>
                    <w:jc w:val="center"/>
                    <w:rPr>
                      <w:color w:val="EE0000"/>
                      <w:sz w:val="18"/>
                      <w:szCs w:val="18"/>
                      <w:u w:val="single"/>
                    </w:rPr>
                  </w:pPr>
                  <w:r>
                    <w:rPr>
                      <w:color w:val="EE0000"/>
                      <w:sz w:val="18"/>
                      <w:szCs w:val="18"/>
                      <w:u w:val="single"/>
                    </w:rPr>
                    <w:t>3.48</w:t>
                  </w:r>
                </w:p>
              </w:tc>
              <w:tc>
                <w:tcPr>
                  <w:tcW w:w="631" w:type="pct"/>
                  <w:vAlign w:val="center"/>
                </w:tcPr>
                <w:p w14:paraId="7C57CDAF">
                  <w:pPr>
                    <w:jc w:val="center"/>
                    <w:rPr>
                      <w:color w:val="EE0000"/>
                      <w:sz w:val="18"/>
                      <w:szCs w:val="18"/>
                      <w:u w:val="single"/>
                    </w:rPr>
                  </w:pPr>
                  <w:r>
                    <w:rPr>
                      <w:color w:val="EE0000"/>
                      <w:sz w:val="18"/>
                      <w:szCs w:val="18"/>
                      <w:u w:val="single"/>
                    </w:rPr>
                    <w:t>17.4</w:t>
                  </w:r>
                </w:p>
              </w:tc>
              <w:tc>
                <w:tcPr>
                  <w:tcW w:w="688" w:type="pct"/>
                  <w:vAlign w:val="center"/>
                </w:tcPr>
                <w:p w14:paraId="4F7AA776">
                  <w:pPr>
                    <w:jc w:val="center"/>
                    <w:rPr>
                      <w:color w:val="EE0000"/>
                      <w:sz w:val="18"/>
                      <w:szCs w:val="18"/>
                      <w:u w:val="single"/>
                    </w:rPr>
                  </w:pPr>
                  <w:r>
                    <w:rPr>
                      <w:color w:val="EE0000"/>
                      <w:sz w:val="18"/>
                      <w:szCs w:val="18"/>
                      <w:u w:val="single"/>
                    </w:rPr>
                    <w:t>1小时</w:t>
                  </w:r>
                </w:p>
              </w:tc>
              <w:tc>
                <w:tcPr>
                  <w:tcW w:w="691" w:type="pct"/>
                  <w:vAlign w:val="center"/>
                </w:tcPr>
                <w:p w14:paraId="2F77417F">
                  <w:pPr>
                    <w:jc w:val="center"/>
                    <w:rPr>
                      <w:color w:val="EE0000"/>
                      <w:sz w:val="18"/>
                      <w:szCs w:val="18"/>
                      <w:u w:val="single"/>
                    </w:rPr>
                  </w:pPr>
                  <w:r>
                    <w:rPr>
                      <w:color w:val="EE0000"/>
                      <w:sz w:val="18"/>
                      <w:szCs w:val="18"/>
                      <w:u w:val="single"/>
                    </w:rPr>
                    <w:t>1</w:t>
                  </w:r>
                </w:p>
              </w:tc>
              <w:tc>
                <w:tcPr>
                  <w:tcW w:w="513" w:type="pct"/>
                  <w:vMerge w:val="continue"/>
                  <w:vAlign w:val="center"/>
                </w:tcPr>
                <w:p w14:paraId="0D1860A2">
                  <w:pPr>
                    <w:jc w:val="center"/>
                    <w:rPr>
                      <w:color w:val="EE0000"/>
                      <w:sz w:val="18"/>
                      <w:szCs w:val="18"/>
                      <w:u w:val="single"/>
                    </w:rPr>
                  </w:pPr>
                </w:p>
              </w:tc>
            </w:tr>
            <w:tr w14:paraId="190B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5CEF4B71">
                  <w:pPr>
                    <w:jc w:val="center"/>
                    <w:rPr>
                      <w:color w:val="EE0000"/>
                      <w:sz w:val="18"/>
                      <w:szCs w:val="18"/>
                      <w:u w:val="single"/>
                    </w:rPr>
                  </w:pPr>
                </w:p>
              </w:tc>
              <w:tc>
                <w:tcPr>
                  <w:tcW w:w="732" w:type="pct"/>
                  <w:vAlign w:val="center"/>
                </w:tcPr>
                <w:p w14:paraId="632E245C">
                  <w:pPr>
                    <w:jc w:val="center"/>
                    <w:rPr>
                      <w:color w:val="EE0000"/>
                      <w:sz w:val="18"/>
                      <w:szCs w:val="18"/>
                      <w:u w:val="single"/>
                    </w:rPr>
                  </w:pPr>
                  <w:r>
                    <w:rPr>
                      <w:color w:val="EE0000"/>
                      <w:sz w:val="18"/>
                      <w:szCs w:val="18"/>
                      <w:u w:val="single"/>
                    </w:rPr>
                    <w:t>汞</w:t>
                  </w:r>
                </w:p>
              </w:tc>
              <w:tc>
                <w:tcPr>
                  <w:tcW w:w="554" w:type="pct"/>
                  <w:vMerge w:val="continue"/>
                  <w:vAlign w:val="center"/>
                </w:tcPr>
                <w:p w14:paraId="7C35D65A">
                  <w:pPr>
                    <w:jc w:val="center"/>
                    <w:rPr>
                      <w:color w:val="EE0000"/>
                      <w:sz w:val="18"/>
                      <w:szCs w:val="18"/>
                      <w:u w:val="single"/>
                    </w:rPr>
                  </w:pPr>
                </w:p>
              </w:tc>
              <w:tc>
                <w:tcPr>
                  <w:tcW w:w="591" w:type="pct"/>
                  <w:vAlign w:val="center"/>
                </w:tcPr>
                <w:p w14:paraId="386D4158">
                  <w:pPr>
                    <w:jc w:val="center"/>
                    <w:rPr>
                      <w:color w:val="EE0000"/>
                      <w:sz w:val="18"/>
                      <w:szCs w:val="18"/>
                      <w:u w:val="single"/>
                    </w:rPr>
                  </w:pPr>
                  <w:r>
                    <w:rPr>
                      <w:color w:val="EE0000"/>
                      <w:sz w:val="18"/>
                      <w:szCs w:val="18"/>
                      <w:u w:val="single"/>
                    </w:rPr>
                    <w:t>0.0001</w:t>
                  </w:r>
                </w:p>
              </w:tc>
              <w:tc>
                <w:tcPr>
                  <w:tcW w:w="631" w:type="pct"/>
                  <w:vAlign w:val="center"/>
                </w:tcPr>
                <w:p w14:paraId="5270902E">
                  <w:pPr>
                    <w:jc w:val="center"/>
                    <w:rPr>
                      <w:color w:val="EE0000"/>
                      <w:sz w:val="18"/>
                      <w:szCs w:val="18"/>
                      <w:u w:val="single"/>
                    </w:rPr>
                  </w:pPr>
                  <w:r>
                    <w:rPr>
                      <w:color w:val="EE0000"/>
                      <w:sz w:val="18"/>
                      <w:szCs w:val="18"/>
                      <w:u w:val="single"/>
                    </w:rPr>
                    <w:t>0.0005</w:t>
                  </w:r>
                </w:p>
              </w:tc>
              <w:tc>
                <w:tcPr>
                  <w:tcW w:w="688" w:type="pct"/>
                  <w:vAlign w:val="center"/>
                </w:tcPr>
                <w:p w14:paraId="43580BED">
                  <w:pPr>
                    <w:jc w:val="center"/>
                    <w:rPr>
                      <w:color w:val="EE0000"/>
                      <w:sz w:val="18"/>
                      <w:szCs w:val="18"/>
                      <w:u w:val="single"/>
                    </w:rPr>
                  </w:pPr>
                  <w:r>
                    <w:rPr>
                      <w:color w:val="EE0000"/>
                      <w:sz w:val="18"/>
                      <w:szCs w:val="18"/>
                      <w:u w:val="single"/>
                    </w:rPr>
                    <w:t>1小时</w:t>
                  </w:r>
                </w:p>
              </w:tc>
              <w:tc>
                <w:tcPr>
                  <w:tcW w:w="691" w:type="pct"/>
                  <w:vAlign w:val="center"/>
                </w:tcPr>
                <w:p w14:paraId="23CE6D6C">
                  <w:pPr>
                    <w:jc w:val="center"/>
                    <w:rPr>
                      <w:color w:val="EE0000"/>
                      <w:sz w:val="18"/>
                      <w:szCs w:val="18"/>
                      <w:u w:val="single"/>
                    </w:rPr>
                  </w:pPr>
                  <w:r>
                    <w:rPr>
                      <w:color w:val="EE0000"/>
                      <w:sz w:val="18"/>
                      <w:szCs w:val="18"/>
                      <w:u w:val="single"/>
                    </w:rPr>
                    <w:t>1</w:t>
                  </w:r>
                </w:p>
              </w:tc>
              <w:tc>
                <w:tcPr>
                  <w:tcW w:w="513" w:type="pct"/>
                  <w:vMerge w:val="continue"/>
                  <w:vAlign w:val="center"/>
                </w:tcPr>
                <w:p w14:paraId="41489868">
                  <w:pPr>
                    <w:jc w:val="center"/>
                    <w:rPr>
                      <w:color w:val="EE0000"/>
                      <w:sz w:val="18"/>
                      <w:szCs w:val="18"/>
                      <w:u w:val="single"/>
                    </w:rPr>
                  </w:pPr>
                </w:p>
              </w:tc>
            </w:tr>
            <w:tr w14:paraId="1FC2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713578E5">
                  <w:pPr>
                    <w:jc w:val="center"/>
                    <w:rPr>
                      <w:color w:val="EE0000"/>
                      <w:sz w:val="18"/>
                      <w:szCs w:val="18"/>
                      <w:u w:val="single"/>
                    </w:rPr>
                  </w:pPr>
                </w:p>
              </w:tc>
              <w:tc>
                <w:tcPr>
                  <w:tcW w:w="732" w:type="pct"/>
                  <w:vAlign w:val="center"/>
                </w:tcPr>
                <w:p w14:paraId="2B6BD3D1">
                  <w:pPr>
                    <w:jc w:val="center"/>
                    <w:rPr>
                      <w:color w:val="EE0000"/>
                      <w:sz w:val="18"/>
                      <w:szCs w:val="18"/>
                      <w:u w:val="single"/>
                    </w:rPr>
                  </w:pPr>
                  <w:r>
                    <w:rPr>
                      <w:color w:val="EE0000"/>
                      <w:sz w:val="18"/>
                      <w:szCs w:val="18"/>
                      <w:u w:val="single"/>
                    </w:rPr>
                    <w:t>铅</w:t>
                  </w:r>
                </w:p>
              </w:tc>
              <w:tc>
                <w:tcPr>
                  <w:tcW w:w="554" w:type="pct"/>
                  <w:vMerge w:val="continue"/>
                  <w:vAlign w:val="center"/>
                </w:tcPr>
                <w:p w14:paraId="62A9BEAF">
                  <w:pPr>
                    <w:jc w:val="center"/>
                    <w:rPr>
                      <w:color w:val="EE0000"/>
                      <w:sz w:val="18"/>
                      <w:szCs w:val="18"/>
                      <w:u w:val="single"/>
                    </w:rPr>
                  </w:pPr>
                </w:p>
              </w:tc>
              <w:tc>
                <w:tcPr>
                  <w:tcW w:w="591" w:type="pct"/>
                  <w:vAlign w:val="center"/>
                </w:tcPr>
                <w:p w14:paraId="25051D89">
                  <w:pPr>
                    <w:jc w:val="center"/>
                    <w:rPr>
                      <w:color w:val="EE0000"/>
                      <w:sz w:val="18"/>
                      <w:szCs w:val="18"/>
                      <w:u w:val="single"/>
                    </w:rPr>
                  </w:pPr>
                  <w:r>
                    <w:rPr>
                      <w:color w:val="EE0000"/>
                      <w:sz w:val="18"/>
                      <w:szCs w:val="18"/>
                      <w:u w:val="single"/>
                    </w:rPr>
                    <w:t xml:space="preserve">0.0015 </w:t>
                  </w:r>
                </w:p>
              </w:tc>
              <w:tc>
                <w:tcPr>
                  <w:tcW w:w="631" w:type="pct"/>
                  <w:vAlign w:val="center"/>
                </w:tcPr>
                <w:p w14:paraId="504AE211">
                  <w:pPr>
                    <w:jc w:val="center"/>
                    <w:rPr>
                      <w:color w:val="EE0000"/>
                      <w:sz w:val="18"/>
                      <w:szCs w:val="18"/>
                      <w:u w:val="single"/>
                    </w:rPr>
                  </w:pPr>
                  <w:r>
                    <w:rPr>
                      <w:color w:val="EE0000"/>
                      <w:sz w:val="18"/>
                      <w:szCs w:val="18"/>
                      <w:u w:val="single"/>
                    </w:rPr>
                    <w:t>0.0075</w:t>
                  </w:r>
                </w:p>
              </w:tc>
              <w:tc>
                <w:tcPr>
                  <w:tcW w:w="688" w:type="pct"/>
                  <w:vAlign w:val="center"/>
                </w:tcPr>
                <w:p w14:paraId="63CF8316">
                  <w:pPr>
                    <w:jc w:val="center"/>
                    <w:rPr>
                      <w:color w:val="EE0000"/>
                      <w:sz w:val="18"/>
                      <w:szCs w:val="18"/>
                      <w:u w:val="single"/>
                    </w:rPr>
                  </w:pPr>
                  <w:r>
                    <w:rPr>
                      <w:color w:val="EE0000"/>
                      <w:sz w:val="18"/>
                      <w:szCs w:val="18"/>
                      <w:u w:val="single"/>
                    </w:rPr>
                    <w:t>1小时</w:t>
                  </w:r>
                </w:p>
              </w:tc>
              <w:tc>
                <w:tcPr>
                  <w:tcW w:w="691" w:type="pct"/>
                  <w:vAlign w:val="center"/>
                </w:tcPr>
                <w:p w14:paraId="2AE4C5D3">
                  <w:pPr>
                    <w:jc w:val="center"/>
                    <w:rPr>
                      <w:color w:val="EE0000"/>
                      <w:sz w:val="18"/>
                      <w:szCs w:val="18"/>
                      <w:u w:val="single"/>
                    </w:rPr>
                  </w:pPr>
                  <w:r>
                    <w:rPr>
                      <w:color w:val="EE0000"/>
                      <w:sz w:val="18"/>
                      <w:szCs w:val="18"/>
                      <w:u w:val="single"/>
                    </w:rPr>
                    <w:t>1</w:t>
                  </w:r>
                </w:p>
              </w:tc>
              <w:tc>
                <w:tcPr>
                  <w:tcW w:w="513" w:type="pct"/>
                  <w:vMerge w:val="continue"/>
                  <w:vAlign w:val="center"/>
                </w:tcPr>
                <w:p w14:paraId="2585F989">
                  <w:pPr>
                    <w:jc w:val="center"/>
                    <w:rPr>
                      <w:color w:val="EE0000"/>
                      <w:sz w:val="18"/>
                      <w:szCs w:val="18"/>
                      <w:u w:val="single"/>
                    </w:rPr>
                  </w:pPr>
                </w:p>
              </w:tc>
            </w:tr>
            <w:tr w14:paraId="1957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0B7FEC19">
                  <w:pPr>
                    <w:jc w:val="center"/>
                    <w:rPr>
                      <w:color w:val="EE0000"/>
                      <w:sz w:val="18"/>
                      <w:szCs w:val="18"/>
                      <w:u w:val="single"/>
                    </w:rPr>
                  </w:pPr>
                </w:p>
              </w:tc>
              <w:tc>
                <w:tcPr>
                  <w:tcW w:w="732" w:type="pct"/>
                  <w:vAlign w:val="center"/>
                </w:tcPr>
                <w:p w14:paraId="45911FDF">
                  <w:pPr>
                    <w:jc w:val="center"/>
                    <w:rPr>
                      <w:color w:val="EE0000"/>
                      <w:sz w:val="18"/>
                      <w:szCs w:val="18"/>
                      <w:u w:val="single"/>
                    </w:rPr>
                  </w:pPr>
                  <w:r>
                    <w:rPr>
                      <w:color w:val="EE0000"/>
                      <w:sz w:val="18"/>
                      <w:szCs w:val="18"/>
                      <w:u w:val="single"/>
                    </w:rPr>
                    <w:t>铬</w:t>
                  </w:r>
                </w:p>
              </w:tc>
              <w:tc>
                <w:tcPr>
                  <w:tcW w:w="554" w:type="pct"/>
                  <w:vMerge w:val="continue"/>
                  <w:vAlign w:val="center"/>
                </w:tcPr>
                <w:p w14:paraId="6B808EF7">
                  <w:pPr>
                    <w:jc w:val="center"/>
                    <w:rPr>
                      <w:color w:val="EE0000"/>
                      <w:sz w:val="18"/>
                      <w:szCs w:val="18"/>
                      <w:u w:val="single"/>
                    </w:rPr>
                  </w:pPr>
                </w:p>
              </w:tc>
              <w:tc>
                <w:tcPr>
                  <w:tcW w:w="591" w:type="pct"/>
                  <w:vAlign w:val="center"/>
                </w:tcPr>
                <w:p w14:paraId="3DF99B95">
                  <w:pPr>
                    <w:jc w:val="center"/>
                    <w:rPr>
                      <w:color w:val="EE0000"/>
                      <w:sz w:val="18"/>
                      <w:szCs w:val="18"/>
                      <w:u w:val="single"/>
                    </w:rPr>
                  </w:pPr>
                  <w:r>
                    <w:rPr>
                      <w:color w:val="EE0000"/>
                      <w:sz w:val="18"/>
                      <w:szCs w:val="18"/>
                      <w:u w:val="single"/>
                    </w:rPr>
                    <w:t>0.0005</w:t>
                  </w:r>
                </w:p>
              </w:tc>
              <w:tc>
                <w:tcPr>
                  <w:tcW w:w="631" w:type="pct"/>
                  <w:vAlign w:val="center"/>
                </w:tcPr>
                <w:p w14:paraId="2BD274BA">
                  <w:pPr>
                    <w:jc w:val="center"/>
                    <w:rPr>
                      <w:color w:val="EE0000"/>
                      <w:sz w:val="18"/>
                      <w:szCs w:val="18"/>
                      <w:u w:val="single"/>
                    </w:rPr>
                  </w:pPr>
                  <w:r>
                    <w:rPr>
                      <w:color w:val="EE0000"/>
                      <w:sz w:val="18"/>
                      <w:szCs w:val="18"/>
                      <w:u w:val="single"/>
                    </w:rPr>
                    <w:t>0.0025</w:t>
                  </w:r>
                </w:p>
              </w:tc>
              <w:tc>
                <w:tcPr>
                  <w:tcW w:w="688" w:type="pct"/>
                  <w:vAlign w:val="center"/>
                </w:tcPr>
                <w:p w14:paraId="43D4D5FE">
                  <w:pPr>
                    <w:jc w:val="center"/>
                    <w:rPr>
                      <w:color w:val="EE0000"/>
                      <w:sz w:val="18"/>
                      <w:szCs w:val="18"/>
                      <w:u w:val="single"/>
                    </w:rPr>
                  </w:pPr>
                  <w:r>
                    <w:rPr>
                      <w:color w:val="EE0000"/>
                      <w:sz w:val="18"/>
                      <w:szCs w:val="18"/>
                      <w:u w:val="single"/>
                    </w:rPr>
                    <w:t>1小时</w:t>
                  </w:r>
                </w:p>
              </w:tc>
              <w:tc>
                <w:tcPr>
                  <w:tcW w:w="691" w:type="pct"/>
                  <w:vAlign w:val="center"/>
                </w:tcPr>
                <w:p w14:paraId="5722439E">
                  <w:pPr>
                    <w:jc w:val="center"/>
                    <w:rPr>
                      <w:color w:val="EE0000"/>
                      <w:sz w:val="18"/>
                      <w:szCs w:val="18"/>
                      <w:u w:val="single"/>
                    </w:rPr>
                  </w:pPr>
                  <w:r>
                    <w:rPr>
                      <w:color w:val="EE0000"/>
                      <w:sz w:val="18"/>
                      <w:szCs w:val="18"/>
                      <w:u w:val="single"/>
                    </w:rPr>
                    <w:t>1</w:t>
                  </w:r>
                </w:p>
              </w:tc>
              <w:tc>
                <w:tcPr>
                  <w:tcW w:w="513" w:type="pct"/>
                  <w:vMerge w:val="continue"/>
                  <w:vAlign w:val="center"/>
                </w:tcPr>
                <w:p w14:paraId="5888F623">
                  <w:pPr>
                    <w:jc w:val="center"/>
                    <w:rPr>
                      <w:color w:val="EE0000"/>
                      <w:sz w:val="18"/>
                      <w:szCs w:val="18"/>
                      <w:u w:val="single"/>
                    </w:rPr>
                  </w:pPr>
                </w:p>
              </w:tc>
            </w:tr>
            <w:tr w14:paraId="6E34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4F9F06E4">
                  <w:pPr>
                    <w:jc w:val="center"/>
                    <w:rPr>
                      <w:color w:val="EE0000"/>
                      <w:sz w:val="18"/>
                      <w:szCs w:val="18"/>
                      <w:u w:val="single"/>
                    </w:rPr>
                  </w:pPr>
                </w:p>
              </w:tc>
              <w:tc>
                <w:tcPr>
                  <w:tcW w:w="732" w:type="pct"/>
                  <w:vAlign w:val="center"/>
                </w:tcPr>
                <w:p w14:paraId="22D82B7A">
                  <w:pPr>
                    <w:jc w:val="center"/>
                    <w:rPr>
                      <w:color w:val="EE0000"/>
                      <w:sz w:val="18"/>
                      <w:szCs w:val="18"/>
                      <w:u w:val="single"/>
                    </w:rPr>
                  </w:pPr>
                  <w:r>
                    <w:rPr>
                      <w:bCs/>
                      <w:color w:val="EE0000"/>
                      <w:sz w:val="18"/>
                      <w:szCs w:val="18"/>
                      <w:u w:val="single"/>
                    </w:rPr>
                    <w:t>砷</w:t>
                  </w:r>
                </w:p>
              </w:tc>
              <w:tc>
                <w:tcPr>
                  <w:tcW w:w="554" w:type="pct"/>
                  <w:vMerge w:val="continue"/>
                  <w:vAlign w:val="center"/>
                </w:tcPr>
                <w:p w14:paraId="5A08A835">
                  <w:pPr>
                    <w:jc w:val="center"/>
                    <w:rPr>
                      <w:color w:val="EE0000"/>
                      <w:sz w:val="18"/>
                      <w:szCs w:val="18"/>
                      <w:u w:val="single"/>
                    </w:rPr>
                  </w:pPr>
                </w:p>
              </w:tc>
              <w:tc>
                <w:tcPr>
                  <w:tcW w:w="591" w:type="pct"/>
                  <w:vAlign w:val="center"/>
                </w:tcPr>
                <w:p w14:paraId="1929DEA2">
                  <w:pPr>
                    <w:jc w:val="center"/>
                    <w:rPr>
                      <w:color w:val="EE0000"/>
                      <w:sz w:val="18"/>
                      <w:szCs w:val="18"/>
                      <w:u w:val="single"/>
                    </w:rPr>
                  </w:pPr>
                  <w:r>
                    <w:rPr>
                      <w:color w:val="EE0000"/>
                      <w:sz w:val="18"/>
                      <w:szCs w:val="18"/>
                      <w:u w:val="single"/>
                    </w:rPr>
                    <w:t>0.0003</w:t>
                  </w:r>
                </w:p>
              </w:tc>
              <w:tc>
                <w:tcPr>
                  <w:tcW w:w="631" w:type="pct"/>
                  <w:vAlign w:val="center"/>
                </w:tcPr>
                <w:p w14:paraId="764EBD79">
                  <w:pPr>
                    <w:jc w:val="center"/>
                    <w:rPr>
                      <w:color w:val="EE0000"/>
                      <w:sz w:val="18"/>
                      <w:szCs w:val="18"/>
                      <w:u w:val="single"/>
                    </w:rPr>
                  </w:pPr>
                  <w:r>
                    <w:rPr>
                      <w:color w:val="EE0000"/>
                      <w:sz w:val="18"/>
                      <w:szCs w:val="18"/>
                      <w:u w:val="single"/>
                    </w:rPr>
                    <w:t>0.0015</w:t>
                  </w:r>
                </w:p>
              </w:tc>
              <w:tc>
                <w:tcPr>
                  <w:tcW w:w="688" w:type="pct"/>
                  <w:vAlign w:val="center"/>
                </w:tcPr>
                <w:p w14:paraId="45C7B5E1">
                  <w:pPr>
                    <w:jc w:val="center"/>
                    <w:rPr>
                      <w:color w:val="EE0000"/>
                      <w:sz w:val="18"/>
                      <w:szCs w:val="18"/>
                      <w:u w:val="single"/>
                    </w:rPr>
                  </w:pPr>
                  <w:r>
                    <w:rPr>
                      <w:color w:val="EE0000"/>
                      <w:sz w:val="18"/>
                      <w:szCs w:val="18"/>
                      <w:u w:val="single"/>
                    </w:rPr>
                    <w:t>1小时</w:t>
                  </w:r>
                </w:p>
              </w:tc>
              <w:tc>
                <w:tcPr>
                  <w:tcW w:w="691" w:type="pct"/>
                  <w:vAlign w:val="center"/>
                </w:tcPr>
                <w:p w14:paraId="19995A5F">
                  <w:pPr>
                    <w:jc w:val="center"/>
                    <w:rPr>
                      <w:color w:val="EE0000"/>
                      <w:sz w:val="18"/>
                      <w:szCs w:val="18"/>
                      <w:u w:val="single"/>
                    </w:rPr>
                  </w:pPr>
                  <w:r>
                    <w:rPr>
                      <w:color w:val="EE0000"/>
                      <w:sz w:val="18"/>
                      <w:szCs w:val="18"/>
                      <w:u w:val="single"/>
                    </w:rPr>
                    <w:t>1</w:t>
                  </w:r>
                </w:p>
              </w:tc>
              <w:tc>
                <w:tcPr>
                  <w:tcW w:w="513" w:type="pct"/>
                  <w:vMerge w:val="continue"/>
                  <w:vAlign w:val="center"/>
                </w:tcPr>
                <w:p w14:paraId="2B2CBBFD">
                  <w:pPr>
                    <w:jc w:val="center"/>
                    <w:rPr>
                      <w:color w:val="EE0000"/>
                      <w:sz w:val="18"/>
                      <w:szCs w:val="18"/>
                      <w:u w:val="single"/>
                    </w:rPr>
                  </w:pPr>
                </w:p>
              </w:tc>
            </w:tr>
            <w:tr w14:paraId="169E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75AC0D93">
                  <w:pPr>
                    <w:jc w:val="center"/>
                    <w:rPr>
                      <w:color w:val="EE0000"/>
                      <w:sz w:val="18"/>
                      <w:szCs w:val="18"/>
                      <w:u w:val="single"/>
                    </w:rPr>
                  </w:pPr>
                </w:p>
              </w:tc>
              <w:tc>
                <w:tcPr>
                  <w:tcW w:w="732" w:type="pct"/>
                  <w:vAlign w:val="center"/>
                </w:tcPr>
                <w:p w14:paraId="6491C3E6">
                  <w:pPr>
                    <w:jc w:val="center"/>
                    <w:rPr>
                      <w:color w:val="EE0000"/>
                      <w:sz w:val="18"/>
                      <w:szCs w:val="18"/>
                      <w:u w:val="single"/>
                    </w:rPr>
                  </w:pPr>
                  <w:r>
                    <w:rPr>
                      <w:bCs/>
                      <w:color w:val="EE0000"/>
                      <w:sz w:val="18"/>
                      <w:szCs w:val="18"/>
                      <w:u w:val="single"/>
                    </w:rPr>
                    <w:t>锌</w:t>
                  </w:r>
                </w:p>
              </w:tc>
              <w:tc>
                <w:tcPr>
                  <w:tcW w:w="554" w:type="pct"/>
                  <w:vMerge w:val="continue"/>
                  <w:vAlign w:val="center"/>
                </w:tcPr>
                <w:p w14:paraId="4715465D">
                  <w:pPr>
                    <w:jc w:val="center"/>
                    <w:rPr>
                      <w:color w:val="EE0000"/>
                      <w:sz w:val="18"/>
                      <w:szCs w:val="18"/>
                      <w:u w:val="single"/>
                    </w:rPr>
                  </w:pPr>
                </w:p>
              </w:tc>
              <w:tc>
                <w:tcPr>
                  <w:tcW w:w="591" w:type="pct"/>
                  <w:vAlign w:val="center"/>
                </w:tcPr>
                <w:p w14:paraId="163948A3">
                  <w:pPr>
                    <w:jc w:val="center"/>
                    <w:rPr>
                      <w:color w:val="EE0000"/>
                      <w:sz w:val="18"/>
                      <w:szCs w:val="18"/>
                      <w:u w:val="single"/>
                    </w:rPr>
                  </w:pPr>
                  <w:r>
                    <w:rPr>
                      <w:color w:val="EE0000"/>
                      <w:sz w:val="18"/>
                      <w:szCs w:val="18"/>
                      <w:u w:val="single"/>
                    </w:rPr>
                    <w:t xml:space="preserve">0.051 </w:t>
                  </w:r>
                </w:p>
              </w:tc>
              <w:tc>
                <w:tcPr>
                  <w:tcW w:w="631" w:type="pct"/>
                  <w:vAlign w:val="center"/>
                </w:tcPr>
                <w:p w14:paraId="2EA44971">
                  <w:pPr>
                    <w:jc w:val="center"/>
                    <w:rPr>
                      <w:color w:val="EE0000"/>
                      <w:sz w:val="18"/>
                      <w:szCs w:val="18"/>
                      <w:u w:val="single"/>
                    </w:rPr>
                  </w:pPr>
                  <w:r>
                    <w:rPr>
                      <w:color w:val="EE0000"/>
                      <w:sz w:val="18"/>
                      <w:szCs w:val="18"/>
                      <w:u w:val="single"/>
                    </w:rPr>
                    <w:t>0.255</w:t>
                  </w:r>
                </w:p>
              </w:tc>
              <w:tc>
                <w:tcPr>
                  <w:tcW w:w="688" w:type="pct"/>
                  <w:vAlign w:val="center"/>
                </w:tcPr>
                <w:p w14:paraId="6FA23EAD">
                  <w:pPr>
                    <w:jc w:val="center"/>
                    <w:rPr>
                      <w:color w:val="EE0000"/>
                      <w:sz w:val="18"/>
                      <w:szCs w:val="18"/>
                      <w:u w:val="single"/>
                    </w:rPr>
                  </w:pPr>
                  <w:r>
                    <w:rPr>
                      <w:color w:val="EE0000"/>
                      <w:sz w:val="18"/>
                      <w:szCs w:val="18"/>
                      <w:u w:val="single"/>
                    </w:rPr>
                    <w:t>1小时</w:t>
                  </w:r>
                </w:p>
              </w:tc>
              <w:tc>
                <w:tcPr>
                  <w:tcW w:w="691" w:type="pct"/>
                  <w:vAlign w:val="center"/>
                </w:tcPr>
                <w:p w14:paraId="3E4B6FC1">
                  <w:pPr>
                    <w:jc w:val="center"/>
                    <w:rPr>
                      <w:color w:val="EE0000"/>
                      <w:sz w:val="18"/>
                      <w:szCs w:val="18"/>
                      <w:u w:val="single"/>
                    </w:rPr>
                  </w:pPr>
                  <w:r>
                    <w:rPr>
                      <w:color w:val="EE0000"/>
                      <w:sz w:val="18"/>
                      <w:szCs w:val="18"/>
                      <w:u w:val="single"/>
                    </w:rPr>
                    <w:t>1</w:t>
                  </w:r>
                </w:p>
              </w:tc>
              <w:tc>
                <w:tcPr>
                  <w:tcW w:w="513" w:type="pct"/>
                  <w:vMerge w:val="continue"/>
                  <w:vAlign w:val="center"/>
                </w:tcPr>
                <w:p w14:paraId="6F0B1128">
                  <w:pPr>
                    <w:jc w:val="center"/>
                    <w:rPr>
                      <w:color w:val="EE0000"/>
                      <w:sz w:val="18"/>
                      <w:szCs w:val="18"/>
                      <w:u w:val="single"/>
                    </w:rPr>
                  </w:pPr>
                </w:p>
              </w:tc>
            </w:tr>
            <w:tr w14:paraId="4E2A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4C6843F9">
                  <w:pPr>
                    <w:jc w:val="center"/>
                    <w:rPr>
                      <w:color w:val="EE0000"/>
                      <w:sz w:val="18"/>
                      <w:szCs w:val="18"/>
                      <w:u w:val="single"/>
                    </w:rPr>
                  </w:pPr>
                </w:p>
              </w:tc>
              <w:tc>
                <w:tcPr>
                  <w:tcW w:w="732" w:type="pct"/>
                  <w:vAlign w:val="center"/>
                </w:tcPr>
                <w:p w14:paraId="57048305">
                  <w:pPr>
                    <w:jc w:val="center"/>
                    <w:rPr>
                      <w:color w:val="EE0000"/>
                      <w:sz w:val="18"/>
                      <w:szCs w:val="18"/>
                      <w:u w:val="single"/>
                    </w:rPr>
                  </w:pPr>
                  <w:r>
                    <w:rPr>
                      <w:bCs/>
                      <w:color w:val="EE0000"/>
                      <w:sz w:val="18"/>
                      <w:szCs w:val="18"/>
                      <w:u w:val="single"/>
                    </w:rPr>
                    <w:t>铜</w:t>
                  </w:r>
                </w:p>
              </w:tc>
              <w:tc>
                <w:tcPr>
                  <w:tcW w:w="554" w:type="pct"/>
                  <w:vMerge w:val="continue"/>
                  <w:vAlign w:val="center"/>
                </w:tcPr>
                <w:p w14:paraId="63232F4E">
                  <w:pPr>
                    <w:jc w:val="center"/>
                    <w:rPr>
                      <w:color w:val="EE0000"/>
                      <w:sz w:val="18"/>
                      <w:szCs w:val="18"/>
                      <w:u w:val="single"/>
                    </w:rPr>
                  </w:pPr>
                </w:p>
              </w:tc>
              <w:tc>
                <w:tcPr>
                  <w:tcW w:w="591" w:type="pct"/>
                  <w:vAlign w:val="center"/>
                </w:tcPr>
                <w:p w14:paraId="57DAB108">
                  <w:pPr>
                    <w:jc w:val="center"/>
                    <w:rPr>
                      <w:color w:val="EE0000"/>
                      <w:sz w:val="18"/>
                      <w:szCs w:val="18"/>
                      <w:u w:val="single"/>
                    </w:rPr>
                  </w:pPr>
                  <w:r>
                    <w:rPr>
                      <w:color w:val="EE0000"/>
                      <w:sz w:val="18"/>
                      <w:szCs w:val="18"/>
                      <w:u w:val="single"/>
                    </w:rPr>
                    <w:t xml:space="preserve">0.0059 </w:t>
                  </w:r>
                </w:p>
              </w:tc>
              <w:tc>
                <w:tcPr>
                  <w:tcW w:w="631" w:type="pct"/>
                  <w:vAlign w:val="center"/>
                </w:tcPr>
                <w:p w14:paraId="7BC656BF">
                  <w:pPr>
                    <w:jc w:val="center"/>
                    <w:rPr>
                      <w:color w:val="EE0000"/>
                      <w:sz w:val="18"/>
                      <w:szCs w:val="18"/>
                      <w:u w:val="single"/>
                    </w:rPr>
                  </w:pPr>
                  <w:r>
                    <w:rPr>
                      <w:color w:val="EE0000"/>
                      <w:sz w:val="18"/>
                      <w:szCs w:val="18"/>
                      <w:u w:val="single"/>
                    </w:rPr>
                    <w:t>0.0295</w:t>
                  </w:r>
                </w:p>
              </w:tc>
              <w:tc>
                <w:tcPr>
                  <w:tcW w:w="688" w:type="pct"/>
                  <w:vAlign w:val="center"/>
                </w:tcPr>
                <w:p w14:paraId="02FACB3C">
                  <w:pPr>
                    <w:jc w:val="center"/>
                    <w:rPr>
                      <w:color w:val="EE0000"/>
                      <w:sz w:val="18"/>
                      <w:szCs w:val="18"/>
                      <w:u w:val="single"/>
                    </w:rPr>
                  </w:pPr>
                  <w:r>
                    <w:rPr>
                      <w:color w:val="EE0000"/>
                      <w:sz w:val="18"/>
                      <w:szCs w:val="18"/>
                      <w:u w:val="single"/>
                    </w:rPr>
                    <w:t>1小时</w:t>
                  </w:r>
                </w:p>
              </w:tc>
              <w:tc>
                <w:tcPr>
                  <w:tcW w:w="691" w:type="pct"/>
                  <w:vAlign w:val="center"/>
                </w:tcPr>
                <w:p w14:paraId="6A537B5C">
                  <w:pPr>
                    <w:jc w:val="center"/>
                    <w:rPr>
                      <w:color w:val="EE0000"/>
                      <w:sz w:val="18"/>
                      <w:szCs w:val="18"/>
                      <w:u w:val="single"/>
                    </w:rPr>
                  </w:pPr>
                  <w:r>
                    <w:rPr>
                      <w:color w:val="EE0000"/>
                      <w:sz w:val="18"/>
                      <w:szCs w:val="18"/>
                      <w:u w:val="single"/>
                    </w:rPr>
                    <w:t>1</w:t>
                  </w:r>
                </w:p>
              </w:tc>
              <w:tc>
                <w:tcPr>
                  <w:tcW w:w="513" w:type="pct"/>
                  <w:vMerge w:val="continue"/>
                  <w:vAlign w:val="center"/>
                </w:tcPr>
                <w:p w14:paraId="1FB06BF7">
                  <w:pPr>
                    <w:jc w:val="center"/>
                    <w:rPr>
                      <w:color w:val="EE0000"/>
                      <w:sz w:val="18"/>
                      <w:szCs w:val="18"/>
                      <w:u w:val="single"/>
                    </w:rPr>
                  </w:pPr>
                </w:p>
              </w:tc>
            </w:tr>
            <w:tr w14:paraId="78F4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Merge w:val="continue"/>
                  <w:vAlign w:val="center"/>
                </w:tcPr>
                <w:p w14:paraId="56C7F346">
                  <w:pPr>
                    <w:jc w:val="center"/>
                    <w:rPr>
                      <w:color w:val="EE0000"/>
                      <w:sz w:val="18"/>
                      <w:szCs w:val="18"/>
                      <w:u w:val="single"/>
                    </w:rPr>
                  </w:pPr>
                </w:p>
              </w:tc>
              <w:tc>
                <w:tcPr>
                  <w:tcW w:w="732" w:type="pct"/>
                  <w:vAlign w:val="center"/>
                </w:tcPr>
                <w:p w14:paraId="4FCCA0E4">
                  <w:pPr>
                    <w:jc w:val="center"/>
                    <w:rPr>
                      <w:color w:val="EE0000"/>
                      <w:sz w:val="18"/>
                      <w:szCs w:val="18"/>
                      <w:u w:val="single"/>
                    </w:rPr>
                  </w:pPr>
                  <w:r>
                    <w:rPr>
                      <w:color w:val="EE0000"/>
                      <w:sz w:val="18"/>
                      <w:szCs w:val="18"/>
                      <w:u w:val="single"/>
                    </w:rPr>
                    <w:t>二噁英类</w:t>
                  </w:r>
                </w:p>
              </w:tc>
              <w:tc>
                <w:tcPr>
                  <w:tcW w:w="554" w:type="pct"/>
                  <w:vMerge w:val="continue"/>
                  <w:vAlign w:val="center"/>
                </w:tcPr>
                <w:p w14:paraId="78452A35">
                  <w:pPr>
                    <w:jc w:val="center"/>
                    <w:rPr>
                      <w:color w:val="EE0000"/>
                      <w:sz w:val="18"/>
                      <w:szCs w:val="18"/>
                      <w:u w:val="single"/>
                    </w:rPr>
                  </w:pPr>
                </w:p>
              </w:tc>
              <w:tc>
                <w:tcPr>
                  <w:tcW w:w="591" w:type="pct"/>
                  <w:vAlign w:val="center"/>
                </w:tcPr>
                <w:p w14:paraId="10713C3A">
                  <w:pPr>
                    <w:jc w:val="center"/>
                    <w:rPr>
                      <w:color w:val="EE0000"/>
                      <w:sz w:val="18"/>
                      <w:szCs w:val="18"/>
                      <w:u w:val="single"/>
                    </w:rPr>
                  </w:pPr>
                  <w:r>
                    <w:rPr>
                      <w:color w:val="EE0000"/>
                      <w:sz w:val="18"/>
                      <w:szCs w:val="18"/>
                      <w:u w:val="single"/>
                    </w:rPr>
                    <w:t>85.2ng/h</w:t>
                  </w:r>
                </w:p>
              </w:tc>
              <w:tc>
                <w:tcPr>
                  <w:tcW w:w="631" w:type="pct"/>
                  <w:vAlign w:val="center"/>
                </w:tcPr>
                <w:p w14:paraId="6320320B">
                  <w:pPr>
                    <w:jc w:val="center"/>
                    <w:rPr>
                      <w:color w:val="EE0000"/>
                      <w:sz w:val="18"/>
                      <w:szCs w:val="18"/>
                      <w:u w:val="single"/>
                    </w:rPr>
                  </w:pPr>
                  <w:r>
                    <w:rPr>
                      <w:color w:val="EE0000"/>
                      <w:sz w:val="18"/>
                      <w:szCs w:val="18"/>
                      <w:u w:val="single"/>
                    </w:rPr>
                    <w:t>0.0004</w:t>
                  </w:r>
                </w:p>
                <w:p w14:paraId="652CB9F1">
                  <w:pPr>
                    <w:jc w:val="center"/>
                    <w:rPr>
                      <w:color w:val="EE0000"/>
                      <w:sz w:val="18"/>
                      <w:szCs w:val="18"/>
                      <w:u w:val="single"/>
                    </w:rPr>
                  </w:pPr>
                  <w:r>
                    <w:rPr>
                      <w:color w:val="EE0000"/>
                      <w:sz w:val="18"/>
                      <w:szCs w:val="18"/>
                      <w:u w:val="single"/>
                    </w:rPr>
                    <w:t>ng/m</w:t>
                  </w:r>
                  <w:r>
                    <w:rPr>
                      <w:color w:val="EE0000"/>
                      <w:sz w:val="18"/>
                      <w:szCs w:val="18"/>
                      <w:u w:val="single"/>
                      <w:vertAlign w:val="superscript"/>
                    </w:rPr>
                    <w:t>3</w:t>
                  </w:r>
                </w:p>
              </w:tc>
              <w:tc>
                <w:tcPr>
                  <w:tcW w:w="688" w:type="pct"/>
                  <w:vAlign w:val="center"/>
                </w:tcPr>
                <w:p w14:paraId="7FE64C9B">
                  <w:pPr>
                    <w:jc w:val="center"/>
                    <w:rPr>
                      <w:color w:val="EE0000"/>
                      <w:sz w:val="18"/>
                      <w:szCs w:val="18"/>
                      <w:u w:val="single"/>
                    </w:rPr>
                  </w:pPr>
                  <w:r>
                    <w:rPr>
                      <w:color w:val="EE0000"/>
                      <w:sz w:val="18"/>
                      <w:szCs w:val="18"/>
                      <w:u w:val="single"/>
                    </w:rPr>
                    <w:t>1小时</w:t>
                  </w:r>
                </w:p>
              </w:tc>
              <w:tc>
                <w:tcPr>
                  <w:tcW w:w="691" w:type="pct"/>
                  <w:vAlign w:val="center"/>
                </w:tcPr>
                <w:p w14:paraId="4115D264">
                  <w:pPr>
                    <w:jc w:val="center"/>
                    <w:rPr>
                      <w:color w:val="EE0000"/>
                      <w:sz w:val="18"/>
                      <w:szCs w:val="18"/>
                      <w:u w:val="single"/>
                    </w:rPr>
                  </w:pPr>
                  <w:r>
                    <w:rPr>
                      <w:color w:val="EE0000"/>
                      <w:sz w:val="18"/>
                      <w:szCs w:val="18"/>
                      <w:u w:val="single"/>
                    </w:rPr>
                    <w:t>1</w:t>
                  </w:r>
                </w:p>
              </w:tc>
              <w:tc>
                <w:tcPr>
                  <w:tcW w:w="513" w:type="pct"/>
                  <w:vMerge w:val="continue"/>
                  <w:vAlign w:val="center"/>
                </w:tcPr>
                <w:p w14:paraId="7D35185F">
                  <w:pPr>
                    <w:jc w:val="center"/>
                    <w:rPr>
                      <w:color w:val="EE0000"/>
                      <w:sz w:val="18"/>
                      <w:szCs w:val="18"/>
                      <w:u w:val="single"/>
                    </w:rPr>
                  </w:pPr>
                </w:p>
              </w:tc>
            </w:tr>
            <w:tr w14:paraId="1B38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0" w:type="pct"/>
                  <w:vAlign w:val="center"/>
                </w:tcPr>
                <w:p w14:paraId="67C48928">
                  <w:pPr>
                    <w:jc w:val="center"/>
                    <w:rPr>
                      <w:color w:val="EE0000"/>
                      <w:sz w:val="18"/>
                      <w:szCs w:val="18"/>
                      <w:u w:val="single"/>
                    </w:rPr>
                  </w:pPr>
                  <w:r>
                    <w:rPr>
                      <w:color w:val="EE0000"/>
                      <w:sz w:val="18"/>
                      <w:szCs w:val="18"/>
                      <w:u w:val="single"/>
                    </w:rPr>
                    <w:t>窑车清理DA004</w:t>
                  </w:r>
                </w:p>
              </w:tc>
              <w:tc>
                <w:tcPr>
                  <w:tcW w:w="732" w:type="pct"/>
                  <w:vAlign w:val="center"/>
                </w:tcPr>
                <w:p w14:paraId="79CE9F2A">
                  <w:pPr>
                    <w:jc w:val="center"/>
                    <w:rPr>
                      <w:color w:val="EE0000"/>
                      <w:sz w:val="18"/>
                      <w:szCs w:val="18"/>
                      <w:u w:val="single"/>
                    </w:rPr>
                  </w:pPr>
                  <w:r>
                    <w:rPr>
                      <w:color w:val="EE0000"/>
                      <w:sz w:val="18"/>
                      <w:szCs w:val="18"/>
                      <w:u w:val="single"/>
                    </w:rPr>
                    <w:t>窑车清理颗粒物</w:t>
                  </w:r>
                </w:p>
              </w:tc>
              <w:tc>
                <w:tcPr>
                  <w:tcW w:w="554" w:type="pct"/>
                  <w:vMerge w:val="continue"/>
                  <w:vAlign w:val="center"/>
                </w:tcPr>
                <w:p w14:paraId="06BD1415">
                  <w:pPr>
                    <w:jc w:val="center"/>
                    <w:rPr>
                      <w:color w:val="EE0000"/>
                      <w:sz w:val="18"/>
                      <w:szCs w:val="18"/>
                      <w:u w:val="single"/>
                    </w:rPr>
                  </w:pPr>
                </w:p>
              </w:tc>
              <w:tc>
                <w:tcPr>
                  <w:tcW w:w="591" w:type="pct"/>
                  <w:vAlign w:val="center"/>
                </w:tcPr>
                <w:p w14:paraId="1EB82CFE">
                  <w:pPr>
                    <w:jc w:val="center"/>
                    <w:rPr>
                      <w:color w:val="EE0000"/>
                      <w:sz w:val="18"/>
                      <w:szCs w:val="18"/>
                      <w:u w:val="single"/>
                    </w:rPr>
                  </w:pPr>
                  <w:r>
                    <w:rPr>
                      <w:color w:val="EE0000"/>
                      <w:sz w:val="18"/>
                      <w:szCs w:val="18"/>
                      <w:u w:val="single"/>
                    </w:rPr>
                    <w:t>0.70</w:t>
                  </w:r>
                </w:p>
              </w:tc>
              <w:tc>
                <w:tcPr>
                  <w:tcW w:w="631" w:type="pct"/>
                  <w:vAlign w:val="center"/>
                </w:tcPr>
                <w:p w14:paraId="1AA2CB11">
                  <w:pPr>
                    <w:jc w:val="center"/>
                    <w:rPr>
                      <w:color w:val="EE0000"/>
                      <w:sz w:val="18"/>
                      <w:szCs w:val="18"/>
                      <w:u w:val="single"/>
                    </w:rPr>
                  </w:pPr>
                  <w:r>
                    <w:rPr>
                      <w:color w:val="EE0000"/>
                      <w:sz w:val="18"/>
                      <w:szCs w:val="18"/>
                      <w:u w:val="single"/>
                    </w:rPr>
                    <w:t>140</w:t>
                  </w:r>
                </w:p>
              </w:tc>
              <w:tc>
                <w:tcPr>
                  <w:tcW w:w="688" w:type="pct"/>
                  <w:vAlign w:val="center"/>
                </w:tcPr>
                <w:p w14:paraId="725506E4">
                  <w:pPr>
                    <w:jc w:val="center"/>
                    <w:rPr>
                      <w:color w:val="EE0000"/>
                      <w:sz w:val="18"/>
                      <w:szCs w:val="18"/>
                      <w:u w:val="single"/>
                    </w:rPr>
                  </w:pPr>
                  <w:r>
                    <w:rPr>
                      <w:color w:val="EE0000"/>
                      <w:sz w:val="18"/>
                      <w:szCs w:val="18"/>
                      <w:u w:val="single"/>
                    </w:rPr>
                    <w:t>1小时</w:t>
                  </w:r>
                </w:p>
              </w:tc>
              <w:tc>
                <w:tcPr>
                  <w:tcW w:w="691" w:type="pct"/>
                  <w:vAlign w:val="center"/>
                </w:tcPr>
                <w:p w14:paraId="42F6501D">
                  <w:pPr>
                    <w:jc w:val="center"/>
                    <w:rPr>
                      <w:color w:val="EE0000"/>
                      <w:sz w:val="18"/>
                      <w:szCs w:val="18"/>
                      <w:u w:val="single"/>
                    </w:rPr>
                  </w:pPr>
                  <w:r>
                    <w:rPr>
                      <w:color w:val="EE0000"/>
                      <w:sz w:val="18"/>
                      <w:szCs w:val="18"/>
                      <w:u w:val="single"/>
                    </w:rPr>
                    <w:t>1</w:t>
                  </w:r>
                </w:p>
              </w:tc>
              <w:tc>
                <w:tcPr>
                  <w:tcW w:w="513" w:type="pct"/>
                  <w:vMerge w:val="continue"/>
                  <w:vAlign w:val="center"/>
                </w:tcPr>
                <w:p w14:paraId="7E6C48F7">
                  <w:pPr>
                    <w:jc w:val="center"/>
                    <w:rPr>
                      <w:color w:val="EE0000"/>
                      <w:sz w:val="18"/>
                      <w:szCs w:val="18"/>
                      <w:u w:val="single"/>
                    </w:rPr>
                  </w:pPr>
                </w:p>
              </w:tc>
            </w:tr>
            <w:tr w14:paraId="2D6C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00" w:type="pct"/>
                  <w:vMerge w:val="restart"/>
                  <w:vAlign w:val="center"/>
                </w:tcPr>
                <w:p w14:paraId="53A9F0C7">
                  <w:pPr>
                    <w:jc w:val="center"/>
                    <w:rPr>
                      <w:color w:val="EE0000"/>
                      <w:sz w:val="18"/>
                      <w:szCs w:val="18"/>
                      <w:u w:val="single"/>
                    </w:rPr>
                  </w:pPr>
                  <w:r>
                    <w:rPr>
                      <w:color w:val="EE0000"/>
                      <w:sz w:val="18"/>
                      <w:szCs w:val="18"/>
                      <w:u w:val="single"/>
                    </w:rPr>
                    <w:t>污泥储存DA005</w:t>
                  </w:r>
                </w:p>
              </w:tc>
              <w:tc>
                <w:tcPr>
                  <w:tcW w:w="732" w:type="pct"/>
                  <w:vAlign w:val="center"/>
                </w:tcPr>
                <w:p w14:paraId="3986D910">
                  <w:pPr>
                    <w:jc w:val="center"/>
                    <w:rPr>
                      <w:color w:val="EE0000"/>
                      <w:sz w:val="18"/>
                      <w:szCs w:val="18"/>
                      <w:u w:val="single"/>
                    </w:rPr>
                  </w:pPr>
                  <w:r>
                    <w:rPr>
                      <w:color w:val="EE0000"/>
                      <w:sz w:val="18"/>
                      <w:szCs w:val="18"/>
                      <w:u w:val="single"/>
                    </w:rPr>
                    <w:t>氨气</w:t>
                  </w:r>
                </w:p>
              </w:tc>
              <w:tc>
                <w:tcPr>
                  <w:tcW w:w="554" w:type="pct"/>
                  <w:vMerge w:val="continue"/>
                  <w:vAlign w:val="center"/>
                </w:tcPr>
                <w:p w14:paraId="0541FB54">
                  <w:pPr>
                    <w:jc w:val="center"/>
                    <w:rPr>
                      <w:color w:val="EE0000"/>
                      <w:sz w:val="18"/>
                      <w:szCs w:val="18"/>
                      <w:u w:val="single"/>
                    </w:rPr>
                  </w:pPr>
                </w:p>
              </w:tc>
              <w:tc>
                <w:tcPr>
                  <w:tcW w:w="591" w:type="pct"/>
                  <w:vAlign w:val="center"/>
                </w:tcPr>
                <w:p w14:paraId="4F53880D">
                  <w:pPr>
                    <w:jc w:val="center"/>
                    <w:rPr>
                      <w:color w:val="EE0000"/>
                      <w:sz w:val="18"/>
                      <w:szCs w:val="18"/>
                      <w:u w:val="single"/>
                    </w:rPr>
                  </w:pPr>
                  <w:r>
                    <w:rPr>
                      <w:color w:val="EE0000"/>
                      <w:sz w:val="18"/>
                      <w:szCs w:val="18"/>
                      <w:u w:val="single"/>
                    </w:rPr>
                    <w:t>0.03</w:t>
                  </w:r>
                </w:p>
              </w:tc>
              <w:tc>
                <w:tcPr>
                  <w:tcW w:w="631" w:type="pct"/>
                  <w:vAlign w:val="center"/>
                </w:tcPr>
                <w:p w14:paraId="52973FF3">
                  <w:pPr>
                    <w:jc w:val="center"/>
                    <w:rPr>
                      <w:color w:val="EE0000"/>
                      <w:sz w:val="18"/>
                      <w:szCs w:val="18"/>
                      <w:u w:val="single"/>
                    </w:rPr>
                  </w:pPr>
                  <w:r>
                    <w:rPr>
                      <w:color w:val="EE0000"/>
                      <w:sz w:val="18"/>
                      <w:szCs w:val="18"/>
                      <w:u w:val="single"/>
                    </w:rPr>
                    <w:t>2.5</w:t>
                  </w:r>
                </w:p>
              </w:tc>
              <w:tc>
                <w:tcPr>
                  <w:tcW w:w="688" w:type="pct"/>
                  <w:vAlign w:val="center"/>
                </w:tcPr>
                <w:p w14:paraId="0F7D3655">
                  <w:pPr>
                    <w:jc w:val="center"/>
                    <w:rPr>
                      <w:color w:val="EE0000"/>
                      <w:sz w:val="18"/>
                      <w:szCs w:val="18"/>
                      <w:u w:val="single"/>
                    </w:rPr>
                  </w:pPr>
                  <w:r>
                    <w:rPr>
                      <w:color w:val="EE0000"/>
                      <w:sz w:val="18"/>
                      <w:szCs w:val="18"/>
                      <w:u w:val="single"/>
                    </w:rPr>
                    <w:t>1小时</w:t>
                  </w:r>
                </w:p>
              </w:tc>
              <w:tc>
                <w:tcPr>
                  <w:tcW w:w="691" w:type="pct"/>
                  <w:vAlign w:val="center"/>
                </w:tcPr>
                <w:p w14:paraId="519A0151">
                  <w:pPr>
                    <w:jc w:val="center"/>
                    <w:rPr>
                      <w:color w:val="EE0000"/>
                      <w:sz w:val="18"/>
                      <w:szCs w:val="18"/>
                      <w:u w:val="single"/>
                    </w:rPr>
                  </w:pPr>
                  <w:r>
                    <w:rPr>
                      <w:color w:val="EE0000"/>
                      <w:sz w:val="18"/>
                      <w:szCs w:val="18"/>
                      <w:u w:val="single"/>
                    </w:rPr>
                    <w:t>1</w:t>
                  </w:r>
                </w:p>
              </w:tc>
              <w:tc>
                <w:tcPr>
                  <w:tcW w:w="513" w:type="pct"/>
                  <w:vMerge w:val="continue"/>
                  <w:vAlign w:val="center"/>
                </w:tcPr>
                <w:p w14:paraId="1C31613C">
                  <w:pPr>
                    <w:jc w:val="center"/>
                    <w:rPr>
                      <w:color w:val="EE0000"/>
                      <w:sz w:val="18"/>
                      <w:szCs w:val="18"/>
                      <w:u w:val="single"/>
                    </w:rPr>
                  </w:pPr>
                </w:p>
              </w:tc>
            </w:tr>
            <w:tr w14:paraId="3797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00" w:type="pct"/>
                  <w:vMerge w:val="continue"/>
                  <w:vAlign w:val="center"/>
                </w:tcPr>
                <w:p w14:paraId="24891819">
                  <w:pPr>
                    <w:jc w:val="center"/>
                    <w:rPr>
                      <w:color w:val="EE0000"/>
                      <w:sz w:val="18"/>
                      <w:szCs w:val="18"/>
                      <w:u w:val="single"/>
                    </w:rPr>
                  </w:pPr>
                </w:p>
              </w:tc>
              <w:tc>
                <w:tcPr>
                  <w:tcW w:w="732" w:type="pct"/>
                  <w:vAlign w:val="center"/>
                </w:tcPr>
                <w:p w14:paraId="3A6E41C9">
                  <w:pPr>
                    <w:jc w:val="center"/>
                    <w:rPr>
                      <w:color w:val="EE0000"/>
                      <w:sz w:val="18"/>
                      <w:szCs w:val="18"/>
                      <w:u w:val="single"/>
                    </w:rPr>
                  </w:pPr>
                  <w:r>
                    <w:rPr>
                      <w:color w:val="EE0000"/>
                      <w:sz w:val="18"/>
                      <w:szCs w:val="18"/>
                      <w:u w:val="single"/>
                    </w:rPr>
                    <w:t>硫化氢</w:t>
                  </w:r>
                </w:p>
              </w:tc>
              <w:tc>
                <w:tcPr>
                  <w:tcW w:w="554" w:type="pct"/>
                  <w:vMerge w:val="continue"/>
                  <w:vAlign w:val="center"/>
                </w:tcPr>
                <w:p w14:paraId="32DE9988">
                  <w:pPr>
                    <w:jc w:val="center"/>
                    <w:rPr>
                      <w:color w:val="EE0000"/>
                      <w:sz w:val="18"/>
                      <w:szCs w:val="18"/>
                      <w:u w:val="single"/>
                    </w:rPr>
                  </w:pPr>
                </w:p>
              </w:tc>
              <w:tc>
                <w:tcPr>
                  <w:tcW w:w="591" w:type="pct"/>
                  <w:vAlign w:val="center"/>
                </w:tcPr>
                <w:p w14:paraId="20B4C442">
                  <w:pPr>
                    <w:jc w:val="center"/>
                    <w:rPr>
                      <w:color w:val="EE0000"/>
                      <w:sz w:val="18"/>
                      <w:szCs w:val="18"/>
                      <w:u w:val="single"/>
                    </w:rPr>
                  </w:pPr>
                  <w:r>
                    <w:rPr>
                      <w:color w:val="EE0000"/>
                      <w:sz w:val="18"/>
                      <w:szCs w:val="18"/>
                      <w:u w:val="single"/>
                    </w:rPr>
                    <w:t>0.002</w:t>
                  </w:r>
                </w:p>
              </w:tc>
              <w:tc>
                <w:tcPr>
                  <w:tcW w:w="631" w:type="pct"/>
                  <w:vAlign w:val="center"/>
                </w:tcPr>
                <w:p w14:paraId="51D9E740">
                  <w:pPr>
                    <w:jc w:val="center"/>
                    <w:rPr>
                      <w:color w:val="EE0000"/>
                      <w:sz w:val="18"/>
                      <w:szCs w:val="18"/>
                      <w:u w:val="single"/>
                    </w:rPr>
                  </w:pPr>
                  <w:r>
                    <w:rPr>
                      <w:color w:val="EE0000"/>
                      <w:sz w:val="18"/>
                      <w:szCs w:val="18"/>
                      <w:u w:val="single"/>
                    </w:rPr>
                    <w:t>0.17</w:t>
                  </w:r>
                </w:p>
              </w:tc>
              <w:tc>
                <w:tcPr>
                  <w:tcW w:w="688" w:type="pct"/>
                  <w:vAlign w:val="center"/>
                </w:tcPr>
                <w:p w14:paraId="2F8962D5">
                  <w:pPr>
                    <w:jc w:val="center"/>
                    <w:rPr>
                      <w:color w:val="EE0000"/>
                      <w:sz w:val="18"/>
                      <w:szCs w:val="18"/>
                      <w:u w:val="single"/>
                    </w:rPr>
                  </w:pPr>
                  <w:r>
                    <w:rPr>
                      <w:color w:val="EE0000"/>
                      <w:sz w:val="18"/>
                      <w:szCs w:val="18"/>
                      <w:u w:val="single"/>
                    </w:rPr>
                    <w:t>1小时</w:t>
                  </w:r>
                </w:p>
              </w:tc>
              <w:tc>
                <w:tcPr>
                  <w:tcW w:w="691" w:type="pct"/>
                  <w:vAlign w:val="center"/>
                </w:tcPr>
                <w:p w14:paraId="44A16463">
                  <w:pPr>
                    <w:jc w:val="center"/>
                    <w:rPr>
                      <w:color w:val="EE0000"/>
                      <w:sz w:val="18"/>
                      <w:szCs w:val="18"/>
                      <w:u w:val="single"/>
                    </w:rPr>
                  </w:pPr>
                  <w:r>
                    <w:rPr>
                      <w:color w:val="EE0000"/>
                      <w:sz w:val="18"/>
                      <w:szCs w:val="18"/>
                      <w:u w:val="single"/>
                    </w:rPr>
                    <w:t>1</w:t>
                  </w:r>
                </w:p>
              </w:tc>
              <w:tc>
                <w:tcPr>
                  <w:tcW w:w="513" w:type="pct"/>
                  <w:vMerge w:val="continue"/>
                  <w:vAlign w:val="center"/>
                </w:tcPr>
                <w:p w14:paraId="7E951017">
                  <w:pPr>
                    <w:jc w:val="center"/>
                    <w:rPr>
                      <w:color w:val="EE0000"/>
                      <w:sz w:val="18"/>
                      <w:szCs w:val="18"/>
                      <w:u w:val="single"/>
                    </w:rPr>
                  </w:pPr>
                </w:p>
              </w:tc>
            </w:tr>
            <w:tr w14:paraId="0C4D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00" w:type="pct"/>
                  <w:vAlign w:val="center"/>
                </w:tcPr>
                <w:p w14:paraId="3E7175D6">
                  <w:pPr>
                    <w:jc w:val="center"/>
                    <w:rPr>
                      <w:color w:val="EE0000"/>
                      <w:sz w:val="18"/>
                      <w:szCs w:val="18"/>
                      <w:u w:val="single"/>
                    </w:rPr>
                  </w:pPr>
                  <w:r>
                    <w:rPr>
                      <w:color w:val="EE0000"/>
                      <w:sz w:val="18"/>
                      <w:szCs w:val="18"/>
                      <w:u w:val="single"/>
                    </w:rPr>
                    <w:t>石灰粉仓DA006</w:t>
                  </w:r>
                </w:p>
              </w:tc>
              <w:tc>
                <w:tcPr>
                  <w:tcW w:w="732" w:type="pct"/>
                  <w:vAlign w:val="center"/>
                </w:tcPr>
                <w:p w14:paraId="21C25F9F">
                  <w:pPr>
                    <w:jc w:val="center"/>
                    <w:rPr>
                      <w:color w:val="EE0000"/>
                      <w:sz w:val="18"/>
                      <w:szCs w:val="18"/>
                      <w:u w:val="single"/>
                    </w:rPr>
                  </w:pPr>
                  <w:r>
                    <w:rPr>
                      <w:color w:val="EE0000"/>
                      <w:sz w:val="18"/>
                      <w:szCs w:val="18"/>
                      <w:u w:val="single"/>
                    </w:rPr>
                    <w:t>石灰粉出入仓粉尘</w:t>
                  </w:r>
                </w:p>
              </w:tc>
              <w:tc>
                <w:tcPr>
                  <w:tcW w:w="554" w:type="pct"/>
                  <w:vMerge w:val="continue"/>
                  <w:vAlign w:val="center"/>
                </w:tcPr>
                <w:p w14:paraId="38DB182D">
                  <w:pPr>
                    <w:jc w:val="center"/>
                    <w:rPr>
                      <w:color w:val="EE0000"/>
                      <w:sz w:val="18"/>
                      <w:szCs w:val="18"/>
                      <w:u w:val="single"/>
                    </w:rPr>
                  </w:pPr>
                </w:p>
              </w:tc>
              <w:tc>
                <w:tcPr>
                  <w:tcW w:w="591" w:type="pct"/>
                  <w:vAlign w:val="center"/>
                </w:tcPr>
                <w:p w14:paraId="483B3FC7">
                  <w:pPr>
                    <w:jc w:val="center"/>
                    <w:rPr>
                      <w:color w:val="EE0000"/>
                      <w:sz w:val="18"/>
                      <w:szCs w:val="18"/>
                      <w:u w:val="single"/>
                    </w:rPr>
                  </w:pPr>
                  <w:r>
                    <w:rPr>
                      <w:color w:val="EE0000"/>
                      <w:sz w:val="18"/>
                      <w:szCs w:val="18"/>
                      <w:u w:val="single"/>
                    </w:rPr>
                    <w:t>0.5</w:t>
                  </w:r>
                </w:p>
              </w:tc>
              <w:tc>
                <w:tcPr>
                  <w:tcW w:w="631" w:type="pct"/>
                  <w:vAlign w:val="center"/>
                </w:tcPr>
                <w:p w14:paraId="240A8F6F">
                  <w:pPr>
                    <w:jc w:val="center"/>
                    <w:rPr>
                      <w:color w:val="EE0000"/>
                      <w:sz w:val="18"/>
                      <w:szCs w:val="18"/>
                      <w:u w:val="single"/>
                    </w:rPr>
                  </w:pPr>
                  <w:r>
                    <w:rPr>
                      <w:color w:val="EE0000"/>
                      <w:sz w:val="18"/>
                      <w:szCs w:val="18"/>
                      <w:u w:val="single"/>
                    </w:rPr>
                    <w:t>333.3</w:t>
                  </w:r>
                </w:p>
              </w:tc>
              <w:tc>
                <w:tcPr>
                  <w:tcW w:w="688" w:type="pct"/>
                  <w:vAlign w:val="center"/>
                </w:tcPr>
                <w:p w14:paraId="442D5C82">
                  <w:pPr>
                    <w:jc w:val="center"/>
                    <w:rPr>
                      <w:color w:val="EE0000"/>
                      <w:sz w:val="18"/>
                      <w:szCs w:val="18"/>
                      <w:u w:val="single"/>
                    </w:rPr>
                  </w:pPr>
                  <w:r>
                    <w:rPr>
                      <w:color w:val="EE0000"/>
                      <w:sz w:val="18"/>
                      <w:szCs w:val="18"/>
                      <w:u w:val="single"/>
                    </w:rPr>
                    <w:t>1小时</w:t>
                  </w:r>
                </w:p>
              </w:tc>
              <w:tc>
                <w:tcPr>
                  <w:tcW w:w="691" w:type="pct"/>
                  <w:vAlign w:val="center"/>
                </w:tcPr>
                <w:p w14:paraId="1B42B022">
                  <w:pPr>
                    <w:jc w:val="center"/>
                    <w:rPr>
                      <w:color w:val="EE0000"/>
                      <w:sz w:val="18"/>
                      <w:szCs w:val="18"/>
                      <w:u w:val="single"/>
                    </w:rPr>
                  </w:pPr>
                  <w:r>
                    <w:rPr>
                      <w:color w:val="EE0000"/>
                      <w:sz w:val="18"/>
                      <w:szCs w:val="18"/>
                      <w:u w:val="single"/>
                    </w:rPr>
                    <w:t>1</w:t>
                  </w:r>
                </w:p>
              </w:tc>
              <w:tc>
                <w:tcPr>
                  <w:tcW w:w="513" w:type="pct"/>
                  <w:vMerge w:val="continue"/>
                  <w:vAlign w:val="center"/>
                </w:tcPr>
                <w:p w14:paraId="686BD813">
                  <w:pPr>
                    <w:jc w:val="center"/>
                    <w:rPr>
                      <w:color w:val="EE0000"/>
                      <w:sz w:val="18"/>
                      <w:szCs w:val="18"/>
                      <w:u w:val="single"/>
                    </w:rPr>
                  </w:pPr>
                </w:p>
              </w:tc>
            </w:tr>
          </w:tbl>
          <w:p w14:paraId="2D748B21">
            <w:pPr>
              <w:spacing w:line="520" w:lineRule="exact"/>
              <w:ind w:firstLine="480" w:firstLineChars="200"/>
              <w:jc w:val="left"/>
              <w:rPr>
                <w:bCs/>
                <w:sz w:val="24"/>
              </w:rPr>
            </w:pPr>
            <w:r>
              <w:rPr>
                <w:bCs/>
                <w:sz w:val="24"/>
              </w:rPr>
              <w:t>由上表可知，在非正常工况下，本项目环保设施不能正常运行，达不到设计去除效率，颗粒物、SO</w:t>
            </w:r>
            <w:r>
              <w:rPr>
                <w:bCs/>
                <w:sz w:val="24"/>
                <w:vertAlign w:val="subscript"/>
              </w:rPr>
              <w:t>2</w:t>
            </w:r>
            <w:r>
              <w:rPr>
                <w:bCs/>
                <w:sz w:val="24"/>
              </w:rPr>
              <w:t>、氮氧化物排放浓度、排放量较大，不能满足《砖瓦工业大气污染物排放标准》（DB41/2234-2022）中标准限值要求，不能实现达标排放，对周围环境空气影响较大。</w:t>
            </w:r>
          </w:p>
          <w:p w14:paraId="1B9CE095">
            <w:pPr>
              <w:spacing w:line="520" w:lineRule="exact"/>
              <w:ind w:firstLine="480" w:firstLineChars="200"/>
              <w:jc w:val="left"/>
              <w:rPr>
                <w:bCs/>
                <w:sz w:val="24"/>
              </w:rPr>
            </w:pPr>
            <w:r>
              <w:rPr>
                <w:bCs/>
                <w:sz w:val="24"/>
              </w:rPr>
              <w:t>因此，建设单位在日常生产中应将环保设施等同于主生产设备来管理和维护，及时对袋式除尘器、脱硝脱硫除尘装置进行检查，及时对脱硝装置补充还原剂、对脱硫装置补充脱硫液，对湿电除尘装置清灰，并及时更换活性炭、对袋式除尘器进行清灰和滤袋更换，使各环保装置处于最佳运行状态，并严格控制废气污染物的排放量，做好相应的应急预案，避免废气非正常排放事故发生。一旦发生事故状态，应立即停产，立马检修，尽可能减少污染物的排放量，降低对周围环境空气的影响。</w:t>
            </w:r>
          </w:p>
          <w:bookmarkEnd w:id="40"/>
          <w:p w14:paraId="0A8E5026">
            <w:pPr>
              <w:spacing w:line="520" w:lineRule="exact"/>
              <w:jc w:val="left"/>
              <w:rPr>
                <w:rFonts w:hint="eastAsia" w:eastAsia="黑体"/>
                <w:bCs/>
                <w:color w:val="FF0000"/>
                <w:sz w:val="24"/>
                <w:u w:val="single"/>
              </w:rPr>
            </w:pPr>
            <w:r>
              <w:rPr>
                <w:rFonts w:eastAsia="黑体"/>
                <w:bCs/>
                <w:color w:val="FF0000"/>
                <w:sz w:val="24"/>
                <w:u w:val="single"/>
              </w:rPr>
              <w:t>1.</w:t>
            </w:r>
            <w:r>
              <w:rPr>
                <w:rFonts w:hint="eastAsia" w:eastAsia="黑体"/>
                <w:bCs/>
                <w:color w:val="FF0000"/>
                <w:sz w:val="24"/>
                <w:u w:val="single"/>
              </w:rPr>
              <w:t>9大气环境影响专项评价结论</w:t>
            </w:r>
          </w:p>
          <w:p w14:paraId="2E307083">
            <w:pPr>
              <w:spacing w:line="520" w:lineRule="exact"/>
              <w:ind w:firstLine="480" w:firstLineChars="200"/>
              <w:jc w:val="left"/>
              <w:rPr>
                <w:rFonts w:eastAsiaTheme="minorEastAsia"/>
                <w:bCs/>
                <w:color w:val="FF0000"/>
                <w:sz w:val="24"/>
                <w:u w:val="single"/>
              </w:rPr>
            </w:pPr>
            <w:r>
              <w:rPr>
                <w:rFonts w:eastAsiaTheme="minorEastAsia"/>
                <w:bCs/>
                <w:color w:val="FF0000"/>
                <w:sz w:val="24"/>
                <w:u w:val="single"/>
              </w:rPr>
              <w:t>本项目涉及二噁英、重金属排放，且厂界500米范围内有村庄，因此，需开展大气环境影响专项评价，详见《宝丰三兴新型建材有限公司整合升级技改项目大气环境影响专项评价报告》。</w:t>
            </w:r>
          </w:p>
          <w:p w14:paraId="37D30E58">
            <w:pPr>
              <w:spacing w:line="520" w:lineRule="exact"/>
              <w:ind w:firstLine="480" w:firstLineChars="200"/>
              <w:jc w:val="left"/>
              <w:rPr>
                <w:rFonts w:eastAsiaTheme="minorEastAsia"/>
                <w:bCs/>
                <w:color w:val="FF0000"/>
                <w:sz w:val="24"/>
                <w:u w:val="single"/>
              </w:rPr>
            </w:pPr>
            <w:r>
              <w:rPr>
                <w:rFonts w:eastAsiaTheme="minorEastAsia"/>
                <w:bCs/>
                <w:color w:val="FF0000"/>
                <w:sz w:val="24"/>
                <w:u w:val="single"/>
              </w:rPr>
              <w:t>根据专项评价结论：在按照本评价所提要求，落实相应的大气污染防治措施的情况下，项目营运期产生的废气对外环境的影响是可以接受的。从环境保护角度分析，本项目建设是可行的。通过AERSCREEN估算模式计算结果显示，项目最大占标率为有组织排放的氮氧化物，Pmax=9.81%，各大气污染物的最大落地浓度，均未出现超标现象。综上，本项目实施后，严格落实废气相应的处置措施，能实现达标排放，不会对区域环境空气质量造成较大影响，不会改变区域环境空气功能，大气环境影响在可接受范围内。</w:t>
            </w:r>
          </w:p>
          <w:p w14:paraId="5F88EA0D">
            <w:pPr>
              <w:spacing w:line="520" w:lineRule="exact"/>
              <w:jc w:val="left"/>
              <w:rPr>
                <w:rFonts w:eastAsia="黑体"/>
                <w:sz w:val="24"/>
              </w:rPr>
            </w:pPr>
            <w:r>
              <w:rPr>
                <w:rFonts w:eastAsia="黑体"/>
                <w:bCs/>
                <w:sz w:val="24"/>
              </w:rPr>
              <w:t>2、地表水环境影响和保护措施</w:t>
            </w:r>
          </w:p>
          <w:p w14:paraId="2287CB0B">
            <w:pPr>
              <w:spacing w:line="520" w:lineRule="exact"/>
              <w:jc w:val="left"/>
              <w:rPr>
                <w:rFonts w:eastAsia="黑体"/>
                <w:bCs/>
                <w:sz w:val="24"/>
              </w:rPr>
            </w:pPr>
            <w:r>
              <w:rPr>
                <w:rFonts w:eastAsia="黑体"/>
                <w:bCs/>
                <w:sz w:val="24"/>
              </w:rPr>
              <w:t>2.1废水污染物产排情况</w:t>
            </w:r>
          </w:p>
          <w:p w14:paraId="2E6D4072">
            <w:pPr>
              <w:adjustRightInd w:val="0"/>
              <w:snapToGrid w:val="0"/>
              <w:spacing w:line="520" w:lineRule="exact"/>
              <w:ind w:firstLine="480" w:firstLineChars="200"/>
              <w:rPr>
                <w:bCs/>
                <w:sz w:val="24"/>
              </w:rPr>
            </w:pPr>
            <w:r>
              <w:rPr>
                <w:bCs/>
                <w:sz w:val="24"/>
              </w:rPr>
              <w:t>根据水平衡图，项目用水主要为生活用水、制砖用水、车间抑尘用水、道路抑尘用水、车辆冲洗用水、湿电除尘用水、脱硫系统用水、脱硝系统用水。其中制砖用水、车间抑尘用水、道路抑尘用水、脱硝系统用水进入物料或蒸发，不产生废水，项目废水主要为生活污水、车辆冲洗废水、湿电除尘废水、脱硫系统废水。</w:t>
            </w:r>
          </w:p>
          <w:p w14:paraId="36B26651">
            <w:pPr>
              <w:adjustRightInd w:val="0"/>
              <w:snapToGrid w:val="0"/>
              <w:spacing w:line="520" w:lineRule="exact"/>
              <w:ind w:firstLine="480" w:firstLineChars="200"/>
              <w:rPr>
                <w:bCs/>
                <w:sz w:val="24"/>
              </w:rPr>
            </w:pPr>
            <w:r>
              <w:rPr>
                <w:bCs/>
                <w:sz w:val="24"/>
              </w:rPr>
              <w:t>（1）生活污水</w:t>
            </w:r>
          </w:p>
          <w:p w14:paraId="28905754">
            <w:pPr>
              <w:spacing w:line="500" w:lineRule="exact"/>
              <w:ind w:firstLine="480" w:firstLineChars="200"/>
              <w:rPr>
                <w:bCs/>
                <w:sz w:val="24"/>
                <w:lang w:bidi="ar"/>
              </w:rPr>
            </w:pPr>
            <w:r>
              <w:rPr>
                <w:bCs/>
                <w:sz w:val="24"/>
              </w:rPr>
              <w:t>项目运营期生活用水量约3.6m</w:t>
            </w:r>
            <w:r>
              <w:rPr>
                <w:bCs/>
                <w:sz w:val="24"/>
                <w:vertAlign w:val="superscript"/>
              </w:rPr>
              <w:t>3</w:t>
            </w:r>
            <w:r>
              <w:rPr>
                <w:bCs/>
                <w:sz w:val="24"/>
              </w:rPr>
              <w:t>/d，产生生活污水2.88m</w:t>
            </w:r>
            <w:r>
              <w:rPr>
                <w:bCs/>
                <w:sz w:val="24"/>
                <w:vertAlign w:val="superscript"/>
              </w:rPr>
              <w:t>3</w:t>
            </w:r>
            <w:r>
              <w:rPr>
                <w:bCs/>
                <w:sz w:val="24"/>
              </w:rPr>
              <w:t>/d，其中</w:t>
            </w:r>
            <w:r>
              <w:rPr>
                <w:bCs/>
                <w:sz w:val="24"/>
                <w:lang w:bidi="ar"/>
              </w:rPr>
              <w:t>食堂污水经现有一座10m</w:t>
            </w:r>
            <w:r>
              <w:rPr>
                <w:bCs/>
                <w:sz w:val="24"/>
                <w:vertAlign w:val="superscript"/>
                <w:lang w:bidi="ar"/>
              </w:rPr>
              <w:t>3</w:t>
            </w:r>
            <w:r>
              <w:rPr>
                <w:bCs/>
                <w:sz w:val="24"/>
                <w:lang w:bidi="ar"/>
              </w:rPr>
              <w:t>隔油池处理后与其他生活污水共同进入现有一座50m</w:t>
            </w:r>
            <w:r>
              <w:rPr>
                <w:bCs/>
                <w:sz w:val="24"/>
                <w:vertAlign w:val="superscript"/>
                <w:lang w:bidi="ar"/>
              </w:rPr>
              <w:t>3</w:t>
            </w:r>
            <w:r>
              <w:rPr>
                <w:bCs/>
                <w:sz w:val="24"/>
                <w:lang w:bidi="ar"/>
              </w:rPr>
              <w:t>的化粪池处理，定期清掏肥田不外排。</w:t>
            </w:r>
          </w:p>
          <w:p w14:paraId="5FF76748">
            <w:pPr>
              <w:adjustRightInd w:val="0"/>
              <w:snapToGrid w:val="0"/>
              <w:spacing w:line="520" w:lineRule="exact"/>
              <w:ind w:firstLine="480" w:firstLineChars="200"/>
              <w:rPr>
                <w:bCs/>
                <w:sz w:val="24"/>
              </w:rPr>
            </w:pPr>
            <w:r>
              <w:rPr>
                <w:bCs/>
                <w:sz w:val="24"/>
              </w:rPr>
              <w:t>（2）车辆冲洗废水</w:t>
            </w:r>
          </w:p>
          <w:p w14:paraId="31421E35">
            <w:pPr>
              <w:adjustRightInd w:val="0"/>
              <w:snapToGrid w:val="0"/>
              <w:spacing w:line="520" w:lineRule="exact"/>
              <w:ind w:firstLine="480" w:firstLineChars="200"/>
              <w:rPr>
                <w:bCs/>
                <w:color w:val="EE0000"/>
                <w:sz w:val="24"/>
              </w:rPr>
            </w:pPr>
            <w:r>
              <w:rPr>
                <w:sz w:val="24"/>
              </w:rPr>
              <w:t>项目车辆冲洗用水量约为5.2m</w:t>
            </w:r>
            <w:r>
              <w:rPr>
                <w:sz w:val="24"/>
                <w:vertAlign w:val="superscript"/>
              </w:rPr>
              <w:t>3</w:t>
            </w:r>
            <w:r>
              <w:rPr>
                <w:sz w:val="24"/>
              </w:rPr>
              <w:t>/d，产生冲洗废水4.16m</w:t>
            </w:r>
            <w:r>
              <w:rPr>
                <w:sz w:val="24"/>
                <w:vertAlign w:val="superscript"/>
              </w:rPr>
              <w:t>3</w:t>
            </w:r>
            <w:r>
              <w:rPr>
                <w:sz w:val="24"/>
              </w:rPr>
              <w:t>/d，冲洗废水经现有一座</w:t>
            </w:r>
            <w:r>
              <w:rPr>
                <w:bCs/>
                <w:sz w:val="24"/>
              </w:rPr>
              <w:t>20m</w:t>
            </w:r>
            <w:r>
              <w:rPr>
                <w:bCs/>
                <w:sz w:val="24"/>
                <w:vertAlign w:val="superscript"/>
              </w:rPr>
              <w:t>3</w:t>
            </w:r>
            <w:r>
              <w:rPr>
                <w:bCs/>
                <w:sz w:val="24"/>
              </w:rPr>
              <w:t>的沉淀池沉淀后循环使用</w:t>
            </w:r>
            <w:r>
              <w:rPr>
                <w:bCs/>
                <w:color w:val="EE0000"/>
                <w:sz w:val="24"/>
              </w:rPr>
              <w:t>。</w:t>
            </w:r>
          </w:p>
          <w:p w14:paraId="55DF57BE">
            <w:pPr>
              <w:adjustRightInd w:val="0"/>
              <w:snapToGrid w:val="0"/>
              <w:spacing w:line="520" w:lineRule="exact"/>
              <w:ind w:firstLine="480" w:firstLineChars="200"/>
              <w:rPr>
                <w:bCs/>
                <w:sz w:val="24"/>
              </w:rPr>
            </w:pPr>
            <w:r>
              <w:rPr>
                <w:bCs/>
                <w:sz w:val="24"/>
              </w:rPr>
              <w:t>（3）湿电除尘废水</w:t>
            </w:r>
          </w:p>
          <w:p w14:paraId="0243420C">
            <w:pPr>
              <w:adjustRightInd w:val="0"/>
              <w:snapToGrid w:val="0"/>
              <w:spacing w:line="520" w:lineRule="exact"/>
              <w:ind w:firstLine="480" w:firstLineChars="200"/>
              <w:rPr>
                <w:bCs/>
                <w:sz w:val="24"/>
              </w:rPr>
            </w:pPr>
            <w:r>
              <w:rPr>
                <w:bCs/>
                <w:sz w:val="24"/>
              </w:rPr>
              <w:t>本项目湿电除尘器在运行过程中，需要定时对除尘器极板进行清灰作业，清灰采用水冲洗，冲洗水流在极板上形成均匀水膜，将捕获的粉尘彻底冲刷下来并排走，从而有效避免极板结垢或粉尘二次飞扬。项目每天需要对两台湿电除尘器极板进行一次自动冲洗，每次冲洗用水量约为10t，冲洗废水产生量为10</w:t>
            </w:r>
            <w:r>
              <w:rPr>
                <w:sz w:val="24"/>
              </w:rPr>
              <w:t>m</w:t>
            </w:r>
            <w:r>
              <w:rPr>
                <w:sz w:val="24"/>
                <w:vertAlign w:val="superscript"/>
              </w:rPr>
              <w:t>3</w:t>
            </w:r>
            <w:r>
              <w:rPr>
                <w:bCs/>
                <w:sz w:val="24"/>
              </w:rPr>
              <w:t>/d，另外烟气中的液态水雾、含湿粉尘颗粒随粉尘一起被电场捕捉，最终随冲洗水排出，废水产生总量约15</w:t>
            </w:r>
            <w:r>
              <w:rPr>
                <w:sz w:val="24"/>
              </w:rPr>
              <w:t>m</w:t>
            </w:r>
            <w:r>
              <w:rPr>
                <w:sz w:val="24"/>
                <w:vertAlign w:val="superscript"/>
              </w:rPr>
              <w:t>3</w:t>
            </w:r>
            <w:r>
              <w:rPr>
                <w:bCs/>
                <w:sz w:val="24"/>
              </w:rPr>
              <w:t>/d，湿电除尘器下方设置有冲洗水池，冲洗含尘废水收集后作为制砖用水综合利用，不外排。</w:t>
            </w:r>
          </w:p>
          <w:p w14:paraId="1608ADC4">
            <w:pPr>
              <w:adjustRightInd w:val="0"/>
              <w:snapToGrid w:val="0"/>
              <w:spacing w:line="520" w:lineRule="exact"/>
              <w:ind w:firstLine="480" w:firstLineChars="200"/>
              <w:rPr>
                <w:bCs/>
                <w:sz w:val="24"/>
              </w:rPr>
            </w:pPr>
            <w:r>
              <w:rPr>
                <w:bCs/>
                <w:sz w:val="24"/>
              </w:rPr>
              <w:t>（4）脱硫系统废水</w:t>
            </w:r>
          </w:p>
          <w:p w14:paraId="26C92CB8">
            <w:pPr>
              <w:adjustRightInd w:val="0"/>
              <w:snapToGrid w:val="0"/>
              <w:spacing w:line="520" w:lineRule="exact"/>
              <w:ind w:firstLine="480" w:firstLineChars="200"/>
              <w:rPr>
                <w:bCs/>
                <w:sz w:val="24"/>
              </w:rPr>
            </w:pPr>
            <w:r>
              <w:rPr>
                <w:bCs/>
                <w:sz w:val="24"/>
              </w:rPr>
              <w:t>项目石灰—石膏湿法脱硫系统循环水量约1000m</w:t>
            </w:r>
            <w:r>
              <w:rPr>
                <w:bCs/>
                <w:sz w:val="24"/>
                <w:vertAlign w:val="superscript"/>
              </w:rPr>
              <w:t>3</w:t>
            </w:r>
            <w:r>
              <w:rPr>
                <w:bCs/>
                <w:sz w:val="24"/>
              </w:rPr>
              <w:t>/h，脱硫废水中含有高浓度悬浮物等，经有效处理后才能满足循环利用要求，考虑1.2的调节系数，项目建设一座处理能力为1200m</w:t>
            </w:r>
            <w:r>
              <w:rPr>
                <w:bCs/>
                <w:sz w:val="24"/>
                <w:vertAlign w:val="superscript"/>
              </w:rPr>
              <w:t>3</w:t>
            </w:r>
            <w:r>
              <w:rPr>
                <w:bCs/>
                <w:sz w:val="24"/>
              </w:rPr>
              <w:t>/h的脱硫废水处理系统，处理工艺为“旋流分离+混凝反应+中和反应+沉淀分离”，脱硫废水经处理后回用于脱硫塔，不外排。</w:t>
            </w:r>
          </w:p>
          <w:p w14:paraId="01E20AE3">
            <w:pPr>
              <w:spacing w:line="520" w:lineRule="exact"/>
              <w:jc w:val="left"/>
              <w:rPr>
                <w:rFonts w:eastAsia="黑体"/>
                <w:bCs/>
                <w:sz w:val="24"/>
              </w:rPr>
            </w:pPr>
            <w:r>
              <w:rPr>
                <w:rFonts w:eastAsia="黑体"/>
                <w:bCs/>
                <w:sz w:val="24"/>
              </w:rPr>
              <w:t>2.2废水污染防治措施可行性分析</w:t>
            </w:r>
          </w:p>
          <w:p w14:paraId="1C82BEF0">
            <w:pPr>
              <w:adjustRightInd w:val="0"/>
              <w:snapToGrid w:val="0"/>
              <w:spacing w:line="520" w:lineRule="exact"/>
              <w:ind w:firstLine="480" w:firstLineChars="200"/>
              <w:rPr>
                <w:bCs/>
                <w:sz w:val="24"/>
              </w:rPr>
            </w:pPr>
            <w:r>
              <w:rPr>
                <w:bCs/>
                <w:sz w:val="24"/>
              </w:rPr>
              <w:t>（1）生活污水污染防治措施可行性</w:t>
            </w:r>
          </w:p>
          <w:p w14:paraId="5EE3CF9C">
            <w:pPr>
              <w:spacing w:line="500" w:lineRule="exact"/>
              <w:ind w:firstLine="480" w:firstLineChars="200"/>
              <w:rPr>
                <w:bCs/>
                <w:sz w:val="24"/>
                <w:lang w:bidi="ar"/>
              </w:rPr>
            </w:pPr>
            <w:r>
              <w:rPr>
                <w:bCs/>
                <w:sz w:val="24"/>
              </w:rPr>
              <w:t>项目运营期全厂生活污水产生量2.88m</w:t>
            </w:r>
            <w:r>
              <w:rPr>
                <w:bCs/>
                <w:sz w:val="24"/>
                <w:vertAlign w:val="superscript"/>
              </w:rPr>
              <w:t>3</w:t>
            </w:r>
            <w:r>
              <w:rPr>
                <w:bCs/>
                <w:sz w:val="24"/>
              </w:rPr>
              <w:t>/d，其中</w:t>
            </w:r>
            <w:r>
              <w:rPr>
                <w:bCs/>
                <w:sz w:val="24"/>
                <w:lang w:bidi="ar"/>
              </w:rPr>
              <w:t>食堂污水经现有一座10m</w:t>
            </w:r>
            <w:r>
              <w:rPr>
                <w:bCs/>
                <w:sz w:val="24"/>
                <w:vertAlign w:val="superscript"/>
                <w:lang w:bidi="ar"/>
              </w:rPr>
              <w:t>3</w:t>
            </w:r>
            <w:r>
              <w:rPr>
                <w:bCs/>
                <w:sz w:val="24"/>
                <w:lang w:bidi="ar"/>
              </w:rPr>
              <w:t>隔油池处理后与其他生活污水共同进入现有一座50m</w:t>
            </w:r>
            <w:r>
              <w:rPr>
                <w:bCs/>
                <w:sz w:val="24"/>
                <w:vertAlign w:val="superscript"/>
                <w:lang w:bidi="ar"/>
              </w:rPr>
              <w:t>3</w:t>
            </w:r>
            <w:r>
              <w:rPr>
                <w:bCs/>
                <w:sz w:val="24"/>
                <w:lang w:bidi="ar"/>
              </w:rPr>
              <w:t>的化粪池处理，定期清掏肥田不外排</w:t>
            </w:r>
            <w:r>
              <w:rPr>
                <w:sz w:val="24"/>
              </w:rPr>
              <w:t>，现有污染治理措施可满足技改后全厂生活污水处理要求，</w:t>
            </w:r>
            <w:r>
              <w:rPr>
                <w:bCs/>
                <w:sz w:val="24"/>
              </w:rPr>
              <w:t>废水处理措施可行</w:t>
            </w:r>
            <w:r>
              <w:rPr>
                <w:sz w:val="24"/>
              </w:rPr>
              <w:t>。</w:t>
            </w:r>
          </w:p>
          <w:p w14:paraId="64A07D05">
            <w:pPr>
              <w:adjustRightInd w:val="0"/>
              <w:snapToGrid w:val="0"/>
              <w:spacing w:line="520" w:lineRule="exact"/>
              <w:ind w:firstLine="480" w:firstLineChars="200"/>
              <w:rPr>
                <w:bCs/>
                <w:sz w:val="24"/>
              </w:rPr>
            </w:pPr>
            <w:r>
              <w:rPr>
                <w:bCs/>
                <w:sz w:val="24"/>
              </w:rPr>
              <w:t>（2）车辆冲洗废水污染防治措施可行性</w:t>
            </w:r>
          </w:p>
          <w:p w14:paraId="7BE9117D">
            <w:pPr>
              <w:adjustRightInd w:val="0"/>
              <w:snapToGrid w:val="0"/>
              <w:spacing w:line="520" w:lineRule="exact"/>
              <w:ind w:firstLine="480" w:firstLineChars="200"/>
              <w:rPr>
                <w:bCs/>
                <w:sz w:val="24"/>
              </w:rPr>
            </w:pPr>
            <w:r>
              <w:rPr>
                <w:sz w:val="24"/>
              </w:rPr>
              <w:t>项目车辆冲洗废水产生量4.16m</w:t>
            </w:r>
            <w:r>
              <w:rPr>
                <w:sz w:val="24"/>
                <w:vertAlign w:val="superscript"/>
              </w:rPr>
              <w:t>3</w:t>
            </w:r>
            <w:r>
              <w:rPr>
                <w:sz w:val="24"/>
              </w:rPr>
              <w:t>/d，冲洗废水经现有一座</w:t>
            </w:r>
            <w:r>
              <w:rPr>
                <w:bCs/>
                <w:sz w:val="24"/>
              </w:rPr>
              <w:t>20m</w:t>
            </w:r>
            <w:r>
              <w:rPr>
                <w:bCs/>
                <w:sz w:val="24"/>
                <w:vertAlign w:val="superscript"/>
              </w:rPr>
              <w:t>3</w:t>
            </w:r>
            <w:r>
              <w:rPr>
                <w:bCs/>
                <w:sz w:val="24"/>
              </w:rPr>
              <w:t>的沉淀池沉淀后循环使用</w:t>
            </w:r>
            <w:r>
              <w:rPr>
                <w:sz w:val="24"/>
              </w:rPr>
              <w:t>，</w:t>
            </w:r>
            <w:r>
              <w:rPr>
                <w:bCs/>
                <w:sz w:val="24"/>
              </w:rPr>
              <w:t>废水处理措施可行。</w:t>
            </w:r>
          </w:p>
          <w:p w14:paraId="3750DF19">
            <w:pPr>
              <w:adjustRightInd w:val="0"/>
              <w:snapToGrid w:val="0"/>
              <w:spacing w:line="520" w:lineRule="exact"/>
              <w:ind w:firstLine="480" w:firstLineChars="200"/>
              <w:rPr>
                <w:bCs/>
                <w:sz w:val="24"/>
              </w:rPr>
            </w:pPr>
            <w:r>
              <w:rPr>
                <w:bCs/>
                <w:sz w:val="24"/>
              </w:rPr>
              <w:t>（3）湿电除尘废水污染防治措施可行性</w:t>
            </w:r>
          </w:p>
          <w:p w14:paraId="348B9122">
            <w:pPr>
              <w:adjustRightInd w:val="0"/>
              <w:snapToGrid w:val="0"/>
              <w:spacing w:line="520" w:lineRule="exact"/>
              <w:ind w:firstLine="480" w:firstLineChars="200"/>
              <w:rPr>
                <w:bCs/>
                <w:sz w:val="24"/>
              </w:rPr>
            </w:pPr>
            <w:r>
              <w:rPr>
                <w:bCs/>
                <w:sz w:val="24"/>
              </w:rPr>
              <w:t>本项目湿电除尘器冲洗废水产生量为15</w:t>
            </w:r>
            <w:r>
              <w:rPr>
                <w:sz w:val="24"/>
              </w:rPr>
              <w:t>m</w:t>
            </w:r>
            <w:r>
              <w:rPr>
                <w:sz w:val="24"/>
                <w:vertAlign w:val="superscript"/>
              </w:rPr>
              <w:t>3</w:t>
            </w:r>
            <w:r>
              <w:rPr>
                <w:bCs/>
                <w:sz w:val="24"/>
              </w:rPr>
              <w:t>/d，湿电除尘器下方设置有</w:t>
            </w:r>
            <w:r>
              <w:rPr>
                <w:rFonts w:hint="eastAsia"/>
                <w:bCs/>
                <w:sz w:val="24"/>
              </w:rPr>
              <w:t>一座20m</w:t>
            </w:r>
            <w:r>
              <w:rPr>
                <w:rFonts w:hint="eastAsia"/>
                <w:bCs/>
                <w:sz w:val="24"/>
                <w:vertAlign w:val="superscript"/>
              </w:rPr>
              <w:t>3</w:t>
            </w:r>
            <w:r>
              <w:rPr>
                <w:rFonts w:hint="eastAsia"/>
                <w:bCs/>
                <w:sz w:val="24"/>
              </w:rPr>
              <w:t>的</w:t>
            </w:r>
            <w:r>
              <w:rPr>
                <w:bCs/>
                <w:sz w:val="24"/>
              </w:rPr>
              <w:t>冲洗水池，冲洗含尘废水收集后作为制砖用水综合利用，废水处理措施可行。</w:t>
            </w:r>
          </w:p>
          <w:p w14:paraId="35E397F5">
            <w:pPr>
              <w:spacing w:line="520" w:lineRule="exact"/>
              <w:ind w:firstLine="482"/>
              <w:rPr>
                <w:sz w:val="24"/>
              </w:rPr>
            </w:pPr>
            <w:r>
              <w:rPr>
                <w:sz w:val="24"/>
              </w:rPr>
              <w:t>（4）</w:t>
            </w:r>
            <w:r>
              <w:rPr>
                <w:bCs/>
                <w:sz w:val="24"/>
              </w:rPr>
              <w:t>脱硫废水污染防治措施可行性</w:t>
            </w:r>
          </w:p>
          <w:p w14:paraId="1E22C411">
            <w:pPr>
              <w:adjustRightInd w:val="0"/>
              <w:snapToGrid w:val="0"/>
              <w:spacing w:line="520" w:lineRule="exact"/>
              <w:ind w:firstLine="480" w:firstLineChars="200"/>
              <w:rPr>
                <w:bCs/>
                <w:sz w:val="24"/>
              </w:rPr>
            </w:pPr>
            <w:r>
              <w:rPr>
                <w:bCs/>
                <w:sz w:val="24"/>
              </w:rPr>
              <w:t>项目脱硫废水产生量约1000m</w:t>
            </w:r>
            <w:r>
              <w:rPr>
                <w:bCs/>
                <w:sz w:val="24"/>
                <w:vertAlign w:val="superscript"/>
              </w:rPr>
              <w:t>3</w:t>
            </w:r>
            <w:r>
              <w:rPr>
                <w:bCs/>
                <w:sz w:val="24"/>
              </w:rPr>
              <w:t>/h，考虑1.2的调节系数，评价建议建设一座处理能力为1200m</w:t>
            </w:r>
            <w:r>
              <w:rPr>
                <w:bCs/>
                <w:sz w:val="24"/>
                <w:vertAlign w:val="superscript"/>
              </w:rPr>
              <w:t>3</w:t>
            </w:r>
            <w:r>
              <w:rPr>
                <w:bCs/>
                <w:sz w:val="24"/>
              </w:rPr>
              <w:t>/h的脱硫废水处理系统，处理工艺为“旋流分离+混凝反应+中和反应+沉淀分离”。</w:t>
            </w:r>
          </w:p>
          <w:p w14:paraId="3C4D0674">
            <w:pPr>
              <w:adjustRightInd w:val="0"/>
              <w:snapToGrid w:val="0"/>
              <w:spacing w:line="520" w:lineRule="exact"/>
              <w:ind w:firstLine="480" w:firstLineChars="200"/>
              <w:rPr>
                <w:sz w:val="24"/>
              </w:rPr>
            </w:pPr>
            <w:r>
              <w:rPr>
                <w:sz w:val="24"/>
              </w:rPr>
              <w:t>根据《排污许可证申请与核发技术规范  陶瓷砖瓦工业》（HJ954—2018）：“混凝+中和+沉淀”属于陶瓷砖瓦工业排污单位脱硫废水污染防治可行技术；</w:t>
            </w:r>
          </w:p>
          <w:p w14:paraId="1B79E863">
            <w:pPr>
              <w:adjustRightInd w:val="0"/>
              <w:snapToGrid w:val="0"/>
              <w:spacing w:line="520" w:lineRule="exact"/>
              <w:ind w:firstLine="480" w:firstLineChars="200"/>
              <w:rPr>
                <w:sz w:val="24"/>
              </w:rPr>
            </w:pPr>
            <w:r>
              <w:rPr>
                <w:sz w:val="24"/>
              </w:rPr>
              <w:t>根据《石灰石/石灰-石膏湿法烟气脱硫工程通用技术规范》（HJ179-2018）：单独设置脱硫废水处理系统时一般采用中和、絮凝、沉降、氧化、澄清等工艺去除废水中的悬浮物、COD等污染物。本项目脱硫废水处理系统采用中和、混凝、沉降、澄清工艺，污染防治措施可行。</w:t>
            </w:r>
          </w:p>
          <w:p w14:paraId="0490BBF3">
            <w:pPr>
              <w:adjustRightInd w:val="0"/>
              <w:snapToGrid w:val="0"/>
              <w:spacing w:line="520" w:lineRule="exact"/>
              <w:ind w:firstLine="480" w:firstLineChars="200"/>
              <w:rPr>
                <w:bCs/>
                <w:sz w:val="24"/>
              </w:rPr>
            </w:pPr>
            <w:r>
              <w:rPr>
                <w:bCs/>
                <w:sz w:val="24"/>
              </w:rPr>
              <w:t>项目脱硫废水处理工艺流程图如下。</w:t>
            </w:r>
          </w:p>
          <w:p w14:paraId="06DF5A20">
            <w:pPr>
              <w:spacing w:line="520" w:lineRule="exact"/>
              <w:rPr>
                <w:bCs/>
                <w:color w:val="EE0000"/>
                <w:sz w:val="24"/>
                <w:u w:val="single"/>
              </w:rPr>
            </w:pPr>
            <w:r>
              <w:drawing>
                <wp:anchor distT="0" distB="0" distL="114300" distR="114300" simplePos="0" relativeHeight="251662336" behindDoc="0" locked="0" layoutInCell="1" allowOverlap="1">
                  <wp:simplePos x="0" y="0"/>
                  <wp:positionH relativeFrom="column">
                    <wp:posOffset>-9525</wp:posOffset>
                  </wp:positionH>
                  <wp:positionV relativeFrom="paragraph">
                    <wp:posOffset>89535</wp:posOffset>
                  </wp:positionV>
                  <wp:extent cx="5292725" cy="3084830"/>
                  <wp:effectExtent l="0" t="0" r="0" b="0"/>
                  <wp:wrapNone/>
                  <wp:docPr id="5496034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03407"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92725" cy="3084830"/>
                          </a:xfrm>
                          <a:prstGeom prst="rect">
                            <a:avLst/>
                          </a:prstGeom>
                        </pic:spPr>
                      </pic:pic>
                    </a:graphicData>
                  </a:graphic>
                </wp:anchor>
              </w:drawing>
            </w:r>
          </w:p>
          <w:p w14:paraId="4191421C">
            <w:pPr>
              <w:spacing w:line="520" w:lineRule="exact"/>
              <w:ind w:firstLine="482"/>
              <w:rPr>
                <w:bCs/>
                <w:color w:val="EE0000"/>
                <w:sz w:val="24"/>
                <w:u w:val="single"/>
              </w:rPr>
            </w:pPr>
          </w:p>
          <w:p w14:paraId="7CA206C2">
            <w:pPr>
              <w:spacing w:line="520" w:lineRule="exact"/>
              <w:ind w:firstLine="482"/>
              <w:rPr>
                <w:bCs/>
                <w:color w:val="EE0000"/>
                <w:sz w:val="24"/>
                <w:u w:val="single"/>
              </w:rPr>
            </w:pPr>
          </w:p>
          <w:p w14:paraId="6EEA3177">
            <w:pPr>
              <w:spacing w:line="520" w:lineRule="exact"/>
              <w:ind w:firstLine="482"/>
              <w:rPr>
                <w:bCs/>
                <w:color w:val="EE0000"/>
                <w:sz w:val="24"/>
                <w:u w:val="single"/>
              </w:rPr>
            </w:pPr>
          </w:p>
          <w:p w14:paraId="00ABB117">
            <w:pPr>
              <w:spacing w:line="520" w:lineRule="exact"/>
              <w:ind w:firstLine="482"/>
              <w:rPr>
                <w:bCs/>
                <w:color w:val="EE0000"/>
                <w:sz w:val="24"/>
                <w:u w:val="single"/>
              </w:rPr>
            </w:pPr>
          </w:p>
          <w:p w14:paraId="2C6CF5D0">
            <w:pPr>
              <w:spacing w:line="520" w:lineRule="exact"/>
              <w:ind w:firstLine="482"/>
              <w:rPr>
                <w:bCs/>
                <w:color w:val="EE0000"/>
                <w:sz w:val="24"/>
                <w:u w:val="single"/>
              </w:rPr>
            </w:pPr>
          </w:p>
          <w:p w14:paraId="39D049B6">
            <w:pPr>
              <w:spacing w:line="520" w:lineRule="exact"/>
              <w:rPr>
                <w:bCs/>
                <w:color w:val="EE0000"/>
                <w:sz w:val="24"/>
                <w:u w:val="single"/>
              </w:rPr>
            </w:pPr>
          </w:p>
          <w:p w14:paraId="6E497140">
            <w:pPr>
              <w:spacing w:line="520" w:lineRule="exact"/>
              <w:rPr>
                <w:bCs/>
                <w:color w:val="EE0000"/>
                <w:sz w:val="24"/>
                <w:u w:val="single"/>
              </w:rPr>
            </w:pPr>
          </w:p>
          <w:p w14:paraId="2B617F4C">
            <w:pPr>
              <w:spacing w:line="520" w:lineRule="exact"/>
              <w:rPr>
                <w:bCs/>
                <w:color w:val="EE0000"/>
                <w:sz w:val="24"/>
                <w:u w:val="single"/>
              </w:rPr>
            </w:pPr>
          </w:p>
          <w:p w14:paraId="5583C1E2">
            <w:pPr>
              <w:spacing w:line="520" w:lineRule="exact"/>
              <w:rPr>
                <w:bCs/>
                <w:color w:val="EE0000"/>
                <w:sz w:val="24"/>
                <w:u w:val="single"/>
              </w:rPr>
            </w:pPr>
          </w:p>
          <w:p w14:paraId="29789F23">
            <w:pPr>
              <w:spacing w:line="520" w:lineRule="exact"/>
              <w:jc w:val="center"/>
              <w:rPr>
                <w:rFonts w:eastAsia="黑体"/>
                <w:bCs/>
                <w:sz w:val="24"/>
              </w:rPr>
            </w:pPr>
            <w:r>
              <w:rPr>
                <w:rFonts w:eastAsia="黑体"/>
                <w:bCs/>
                <w:sz w:val="24"/>
              </w:rPr>
              <w:t>图4-1    脱硫废水处理工艺流程图</w:t>
            </w:r>
          </w:p>
          <w:p w14:paraId="6FEBB24C">
            <w:pPr>
              <w:spacing w:line="520" w:lineRule="exact"/>
              <w:ind w:firstLine="482"/>
              <w:rPr>
                <w:sz w:val="24"/>
              </w:rPr>
            </w:pPr>
            <w:r>
              <w:rPr>
                <w:sz w:val="24"/>
              </w:rPr>
              <w:t>工艺流程简介：</w:t>
            </w:r>
          </w:p>
          <w:p w14:paraId="79F62ED3">
            <w:pPr>
              <w:spacing w:line="520" w:lineRule="exact"/>
              <w:ind w:firstLine="480" w:firstLineChars="200"/>
              <w:rPr>
                <w:sz w:val="24"/>
              </w:rPr>
            </w:pPr>
            <w:r>
              <w:rPr>
                <w:sz w:val="24"/>
              </w:rPr>
              <w:fldChar w:fldCharType="begin"/>
            </w:r>
            <w:r>
              <w:rPr>
                <w:sz w:val="24"/>
              </w:rPr>
              <w:instrText xml:space="preserve"> = 1 \* GB3 </w:instrText>
            </w:r>
            <w:r>
              <w:rPr>
                <w:sz w:val="24"/>
              </w:rPr>
              <w:fldChar w:fldCharType="separate"/>
            </w:r>
            <w:r>
              <w:rPr>
                <w:rFonts w:ascii="Cambria Math" w:hAnsi="Cambria Math" w:cs="Cambria Math"/>
                <w:sz w:val="24"/>
              </w:rPr>
              <w:t>①</w:t>
            </w:r>
            <w:r>
              <w:rPr>
                <w:sz w:val="24"/>
              </w:rPr>
              <w:fldChar w:fldCharType="end"/>
            </w:r>
            <w:r>
              <w:rPr>
                <w:sz w:val="24"/>
              </w:rPr>
              <w:t>脱硫塔内吸收二氧化硫后的含石膏浆液首先经水力旋流器将石膏颗粒与水分离，高浓度石膏浆液经石膏脱水机回收石膏，含细小石膏颗粒的废水进入混凝沉淀池；</w:t>
            </w:r>
          </w:p>
          <w:p w14:paraId="149692FB">
            <w:pPr>
              <w:spacing w:line="520" w:lineRule="exact"/>
              <w:ind w:firstLine="480" w:firstLineChars="200"/>
              <w:rPr>
                <w:sz w:val="24"/>
              </w:rPr>
            </w:pPr>
            <w:r>
              <w:rPr>
                <w:sz w:val="24"/>
              </w:rPr>
              <w:fldChar w:fldCharType="begin"/>
            </w:r>
            <w:r>
              <w:rPr>
                <w:sz w:val="24"/>
              </w:rPr>
              <w:instrText xml:space="preserve"> = 2 \* GB3 </w:instrText>
            </w:r>
            <w:r>
              <w:rPr>
                <w:sz w:val="24"/>
              </w:rPr>
              <w:fldChar w:fldCharType="separate"/>
            </w:r>
            <w:r>
              <w:rPr>
                <w:rFonts w:ascii="Cambria Math" w:hAnsi="Cambria Math" w:cs="Cambria Math"/>
                <w:sz w:val="24"/>
              </w:rPr>
              <w:t>②</w:t>
            </w:r>
            <w:r>
              <w:rPr>
                <w:sz w:val="24"/>
              </w:rPr>
              <w:fldChar w:fldCharType="end"/>
            </w:r>
            <w:r>
              <w:rPr>
                <w:sz w:val="24"/>
              </w:rPr>
              <w:t>向混凝反应池投加混凝剂使细小石膏颗粒、悬浮物聚集沉淀，混凝池底泥通过底部排泥系统排至污泥脱水单元，废水进入中和池；</w:t>
            </w:r>
          </w:p>
          <w:p w14:paraId="1A1A54FF">
            <w:pPr>
              <w:spacing w:line="520" w:lineRule="exact"/>
              <w:ind w:firstLine="480" w:firstLineChars="200"/>
              <w:rPr>
                <w:sz w:val="24"/>
              </w:rPr>
            </w:pPr>
            <w:r>
              <w:rPr>
                <w:sz w:val="24"/>
              </w:rPr>
              <w:fldChar w:fldCharType="begin"/>
            </w:r>
            <w:r>
              <w:rPr>
                <w:sz w:val="24"/>
              </w:rPr>
              <w:instrText xml:space="preserve"> = 3 \* GB3 </w:instrText>
            </w:r>
            <w:r>
              <w:rPr>
                <w:sz w:val="24"/>
              </w:rPr>
              <w:fldChar w:fldCharType="separate"/>
            </w:r>
            <w:r>
              <w:rPr>
                <w:rFonts w:ascii="Cambria Math" w:hAnsi="Cambria Math" w:cs="Cambria Math"/>
                <w:sz w:val="24"/>
              </w:rPr>
              <w:t>③</w:t>
            </w:r>
            <w:r>
              <w:rPr>
                <w:sz w:val="24"/>
              </w:rPr>
              <w:fldChar w:fldCharType="end"/>
            </w:r>
            <w:r>
              <w:rPr>
                <w:sz w:val="24"/>
              </w:rPr>
              <w:t>向中和池投加石灰乳，调节pH至8.5~9.5，石灰乳与废水中残留的SO₄²⁻反应，抑制石膏二次溶解。</w:t>
            </w:r>
          </w:p>
          <w:p w14:paraId="6F14C39C">
            <w:pPr>
              <w:spacing w:line="520" w:lineRule="exact"/>
              <w:ind w:firstLine="480" w:firstLineChars="200"/>
              <w:rPr>
                <w:sz w:val="24"/>
              </w:rPr>
            </w:pPr>
            <w:r>
              <w:rPr>
                <w:sz w:val="24"/>
              </w:rPr>
              <w:fldChar w:fldCharType="begin"/>
            </w:r>
            <w:r>
              <w:rPr>
                <w:sz w:val="24"/>
              </w:rPr>
              <w:instrText xml:space="preserve"> = 4 \* GB3 </w:instrText>
            </w:r>
            <w:r>
              <w:rPr>
                <w:sz w:val="24"/>
              </w:rPr>
              <w:fldChar w:fldCharType="separate"/>
            </w:r>
            <w:r>
              <w:rPr>
                <w:rFonts w:ascii="Cambria Math" w:hAnsi="Cambria Math" w:cs="Cambria Math"/>
                <w:sz w:val="24"/>
              </w:rPr>
              <w:t>④</w:t>
            </w:r>
            <w:r>
              <w:rPr>
                <w:sz w:val="24"/>
              </w:rPr>
              <w:fldChar w:fldCharType="end"/>
            </w:r>
            <w:r>
              <w:rPr>
                <w:sz w:val="24"/>
              </w:rPr>
              <w:t>中和反应后的废水进入沉淀池，经沉淀后上层清液溢流至澄清池。沉淀池底部污泥通过排泥系统进入污泥脱水单元。</w:t>
            </w:r>
          </w:p>
          <w:p w14:paraId="35155132">
            <w:pPr>
              <w:spacing w:line="520" w:lineRule="exact"/>
              <w:ind w:firstLine="482"/>
              <w:rPr>
                <w:sz w:val="24"/>
              </w:rPr>
            </w:pPr>
            <w:r>
              <w:rPr>
                <w:sz w:val="24"/>
              </w:rPr>
              <w:t>采取以上措施后，项目产生的废水均能综合利用，不外排，项目建设对周围水环境无明显不利影响。</w:t>
            </w:r>
          </w:p>
          <w:p w14:paraId="0DD8C90D">
            <w:pPr>
              <w:spacing w:line="520" w:lineRule="exact"/>
              <w:jc w:val="left"/>
              <w:rPr>
                <w:rFonts w:eastAsia="黑体"/>
                <w:bCs/>
                <w:sz w:val="24"/>
                <w:highlight w:val="yellow"/>
              </w:rPr>
            </w:pPr>
            <w:r>
              <w:rPr>
                <w:rFonts w:eastAsia="黑体"/>
                <w:bCs/>
                <w:sz w:val="24"/>
              </w:rPr>
              <w:t>3、声环境影响和保护措施</w:t>
            </w:r>
          </w:p>
          <w:p w14:paraId="50A5C20D">
            <w:pPr>
              <w:spacing w:line="520" w:lineRule="exact"/>
              <w:jc w:val="left"/>
              <w:rPr>
                <w:rFonts w:eastAsia="黑体"/>
                <w:bCs/>
                <w:sz w:val="24"/>
              </w:rPr>
            </w:pPr>
            <w:r>
              <w:rPr>
                <w:rFonts w:eastAsia="黑体"/>
                <w:bCs/>
                <w:sz w:val="24"/>
              </w:rPr>
              <w:t>3.1噪声源强和防治措施</w:t>
            </w:r>
          </w:p>
          <w:p w14:paraId="09222BA8">
            <w:pPr>
              <w:pStyle w:val="254"/>
              <w:adjustRightInd w:val="0"/>
              <w:snapToGrid w:val="0"/>
              <w:ind w:firstLine="480"/>
              <w:rPr>
                <w:rFonts w:ascii="Times New Roman" w:hAnsi="Times New Roman" w:cs="Times New Roman"/>
                <w:szCs w:val="24"/>
              </w:rPr>
            </w:pPr>
            <w:r>
              <w:rPr>
                <w:rFonts w:ascii="Times New Roman" w:hAnsi="Times New Roman" w:cs="Times New Roman"/>
                <w:szCs w:val="24"/>
              </w:rPr>
              <w:t>本次技改工程在三兴建材现有厂区进行建设，运营期高噪声设备主要有给料机、破碎机、滚筒筛、搅拌机、挤砖机、切坯机、码坯机、窑炉风机等，其中给料机、搅拌机、切坯机、码坯机等均利用三兴建材现有。技改工程主要增加的高噪声设备为1台双级破碎机、2台滚筒筛、1台干燥窑引风机，石灰-石膏湿法脱硫系统的氧化风机、浆液循环泵、石膏泵、污水泵、污泥泵，噪声源强在85~105dB(A)之间。</w:t>
            </w:r>
          </w:p>
          <w:p w14:paraId="0744F96A">
            <w:pPr>
              <w:pStyle w:val="254"/>
              <w:tabs>
                <w:tab w:val="left" w:pos="2775"/>
              </w:tabs>
              <w:adjustRightInd w:val="0"/>
              <w:snapToGrid w:val="0"/>
              <w:ind w:firstLine="480"/>
              <w:rPr>
                <w:rFonts w:ascii="Times New Roman" w:hAnsi="Times New Roman" w:cs="Times New Roman"/>
                <w:szCs w:val="24"/>
              </w:rPr>
            </w:pPr>
            <w:r>
              <w:rPr>
                <w:rFonts w:ascii="Times New Roman" w:hAnsi="Times New Roman" w:cs="Times New Roman"/>
                <w:szCs w:val="24"/>
              </w:rPr>
              <w:t>本次评价采用2025年10月28日</w:t>
            </w:r>
            <w:r>
              <w:rPr>
                <w:rFonts w:ascii="Times New Roman" w:hAnsi="Times New Roman" w:cs="Times New Roman"/>
                <w:bCs/>
                <w:szCs w:val="21"/>
              </w:rPr>
              <w:t>河南省宗树环境检测技术研究有限公司对三兴建材现有工程</w:t>
            </w:r>
            <w:r>
              <w:rPr>
                <w:rFonts w:ascii="Times New Roman" w:hAnsi="Times New Roman" w:cs="Times New Roman"/>
              </w:rPr>
              <w:t>厂界噪声检测结果作为现有设备噪声贡献值，</w:t>
            </w:r>
            <w:r>
              <w:rPr>
                <w:rFonts w:ascii="Times New Roman" w:hAnsi="Times New Roman" w:cs="Times New Roman"/>
                <w:szCs w:val="24"/>
              </w:rPr>
              <w:t>2025年10月28日三兴建材</w:t>
            </w:r>
            <w:r>
              <w:rPr>
                <w:rFonts w:ascii="Times New Roman" w:hAnsi="Times New Roman" w:cs="Times New Roman"/>
                <w:bCs/>
                <w:szCs w:val="21"/>
              </w:rPr>
              <w:t>现有工程正常运行，噪声检测结果可以反应现有高噪声设备正常运行状况下厂界噪声情况。</w:t>
            </w:r>
          </w:p>
          <w:p w14:paraId="02124DC2">
            <w:pPr>
              <w:pStyle w:val="254"/>
              <w:adjustRightInd w:val="0"/>
              <w:snapToGrid w:val="0"/>
              <w:ind w:firstLine="480"/>
              <w:rPr>
                <w:rFonts w:ascii="Times New Roman" w:hAnsi="Times New Roman" w:cs="Times New Roman"/>
                <w:szCs w:val="24"/>
              </w:rPr>
            </w:pPr>
            <w:r>
              <w:rPr>
                <w:rFonts w:ascii="Times New Roman" w:hAnsi="Times New Roman" w:cs="Times New Roman"/>
              </w:rPr>
              <w:t>现有高噪声设备贡献值叠加本次技改后新增高噪声设备贡献值，预测技改后全厂噪声环境影响</w:t>
            </w:r>
            <w:r>
              <w:rPr>
                <w:rFonts w:ascii="Times New Roman" w:hAnsi="Times New Roman" w:cs="Times New Roman"/>
                <w:szCs w:val="24"/>
              </w:rPr>
              <w:t>。</w:t>
            </w:r>
          </w:p>
          <w:p w14:paraId="133DC792">
            <w:pPr>
              <w:spacing w:line="520" w:lineRule="exact"/>
              <w:jc w:val="left"/>
              <w:rPr>
                <w:rFonts w:eastAsia="黑体"/>
                <w:bCs/>
                <w:sz w:val="24"/>
              </w:rPr>
            </w:pPr>
            <w:r>
              <w:rPr>
                <w:rFonts w:eastAsia="黑体"/>
                <w:bCs/>
                <w:sz w:val="24"/>
              </w:rPr>
              <w:t>3.2预测模型</w:t>
            </w:r>
          </w:p>
          <w:p w14:paraId="441DF971">
            <w:pPr>
              <w:spacing w:line="520" w:lineRule="exact"/>
              <w:ind w:firstLine="482"/>
              <w:rPr>
                <w:bCs/>
                <w:sz w:val="24"/>
              </w:rPr>
            </w:pPr>
            <w:r>
              <w:rPr>
                <w:bCs/>
                <w:sz w:val="24"/>
              </w:rPr>
              <w:t>根据《环境影响评价技术导则声环境》（HJ2.4-2021）的要求，本项目采用《环境影响评价技术导则声环境》(HJ2.4.2021) 附录A、B中给定的噪声预测模型，在不能取得声源倍频带声功率级或倍频带声压级，只能获得A声功率级或某点的A声级时，可用A声功率级或某点的A声级计算。</w:t>
            </w:r>
          </w:p>
          <w:p w14:paraId="4CF746E1">
            <w:pPr>
              <w:spacing w:line="520" w:lineRule="exact"/>
              <w:ind w:firstLine="482"/>
              <w:rPr>
                <w:bCs/>
                <w:sz w:val="24"/>
              </w:rPr>
            </w:pPr>
            <w:r>
              <w:rPr>
                <w:bCs/>
                <w:sz w:val="24"/>
              </w:rPr>
              <w:t>（1）</w:t>
            </w:r>
            <w:r>
              <w:rPr>
                <w:sz w:val="24"/>
              </w:rPr>
              <w:t>预测条件假设</w:t>
            </w:r>
          </w:p>
          <w:p w14:paraId="456715FB">
            <w:pPr>
              <w:spacing w:line="520" w:lineRule="exact"/>
              <w:ind w:firstLine="482"/>
              <w:rPr>
                <w:bCs/>
                <w:sz w:val="24"/>
              </w:rPr>
            </w:pPr>
            <w:r>
              <w:rPr>
                <w:bCs/>
                <w:sz w:val="24"/>
              </w:rPr>
              <w:fldChar w:fldCharType="begin"/>
            </w:r>
            <w:r>
              <w:rPr>
                <w:bCs/>
                <w:sz w:val="24"/>
              </w:rPr>
              <w:instrText xml:space="preserve">= 1 \* GB3</w:instrText>
            </w:r>
            <w:r>
              <w:rPr>
                <w:bCs/>
                <w:sz w:val="24"/>
              </w:rPr>
              <w:fldChar w:fldCharType="separate"/>
            </w:r>
            <w:r>
              <w:rPr>
                <w:rFonts w:ascii="Cambria Math" w:hAnsi="Cambria Math" w:cs="Cambria Math"/>
                <w:bCs/>
                <w:sz w:val="24"/>
              </w:rPr>
              <w:t>①</w:t>
            </w:r>
            <w:r>
              <w:rPr>
                <w:bCs/>
                <w:sz w:val="24"/>
              </w:rPr>
              <w:fldChar w:fldCharType="end"/>
            </w:r>
            <w:r>
              <w:rPr>
                <w:bCs/>
                <w:sz w:val="24"/>
              </w:rPr>
              <w:t>所有产噪设备均在正常工况条件下运行；</w:t>
            </w:r>
          </w:p>
          <w:p w14:paraId="1EC31BC5">
            <w:pPr>
              <w:spacing w:line="520" w:lineRule="exact"/>
              <w:ind w:firstLine="482"/>
              <w:rPr>
                <w:bCs/>
                <w:sz w:val="24"/>
              </w:rPr>
            </w:pPr>
            <w:r>
              <w:rPr>
                <w:bCs/>
                <w:sz w:val="24"/>
              </w:rPr>
              <w:fldChar w:fldCharType="begin"/>
            </w:r>
            <w:r>
              <w:rPr>
                <w:bCs/>
                <w:sz w:val="24"/>
              </w:rPr>
              <w:instrText xml:space="preserve">= 2 \* GB3</w:instrText>
            </w:r>
            <w:r>
              <w:rPr>
                <w:bCs/>
                <w:sz w:val="24"/>
              </w:rPr>
              <w:fldChar w:fldCharType="separate"/>
            </w:r>
            <w:r>
              <w:rPr>
                <w:rFonts w:ascii="Cambria Math" w:hAnsi="Cambria Math" w:cs="Cambria Math"/>
                <w:bCs/>
                <w:sz w:val="24"/>
              </w:rPr>
              <w:t>②</w:t>
            </w:r>
            <w:r>
              <w:rPr>
                <w:bCs/>
                <w:sz w:val="24"/>
              </w:rPr>
              <w:fldChar w:fldCharType="end"/>
            </w:r>
            <w:r>
              <w:rPr>
                <w:bCs/>
                <w:sz w:val="24"/>
              </w:rPr>
              <w:t>考虑室内声源所在厂房围护结构的隔声、吸声作用；</w:t>
            </w:r>
          </w:p>
          <w:p w14:paraId="3E0D2963">
            <w:pPr>
              <w:spacing w:line="520" w:lineRule="exact"/>
              <w:ind w:firstLine="482"/>
              <w:rPr>
                <w:bCs/>
                <w:sz w:val="24"/>
              </w:rPr>
            </w:pPr>
            <w:r>
              <w:rPr>
                <w:bCs/>
                <w:sz w:val="24"/>
              </w:rPr>
              <w:fldChar w:fldCharType="begin"/>
            </w:r>
            <w:r>
              <w:rPr>
                <w:bCs/>
                <w:sz w:val="24"/>
              </w:rPr>
              <w:instrText xml:space="preserve">= 3 \* GB3</w:instrText>
            </w:r>
            <w:r>
              <w:rPr>
                <w:bCs/>
                <w:sz w:val="24"/>
              </w:rPr>
              <w:fldChar w:fldCharType="separate"/>
            </w:r>
            <w:r>
              <w:rPr>
                <w:rFonts w:ascii="Cambria Math" w:hAnsi="Cambria Math" w:cs="Cambria Math"/>
                <w:bCs/>
                <w:sz w:val="24"/>
              </w:rPr>
              <w:t>③</w:t>
            </w:r>
            <w:r>
              <w:rPr>
                <w:bCs/>
                <w:sz w:val="24"/>
              </w:rPr>
              <w:fldChar w:fldCharType="end"/>
            </w:r>
            <w:r>
              <w:rPr>
                <w:bCs/>
                <w:sz w:val="24"/>
              </w:rPr>
              <w:t>衰减仅考虑几何发散衰减，屏障衰减。</w:t>
            </w:r>
          </w:p>
          <w:p w14:paraId="19F9861F">
            <w:pPr>
              <w:spacing w:line="520" w:lineRule="exact"/>
              <w:ind w:firstLine="482"/>
              <w:rPr>
                <w:bCs/>
                <w:sz w:val="24"/>
              </w:rPr>
            </w:pPr>
            <w:r>
              <w:rPr>
                <w:bCs/>
                <w:sz w:val="24"/>
              </w:rPr>
              <w:t>（2）室内声源</w:t>
            </w:r>
          </w:p>
          <w:p w14:paraId="149B0DDC">
            <w:pPr>
              <w:spacing w:line="520" w:lineRule="exact"/>
              <w:ind w:firstLine="482"/>
              <w:rPr>
                <w:bCs/>
                <w:sz w:val="24"/>
              </w:rPr>
            </w:pPr>
            <w:r>
              <w:rPr>
                <w:bCs/>
                <w:sz w:val="24"/>
              </w:rPr>
              <w:t>室内声源由室内向室外传播示意图见下图。</w:t>
            </w:r>
          </w:p>
          <w:p w14:paraId="1B6F660C">
            <w:pPr>
              <w:spacing w:line="360" w:lineRule="auto"/>
              <w:jc w:val="center"/>
              <w:rPr>
                <w:bCs/>
                <w:color w:val="EE0000"/>
                <w:szCs w:val="22"/>
              </w:rPr>
            </w:pPr>
            <w:r>
              <w:rPr>
                <w:color w:val="EE0000"/>
              </w:rPr>
              <w:drawing>
                <wp:inline distT="0" distB="0" distL="114300" distR="114300">
                  <wp:extent cx="3505200" cy="16859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505200" cy="1685925"/>
                          </a:xfrm>
                          <a:prstGeom prst="rect">
                            <a:avLst/>
                          </a:prstGeom>
                          <a:noFill/>
                          <a:ln>
                            <a:noFill/>
                          </a:ln>
                        </pic:spPr>
                      </pic:pic>
                    </a:graphicData>
                  </a:graphic>
                </wp:inline>
              </w:drawing>
            </w:r>
          </w:p>
          <w:p w14:paraId="1BAAABE2">
            <w:pPr>
              <w:spacing w:line="360" w:lineRule="auto"/>
              <w:jc w:val="center"/>
              <w:rPr>
                <w:rFonts w:eastAsia="黑体"/>
                <w:bCs/>
                <w:sz w:val="24"/>
              </w:rPr>
            </w:pPr>
            <w:r>
              <w:rPr>
                <w:rFonts w:eastAsia="黑体"/>
                <w:bCs/>
                <w:sz w:val="24"/>
              </w:rPr>
              <w:t>图4-2     室内声源等效为室外声源图例</w:t>
            </w:r>
          </w:p>
          <w:p w14:paraId="7D90C88D">
            <w:pPr>
              <w:spacing w:line="520" w:lineRule="exact"/>
              <w:ind w:firstLine="480"/>
              <w:rPr>
                <w:bCs/>
                <w:sz w:val="24"/>
              </w:rPr>
            </w:pPr>
            <w:r>
              <w:rPr>
                <w:bCs/>
                <w:szCs w:val="22"/>
              </w:rPr>
              <w:fldChar w:fldCharType="begin"/>
            </w:r>
            <w:r>
              <w:rPr>
                <w:bCs/>
                <w:szCs w:val="22"/>
              </w:rPr>
              <w:instrText xml:space="preserve">= 1 \* GB3</w:instrText>
            </w:r>
            <w:r>
              <w:rPr>
                <w:bCs/>
                <w:szCs w:val="22"/>
              </w:rPr>
              <w:fldChar w:fldCharType="separate"/>
            </w:r>
            <w:r>
              <w:rPr>
                <w:rFonts w:ascii="Cambria Math" w:hAnsi="Cambria Math" w:cs="Cambria Math"/>
                <w:bCs/>
                <w:szCs w:val="22"/>
              </w:rPr>
              <w:t>①</w:t>
            </w:r>
            <w:r>
              <w:rPr>
                <w:bCs/>
                <w:szCs w:val="22"/>
              </w:rPr>
              <w:fldChar w:fldCharType="end"/>
            </w:r>
            <w:r>
              <w:rPr>
                <w:bCs/>
                <w:sz w:val="24"/>
              </w:rPr>
              <w:t>如果为已知声源的声压级L(r0)，且声源位于地面上，则</w:t>
            </w:r>
          </w:p>
          <w:p w14:paraId="366AC60E">
            <w:pPr>
              <w:spacing w:line="520" w:lineRule="exact"/>
              <w:jc w:val="center"/>
              <w:rPr>
                <w:bCs/>
                <w:sz w:val="24"/>
              </w:rPr>
            </w:pPr>
            <w:r>
              <w:rPr>
                <w:bCs/>
                <w:sz w:val="24"/>
              </w:rPr>
              <w:t>Lw=L(r0)+20lgr0+8</w:t>
            </w:r>
          </w:p>
          <w:p w14:paraId="393CD23D">
            <w:pPr>
              <w:spacing w:line="520" w:lineRule="exact"/>
              <w:ind w:firstLine="480"/>
              <w:rPr>
                <w:bCs/>
                <w:sz w:val="24"/>
              </w:rPr>
            </w:pPr>
            <w:r>
              <w:rPr>
                <w:bCs/>
                <w:sz w:val="24"/>
              </w:rPr>
              <w:fldChar w:fldCharType="begin"/>
            </w:r>
            <w:r>
              <w:rPr>
                <w:bCs/>
                <w:sz w:val="24"/>
              </w:rPr>
              <w:instrText xml:space="preserve">= 2 \* GB3</w:instrText>
            </w:r>
            <w:r>
              <w:rPr>
                <w:bCs/>
                <w:sz w:val="24"/>
              </w:rPr>
              <w:fldChar w:fldCharType="separate"/>
            </w:r>
            <w:r>
              <w:rPr>
                <w:rFonts w:ascii="Cambria Math" w:hAnsi="Cambria Math" w:cs="Cambria Math"/>
                <w:bCs/>
                <w:sz w:val="24"/>
              </w:rPr>
              <w:t>②</w:t>
            </w:r>
            <w:r>
              <w:rPr>
                <w:bCs/>
                <w:sz w:val="24"/>
              </w:rPr>
              <w:fldChar w:fldCharType="end"/>
            </w:r>
            <w:r>
              <w:rPr>
                <w:bCs/>
                <w:sz w:val="24"/>
              </w:rPr>
              <w:t>首先计算出某个室内声源靠近围护结构处的声压级：</w:t>
            </w:r>
          </w:p>
          <w:p w14:paraId="6D5A4F1D">
            <w:pPr>
              <w:spacing w:line="360" w:lineRule="auto"/>
              <w:jc w:val="center"/>
              <w:rPr>
                <w:bCs/>
                <w:color w:val="EE0000"/>
                <w:szCs w:val="22"/>
              </w:rPr>
            </w:pPr>
            <w:r>
              <w:rPr>
                <w:color w:val="EE0000"/>
              </w:rPr>
              <w:drawing>
                <wp:inline distT="0" distB="0" distL="114300" distR="114300">
                  <wp:extent cx="2009775" cy="49085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2015147" cy="492591"/>
                          </a:xfrm>
                          <a:prstGeom prst="rect">
                            <a:avLst/>
                          </a:prstGeom>
                          <a:noFill/>
                          <a:ln>
                            <a:noFill/>
                          </a:ln>
                        </pic:spPr>
                      </pic:pic>
                    </a:graphicData>
                  </a:graphic>
                </wp:inline>
              </w:drawing>
            </w:r>
          </w:p>
          <w:p w14:paraId="3C9A0D63">
            <w:pPr>
              <w:pStyle w:val="17"/>
              <w:snapToGrid/>
              <w:spacing w:before="0" w:after="0" w:line="520" w:lineRule="exact"/>
              <w:ind w:right="0" w:firstLine="480" w:firstLineChars="200"/>
              <w:rPr>
                <w:sz w:val="24"/>
                <w:szCs w:val="24"/>
              </w:rPr>
            </w:pPr>
            <w:r>
              <w:rPr>
                <w:bCs/>
                <w:sz w:val="24"/>
                <w:szCs w:val="24"/>
              </w:rPr>
              <w:t>式中：</w:t>
            </w:r>
            <w:r>
              <w:rPr>
                <w:rFonts w:eastAsia="Times New Roman"/>
                <w:i/>
                <w:position w:val="1"/>
                <w:sz w:val="24"/>
                <w:szCs w:val="24"/>
              </w:rPr>
              <w:t>L</w:t>
            </w:r>
            <w:r>
              <w:rPr>
                <w:rFonts w:eastAsia="Times New Roman"/>
                <w:i/>
                <w:position w:val="1"/>
                <w:sz w:val="24"/>
                <w:szCs w:val="24"/>
                <w:vertAlign w:val="subscript"/>
              </w:rPr>
              <w:t>p</w:t>
            </w:r>
            <w:r>
              <w:rPr>
                <w:rFonts w:eastAsia="Times New Roman"/>
                <w:position w:val="1"/>
                <w:sz w:val="24"/>
                <w:szCs w:val="24"/>
                <w:vertAlign w:val="subscript"/>
              </w:rPr>
              <w:t>1</w:t>
            </w:r>
            <w:r>
              <w:rPr>
                <w:rFonts w:eastAsia="Times New Roman"/>
                <w:position w:val="1"/>
                <w:sz w:val="24"/>
                <w:szCs w:val="24"/>
              </w:rPr>
              <w:t>——</w:t>
            </w:r>
            <w:r>
              <w:rPr>
                <w:sz w:val="24"/>
                <w:szCs w:val="24"/>
              </w:rPr>
              <w:t>靠近开口处（或窗户）室内某倍频带的声压级或</w:t>
            </w:r>
            <w:r>
              <w:rPr>
                <w:rFonts w:eastAsia="Times New Roman"/>
                <w:position w:val="1"/>
                <w:sz w:val="24"/>
                <w:szCs w:val="24"/>
              </w:rPr>
              <w:t xml:space="preserve">A </w:t>
            </w:r>
            <w:r>
              <w:rPr>
                <w:sz w:val="24"/>
                <w:szCs w:val="24"/>
              </w:rPr>
              <w:t>声级，</w:t>
            </w:r>
            <w:r>
              <w:rPr>
                <w:rFonts w:eastAsia="Times New Roman"/>
                <w:position w:val="1"/>
                <w:sz w:val="24"/>
                <w:szCs w:val="24"/>
              </w:rPr>
              <w:t>dB</w:t>
            </w:r>
            <w:r>
              <w:rPr>
                <w:sz w:val="24"/>
                <w:szCs w:val="24"/>
              </w:rPr>
              <w:t>；</w:t>
            </w:r>
          </w:p>
          <w:p w14:paraId="7D00608F">
            <w:pPr>
              <w:pStyle w:val="17"/>
              <w:snapToGrid/>
              <w:spacing w:before="0" w:after="0" w:line="520" w:lineRule="exact"/>
              <w:ind w:right="0" w:firstLine="1200" w:firstLineChars="500"/>
              <w:rPr>
                <w:sz w:val="24"/>
                <w:szCs w:val="24"/>
              </w:rPr>
            </w:pPr>
            <w:r>
              <w:rPr>
                <w:rFonts w:eastAsia="Times New Roman"/>
                <w:i/>
                <w:sz w:val="24"/>
                <w:szCs w:val="24"/>
              </w:rPr>
              <w:t>L</w:t>
            </w:r>
            <w:r>
              <w:rPr>
                <w:rFonts w:eastAsia="Times New Roman"/>
                <w:i/>
                <w:sz w:val="24"/>
                <w:szCs w:val="24"/>
                <w:vertAlign w:val="subscript"/>
              </w:rPr>
              <w:t>w</w:t>
            </w:r>
            <w:r>
              <w:rPr>
                <w:rFonts w:eastAsia="Times New Roman"/>
                <w:sz w:val="24"/>
                <w:szCs w:val="24"/>
              </w:rPr>
              <w:t>——</w:t>
            </w:r>
            <w:r>
              <w:rPr>
                <w:sz w:val="24"/>
                <w:szCs w:val="24"/>
              </w:rPr>
              <w:t>点声源声功率级（</w:t>
            </w:r>
            <w:r>
              <w:rPr>
                <w:rFonts w:eastAsia="Times New Roman"/>
                <w:sz w:val="24"/>
                <w:szCs w:val="24"/>
              </w:rPr>
              <w:t xml:space="preserve">A </w:t>
            </w:r>
            <w:r>
              <w:rPr>
                <w:sz w:val="24"/>
                <w:szCs w:val="24"/>
              </w:rPr>
              <w:t>计权或倍频带），</w:t>
            </w:r>
            <w:r>
              <w:rPr>
                <w:rFonts w:eastAsia="Times New Roman"/>
                <w:sz w:val="24"/>
                <w:szCs w:val="24"/>
              </w:rPr>
              <w:t>dB</w:t>
            </w:r>
            <w:r>
              <w:rPr>
                <w:sz w:val="24"/>
                <w:szCs w:val="24"/>
              </w:rPr>
              <w:t>；</w:t>
            </w:r>
          </w:p>
          <w:p w14:paraId="128546BD">
            <w:pPr>
              <w:pStyle w:val="17"/>
              <w:snapToGrid/>
              <w:spacing w:before="0" w:after="0" w:line="520" w:lineRule="exact"/>
              <w:ind w:right="0" w:firstLine="1200" w:firstLineChars="500"/>
              <w:rPr>
                <w:sz w:val="24"/>
                <w:szCs w:val="24"/>
              </w:rPr>
            </w:pPr>
            <w:r>
              <w:rPr>
                <w:rFonts w:eastAsia="Times New Roman"/>
                <w:i/>
                <w:sz w:val="24"/>
                <w:szCs w:val="24"/>
              </w:rPr>
              <w:t xml:space="preserve">Q </w:t>
            </w:r>
            <w:r>
              <w:rPr>
                <w:rFonts w:eastAsia="Times New Roman"/>
                <w:sz w:val="24"/>
                <w:szCs w:val="24"/>
              </w:rPr>
              <w:t>——</w:t>
            </w:r>
            <w:r>
              <w:rPr>
                <w:sz w:val="24"/>
                <w:szCs w:val="24"/>
              </w:rPr>
              <w:t>指向性因数；通常对无指向性声源，当声源放在房间中心时，</w:t>
            </w:r>
            <w:r>
              <w:rPr>
                <w:rFonts w:eastAsia="Times New Roman"/>
                <w:i/>
                <w:sz w:val="24"/>
                <w:szCs w:val="24"/>
              </w:rPr>
              <w:t>Q</w:t>
            </w:r>
            <w:r>
              <w:rPr>
                <w:rFonts w:eastAsia="Times New Roman"/>
                <w:sz w:val="24"/>
                <w:szCs w:val="24"/>
              </w:rPr>
              <w:t>=1</w:t>
            </w:r>
            <w:r>
              <w:rPr>
                <w:sz w:val="24"/>
                <w:szCs w:val="24"/>
              </w:rPr>
              <w:t>；当放在一面墙的中心时，</w:t>
            </w:r>
            <w:r>
              <w:rPr>
                <w:rFonts w:eastAsia="Times New Roman"/>
                <w:i/>
                <w:sz w:val="24"/>
                <w:szCs w:val="24"/>
              </w:rPr>
              <w:t>Q</w:t>
            </w:r>
            <w:r>
              <w:rPr>
                <w:rFonts w:eastAsia="Times New Roman"/>
                <w:sz w:val="24"/>
                <w:szCs w:val="24"/>
              </w:rPr>
              <w:t>=2</w:t>
            </w:r>
            <w:r>
              <w:rPr>
                <w:sz w:val="24"/>
                <w:szCs w:val="24"/>
              </w:rPr>
              <w:t>；当放在两面墙夹角处时，</w:t>
            </w:r>
            <w:r>
              <w:rPr>
                <w:rFonts w:eastAsia="Times New Roman"/>
                <w:i/>
                <w:sz w:val="24"/>
                <w:szCs w:val="24"/>
              </w:rPr>
              <w:t>Q</w:t>
            </w:r>
            <w:r>
              <w:rPr>
                <w:rFonts w:eastAsia="Times New Roman"/>
                <w:sz w:val="24"/>
                <w:szCs w:val="24"/>
              </w:rPr>
              <w:t>=4</w:t>
            </w:r>
            <w:r>
              <w:rPr>
                <w:sz w:val="24"/>
                <w:szCs w:val="24"/>
              </w:rPr>
              <w:t>；当放在三面墙夹角处时，</w:t>
            </w:r>
            <w:r>
              <w:rPr>
                <w:rFonts w:eastAsia="Times New Roman"/>
                <w:i/>
                <w:sz w:val="24"/>
                <w:szCs w:val="24"/>
              </w:rPr>
              <w:t>Q</w:t>
            </w:r>
            <w:r>
              <w:rPr>
                <w:rFonts w:eastAsia="Times New Roman"/>
                <w:sz w:val="24"/>
                <w:szCs w:val="24"/>
              </w:rPr>
              <w:t>=8</w:t>
            </w:r>
            <w:r>
              <w:rPr>
                <w:sz w:val="24"/>
                <w:szCs w:val="24"/>
              </w:rPr>
              <w:t>；</w:t>
            </w:r>
          </w:p>
          <w:p w14:paraId="1DF76CA5">
            <w:pPr>
              <w:spacing w:line="520" w:lineRule="exact"/>
              <w:ind w:firstLine="1200" w:firstLineChars="500"/>
              <w:rPr>
                <w:position w:val="1"/>
                <w:sz w:val="24"/>
              </w:rPr>
            </w:pPr>
            <w:r>
              <w:rPr>
                <w:rFonts w:eastAsia="Times New Roman"/>
                <w:i/>
                <w:position w:val="1"/>
                <w:sz w:val="24"/>
              </w:rPr>
              <w:t>R</w:t>
            </w:r>
            <w:r>
              <w:rPr>
                <w:rFonts w:eastAsia="Times New Roman"/>
                <w:position w:val="1"/>
                <w:sz w:val="24"/>
              </w:rPr>
              <w:t>——</w:t>
            </w:r>
            <w:r>
              <w:rPr>
                <w:position w:val="1"/>
                <w:sz w:val="24"/>
              </w:rPr>
              <w:t>房间常数；</w:t>
            </w:r>
            <w:r>
              <w:rPr>
                <w:i/>
                <w:position w:val="2"/>
                <w:sz w:val="24"/>
              </w:rPr>
              <w:t xml:space="preserve"> R </w:t>
            </w:r>
            <w:r>
              <w:rPr>
                <w:position w:val="2"/>
                <w:sz w:val="24"/>
              </w:rPr>
              <w:t>=</w:t>
            </w:r>
            <w:r>
              <w:rPr>
                <w:i/>
                <w:position w:val="2"/>
                <w:sz w:val="24"/>
              </w:rPr>
              <w:t>S</w:t>
            </w:r>
            <w:r>
              <w:rPr>
                <w:i/>
                <w:iCs/>
                <w:position w:val="1"/>
                <w:sz w:val="24"/>
              </w:rPr>
              <w:t>α</w:t>
            </w:r>
            <w:r>
              <w:rPr>
                <w:position w:val="2"/>
                <w:sz w:val="24"/>
              </w:rPr>
              <w:t>/</w:t>
            </w:r>
            <w:r>
              <w:rPr>
                <w:sz w:val="24"/>
              </w:rPr>
              <w:t>（</w:t>
            </w:r>
            <w:r>
              <w:rPr>
                <w:position w:val="2"/>
                <w:sz w:val="24"/>
              </w:rPr>
              <w:t>1-</w:t>
            </w:r>
            <w:r>
              <w:rPr>
                <w:i/>
                <w:iCs/>
                <w:position w:val="1"/>
                <w:sz w:val="24"/>
              </w:rPr>
              <w:t>α</w:t>
            </w:r>
            <w:r>
              <w:rPr>
                <w:sz w:val="24"/>
              </w:rPr>
              <w:t>）</w:t>
            </w:r>
            <w:r>
              <w:rPr>
                <w:position w:val="1"/>
                <w:sz w:val="24"/>
              </w:rPr>
              <w:t>，</w:t>
            </w:r>
            <w:r>
              <w:rPr>
                <w:i/>
                <w:position w:val="1"/>
                <w:sz w:val="24"/>
              </w:rPr>
              <w:t>S</w:t>
            </w:r>
            <w:r>
              <w:rPr>
                <w:position w:val="1"/>
                <w:sz w:val="24"/>
              </w:rPr>
              <w:t>为房间内表面面积，m</w:t>
            </w:r>
            <w:r>
              <w:rPr>
                <w:position w:val="1"/>
                <w:sz w:val="24"/>
                <w:vertAlign w:val="superscript"/>
              </w:rPr>
              <w:t>2</w:t>
            </w:r>
            <w:r>
              <w:rPr>
                <w:position w:val="1"/>
                <w:sz w:val="24"/>
              </w:rPr>
              <w:t>；</w:t>
            </w:r>
            <w:r>
              <w:rPr>
                <w:i/>
                <w:position w:val="1"/>
                <w:sz w:val="24"/>
              </w:rPr>
              <w:t>α</w:t>
            </w:r>
            <w:r>
              <w:rPr>
                <w:position w:val="1"/>
                <w:sz w:val="24"/>
              </w:rPr>
              <w:t>为平均吸声系数；</w:t>
            </w:r>
          </w:p>
          <w:p w14:paraId="380FC152">
            <w:pPr>
              <w:spacing w:line="520" w:lineRule="exact"/>
              <w:ind w:firstLine="1200" w:firstLineChars="500"/>
              <w:rPr>
                <w:position w:val="1"/>
                <w:sz w:val="24"/>
              </w:rPr>
            </w:pPr>
            <w:r>
              <w:rPr>
                <w:position w:val="1"/>
                <w:sz w:val="24"/>
              </w:rPr>
              <w:t>r ——声源到靠近围护结构某点处的距离，m。</w:t>
            </w:r>
          </w:p>
          <w:p w14:paraId="4F78364A">
            <w:pPr>
              <w:spacing w:line="520" w:lineRule="exact"/>
              <w:ind w:firstLine="480" w:firstLineChars="200"/>
              <w:rPr>
                <w:bCs/>
                <w:sz w:val="24"/>
              </w:rPr>
            </w:pPr>
            <w:r>
              <w:rPr>
                <w:bCs/>
                <w:sz w:val="24"/>
              </w:rPr>
              <w:fldChar w:fldCharType="begin"/>
            </w:r>
            <w:r>
              <w:rPr>
                <w:bCs/>
                <w:sz w:val="24"/>
              </w:rPr>
              <w:instrText xml:space="preserve">= 3 \* GB3</w:instrText>
            </w:r>
            <w:r>
              <w:rPr>
                <w:bCs/>
                <w:sz w:val="24"/>
              </w:rPr>
              <w:fldChar w:fldCharType="separate"/>
            </w:r>
            <w:r>
              <w:rPr>
                <w:rFonts w:ascii="Cambria Math" w:hAnsi="Cambria Math" w:cs="Cambria Math"/>
                <w:bCs/>
                <w:sz w:val="24"/>
              </w:rPr>
              <w:t>③</w:t>
            </w:r>
            <w:r>
              <w:rPr>
                <w:bCs/>
                <w:sz w:val="24"/>
              </w:rPr>
              <w:fldChar w:fldCharType="end"/>
            </w:r>
            <w:r>
              <w:rPr>
                <w:bCs/>
                <w:sz w:val="24"/>
              </w:rPr>
              <w:t>计算出所有室内声源在围护结构处产生的总声压级：</w:t>
            </w:r>
          </w:p>
          <w:p w14:paraId="51C78402">
            <w:pPr>
              <w:spacing w:line="520" w:lineRule="exact"/>
              <w:jc w:val="center"/>
              <w:rPr>
                <w:bCs/>
                <w:sz w:val="24"/>
              </w:rPr>
            </w:pPr>
            <w:r>
              <w:rPr>
                <w:bCs/>
                <w:position w:val="-32"/>
                <w:sz w:val="24"/>
              </w:rPr>
              <w:object>
                <v:shape id="_x0000_i1025" o:spt="75" type="#_x0000_t75" style="height:40.4pt;width:129.4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14:paraId="6E20135F">
            <w:pPr>
              <w:spacing w:line="520" w:lineRule="exact"/>
              <w:ind w:firstLine="480" w:firstLineChars="200"/>
              <w:jc w:val="left"/>
              <w:rPr>
                <w:sz w:val="24"/>
              </w:rPr>
            </w:pPr>
            <w:r>
              <w:rPr>
                <w:bCs/>
                <w:sz w:val="24"/>
              </w:rPr>
              <w:t>式中：</w:t>
            </w:r>
            <w:r>
              <w:rPr>
                <w:rFonts w:eastAsia="Times New Roman"/>
                <w:i/>
                <w:position w:val="2"/>
                <w:sz w:val="24"/>
              </w:rPr>
              <w:t>L</w:t>
            </w:r>
            <w:r>
              <w:rPr>
                <w:rFonts w:eastAsia="Times New Roman"/>
                <w:i/>
                <w:position w:val="-3"/>
                <w:sz w:val="24"/>
              </w:rPr>
              <w:t>p</w:t>
            </w:r>
            <w:r>
              <w:rPr>
                <w:rFonts w:eastAsia="Times New Roman"/>
                <w:position w:val="-3"/>
                <w:sz w:val="24"/>
              </w:rPr>
              <w:t>1</w:t>
            </w:r>
            <w:r>
              <w:rPr>
                <w:sz w:val="24"/>
              </w:rPr>
              <w:t>（</w:t>
            </w:r>
            <w:r>
              <w:rPr>
                <w:rFonts w:eastAsia="Times New Roman"/>
                <w:i/>
                <w:position w:val="2"/>
                <w:sz w:val="24"/>
              </w:rPr>
              <w:t>T</w:t>
            </w:r>
            <w:r>
              <w:rPr>
                <w:sz w:val="24"/>
              </w:rPr>
              <w:t>）</w:t>
            </w:r>
            <w:r>
              <w:rPr>
                <w:rFonts w:eastAsia="Times New Roman"/>
                <w:position w:val="1"/>
                <w:sz w:val="24"/>
              </w:rPr>
              <w:t>——</w:t>
            </w:r>
            <w:r>
              <w:rPr>
                <w:position w:val="1"/>
                <w:sz w:val="24"/>
              </w:rPr>
              <w:t>靠近围护结构处室内</w:t>
            </w:r>
            <w:r>
              <w:rPr>
                <w:rFonts w:eastAsia="Times New Roman"/>
                <w:i/>
                <w:position w:val="1"/>
                <w:sz w:val="24"/>
              </w:rPr>
              <w:t>N</w:t>
            </w:r>
            <w:r>
              <w:rPr>
                <w:position w:val="1"/>
                <w:sz w:val="24"/>
              </w:rPr>
              <w:t>个声源的叠加声压级，</w:t>
            </w:r>
            <w:r>
              <w:rPr>
                <w:rFonts w:eastAsia="Times New Roman"/>
                <w:position w:val="1"/>
                <w:sz w:val="24"/>
              </w:rPr>
              <w:t>dB</w:t>
            </w:r>
            <w:r>
              <w:rPr>
                <w:position w:val="1"/>
                <w:sz w:val="24"/>
              </w:rPr>
              <w:t>（A）；</w:t>
            </w:r>
          </w:p>
          <w:p w14:paraId="5F940AC3">
            <w:pPr>
              <w:spacing w:line="520" w:lineRule="exact"/>
              <w:ind w:firstLine="1200" w:firstLineChars="500"/>
              <w:jc w:val="left"/>
              <w:rPr>
                <w:sz w:val="24"/>
              </w:rPr>
            </w:pPr>
            <w:r>
              <w:rPr>
                <w:rFonts w:eastAsia="Times New Roman"/>
                <w:i/>
                <w:position w:val="3"/>
                <w:sz w:val="24"/>
              </w:rPr>
              <w:t>L</w:t>
            </w:r>
            <w:r>
              <w:rPr>
                <w:rFonts w:eastAsia="Times New Roman"/>
                <w:i/>
                <w:position w:val="-2"/>
                <w:sz w:val="24"/>
              </w:rPr>
              <w:t>p</w:t>
            </w:r>
            <w:r>
              <w:rPr>
                <w:rFonts w:eastAsia="Times New Roman"/>
                <w:position w:val="-2"/>
                <w:sz w:val="24"/>
              </w:rPr>
              <w:t>1</w:t>
            </w:r>
            <w:r>
              <w:rPr>
                <w:rFonts w:eastAsia="Times New Roman"/>
                <w:i/>
                <w:position w:val="-2"/>
                <w:sz w:val="24"/>
              </w:rPr>
              <w:t xml:space="preserve">j </w:t>
            </w:r>
            <w:r>
              <w:rPr>
                <w:rFonts w:eastAsia="Times New Roman"/>
                <w:position w:val="1"/>
                <w:sz w:val="24"/>
              </w:rPr>
              <w:t>——</w:t>
            </w:r>
            <w:r>
              <w:rPr>
                <w:sz w:val="24"/>
              </w:rPr>
              <w:t>室内</w:t>
            </w:r>
            <w:r>
              <w:rPr>
                <w:rFonts w:eastAsia="Times New Roman"/>
                <w:i/>
                <w:position w:val="1"/>
                <w:sz w:val="24"/>
              </w:rPr>
              <w:t>j</w:t>
            </w:r>
            <w:r>
              <w:rPr>
                <w:sz w:val="24"/>
              </w:rPr>
              <w:t>声源的声压级，</w:t>
            </w:r>
            <w:r>
              <w:rPr>
                <w:rFonts w:eastAsia="Times New Roman"/>
                <w:position w:val="1"/>
                <w:sz w:val="24"/>
              </w:rPr>
              <w:t>dB</w:t>
            </w:r>
            <w:r>
              <w:rPr>
                <w:position w:val="1"/>
                <w:sz w:val="24"/>
              </w:rPr>
              <w:t>（A）</w:t>
            </w:r>
            <w:r>
              <w:rPr>
                <w:sz w:val="24"/>
              </w:rPr>
              <w:t>；</w:t>
            </w:r>
          </w:p>
          <w:p w14:paraId="4D6DC05E">
            <w:pPr>
              <w:pStyle w:val="17"/>
              <w:snapToGrid/>
              <w:spacing w:before="0" w:after="0" w:line="520" w:lineRule="exact"/>
              <w:ind w:right="0" w:firstLine="1200" w:firstLineChars="500"/>
              <w:rPr>
                <w:sz w:val="24"/>
                <w:szCs w:val="24"/>
              </w:rPr>
            </w:pPr>
            <w:r>
              <w:rPr>
                <w:rFonts w:eastAsia="Times New Roman"/>
                <w:i/>
                <w:sz w:val="24"/>
                <w:szCs w:val="24"/>
              </w:rPr>
              <w:t xml:space="preserve">N </w:t>
            </w:r>
            <w:r>
              <w:rPr>
                <w:rFonts w:eastAsia="Times New Roman"/>
                <w:position w:val="1"/>
                <w:sz w:val="24"/>
                <w:szCs w:val="24"/>
              </w:rPr>
              <w:t>——</w:t>
            </w:r>
            <w:r>
              <w:rPr>
                <w:sz w:val="24"/>
                <w:szCs w:val="24"/>
              </w:rPr>
              <w:t>室内声源总数。</w:t>
            </w:r>
          </w:p>
          <w:p w14:paraId="0679B4B6">
            <w:pPr>
              <w:spacing w:line="520" w:lineRule="exact"/>
              <w:ind w:firstLine="480" w:firstLineChars="200"/>
              <w:rPr>
                <w:bCs/>
                <w:sz w:val="24"/>
              </w:rPr>
            </w:pPr>
            <w:r>
              <w:rPr>
                <w:bCs/>
                <w:sz w:val="24"/>
              </w:rPr>
              <w:fldChar w:fldCharType="begin"/>
            </w:r>
            <w:r>
              <w:rPr>
                <w:bCs/>
                <w:sz w:val="24"/>
              </w:rPr>
              <w:instrText xml:space="preserve">= 4 \* GB3</w:instrText>
            </w:r>
            <w:r>
              <w:rPr>
                <w:bCs/>
                <w:sz w:val="24"/>
              </w:rPr>
              <w:fldChar w:fldCharType="separate"/>
            </w:r>
            <w:r>
              <w:rPr>
                <w:rFonts w:ascii="Cambria Math" w:hAnsi="Cambria Math" w:cs="Cambria Math"/>
                <w:bCs/>
                <w:sz w:val="24"/>
              </w:rPr>
              <w:t>④</w:t>
            </w:r>
            <w:r>
              <w:rPr>
                <w:bCs/>
                <w:sz w:val="24"/>
              </w:rPr>
              <w:fldChar w:fldCharType="end"/>
            </w:r>
            <w:r>
              <w:rPr>
                <w:bCs/>
                <w:sz w:val="24"/>
              </w:rPr>
              <w:t>计算出室外靠近围护结构处的声压级：</w:t>
            </w:r>
          </w:p>
          <w:p w14:paraId="06166670">
            <w:pPr>
              <w:spacing w:line="520" w:lineRule="exact"/>
              <w:jc w:val="center"/>
              <w:rPr>
                <w:bCs/>
                <w:sz w:val="24"/>
              </w:rPr>
            </w:pPr>
            <w:r>
              <w:drawing>
                <wp:inline distT="0" distB="0" distL="114300" distR="114300">
                  <wp:extent cx="1439545" cy="318135"/>
                  <wp:effectExtent l="0" t="0" r="825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1439545" cy="318135"/>
                          </a:xfrm>
                          <a:prstGeom prst="rect">
                            <a:avLst/>
                          </a:prstGeom>
                          <a:noFill/>
                          <a:ln>
                            <a:noFill/>
                          </a:ln>
                        </pic:spPr>
                      </pic:pic>
                    </a:graphicData>
                  </a:graphic>
                </wp:inline>
              </w:drawing>
            </w:r>
          </w:p>
          <w:p w14:paraId="246492A2">
            <w:pPr>
              <w:widowControl/>
              <w:spacing w:line="520" w:lineRule="exact"/>
              <w:ind w:firstLine="480" w:firstLineChars="200"/>
              <w:rPr>
                <w:position w:val="1"/>
                <w:sz w:val="24"/>
              </w:rPr>
            </w:pPr>
            <w:r>
              <w:rPr>
                <w:position w:val="1"/>
                <w:sz w:val="24"/>
              </w:rPr>
              <w:t>式中：</w:t>
            </w:r>
            <w:r>
              <w:rPr>
                <w:rFonts w:eastAsia="Times New Roman"/>
                <w:i/>
                <w:sz w:val="24"/>
              </w:rPr>
              <w:t>L</w:t>
            </w:r>
            <w:r>
              <w:rPr>
                <w:rFonts w:eastAsia="Times New Roman"/>
                <w:i/>
                <w:position w:val="-4"/>
                <w:sz w:val="24"/>
              </w:rPr>
              <w:t>p</w:t>
            </w:r>
            <w:r>
              <w:rPr>
                <w:rFonts w:eastAsia="Times New Roman"/>
                <w:position w:val="-4"/>
                <w:sz w:val="24"/>
              </w:rPr>
              <w:t>2</w:t>
            </w:r>
            <w:r>
              <w:rPr>
                <w:rFonts w:eastAsia="Times New Roman"/>
                <w:sz w:val="24"/>
              </w:rPr>
              <w:t>(</w:t>
            </w:r>
            <w:r>
              <w:rPr>
                <w:rFonts w:eastAsia="Times New Roman"/>
                <w:i/>
                <w:sz w:val="24"/>
              </w:rPr>
              <w:t>T</w:t>
            </w:r>
            <w:r>
              <w:rPr>
                <w:rFonts w:eastAsia="Times New Roman"/>
                <w:sz w:val="24"/>
              </w:rPr>
              <w:t xml:space="preserve">) </w:t>
            </w:r>
            <w:r>
              <w:rPr>
                <w:rFonts w:eastAsia="Times New Roman"/>
                <w:position w:val="1"/>
                <w:sz w:val="24"/>
              </w:rPr>
              <w:t>——</w:t>
            </w:r>
            <w:r>
              <w:rPr>
                <w:position w:val="1"/>
                <w:sz w:val="24"/>
              </w:rPr>
              <w:t>靠近围护结构处室外</w:t>
            </w:r>
            <w:r>
              <w:rPr>
                <w:rFonts w:eastAsia="Times New Roman"/>
                <w:i/>
                <w:position w:val="1"/>
                <w:sz w:val="24"/>
              </w:rPr>
              <w:t>N</w:t>
            </w:r>
            <w:r>
              <w:rPr>
                <w:position w:val="1"/>
                <w:sz w:val="24"/>
              </w:rPr>
              <w:t>个声源的叠加声压级或A声级，</w:t>
            </w:r>
            <w:r>
              <w:rPr>
                <w:rFonts w:eastAsia="Times New Roman"/>
                <w:position w:val="1"/>
                <w:sz w:val="24"/>
              </w:rPr>
              <w:t>dB</w:t>
            </w:r>
            <w:r>
              <w:rPr>
                <w:position w:val="1"/>
                <w:sz w:val="24"/>
              </w:rPr>
              <w:t>（A）；</w:t>
            </w:r>
          </w:p>
          <w:p w14:paraId="415A1051">
            <w:pPr>
              <w:widowControl/>
              <w:spacing w:line="520" w:lineRule="exact"/>
              <w:ind w:firstLine="1200" w:firstLineChars="500"/>
              <w:rPr>
                <w:position w:val="1"/>
                <w:sz w:val="24"/>
              </w:rPr>
            </w:pPr>
            <w:r>
              <w:rPr>
                <w:rFonts w:eastAsia="Times New Roman"/>
                <w:i/>
                <w:position w:val="2"/>
                <w:sz w:val="24"/>
              </w:rPr>
              <w:t>L</w:t>
            </w:r>
            <w:r>
              <w:rPr>
                <w:rFonts w:eastAsia="Times New Roman"/>
                <w:i/>
                <w:position w:val="-3"/>
                <w:sz w:val="24"/>
              </w:rPr>
              <w:t>p</w:t>
            </w:r>
            <w:r>
              <w:rPr>
                <w:rFonts w:eastAsia="Times New Roman"/>
                <w:position w:val="-3"/>
                <w:sz w:val="24"/>
              </w:rPr>
              <w:t>1</w:t>
            </w:r>
            <w:r>
              <w:rPr>
                <w:sz w:val="24"/>
              </w:rPr>
              <w:t>（</w:t>
            </w:r>
            <w:r>
              <w:rPr>
                <w:rFonts w:eastAsia="Times New Roman"/>
                <w:i/>
                <w:position w:val="2"/>
                <w:sz w:val="24"/>
              </w:rPr>
              <w:t>T</w:t>
            </w:r>
            <w:r>
              <w:rPr>
                <w:sz w:val="24"/>
              </w:rPr>
              <w:t>）</w:t>
            </w:r>
            <w:r>
              <w:rPr>
                <w:rFonts w:eastAsia="Times New Roman"/>
                <w:position w:val="1"/>
                <w:sz w:val="24"/>
              </w:rPr>
              <w:t>——</w:t>
            </w:r>
            <w:r>
              <w:rPr>
                <w:position w:val="1"/>
                <w:sz w:val="24"/>
              </w:rPr>
              <w:t>靠近围护结构处室内</w:t>
            </w:r>
            <w:r>
              <w:rPr>
                <w:rFonts w:eastAsia="Times New Roman"/>
                <w:i/>
                <w:position w:val="1"/>
                <w:sz w:val="24"/>
              </w:rPr>
              <w:t>N</w:t>
            </w:r>
            <w:r>
              <w:rPr>
                <w:position w:val="1"/>
                <w:sz w:val="24"/>
              </w:rPr>
              <w:t>个声源的叠加声压级或A声级，</w:t>
            </w:r>
            <w:r>
              <w:rPr>
                <w:rFonts w:eastAsia="Times New Roman"/>
                <w:position w:val="1"/>
                <w:sz w:val="24"/>
              </w:rPr>
              <w:t>dB</w:t>
            </w:r>
            <w:r>
              <w:rPr>
                <w:position w:val="1"/>
                <w:sz w:val="24"/>
              </w:rPr>
              <w:t>（A）；</w:t>
            </w:r>
          </w:p>
          <w:p w14:paraId="3730C77F">
            <w:pPr>
              <w:widowControl/>
              <w:spacing w:line="520" w:lineRule="exact"/>
              <w:ind w:firstLine="1200" w:firstLineChars="500"/>
              <w:rPr>
                <w:sz w:val="24"/>
              </w:rPr>
            </w:pPr>
            <w:r>
              <w:rPr>
                <w:rFonts w:eastAsia="Times New Roman"/>
                <w:i/>
                <w:position w:val="3"/>
                <w:sz w:val="24"/>
              </w:rPr>
              <w:t>TL</w:t>
            </w:r>
            <w:r>
              <w:rPr>
                <w:rFonts w:eastAsia="Times New Roman"/>
                <w:position w:val="1"/>
                <w:sz w:val="24"/>
              </w:rPr>
              <w:t>——</w:t>
            </w:r>
            <w:r>
              <w:rPr>
                <w:sz w:val="24"/>
              </w:rPr>
              <w:t>围护结构的隔声量，</w:t>
            </w:r>
            <w:r>
              <w:rPr>
                <w:rFonts w:eastAsia="Times New Roman"/>
                <w:position w:val="1"/>
                <w:sz w:val="24"/>
              </w:rPr>
              <w:t>dB</w:t>
            </w:r>
            <w:r>
              <w:rPr>
                <w:position w:val="1"/>
                <w:sz w:val="24"/>
              </w:rPr>
              <w:t>（A）</w:t>
            </w:r>
            <w:r>
              <w:rPr>
                <w:sz w:val="24"/>
              </w:rPr>
              <w:t>。</w:t>
            </w:r>
          </w:p>
          <w:p w14:paraId="65622555">
            <w:pPr>
              <w:spacing w:line="520" w:lineRule="exact"/>
              <w:ind w:firstLine="480" w:firstLineChars="200"/>
              <w:rPr>
                <w:bCs/>
                <w:sz w:val="24"/>
              </w:rPr>
            </w:pPr>
            <w:r>
              <w:rPr>
                <w:bCs/>
                <w:sz w:val="24"/>
              </w:rPr>
              <w:fldChar w:fldCharType="begin"/>
            </w:r>
            <w:r>
              <w:rPr>
                <w:bCs/>
                <w:sz w:val="24"/>
              </w:rPr>
              <w:instrText xml:space="preserve">= 5 \* GB3</w:instrText>
            </w:r>
            <w:r>
              <w:rPr>
                <w:bCs/>
                <w:sz w:val="24"/>
              </w:rPr>
              <w:fldChar w:fldCharType="separate"/>
            </w:r>
            <w:r>
              <w:rPr>
                <w:rFonts w:ascii="Cambria Math" w:hAnsi="Cambria Math" w:cs="Cambria Math"/>
                <w:bCs/>
                <w:sz w:val="24"/>
              </w:rPr>
              <w:t>⑤</w:t>
            </w:r>
            <w:r>
              <w:rPr>
                <w:bCs/>
                <w:sz w:val="24"/>
              </w:rPr>
              <w:fldChar w:fldCharType="end"/>
            </w:r>
            <w:r>
              <w:rPr>
                <w:bCs/>
                <w:sz w:val="24"/>
              </w:rPr>
              <w:t>将室外声级</w:t>
            </w:r>
            <w:r>
              <w:rPr>
                <w:rFonts w:eastAsia="Times New Roman"/>
                <w:i/>
                <w:sz w:val="24"/>
              </w:rPr>
              <w:t>L</w:t>
            </w:r>
            <w:r>
              <w:rPr>
                <w:rFonts w:eastAsia="Times New Roman"/>
                <w:i/>
                <w:position w:val="-4"/>
                <w:sz w:val="24"/>
              </w:rPr>
              <w:t>p</w:t>
            </w:r>
            <w:r>
              <w:rPr>
                <w:rFonts w:eastAsia="Times New Roman"/>
                <w:position w:val="-4"/>
                <w:sz w:val="24"/>
              </w:rPr>
              <w:t>2</w:t>
            </w:r>
            <w:r>
              <w:rPr>
                <w:rFonts w:eastAsia="Times New Roman"/>
                <w:sz w:val="24"/>
              </w:rPr>
              <w:t>(</w:t>
            </w:r>
            <w:r>
              <w:rPr>
                <w:rFonts w:eastAsia="Times New Roman"/>
                <w:i/>
                <w:sz w:val="24"/>
              </w:rPr>
              <w:t>T</w:t>
            </w:r>
            <w:r>
              <w:rPr>
                <w:rFonts w:eastAsia="Times New Roman"/>
                <w:sz w:val="24"/>
              </w:rPr>
              <w:t>)</w:t>
            </w:r>
            <w:r>
              <w:rPr>
                <w:sz w:val="24"/>
              </w:rPr>
              <w:t>和透声面积换算成等效的室外声源，计算出等效声源的声功率级：</w:t>
            </w:r>
          </w:p>
          <w:p w14:paraId="013F11B0">
            <w:pPr>
              <w:spacing w:line="520" w:lineRule="exact"/>
              <w:jc w:val="center"/>
              <w:rPr>
                <w:bCs/>
                <w:color w:val="EE0000"/>
                <w:sz w:val="24"/>
              </w:rPr>
            </w:pPr>
            <w:r>
              <w:rPr>
                <w:color w:val="EE0000"/>
                <w:sz w:val="24"/>
              </w:rPr>
              <w:drawing>
                <wp:inline distT="0" distB="0" distL="114300" distR="114300">
                  <wp:extent cx="1532255" cy="273685"/>
                  <wp:effectExtent l="0" t="0" r="1079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1532255" cy="273685"/>
                          </a:xfrm>
                          <a:prstGeom prst="rect">
                            <a:avLst/>
                          </a:prstGeom>
                          <a:noFill/>
                          <a:ln>
                            <a:noFill/>
                          </a:ln>
                        </pic:spPr>
                      </pic:pic>
                    </a:graphicData>
                  </a:graphic>
                </wp:inline>
              </w:drawing>
            </w:r>
          </w:p>
          <w:p w14:paraId="6B963E50">
            <w:pPr>
              <w:spacing w:line="520" w:lineRule="exact"/>
              <w:ind w:firstLine="480" w:firstLineChars="200"/>
              <w:rPr>
                <w:bCs/>
                <w:sz w:val="24"/>
              </w:rPr>
            </w:pPr>
            <w:r>
              <w:rPr>
                <w:bCs/>
                <w:sz w:val="24"/>
              </w:rPr>
              <w:t>式中：S为透声面积，m</w:t>
            </w:r>
            <w:r>
              <w:rPr>
                <w:bCs/>
                <w:sz w:val="24"/>
                <w:vertAlign w:val="superscript"/>
              </w:rPr>
              <w:t>2</w:t>
            </w:r>
            <w:r>
              <w:rPr>
                <w:bCs/>
                <w:sz w:val="24"/>
              </w:rPr>
              <w:t>。</w:t>
            </w:r>
          </w:p>
          <w:p w14:paraId="7DE177CC">
            <w:pPr>
              <w:spacing w:line="520" w:lineRule="exact"/>
              <w:ind w:firstLine="480" w:firstLineChars="200"/>
              <w:rPr>
                <w:bCs/>
                <w:sz w:val="24"/>
              </w:rPr>
            </w:pPr>
            <w:r>
              <w:rPr>
                <w:bCs/>
                <w:sz w:val="24"/>
              </w:rPr>
              <w:fldChar w:fldCharType="begin"/>
            </w:r>
            <w:r>
              <w:rPr>
                <w:bCs/>
                <w:sz w:val="24"/>
              </w:rPr>
              <w:instrText xml:space="preserve">= 6 \* GB3</w:instrText>
            </w:r>
            <w:r>
              <w:rPr>
                <w:bCs/>
                <w:sz w:val="24"/>
              </w:rPr>
              <w:fldChar w:fldCharType="separate"/>
            </w:r>
            <w:r>
              <w:rPr>
                <w:rFonts w:ascii="Cambria Math" w:hAnsi="Cambria Math" w:cs="Cambria Math"/>
                <w:bCs/>
                <w:sz w:val="24"/>
              </w:rPr>
              <w:t>⑥</w:t>
            </w:r>
            <w:r>
              <w:rPr>
                <w:bCs/>
                <w:sz w:val="24"/>
              </w:rPr>
              <w:fldChar w:fldCharType="end"/>
            </w:r>
            <w:r>
              <w:rPr>
                <w:bCs/>
                <w:sz w:val="24"/>
              </w:rPr>
              <w:t>等效室外声源的位置为围护结构的位置，其声功率级为Lw，由此按室外声源办法计算等效室外声源在预测点产生的A声级。</w:t>
            </w:r>
          </w:p>
          <w:p w14:paraId="4DBDD8B3">
            <w:pPr>
              <w:spacing w:line="520" w:lineRule="exact"/>
              <w:ind w:firstLine="480" w:firstLineChars="200"/>
              <w:rPr>
                <w:bCs/>
                <w:sz w:val="24"/>
              </w:rPr>
            </w:pPr>
            <w:r>
              <w:rPr>
                <w:bCs/>
                <w:sz w:val="24"/>
              </w:rPr>
              <w:t>（3）室外声源</w:t>
            </w:r>
          </w:p>
          <w:p w14:paraId="072F3428">
            <w:pPr>
              <w:spacing w:line="520" w:lineRule="exact"/>
              <w:ind w:firstLine="480" w:firstLineChars="200"/>
              <w:rPr>
                <w:bCs/>
                <w:sz w:val="24"/>
              </w:rPr>
            </w:pPr>
            <w:r>
              <w:rPr>
                <w:bCs/>
                <w:sz w:val="24"/>
              </w:rPr>
              <w:t>计算某个声源在预测点的声压级：</w:t>
            </w:r>
          </w:p>
          <w:p w14:paraId="38F08FF0">
            <w:pPr>
              <w:spacing w:line="360" w:lineRule="auto"/>
              <w:jc w:val="center"/>
              <w:rPr>
                <w:bCs/>
                <w:sz w:val="24"/>
              </w:rPr>
            </w:pPr>
            <w:r>
              <w:drawing>
                <wp:inline distT="0" distB="0" distL="114300" distR="114300">
                  <wp:extent cx="1895475" cy="304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1895475" cy="304800"/>
                          </a:xfrm>
                          <a:prstGeom prst="rect">
                            <a:avLst/>
                          </a:prstGeom>
                          <a:noFill/>
                          <a:ln>
                            <a:noFill/>
                          </a:ln>
                        </pic:spPr>
                      </pic:pic>
                    </a:graphicData>
                  </a:graphic>
                </wp:inline>
              </w:drawing>
            </w:r>
          </w:p>
          <w:p w14:paraId="7FCEC6DF">
            <w:pPr>
              <w:spacing w:line="520" w:lineRule="exact"/>
              <w:ind w:firstLine="480" w:firstLineChars="200"/>
              <w:rPr>
                <w:bCs/>
                <w:sz w:val="24"/>
              </w:rPr>
            </w:pPr>
            <w:r>
              <w:rPr>
                <w:bCs/>
                <w:sz w:val="24"/>
              </w:rPr>
              <w:t>式中：L</w:t>
            </w:r>
            <w:r>
              <w:rPr>
                <w:bCs/>
                <w:sz w:val="24"/>
                <w:vertAlign w:val="subscript"/>
              </w:rPr>
              <w:t>A</w:t>
            </w:r>
            <w:r>
              <w:rPr>
                <w:bCs/>
                <w:sz w:val="24"/>
              </w:rPr>
              <w:t>(r) ——点声源在预测点处声压级，dB（A）；</w:t>
            </w:r>
          </w:p>
          <w:p w14:paraId="3AB04D4D">
            <w:pPr>
              <w:spacing w:line="520" w:lineRule="exact"/>
              <w:ind w:firstLine="1200" w:firstLineChars="500"/>
              <w:rPr>
                <w:bCs/>
                <w:sz w:val="24"/>
              </w:rPr>
            </w:pPr>
            <w:r>
              <w:rPr>
                <w:bCs/>
                <w:sz w:val="24"/>
              </w:rPr>
              <w:t>L</w:t>
            </w:r>
            <w:r>
              <w:rPr>
                <w:bCs/>
                <w:sz w:val="24"/>
                <w:vertAlign w:val="subscript"/>
              </w:rPr>
              <w:t>A</w:t>
            </w:r>
            <w:r>
              <w:rPr>
                <w:bCs/>
                <w:sz w:val="24"/>
              </w:rPr>
              <w:t>(r0) ——参考位置r0处的声压级，dB（A）；</w:t>
            </w:r>
          </w:p>
          <w:p w14:paraId="18925938">
            <w:pPr>
              <w:spacing w:line="520" w:lineRule="exact"/>
              <w:ind w:firstLine="1200" w:firstLineChars="500"/>
              <w:rPr>
                <w:bCs/>
                <w:sz w:val="24"/>
              </w:rPr>
            </w:pPr>
            <w:r>
              <w:rPr>
                <w:bCs/>
                <w:sz w:val="24"/>
              </w:rPr>
              <w:t>r——预测点距声源的距离，m；</w:t>
            </w:r>
          </w:p>
          <w:p w14:paraId="41756F71">
            <w:pPr>
              <w:spacing w:line="520" w:lineRule="exact"/>
              <w:ind w:firstLine="1200" w:firstLineChars="500"/>
              <w:rPr>
                <w:bCs/>
                <w:sz w:val="24"/>
              </w:rPr>
            </w:pPr>
            <w:r>
              <w:rPr>
                <w:bCs/>
                <w:sz w:val="24"/>
              </w:rPr>
              <w:t>r0——参考位置距声源的距离，m；</w:t>
            </w:r>
          </w:p>
          <w:p w14:paraId="5141216F">
            <w:pPr>
              <w:spacing w:line="520" w:lineRule="exact"/>
              <w:ind w:firstLine="1200" w:firstLineChars="500"/>
              <w:rPr>
                <w:bCs/>
                <w:sz w:val="24"/>
              </w:rPr>
            </w:pPr>
            <w:r>
              <w:rPr>
                <w:bCs/>
                <w:sz w:val="24"/>
              </w:rPr>
              <w:t>Adiv——几何发散引起的衰减，dB；</w:t>
            </w:r>
          </w:p>
          <w:p w14:paraId="4AAC81EE">
            <w:pPr>
              <w:spacing w:line="520" w:lineRule="exact"/>
              <w:ind w:firstLine="1200" w:firstLineChars="500"/>
              <w:rPr>
                <w:bCs/>
                <w:sz w:val="24"/>
              </w:rPr>
            </w:pPr>
            <w:r>
              <w:rPr>
                <w:bCs/>
                <w:sz w:val="24"/>
              </w:rPr>
              <w:t>Abar ——障碍物屏蔽引起的衰减，dB。</w:t>
            </w:r>
          </w:p>
          <w:p w14:paraId="570162CC">
            <w:pPr>
              <w:spacing w:line="520" w:lineRule="exact"/>
              <w:ind w:firstLine="480" w:firstLineChars="200"/>
              <w:rPr>
                <w:bCs/>
                <w:sz w:val="24"/>
              </w:rPr>
            </w:pPr>
            <w:r>
              <w:rPr>
                <w:bCs/>
                <w:sz w:val="24"/>
              </w:rPr>
              <w:t>（4）计算总声压级</w:t>
            </w:r>
          </w:p>
          <w:p w14:paraId="6B38160E">
            <w:pPr>
              <w:spacing w:line="520" w:lineRule="exact"/>
              <w:ind w:firstLine="480" w:firstLineChars="200"/>
              <w:rPr>
                <w:bCs/>
                <w:sz w:val="24"/>
              </w:rPr>
            </w:pPr>
            <w:r>
              <w:rPr>
                <w:bCs/>
                <w:sz w:val="24"/>
              </w:rPr>
              <w:t>设第i个室外声源在预测点产生的A声级为L</w:t>
            </w:r>
            <w:r>
              <w:rPr>
                <w:bCs/>
                <w:sz w:val="24"/>
                <w:vertAlign w:val="subscript"/>
              </w:rPr>
              <w:t>Ai</w:t>
            </w:r>
            <w:r>
              <w:rPr>
                <w:bCs/>
                <w:sz w:val="24"/>
              </w:rPr>
              <w:t>，在T时间内该声源工作时间为t</w:t>
            </w:r>
            <w:r>
              <w:rPr>
                <w:bCs/>
                <w:sz w:val="24"/>
                <w:vertAlign w:val="subscript"/>
              </w:rPr>
              <w:t>i</w:t>
            </w:r>
            <w:r>
              <w:rPr>
                <w:bCs/>
                <w:sz w:val="24"/>
              </w:rPr>
              <w:t>；第j个等效室外声源在预测点产生的A声级为L</w:t>
            </w:r>
            <w:r>
              <w:rPr>
                <w:bCs/>
                <w:sz w:val="24"/>
                <w:vertAlign w:val="subscript"/>
              </w:rPr>
              <w:t>Aj</w:t>
            </w:r>
            <w:r>
              <w:rPr>
                <w:bCs/>
                <w:sz w:val="24"/>
              </w:rPr>
              <w:t>，在T时间内该声源工作时间为t</w:t>
            </w:r>
            <w:r>
              <w:rPr>
                <w:bCs/>
                <w:sz w:val="24"/>
                <w:vertAlign w:val="subscript"/>
              </w:rPr>
              <w:t>j</w:t>
            </w:r>
            <w:r>
              <w:rPr>
                <w:bCs/>
                <w:sz w:val="24"/>
              </w:rPr>
              <w:t>，则拟建工程声源对预测点产生的贡献值（Leqg）为：</w:t>
            </w:r>
          </w:p>
          <w:p w14:paraId="61B31124">
            <w:pPr>
              <w:spacing w:line="360" w:lineRule="auto"/>
              <w:jc w:val="center"/>
              <w:rPr>
                <w:bCs/>
                <w:sz w:val="24"/>
              </w:rPr>
            </w:pPr>
            <w:r>
              <w:drawing>
                <wp:inline distT="0" distB="0" distL="114300" distR="114300">
                  <wp:extent cx="3181350" cy="626745"/>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3181350" cy="626745"/>
                          </a:xfrm>
                          <a:prstGeom prst="rect">
                            <a:avLst/>
                          </a:prstGeom>
                          <a:noFill/>
                          <a:ln>
                            <a:noFill/>
                          </a:ln>
                        </pic:spPr>
                      </pic:pic>
                    </a:graphicData>
                  </a:graphic>
                </wp:inline>
              </w:drawing>
            </w:r>
          </w:p>
          <w:p w14:paraId="2DA58E3C">
            <w:pPr>
              <w:spacing w:line="520" w:lineRule="exact"/>
              <w:ind w:firstLine="480" w:firstLineChars="200"/>
              <w:rPr>
                <w:bCs/>
                <w:sz w:val="24"/>
              </w:rPr>
            </w:pPr>
            <w:r>
              <w:rPr>
                <w:bCs/>
                <w:sz w:val="24"/>
              </w:rPr>
              <w:t>式中：T——用于计算等效声级的时间，s；</w:t>
            </w:r>
          </w:p>
          <w:p w14:paraId="434E6CD0">
            <w:pPr>
              <w:spacing w:line="520" w:lineRule="exact"/>
              <w:ind w:firstLine="1200" w:firstLineChars="500"/>
              <w:rPr>
                <w:bCs/>
                <w:sz w:val="24"/>
              </w:rPr>
            </w:pPr>
            <w:r>
              <w:rPr>
                <w:bCs/>
                <w:sz w:val="24"/>
              </w:rPr>
              <w:t>N——室外声源个数；</w:t>
            </w:r>
          </w:p>
          <w:p w14:paraId="32B1394F">
            <w:pPr>
              <w:spacing w:line="520" w:lineRule="exact"/>
              <w:ind w:firstLine="1200" w:firstLineChars="500"/>
              <w:rPr>
                <w:bCs/>
                <w:sz w:val="24"/>
              </w:rPr>
            </w:pPr>
            <w:r>
              <w:rPr>
                <w:bCs/>
                <w:sz w:val="24"/>
              </w:rPr>
              <w:t>t</w:t>
            </w:r>
            <w:r>
              <w:rPr>
                <w:bCs/>
                <w:sz w:val="24"/>
                <w:vertAlign w:val="subscript"/>
              </w:rPr>
              <w:t>i</w:t>
            </w:r>
            <w:r>
              <w:rPr>
                <w:bCs/>
                <w:sz w:val="24"/>
              </w:rPr>
              <w:t>——在T时间内i声源工作时间，s；</w:t>
            </w:r>
          </w:p>
          <w:p w14:paraId="53F06C0E">
            <w:pPr>
              <w:spacing w:line="520" w:lineRule="exact"/>
              <w:ind w:firstLine="1200" w:firstLineChars="500"/>
              <w:rPr>
                <w:bCs/>
                <w:sz w:val="24"/>
              </w:rPr>
            </w:pPr>
            <w:r>
              <w:rPr>
                <w:bCs/>
                <w:sz w:val="24"/>
              </w:rPr>
              <w:t>M——等效室外声源个数；</w:t>
            </w:r>
          </w:p>
          <w:p w14:paraId="496E458E">
            <w:pPr>
              <w:spacing w:line="520" w:lineRule="exact"/>
              <w:ind w:firstLine="1200" w:firstLineChars="500"/>
              <w:rPr>
                <w:bCs/>
                <w:sz w:val="24"/>
              </w:rPr>
            </w:pPr>
            <w:r>
              <w:rPr>
                <w:bCs/>
                <w:sz w:val="24"/>
              </w:rPr>
              <w:t>t</w:t>
            </w:r>
            <w:r>
              <w:rPr>
                <w:bCs/>
                <w:sz w:val="24"/>
                <w:vertAlign w:val="subscript"/>
              </w:rPr>
              <w:t>j</w:t>
            </w:r>
            <w:r>
              <w:rPr>
                <w:bCs/>
                <w:sz w:val="24"/>
              </w:rPr>
              <w:t>——在T时间内j声源工作时间，s。</w:t>
            </w:r>
          </w:p>
          <w:p w14:paraId="266F24B7">
            <w:pPr>
              <w:spacing w:line="520" w:lineRule="exact"/>
              <w:ind w:firstLine="480" w:firstLineChars="200"/>
              <w:rPr>
                <w:bCs/>
                <w:sz w:val="24"/>
              </w:rPr>
            </w:pPr>
            <w:r>
              <w:rPr>
                <w:bCs/>
                <w:sz w:val="24"/>
              </w:rPr>
              <w:t>（5）噪声预测计算</w:t>
            </w:r>
          </w:p>
          <w:p w14:paraId="10E048F0">
            <w:pPr>
              <w:spacing w:line="360" w:lineRule="auto"/>
              <w:jc w:val="center"/>
              <w:rPr>
                <w:bCs/>
                <w:sz w:val="24"/>
              </w:rPr>
            </w:pPr>
            <w:r>
              <w:drawing>
                <wp:inline distT="0" distB="0" distL="114300" distR="114300">
                  <wp:extent cx="2171700" cy="447040"/>
                  <wp:effectExtent l="0" t="0" r="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2171700" cy="447040"/>
                          </a:xfrm>
                          <a:prstGeom prst="rect">
                            <a:avLst/>
                          </a:prstGeom>
                          <a:noFill/>
                          <a:ln>
                            <a:noFill/>
                          </a:ln>
                        </pic:spPr>
                      </pic:pic>
                    </a:graphicData>
                  </a:graphic>
                </wp:inline>
              </w:drawing>
            </w:r>
          </w:p>
          <w:p w14:paraId="075AEB78">
            <w:pPr>
              <w:spacing w:line="520" w:lineRule="exact"/>
              <w:ind w:firstLine="480" w:firstLineChars="200"/>
              <w:rPr>
                <w:bCs/>
                <w:sz w:val="24"/>
              </w:rPr>
            </w:pPr>
            <w:r>
              <w:rPr>
                <w:bCs/>
                <w:sz w:val="24"/>
              </w:rPr>
              <w:t>式中：Leq——预测点的噪声预测值，dB（A）；</w:t>
            </w:r>
          </w:p>
          <w:p w14:paraId="46080A9F">
            <w:pPr>
              <w:spacing w:line="520" w:lineRule="exact"/>
              <w:ind w:firstLine="1200" w:firstLineChars="500"/>
              <w:rPr>
                <w:bCs/>
                <w:sz w:val="24"/>
              </w:rPr>
            </w:pPr>
            <w:r>
              <w:rPr>
                <w:bCs/>
                <w:sz w:val="24"/>
              </w:rPr>
              <w:t>Leqg——建设项目声源在预测点产生的噪声贡献值，dB（A）；</w:t>
            </w:r>
          </w:p>
          <w:p w14:paraId="3D8C6029">
            <w:pPr>
              <w:spacing w:line="520" w:lineRule="exact"/>
              <w:ind w:firstLine="1200" w:firstLineChars="500"/>
              <w:rPr>
                <w:bCs/>
                <w:sz w:val="24"/>
              </w:rPr>
            </w:pPr>
            <w:r>
              <w:rPr>
                <w:bCs/>
                <w:sz w:val="24"/>
              </w:rPr>
              <w:t>Leqb——预测点的背景噪声值，dB（A）。</w:t>
            </w:r>
          </w:p>
          <w:p w14:paraId="74645CEB">
            <w:pPr>
              <w:spacing w:line="520" w:lineRule="exact"/>
              <w:ind w:firstLine="480" w:firstLineChars="200"/>
              <w:rPr>
                <w:sz w:val="24"/>
              </w:rPr>
            </w:pPr>
            <w:r>
              <w:rPr>
                <w:sz w:val="24"/>
              </w:rPr>
              <w:t>项目噪声源强调查清单见表4-22~4-23，厂界噪声预测结果见表4-24。</w:t>
            </w:r>
          </w:p>
          <w:p w14:paraId="28B8EABE">
            <w:pPr>
              <w:spacing w:line="520" w:lineRule="exact"/>
              <w:jc w:val="center"/>
              <w:rPr>
                <w:rFonts w:eastAsia="黑体"/>
                <w:sz w:val="24"/>
              </w:rPr>
            </w:pPr>
            <w:r>
              <w:rPr>
                <w:rFonts w:eastAsia="黑体"/>
                <w:sz w:val="24"/>
              </w:rPr>
              <w:t>表4-22      本项目噪声源强调查清单（室内）       单位：dB（A）</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096"/>
              <w:gridCol w:w="753"/>
              <w:gridCol w:w="636"/>
              <w:gridCol w:w="542"/>
              <w:gridCol w:w="565"/>
              <w:gridCol w:w="417"/>
              <w:gridCol w:w="654"/>
              <w:gridCol w:w="654"/>
              <w:gridCol w:w="654"/>
              <w:gridCol w:w="584"/>
              <w:gridCol w:w="869"/>
            </w:tblGrid>
            <w:tr w14:paraId="1C8F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58" w:type="pct"/>
                  <w:vMerge w:val="restart"/>
                  <w:vAlign w:val="center"/>
                </w:tcPr>
                <w:p w14:paraId="43867FFD">
                  <w:pPr>
                    <w:adjustRightInd w:val="0"/>
                    <w:snapToGrid w:val="0"/>
                    <w:jc w:val="center"/>
                    <w:rPr>
                      <w:szCs w:val="21"/>
                    </w:rPr>
                  </w:pPr>
                  <w:bookmarkStart w:id="41" w:name="OLE_LINK111"/>
                  <w:r>
                    <w:rPr>
                      <w:szCs w:val="21"/>
                    </w:rPr>
                    <w:t>建筑物名称</w:t>
                  </w:r>
                </w:p>
              </w:tc>
              <w:tc>
                <w:tcPr>
                  <w:tcW w:w="257" w:type="pct"/>
                  <w:vMerge w:val="restart"/>
                  <w:vAlign w:val="center"/>
                </w:tcPr>
                <w:p w14:paraId="19E8D9CA">
                  <w:pPr>
                    <w:adjustRightInd w:val="0"/>
                    <w:snapToGrid w:val="0"/>
                    <w:jc w:val="center"/>
                    <w:rPr>
                      <w:szCs w:val="21"/>
                    </w:rPr>
                  </w:pPr>
                  <w:r>
                    <w:rPr>
                      <w:szCs w:val="21"/>
                    </w:rPr>
                    <w:t>建筑物边界</w:t>
                  </w:r>
                </w:p>
              </w:tc>
              <w:tc>
                <w:tcPr>
                  <w:tcW w:w="663" w:type="pct"/>
                  <w:vMerge w:val="restart"/>
                  <w:vAlign w:val="center"/>
                </w:tcPr>
                <w:p w14:paraId="14F7DBCC">
                  <w:pPr>
                    <w:adjustRightInd w:val="0"/>
                    <w:snapToGrid w:val="0"/>
                    <w:jc w:val="center"/>
                    <w:rPr>
                      <w:szCs w:val="21"/>
                    </w:rPr>
                  </w:pPr>
                  <w:r>
                    <w:rPr>
                      <w:szCs w:val="21"/>
                    </w:rPr>
                    <w:t>声源名称</w:t>
                  </w:r>
                </w:p>
              </w:tc>
              <w:tc>
                <w:tcPr>
                  <w:tcW w:w="454" w:type="pct"/>
                  <w:vMerge w:val="restart"/>
                  <w:vAlign w:val="center"/>
                </w:tcPr>
                <w:p w14:paraId="03B7EA8B">
                  <w:pPr>
                    <w:adjustRightInd w:val="0"/>
                    <w:snapToGrid w:val="0"/>
                    <w:jc w:val="center"/>
                    <w:rPr>
                      <w:szCs w:val="21"/>
                    </w:rPr>
                  </w:pPr>
                  <w:r>
                    <w:rPr>
                      <w:szCs w:val="21"/>
                    </w:rPr>
                    <w:t>源强</w:t>
                  </w:r>
                  <w:r>
                    <w:t xml:space="preserve"> </w:t>
                  </w:r>
                  <w:r>
                    <w:rPr>
                      <w:szCs w:val="21"/>
                    </w:rPr>
                    <w:t>dB(A)</w:t>
                  </w:r>
                </w:p>
              </w:tc>
              <w:tc>
                <w:tcPr>
                  <w:tcW w:w="384" w:type="pct"/>
                  <w:vMerge w:val="restart"/>
                  <w:vAlign w:val="center"/>
                </w:tcPr>
                <w:p w14:paraId="41AD8A46">
                  <w:pPr>
                    <w:adjustRightInd w:val="0"/>
                    <w:snapToGrid w:val="0"/>
                    <w:jc w:val="center"/>
                    <w:rPr>
                      <w:szCs w:val="21"/>
                    </w:rPr>
                  </w:pPr>
                  <w:r>
                    <w:rPr>
                      <w:szCs w:val="21"/>
                    </w:rPr>
                    <w:t>控制措施</w:t>
                  </w:r>
                </w:p>
              </w:tc>
              <w:tc>
                <w:tcPr>
                  <w:tcW w:w="922" w:type="pct"/>
                  <w:gridSpan w:val="3"/>
                  <w:vAlign w:val="center"/>
                </w:tcPr>
                <w:p w14:paraId="399E669D">
                  <w:pPr>
                    <w:adjustRightInd w:val="0"/>
                    <w:snapToGrid w:val="0"/>
                    <w:jc w:val="center"/>
                    <w:rPr>
                      <w:szCs w:val="21"/>
                    </w:rPr>
                  </w:pPr>
                  <w:r>
                    <w:rPr>
                      <w:szCs w:val="21"/>
                    </w:rPr>
                    <w:t>空间相对位置/m</w:t>
                  </w:r>
                </w:p>
              </w:tc>
              <w:tc>
                <w:tcPr>
                  <w:tcW w:w="395" w:type="pct"/>
                  <w:vMerge w:val="restart"/>
                  <w:vAlign w:val="center"/>
                </w:tcPr>
                <w:p w14:paraId="0CD35DF2">
                  <w:pPr>
                    <w:adjustRightInd w:val="0"/>
                    <w:snapToGrid w:val="0"/>
                    <w:jc w:val="center"/>
                    <w:rPr>
                      <w:szCs w:val="21"/>
                    </w:rPr>
                  </w:pPr>
                  <w:r>
                    <w:rPr>
                      <w:szCs w:val="21"/>
                    </w:rPr>
                    <w:t>距室内边界最近距离m</w:t>
                  </w:r>
                </w:p>
              </w:tc>
              <w:tc>
                <w:tcPr>
                  <w:tcW w:w="395" w:type="pct"/>
                  <w:vMerge w:val="restart"/>
                  <w:vAlign w:val="center"/>
                </w:tcPr>
                <w:p w14:paraId="23C7B647">
                  <w:pPr>
                    <w:adjustRightInd w:val="0"/>
                    <w:snapToGrid w:val="0"/>
                    <w:jc w:val="center"/>
                    <w:rPr>
                      <w:szCs w:val="21"/>
                    </w:rPr>
                  </w:pPr>
                  <w:r>
                    <w:rPr>
                      <w:szCs w:val="21"/>
                    </w:rPr>
                    <w:t>室内边界声级</w:t>
                  </w:r>
                </w:p>
              </w:tc>
              <w:tc>
                <w:tcPr>
                  <w:tcW w:w="395" w:type="pct"/>
                  <w:vMerge w:val="restart"/>
                  <w:vAlign w:val="center"/>
                </w:tcPr>
                <w:p w14:paraId="3FA87F76">
                  <w:pPr>
                    <w:adjustRightInd w:val="0"/>
                    <w:snapToGrid w:val="0"/>
                    <w:jc w:val="center"/>
                    <w:rPr>
                      <w:szCs w:val="21"/>
                    </w:rPr>
                  </w:pPr>
                  <w:r>
                    <w:rPr>
                      <w:szCs w:val="21"/>
                    </w:rPr>
                    <w:t>建筑物插入损失</w:t>
                  </w:r>
                </w:p>
              </w:tc>
              <w:tc>
                <w:tcPr>
                  <w:tcW w:w="878" w:type="pct"/>
                  <w:gridSpan w:val="2"/>
                  <w:vAlign w:val="center"/>
                </w:tcPr>
                <w:p w14:paraId="3E2E9826">
                  <w:pPr>
                    <w:adjustRightInd w:val="0"/>
                    <w:snapToGrid w:val="0"/>
                    <w:jc w:val="center"/>
                    <w:rPr>
                      <w:szCs w:val="21"/>
                    </w:rPr>
                  </w:pPr>
                  <w:r>
                    <w:rPr>
                      <w:szCs w:val="21"/>
                    </w:rPr>
                    <w:t>建筑物外噪声</w:t>
                  </w:r>
                </w:p>
              </w:tc>
            </w:tr>
            <w:tr w14:paraId="116A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8" w:type="pct"/>
                  <w:vMerge w:val="continue"/>
                  <w:vAlign w:val="center"/>
                </w:tcPr>
                <w:p w14:paraId="547F0986">
                  <w:pPr>
                    <w:adjustRightInd w:val="0"/>
                    <w:snapToGrid w:val="0"/>
                    <w:jc w:val="center"/>
                    <w:rPr>
                      <w:szCs w:val="21"/>
                    </w:rPr>
                  </w:pPr>
                </w:p>
              </w:tc>
              <w:tc>
                <w:tcPr>
                  <w:tcW w:w="257" w:type="pct"/>
                  <w:vMerge w:val="continue"/>
                  <w:vAlign w:val="center"/>
                </w:tcPr>
                <w:p w14:paraId="289D3937">
                  <w:pPr>
                    <w:adjustRightInd w:val="0"/>
                    <w:snapToGrid w:val="0"/>
                    <w:jc w:val="center"/>
                    <w:rPr>
                      <w:szCs w:val="21"/>
                    </w:rPr>
                  </w:pPr>
                </w:p>
              </w:tc>
              <w:tc>
                <w:tcPr>
                  <w:tcW w:w="663" w:type="pct"/>
                  <w:vMerge w:val="continue"/>
                  <w:vAlign w:val="center"/>
                </w:tcPr>
                <w:p w14:paraId="32A8BD29">
                  <w:pPr>
                    <w:adjustRightInd w:val="0"/>
                    <w:snapToGrid w:val="0"/>
                    <w:jc w:val="center"/>
                    <w:rPr>
                      <w:szCs w:val="21"/>
                    </w:rPr>
                  </w:pPr>
                </w:p>
              </w:tc>
              <w:tc>
                <w:tcPr>
                  <w:tcW w:w="454" w:type="pct"/>
                  <w:vMerge w:val="continue"/>
                  <w:vAlign w:val="center"/>
                </w:tcPr>
                <w:p w14:paraId="0E6DA0FE">
                  <w:pPr>
                    <w:adjustRightInd w:val="0"/>
                    <w:snapToGrid w:val="0"/>
                    <w:jc w:val="center"/>
                    <w:rPr>
                      <w:szCs w:val="21"/>
                    </w:rPr>
                  </w:pPr>
                </w:p>
              </w:tc>
              <w:tc>
                <w:tcPr>
                  <w:tcW w:w="384" w:type="pct"/>
                  <w:vMerge w:val="continue"/>
                  <w:vAlign w:val="center"/>
                </w:tcPr>
                <w:p w14:paraId="1EC5F49C">
                  <w:pPr>
                    <w:adjustRightInd w:val="0"/>
                    <w:snapToGrid w:val="0"/>
                    <w:jc w:val="center"/>
                    <w:rPr>
                      <w:szCs w:val="21"/>
                    </w:rPr>
                  </w:pPr>
                </w:p>
              </w:tc>
              <w:tc>
                <w:tcPr>
                  <w:tcW w:w="328" w:type="pct"/>
                  <w:vAlign w:val="center"/>
                </w:tcPr>
                <w:p w14:paraId="2B45D153">
                  <w:pPr>
                    <w:adjustRightInd w:val="0"/>
                    <w:snapToGrid w:val="0"/>
                    <w:jc w:val="center"/>
                    <w:rPr>
                      <w:szCs w:val="21"/>
                    </w:rPr>
                  </w:pPr>
                  <w:r>
                    <w:rPr>
                      <w:szCs w:val="21"/>
                    </w:rPr>
                    <w:t>X</w:t>
                  </w:r>
                </w:p>
              </w:tc>
              <w:tc>
                <w:tcPr>
                  <w:tcW w:w="342" w:type="pct"/>
                  <w:vAlign w:val="center"/>
                </w:tcPr>
                <w:p w14:paraId="307C3006">
                  <w:pPr>
                    <w:adjustRightInd w:val="0"/>
                    <w:snapToGrid w:val="0"/>
                    <w:jc w:val="center"/>
                    <w:rPr>
                      <w:szCs w:val="21"/>
                    </w:rPr>
                  </w:pPr>
                  <w:r>
                    <w:rPr>
                      <w:szCs w:val="21"/>
                    </w:rPr>
                    <w:t>Y</w:t>
                  </w:r>
                </w:p>
              </w:tc>
              <w:tc>
                <w:tcPr>
                  <w:tcW w:w="252" w:type="pct"/>
                  <w:vAlign w:val="center"/>
                </w:tcPr>
                <w:p w14:paraId="274B2BF9">
                  <w:pPr>
                    <w:adjustRightInd w:val="0"/>
                    <w:snapToGrid w:val="0"/>
                    <w:jc w:val="center"/>
                    <w:rPr>
                      <w:szCs w:val="21"/>
                    </w:rPr>
                  </w:pPr>
                  <w:r>
                    <w:rPr>
                      <w:szCs w:val="21"/>
                    </w:rPr>
                    <w:t>Z</w:t>
                  </w:r>
                </w:p>
              </w:tc>
              <w:tc>
                <w:tcPr>
                  <w:tcW w:w="395" w:type="pct"/>
                  <w:vMerge w:val="continue"/>
                  <w:vAlign w:val="center"/>
                </w:tcPr>
                <w:p w14:paraId="09E2C87A">
                  <w:pPr>
                    <w:adjustRightInd w:val="0"/>
                    <w:snapToGrid w:val="0"/>
                    <w:jc w:val="center"/>
                    <w:rPr>
                      <w:szCs w:val="21"/>
                    </w:rPr>
                  </w:pPr>
                </w:p>
              </w:tc>
              <w:tc>
                <w:tcPr>
                  <w:tcW w:w="395" w:type="pct"/>
                  <w:vMerge w:val="continue"/>
                  <w:vAlign w:val="center"/>
                </w:tcPr>
                <w:p w14:paraId="5C319BB4">
                  <w:pPr>
                    <w:adjustRightInd w:val="0"/>
                    <w:snapToGrid w:val="0"/>
                    <w:jc w:val="center"/>
                    <w:rPr>
                      <w:szCs w:val="21"/>
                    </w:rPr>
                  </w:pPr>
                </w:p>
              </w:tc>
              <w:tc>
                <w:tcPr>
                  <w:tcW w:w="395" w:type="pct"/>
                  <w:vMerge w:val="continue"/>
                  <w:vAlign w:val="center"/>
                </w:tcPr>
                <w:p w14:paraId="762F28BF">
                  <w:pPr>
                    <w:adjustRightInd w:val="0"/>
                    <w:snapToGrid w:val="0"/>
                    <w:jc w:val="center"/>
                    <w:rPr>
                      <w:szCs w:val="21"/>
                    </w:rPr>
                  </w:pPr>
                </w:p>
              </w:tc>
              <w:tc>
                <w:tcPr>
                  <w:tcW w:w="352" w:type="pct"/>
                  <w:vAlign w:val="center"/>
                </w:tcPr>
                <w:p w14:paraId="0A3B17DC">
                  <w:pPr>
                    <w:adjustRightInd w:val="0"/>
                    <w:snapToGrid w:val="0"/>
                    <w:jc w:val="center"/>
                    <w:rPr>
                      <w:szCs w:val="21"/>
                    </w:rPr>
                  </w:pPr>
                  <w:r>
                    <w:rPr>
                      <w:szCs w:val="21"/>
                    </w:rPr>
                    <w:t>声压级</w:t>
                  </w:r>
                </w:p>
              </w:tc>
              <w:tc>
                <w:tcPr>
                  <w:tcW w:w="525" w:type="pct"/>
                  <w:vAlign w:val="center"/>
                </w:tcPr>
                <w:p w14:paraId="180EF8C3">
                  <w:pPr>
                    <w:adjustRightInd w:val="0"/>
                    <w:snapToGrid w:val="0"/>
                    <w:jc w:val="center"/>
                    <w:rPr>
                      <w:szCs w:val="21"/>
                    </w:rPr>
                  </w:pPr>
                  <w:r>
                    <w:rPr>
                      <w:szCs w:val="21"/>
                    </w:rPr>
                    <w:t>建筑物外距离（m）</w:t>
                  </w:r>
                </w:p>
              </w:tc>
            </w:tr>
            <w:tr w14:paraId="2A95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restart"/>
                  <w:vAlign w:val="center"/>
                </w:tcPr>
                <w:p w14:paraId="2F6498DC">
                  <w:pPr>
                    <w:adjustRightInd w:val="0"/>
                    <w:snapToGrid w:val="0"/>
                    <w:jc w:val="center"/>
                    <w:rPr>
                      <w:szCs w:val="21"/>
                    </w:rPr>
                  </w:pPr>
                  <w:r>
                    <w:rPr>
                      <w:szCs w:val="21"/>
                    </w:rPr>
                    <w:t>混料车间</w:t>
                  </w:r>
                </w:p>
              </w:tc>
              <w:tc>
                <w:tcPr>
                  <w:tcW w:w="257" w:type="pct"/>
                  <w:vMerge w:val="restart"/>
                  <w:vAlign w:val="center"/>
                </w:tcPr>
                <w:p w14:paraId="414906B0">
                  <w:pPr>
                    <w:jc w:val="center"/>
                    <w:rPr>
                      <w:szCs w:val="21"/>
                    </w:rPr>
                  </w:pPr>
                  <w:r>
                    <w:rPr>
                      <w:szCs w:val="21"/>
                    </w:rPr>
                    <w:t>东边界</w:t>
                  </w:r>
                </w:p>
              </w:tc>
              <w:tc>
                <w:tcPr>
                  <w:tcW w:w="663" w:type="pct"/>
                  <w:vAlign w:val="center"/>
                </w:tcPr>
                <w:p w14:paraId="299274D1">
                  <w:pPr>
                    <w:widowControl/>
                    <w:jc w:val="center"/>
                    <w:textAlignment w:val="center"/>
                    <w:rPr>
                      <w:szCs w:val="21"/>
                    </w:rPr>
                  </w:pPr>
                  <w:r>
                    <w:rPr>
                      <w:szCs w:val="21"/>
                    </w:rPr>
                    <w:t>双级破碎机</w:t>
                  </w:r>
                </w:p>
              </w:tc>
              <w:tc>
                <w:tcPr>
                  <w:tcW w:w="454" w:type="pct"/>
                  <w:vAlign w:val="center"/>
                </w:tcPr>
                <w:p w14:paraId="72983876">
                  <w:pPr>
                    <w:adjustRightInd w:val="0"/>
                    <w:snapToGrid w:val="0"/>
                    <w:jc w:val="center"/>
                    <w:rPr>
                      <w:szCs w:val="21"/>
                    </w:rPr>
                  </w:pPr>
                  <w:r>
                    <w:rPr>
                      <w:szCs w:val="21"/>
                    </w:rPr>
                    <w:t>90</w:t>
                  </w:r>
                </w:p>
              </w:tc>
              <w:tc>
                <w:tcPr>
                  <w:tcW w:w="384" w:type="pct"/>
                  <w:vMerge w:val="restart"/>
                  <w:vAlign w:val="center"/>
                </w:tcPr>
                <w:p w14:paraId="54BAEC18">
                  <w:pPr>
                    <w:adjustRightInd w:val="0"/>
                    <w:snapToGrid w:val="0"/>
                    <w:jc w:val="center"/>
                    <w:rPr>
                      <w:szCs w:val="21"/>
                    </w:rPr>
                  </w:pPr>
                  <w:r>
                    <w:rPr>
                      <w:szCs w:val="21"/>
                    </w:rPr>
                    <w:t>减振、隔声</w:t>
                  </w:r>
                </w:p>
              </w:tc>
              <w:tc>
                <w:tcPr>
                  <w:tcW w:w="328" w:type="pct"/>
                  <w:vAlign w:val="center"/>
                </w:tcPr>
                <w:p w14:paraId="22003DD8">
                  <w:pPr>
                    <w:adjustRightInd w:val="0"/>
                    <w:snapToGrid w:val="0"/>
                    <w:jc w:val="center"/>
                    <w:rPr>
                      <w:szCs w:val="21"/>
                    </w:rPr>
                  </w:pPr>
                  <w:r>
                    <w:rPr>
                      <w:szCs w:val="21"/>
                    </w:rPr>
                    <w:t>130</w:t>
                  </w:r>
                </w:p>
              </w:tc>
              <w:tc>
                <w:tcPr>
                  <w:tcW w:w="342" w:type="pct"/>
                  <w:vAlign w:val="center"/>
                </w:tcPr>
                <w:p w14:paraId="7E515B3C">
                  <w:pPr>
                    <w:adjustRightInd w:val="0"/>
                    <w:snapToGrid w:val="0"/>
                    <w:jc w:val="center"/>
                    <w:rPr>
                      <w:szCs w:val="21"/>
                    </w:rPr>
                  </w:pPr>
                  <w:r>
                    <w:rPr>
                      <w:szCs w:val="21"/>
                    </w:rPr>
                    <w:t>225</w:t>
                  </w:r>
                </w:p>
              </w:tc>
              <w:tc>
                <w:tcPr>
                  <w:tcW w:w="252" w:type="pct"/>
                  <w:vAlign w:val="center"/>
                </w:tcPr>
                <w:p w14:paraId="12260FD9">
                  <w:pPr>
                    <w:adjustRightInd w:val="0"/>
                    <w:snapToGrid w:val="0"/>
                    <w:jc w:val="center"/>
                    <w:rPr>
                      <w:szCs w:val="21"/>
                    </w:rPr>
                  </w:pPr>
                  <w:r>
                    <w:rPr>
                      <w:szCs w:val="21"/>
                    </w:rPr>
                    <w:t>-2</w:t>
                  </w:r>
                </w:p>
              </w:tc>
              <w:tc>
                <w:tcPr>
                  <w:tcW w:w="395" w:type="pct"/>
                  <w:vAlign w:val="center"/>
                </w:tcPr>
                <w:p w14:paraId="593AC5D5">
                  <w:pPr>
                    <w:adjustRightInd w:val="0"/>
                    <w:snapToGrid w:val="0"/>
                    <w:jc w:val="center"/>
                    <w:rPr>
                      <w:szCs w:val="21"/>
                    </w:rPr>
                  </w:pPr>
                  <w:r>
                    <w:rPr>
                      <w:szCs w:val="21"/>
                    </w:rPr>
                    <w:t>13</w:t>
                  </w:r>
                </w:p>
              </w:tc>
              <w:tc>
                <w:tcPr>
                  <w:tcW w:w="395" w:type="pct"/>
                  <w:shd w:val="clear" w:color="auto" w:fill="auto"/>
                  <w:vAlign w:val="center"/>
                </w:tcPr>
                <w:p w14:paraId="3EC45997">
                  <w:pPr>
                    <w:adjustRightInd w:val="0"/>
                    <w:snapToGrid w:val="0"/>
                    <w:jc w:val="center"/>
                    <w:rPr>
                      <w:szCs w:val="21"/>
                    </w:rPr>
                  </w:pPr>
                  <w:r>
                    <w:rPr>
                      <w:szCs w:val="21"/>
                    </w:rPr>
                    <w:t>67.7</w:t>
                  </w:r>
                </w:p>
              </w:tc>
              <w:tc>
                <w:tcPr>
                  <w:tcW w:w="395" w:type="pct"/>
                  <w:vAlign w:val="center"/>
                </w:tcPr>
                <w:p w14:paraId="0DADCE33">
                  <w:pPr>
                    <w:adjustRightInd w:val="0"/>
                    <w:snapToGrid w:val="0"/>
                    <w:jc w:val="center"/>
                    <w:rPr>
                      <w:szCs w:val="21"/>
                    </w:rPr>
                  </w:pPr>
                  <w:r>
                    <w:rPr>
                      <w:szCs w:val="21"/>
                    </w:rPr>
                    <w:t>20</w:t>
                  </w:r>
                </w:p>
              </w:tc>
              <w:tc>
                <w:tcPr>
                  <w:tcW w:w="352" w:type="pct"/>
                  <w:shd w:val="clear" w:color="auto" w:fill="auto"/>
                  <w:vAlign w:val="center"/>
                </w:tcPr>
                <w:p w14:paraId="5FCC33EC">
                  <w:pPr>
                    <w:jc w:val="center"/>
                    <w:rPr>
                      <w:szCs w:val="21"/>
                    </w:rPr>
                  </w:pPr>
                  <w:r>
                    <w:rPr>
                      <w:szCs w:val="21"/>
                    </w:rPr>
                    <w:t>47.7</w:t>
                  </w:r>
                </w:p>
              </w:tc>
              <w:tc>
                <w:tcPr>
                  <w:tcW w:w="525" w:type="pct"/>
                  <w:vAlign w:val="center"/>
                </w:tcPr>
                <w:p w14:paraId="37F0C3D2">
                  <w:pPr>
                    <w:adjustRightInd w:val="0"/>
                    <w:snapToGrid w:val="0"/>
                    <w:jc w:val="center"/>
                    <w:rPr>
                      <w:szCs w:val="21"/>
                    </w:rPr>
                  </w:pPr>
                  <w:r>
                    <w:rPr>
                      <w:szCs w:val="21"/>
                    </w:rPr>
                    <w:t>1</w:t>
                  </w:r>
                </w:p>
              </w:tc>
            </w:tr>
            <w:tr w14:paraId="41D4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53215936">
                  <w:pPr>
                    <w:adjustRightInd w:val="0"/>
                    <w:snapToGrid w:val="0"/>
                    <w:jc w:val="center"/>
                    <w:rPr>
                      <w:szCs w:val="21"/>
                    </w:rPr>
                  </w:pPr>
                </w:p>
              </w:tc>
              <w:tc>
                <w:tcPr>
                  <w:tcW w:w="257" w:type="pct"/>
                  <w:vMerge w:val="continue"/>
                  <w:vAlign w:val="center"/>
                </w:tcPr>
                <w:p w14:paraId="41685B23">
                  <w:pPr>
                    <w:jc w:val="center"/>
                    <w:rPr>
                      <w:szCs w:val="21"/>
                    </w:rPr>
                  </w:pPr>
                </w:p>
              </w:tc>
              <w:tc>
                <w:tcPr>
                  <w:tcW w:w="663" w:type="pct"/>
                  <w:vAlign w:val="center"/>
                </w:tcPr>
                <w:p w14:paraId="5B7D247B">
                  <w:pPr>
                    <w:widowControl/>
                    <w:jc w:val="center"/>
                    <w:textAlignment w:val="center"/>
                    <w:rPr>
                      <w:color w:val="FF0000"/>
                      <w:szCs w:val="21"/>
                      <w:u w:val="single"/>
                    </w:rPr>
                  </w:pPr>
                  <w:r>
                    <w:rPr>
                      <w:color w:val="FF0000"/>
                      <w:szCs w:val="21"/>
                      <w:u w:val="single"/>
                    </w:rPr>
                    <w:t>滚筒筛1</w:t>
                  </w:r>
                </w:p>
              </w:tc>
              <w:tc>
                <w:tcPr>
                  <w:tcW w:w="454" w:type="pct"/>
                  <w:vAlign w:val="center"/>
                </w:tcPr>
                <w:p w14:paraId="6AED698F">
                  <w:pPr>
                    <w:adjustRightInd w:val="0"/>
                    <w:snapToGrid w:val="0"/>
                    <w:jc w:val="center"/>
                    <w:rPr>
                      <w:color w:val="FF0000"/>
                      <w:szCs w:val="21"/>
                      <w:u w:val="single"/>
                    </w:rPr>
                  </w:pPr>
                  <w:r>
                    <w:rPr>
                      <w:color w:val="FF0000"/>
                      <w:szCs w:val="21"/>
                      <w:u w:val="single"/>
                    </w:rPr>
                    <w:t>85</w:t>
                  </w:r>
                </w:p>
              </w:tc>
              <w:tc>
                <w:tcPr>
                  <w:tcW w:w="384" w:type="pct"/>
                  <w:vMerge w:val="continue"/>
                  <w:vAlign w:val="center"/>
                </w:tcPr>
                <w:p w14:paraId="30F77BDA">
                  <w:pPr>
                    <w:adjustRightInd w:val="0"/>
                    <w:snapToGrid w:val="0"/>
                    <w:jc w:val="center"/>
                    <w:rPr>
                      <w:color w:val="FF0000"/>
                      <w:szCs w:val="21"/>
                      <w:u w:val="single"/>
                    </w:rPr>
                  </w:pPr>
                </w:p>
              </w:tc>
              <w:tc>
                <w:tcPr>
                  <w:tcW w:w="328" w:type="pct"/>
                  <w:vAlign w:val="center"/>
                </w:tcPr>
                <w:p w14:paraId="21571910">
                  <w:pPr>
                    <w:adjustRightInd w:val="0"/>
                    <w:snapToGrid w:val="0"/>
                    <w:jc w:val="center"/>
                    <w:rPr>
                      <w:color w:val="FF0000"/>
                      <w:szCs w:val="21"/>
                      <w:u w:val="single"/>
                    </w:rPr>
                  </w:pPr>
                  <w:r>
                    <w:rPr>
                      <w:color w:val="FF0000"/>
                      <w:szCs w:val="21"/>
                      <w:u w:val="single"/>
                    </w:rPr>
                    <w:t>144</w:t>
                  </w:r>
                </w:p>
              </w:tc>
              <w:tc>
                <w:tcPr>
                  <w:tcW w:w="342" w:type="pct"/>
                  <w:vAlign w:val="center"/>
                </w:tcPr>
                <w:p w14:paraId="25693D80">
                  <w:pPr>
                    <w:adjustRightInd w:val="0"/>
                    <w:snapToGrid w:val="0"/>
                    <w:jc w:val="center"/>
                    <w:rPr>
                      <w:color w:val="FF0000"/>
                      <w:szCs w:val="21"/>
                      <w:u w:val="single"/>
                    </w:rPr>
                  </w:pPr>
                  <w:r>
                    <w:rPr>
                      <w:color w:val="FF0000"/>
                      <w:szCs w:val="21"/>
                      <w:u w:val="single"/>
                    </w:rPr>
                    <w:t>228</w:t>
                  </w:r>
                </w:p>
              </w:tc>
              <w:tc>
                <w:tcPr>
                  <w:tcW w:w="252" w:type="pct"/>
                  <w:vAlign w:val="center"/>
                </w:tcPr>
                <w:p w14:paraId="5169244D">
                  <w:pPr>
                    <w:adjustRightInd w:val="0"/>
                    <w:snapToGrid w:val="0"/>
                    <w:jc w:val="center"/>
                    <w:rPr>
                      <w:color w:val="FF0000"/>
                      <w:szCs w:val="21"/>
                      <w:u w:val="single"/>
                    </w:rPr>
                  </w:pPr>
                  <w:r>
                    <w:rPr>
                      <w:color w:val="FF0000"/>
                      <w:szCs w:val="21"/>
                      <w:u w:val="single"/>
                    </w:rPr>
                    <w:t>-2</w:t>
                  </w:r>
                </w:p>
              </w:tc>
              <w:tc>
                <w:tcPr>
                  <w:tcW w:w="395" w:type="pct"/>
                  <w:vAlign w:val="center"/>
                </w:tcPr>
                <w:p w14:paraId="49A27EC8">
                  <w:pPr>
                    <w:adjustRightInd w:val="0"/>
                    <w:snapToGrid w:val="0"/>
                    <w:jc w:val="center"/>
                    <w:rPr>
                      <w:color w:val="FF0000"/>
                      <w:szCs w:val="21"/>
                      <w:u w:val="single"/>
                    </w:rPr>
                  </w:pPr>
                  <w:r>
                    <w:rPr>
                      <w:color w:val="FF0000"/>
                      <w:szCs w:val="21"/>
                      <w:u w:val="single"/>
                    </w:rPr>
                    <w:t>3</w:t>
                  </w:r>
                </w:p>
              </w:tc>
              <w:tc>
                <w:tcPr>
                  <w:tcW w:w="395" w:type="pct"/>
                  <w:shd w:val="clear" w:color="auto" w:fill="auto"/>
                  <w:vAlign w:val="center"/>
                </w:tcPr>
                <w:p w14:paraId="79E68C34">
                  <w:pPr>
                    <w:adjustRightInd w:val="0"/>
                    <w:snapToGrid w:val="0"/>
                    <w:jc w:val="center"/>
                    <w:rPr>
                      <w:color w:val="FF0000"/>
                      <w:szCs w:val="21"/>
                      <w:u w:val="single"/>
                    </w:rPr>
                  </w:pPr>
                  <w:r>
                    <w:rPr>
                      <w:color w:val="FF0000"/>
                      <w:szCs w:val="21"/>
                      <w:u w:val="single"/>
                    </w:rPr>
                    <w:t>75.5</w:t>
                  </w:r>
                </w:p>
              </w:tc>
              <w:tc>
                <w:tcPr>
                  <w:tcW w:w="395" w:type="pct"/>
                  <w:vAlign w:val="center"/>
                </w:tcPr>
                <w:p w14:paraId="1C9DA705">
                  <w:pPr>
                    <w:adjustRightInd w:val="0"/>
                    <w:snapToGrid w:val="0"/>
                    <w:jc w:val="center"/>
                    <w:rPr>
                      <w:color w:val="FF0000"/>
                      <w:szCs w:val="21"/>
                      <w:u w:val="single"/>
                    </w:rPr>
                  </w:pPr>
                  <w:r>
                    <w:rPr>
                      <w:color w:val="FF0000"/>
                      <w:szCs w:val="21"/>
                      <w:u w:val="single"/>
                    </w:rPr>
                    <w:t>20</w:t>
                  </w:r>
                </w:p>
              </w:tc>
              <w:tc>
                <w:tcPr>
                  <w:tcW w:w="352" w:type="pct"/>
                  <w:shd w:val="clear" w:color="auto" w:fill="auto"/>
                  <w:vAlign w:val="center"/>
                </w:tcPr>
                <w:p w14:paraId="671D35AB">
                  <w:pPr>
                    <w:jc w:val="center"/>
                    <w:rPr>
                      <w:color w:val="FF0000"/>
                      <w:szCs w:val="21"/>
                      <w:u w:val="single"/>
                    </w:rPr>
                  </w:pPr>
                  <w:r>
                    <w:rPr>
                      <w:color w:val="FF0000"/>
                      <w:szCs w:val="21"/>
                      <w:u w:val="single"/>
                    </w:rPr>
                    <w:t>55.5</w:t>
                  </w:r>
                </w:p>
              </w:tc>
              <w:tc>
                <w:tcPr>
                  <w:tcW w:w="525" w:type="pct"/>
                  <w:vAlign w:val="center"/>
                </w:tcPr>
                <w:p w14:paraId="66A0CC91">
                  <w:pPr>
                    <w:adjustRightInd w:val="0"/>
                    <w:snapToGrid w:val="0"/>
                    <w:jc w:val="center"/>
                    <w:rPr>
                      <w:color w:val="FF0000"/>
                      <w:szCs w:val="21"/>
                      <w:u w:val="single"/>
                    </w:rPr>
                  </w:pPr>
                  <w:r>
                    <w:rPr>
                      <w:color w:val="FF0000"/>
                      <w:szCs w:val="21"/>
                      <w:u w:val="single"/>
                    </w:rPr>
                    <w:t>1</w:t>
                  </w:r>
                </w:p>
              </w:tc>
            </w:tr>
            <w:tr w14:paraId="4875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6F93F840">
                  <w:pPr>
                    <w:adjustRightInd w:val="0"/>
                    <w:snapToGrid w:val="0"/>
                    <w:jc w:val="center"/>
                    <w:rPr>
                      <w:szCs w:val="21"/>
                    </w:rPr>
                  </w:pPr>
                </w:p>
              </w:tc>
              <w:tc>
                <w:tcPr>
                  <w:tcW w:w="257" w:type="pct"/>
                  <w:vMerge w:val="continue"/>
                  <w:vAlign w:val="center"/>
                </w:tcPr>
                <w:p w14:paraId="1AA7AD22">
                  <w:pPr>
                    <w:jc w:val="center"/>
                    <w:rPr>
                      <w:szCs w:val="21"/>
                    </w:rPr>
                  </w:pPr>
                </w:p>
              </w:tc>
              <w:tc>
                <w:tcPr>
                  <w:tcW w:w="663" w:type="pct"/>
                  <w:vAlign w:val="center"/>
                </w:tcPr>
                <w:p w14:paraId="2DA9AAD3">
                  <w:pPr>
                    <w:widowControl/>
                    <w:jc w:val="center"/>
                    <w:textAlignment w:val="center"/>
                    <w:rPr>
                      <w:color w:val="FF0000"/>
                      <w:szCs w:val="21"/>
                      <w:u w:val="single"/>
                    </w:rPr>
                  </w:pPr>
                  <w:r>
                    <w:rPr>
                      <w:color w:val="FF0000"/>
                      <w:szCs w:val="21"/>
                      <w:u w:val="single"/>
                    </w:rPr>
                    <w:t>滚筒筛2</w:t>
                  </w:r>
                </w:p>
              </w:tc>
              <w:tc>
                <w:tcPr>
                  <w:tcW w:w="454" w:type="pct"/>
                  <w:vAlign w:val="center"/>
                </w:tcPr>
                <w:p w14:paraId="610B2057">
                  <w:pPr>
                    <w:adjustRightInd w:val="0"/>
                    <w:snapToGrid w:val="0"/>
                    <w:jc w:val="center"/>
                    <w:rPr>
                      <w:color w:val="FF0000"/>
                      <w:szCs w:val="21"/>
                      <w:u w:val="single"/>
                    </w:rPr>
                  </w:pPr>
                  <w:r>
                    <w:rPr>
                      <w:color w:val="FF0000"/>
                      <w:szCs w:val="21"/>
                      <w:u w:val="single"/>
                    </w:rPr>
                    <w:t>85</w:t>
                  </w:r>
                </w:p>
              </w:tc>
              <w:tc>
                <w:tcPr>
                  <w:tcW w:w="384" w:type="pct"/>
                  <w:vMerge w:val="continue"/>
                  <w:vAlign w:val="center"/>
                </w:tcPr>
                <w:p w14:paraId="02E49296">
                  <w:pPr>
                    <w:adjustRightInd w:val="0"/>
                    <w:snapToGrid w:val="0"/>
                    <w:jc w:val="center"/>
                    <w:rPr>
                      <w:color w:val="FF0000"/>
                      <w:szCs w:val="21"/>
                      <w:u w:val="single"/>
                    </w:rPr>
                  </w:pPr>
                </w:p>
              </w:tc>
              <w:tc>
                <w:tcPr>
                  <w:tcW w:w="328" w:type="pct"/>
                  <w:vAlign w:val="center"/>
                </w:tcPr>
                <w:p w14:paraId="15D823F7">
                  <w:pPr>
                    <w:adjustRightInd w:val="0"/>
                    <w:snapToGrid w:val="0"/>
                    <w:jc w:val="center"/>
                    <w:rPr>
                      <w:color w:val="FF0000"/>
                      <w:szCs w:val="21"/>
                      <w:u w:val="single"/>
                    </w:rPr>
                  </w:pPr>
                  <w:r>
                    <w:rPr>
                      <w:color w:val="FF0000"/>
                      <w:szCs w:val="21"/>
                      <w:u w:val="single"/>
                    </w:rPr>
                    <w:t>144</w:t>
                  </w:r>
                </w:p>
              </w:tc>
              <w:tc>
                <w:tcPr>
                  <w:tcW w:w="342" w:type="pct"/>
                  <w:vAlign w:val="center"/>
                </w:tcPr>
                <w:p w14:paraId="1FE8794D">
                  <w:pPr>
                    <w:adjustRightInd w:val="0"/>
                    <w:snapToGrid w:val="0"/>
                    <w:jc w:val="center"/>
                    <w:rPr>
                      <w:color w:val="FF0000"/>
                      <w:szCs w:val="21"/>
                      <w:u w:val="single"/>
                    </w:rPr>
                  </w:pPr>
                  <w:r>
                    <w:rPr>
                      <w:color w:val="FF0000"/>
                      <w:szCs w:val="21"/>
                      <w:u w:val="single"/>
                    </w:rPr>
                    <w:t>230</w:t>
                  </w:r>
                </w:p>
              </w:tc>
              <w:tc>
                <w:tcPr>
                  <w:tcW w:w="252" w:type="pct"/>
                  <w:vAlign w:val="center"/>
                </w:tcPr>
                <w:p w14:paraId="34823CCA">
                  <w:pPr>
                    <w:adjustRightInd w:val="0"/>
                    <w:snapToGrid w:val="0"/>
                    <w:jc w:val="center"/>
                    <w:rPr>
                      <w:color w:val="FF0000"/>
                      <w:szCs w:val="21"/>
                      <w:u w:val="single"/>
                    </w:rPr>
                  </w:pPr>
                  <w:r>
                    <w:rPr>
                      <w:color w:val="FF0000"/>
                      <w:szCs w:val="21"/>
                      <w:u w:val="single"/>
                    </w:rPr>
                    <w:t>-2</w:t>
                  </w:r>
                </w:p>
              </w:tc>
              <w:tc>
                <w:tcPr>
                  <w:tcW w:w="395" w:type="pct"/>
                  <w:vAlign w:val="center"/>
                </w:tcPr>
                <w:p w14:paraId="0362E59B">
                  <w:pPr>
                    <w:adjustRightInd w:val="0"/>
                    <w:snapToGrid w:val="0"/>
                    <w:jc w:val="center"/>
                    <w:rPr>
                      <w:color w:val="FF0000"/>
                      <w:szCs w:val="21"/>
                      <w:u w:val="single"/>
                    </w:rPr>
                  </w:pPr>
                  <w:r>
                    <w:rPr>
                      <w:color w:val="FF0000"/>
                      <w:szCs w:val="21"/>
                      <w:u w:val="single"/>
                    </w:rPr>
                    <w:t>3</w:t>
                  </w:r>
                </w:p>
              </w:tc>
              <w:tc>
                <w:tcPr>
                  <w:tcW w:w="395" w:type="pct"/>
                  <w:shd w:val="clear" w:color="auto" w:fill="auto"/>
                  <w:vAlign w:val="center"/>
                </w:tcPr>
                <w:p w14:paraId="040F2515">
                  <w:pPr>
                    <w:adjustRightInd w:val="0"/>
                    <w:snapToGrid w:val="0"/>
                    <w:jc w:val="center"/>
                    <w:rPr>
                      <w:color w:val="FF0000"/>
                      <w:szCs w:val="21"/>
                      <w:u w:val="single"/>
                    </w:rPr>
                  </w:pPr>
                  <w:r>
                    <w:rPr>
                      <w:color w:val="FF0000"/>
                      <w:szCs w:val="21"/>
                      <w:u w:val="single"/>
                    </w:rPr>
                    <w:t>75.5</w:t>
                  </w:r>
                </w:p>
              </w:tc>
              <w:tc>
                <w:tcPr>
                  <w:tcW w:w="395" w:type="pct"/>
                  <w:vAlign w:val="center"/>
                </w:tcPr>
                <w:p w14:paraId="540E4BD4">
                  <w:pPr>
                    <w:adjustRightInd w:val="0"/>
                    <w:snapToGrid w:val="0"/>
                    <w:jc w:val="center"/>
                    <w:rPr>
                      <w:color w:val="FF0000"/>
                      <w:szCs w:val="21"/>
                      <w:u w:val="single"/>
                    </w:rPr>
                  </w:pPr>
                  <w:r>
                    <w:rPr>
                      <w:color w:val="FF0000"/>
                      <w:szCs w:val="21"/>
                      <w:u w:val="single"/>
                    </w:rPr>
                    <w:t>20</w:t>
                  </w:r>
                </w:p>
              </w:tc>
              <w:tc>
                <w:tcPr>
                  <w:tcW w:w="352" w:type="pct"/>
                  <w:shd w:val="clear" w:color="auto" w:fill="auto"/>
                  <w:vAlign w:val="center"/>
                </w:tcPr>
                <w:p w14:paraId="437FDC82">
                  <w:pPr>
                    <w:jc w:val="center"/>
                    <w:rPr>
                      <w:color w:val="FF0000"/>
                      <w:szCs w:val="21"/>
                      <w:u w:val="single"/>
                    </w:rPr>
                  </w:pPr>
                  <w:r>
                    <w:rPr>
                      <w:color w:val="FF0000"/>
                      <w:szCs w:val="21"/>
                      <w:u w:val="single"/>
                    </w:rPr>
                    <w:t>55.5</w:t>
                  </w:r>
                </w:p>
              </w:tc>
              <w:tc>
                <w:tcPr>
                  <w:tcW w:w="525" w:type="pct"/>
                  <w:vAlign w:val="center"/>
                </w:tcPr>
                <w:p w14:paraId="1B3B2E90">
                  <w:pPr>
                    <w:adjustRightInd w:val="0"/>
                    <w:snapToGrid w:val="0"/>
                    <w:jc w:val="center"/>
                    <w:rPr>
                      <w:color w:val="FF0000"/>
                      <w:szCs w:val="21"/>
                      <w:u w:val="single"/>
                    </w:rPr>
                  </w:pPr>
                  <w:r>
                    <w:rPr>
                      <w:color w:val="FF0000"/>
                      <w:szCs w:val="21"/>
                      <w:u w:val="single"/>
                    </w:rPr>
                    <w:t>1</w:t>
                  </w:r>
                </w:p>
              </w:tc>
            </w:tr>
            <w:tr w14:paraId="44EB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6F5FEE31">
                  <w:pPr>
                    <w:adjustRightInd w:val="0"/>
                    <w:snapToGrid w:val="0"/>
                    <w:jc w:val="center"/>
                    <w:rPr>
                      <w:szCs w:val="21"/>
                    </w:rPr>
                  </w:pPr>
                </w:p>
              </w:tc>
              <w:tc>
                <w:tcPr>
                  <w:tcW w:w="257" w:type="pct"/>
                  <w:vMerge w:val="restart"/>
                  <w:vAlign w:val="center"/>
                </w:tcPr>
                <w:p w14:paraId="4E41B1FB">
                  <w:pPr>
                    <w:jc w:val="center"/>
                    <w:rPr>
                      <w:szCs w:val="21"/>
                    </w:rPr>
                  </w:pPr>
                  <w:r>
                    <w:rPr>
                      <w:szCs w:val="21"/>
                    </w:rPr>
                    <w:t>西边界</w:t>
                  </w:r>
                </w:p>
              </w:tc>
              <w:tc>
                <w:tcPr>
                  <w:tcW w:w="663" w:type="pct"/>
                  <w:vAlign w:val="center"/>
                </w:tcPr>
                <w:p w14:paraId="4955BE7A">
                  <w:pPr>
                    <w:widowControl/>
                    <w:jc w:val="center"/>
                    <w:textAlignment w:val="center"/>
                    <w:rPr>
                      <w:szCs w:val="21"/>
                    </w:rPr>
                  </w:pPr>
                  <w:r>
                    <w:rPr>
                      <w:szCs w:val="21"/>
                    </w:rPr>
                    <w:t>双级破碎机</w:t>
                  </w:r>
                </w:p>
              </w:tc>
              <w:tc>
                <w:tcPr>
                  <w:tcW w:w="454" w:type="pct"/>
                  <w:vAlign w:val="center"/>
                </w:tcPr>
                <w:p w14:paraId="7979356B">
                  <w:pPr>
                    <w:adjustRightInd w:val="0"/>
                    <w:snapToGrid w:val="0"/>
                    <w:jc w:val="center"/>
                    <w:rPr>
                      <w:szCs w:val="21"/>
                    </w:rPr>
                  </w:pPr>
                  <w:r>
                    <w:rPr>
                      <w:szCs w:val="21"/>
                    </w:rPr>
                    <w:t>90</w:t>
                  </w:r>
                </w:p>
              </w:tc>
              <w:tc>
                <w:tcPr>
                  <w:tcW w:w="384" w:type="pct"/>
                  <w:vMerge w:val="continue"/>
                  <w:vAlign w:val="center"/>
                </w:tcPr>
                <w:p w14:paraId="3A0347AD">
                  <w:pPr>
                    <w:adjustRightInd w:val="0"/>
                    <w:snapToGrid w:val="0"/>
                    <w:jc w:val="center"/>
                    <w:rPr>
                      <w:szCs w:val="21"/>
                    </w:rPr>
                  </w:pPr>
                </w:p>
              </w:tc>
              <w:tc>
                <w:tcPr>
                  <w:tcW w:w="328" w:type="pct"/>
                  <w:vAlign w:val="center"/>
                </w:tcPr>
                <w:p w14:paraId="2AE190CA">
                  <w:pPr>
                    <w:adjustRightInd w:val="0"/>
                    <w:snapToGrid w:val="0"/>
                    <w:jc w:val="center"/>
                    <w:rPr>
                      <w:szCs w:val="21"/>
                    </w:rPr>
                  </w:pPr>
                  <w:r>
                    <w:rPr>
                      <w:szCs w:val="21"/>
                    </w:rPr>
                    <w:t>130</w:t>
                  </w:r>
                </w:p>
              </w:tc>
              <w:tc>
                <w:tcPr>
                  <w:tcW w:w="342" w:type="pct"/>
                  <w:vAlign w:val="center"/>
                </w:tcPr>
                <w:p w14:paraId="2A7C602A">
                  <w:pPr>
                    <w:adjustRightInd w:val="0"/>
                    <w:snapToGrid w:val="0"/>
                    <w:jc w:val="center"/>
                    <w:rPr>
                      <w:szCs w:val="21"/>
                    </w:rPr>
                  </w:pPr>
                  <w:r>
                    <w:rPr>
                      <w:szCs w:val="21"/>
                    </w:rPr>
                    <w:t>225</w:t>
                  </w:r>
                </w:p>
              </w:tc>
              <w:tc>
                <w:tcPr>
                  <w:tcW w:w="252" w:type="pct"/>
                  <w:vAlign w:val="center"/>
                </w:tcPr>
                <w:p w14:paraId="0081E961">
                  <w:pPr>
                    <w:adjustRightInd w:val="0"/>
                    <w:snapToGrid w:val="0"/>
                    <w:jc w:val="center"/>
                    <w:rPr>
                      <w:szCs w:val="21"/>
                    </w:rPr>
                  </w:pPr>
                  <w:r>
                    <w:rPr>
                      <w:szCs w:val="21"/>
                    </w:rPr>
                    <w:t>-2</w:t>
                  </w:r>
                </w:p>
              </w:tc>
              <w:tc>
                <w:tcPr>
                  <w:tcW w:w="395" w:type="pct"/>
                  <w:vAlign w:val="center"/>
                </w:tcPr>
                <w:p w14:paraId="12E2D19C">
                  <w:pPr>
                    <w:adjustRightInd w:val="0"/>
                    <w:snapToGrid w:val="0"/>
                    <w:jc w:val="center"/>
                    <w:rPr>
                      <w:szCs w:val="21"/>
                    </w:rPr>
                  </w:pPr>
                  <w:r>
                    <w:rPr>
                      <w:szCs w:val="21"/>
                    </w:rPr>
                    <w:t>7</w:t>
                  </w:r>
                </w:p>
              </w:tc>
              <w:tc>
                <w:tcPr>
                  <w:tcW w:w="395" w:type="pct"/>
                  <w:shd w:val="clear" w:color="auto" w:fill="auto"/>
                  <w:vAlign w:val="center"/>
                </w:tcPr>
                <w:p w14:paraId="228FF6F6">
                  <w:pPr>
                    <w:adjustRightInd w:val="0"/>
                    <w:snapToGrid w:val="0"/>
                    <w:jc w:val="center"/>
                    <w:rPr>
                      <w:szCs w:val="21"/>
                    </w:rPr>
                  </w:pPr>
                  <w:r>
                    <w:rPr>
                      <w:szCs w:val="21"/>
                    </w:rPr>
                    <w:t>73.1</w:t>
                  </w:r>
                </w:p>
              </w:tc>
              <w:tc>
                <w:tcPr>
                  <w:tcW w:w="395" w:type="pct"/>
                  <w:vAlign w:val="center"/>
                </w:tcPr>
                <w:p w14:paraId="0801FD92">
                  <w:pPr>
                    <w:adjustRightInd w:val="0"/>
                    <w:snapToGrid w:val="0"/>
                    <w:jc w:val="center"/>
                    <w:rPr>
                      <w:szCs w:val="21"/>
                    </w:rPr>
                  </w:pPr>
                  <w:r>
                    <w:rPr>
                      <w:szCs w:val="21"/>
                    </w:rPr>
                    <w:t>20</w:t>
                  </w:r>
                </w:p>
              </w:tc>
              <w:tc>
                <w:tcPr>
                  <w:tcW w:w="352" w:type="pct"/>
                  <w:shd w:val="clear" w:color="auto" w:fill="auto"/>
                  <w:vAlign w:val="center"/>
                </w:tcPr>
                <w:p w14:paraId="4F697CBA">
                  <w:pPr>
                    <w:jc w:val="center"/>
                    <w:rPr>
                      <w:szCs w:val="21"/>
                    </w:rPr>
                  </w:pPr>
                  <w:r>
                    <w:rPr>
                      <w:szCs w:val="21"/>
                    </w:rPr>
                    <w:t>53.1</w:t>
                  </w:r>
                </w:p>
              </w:tc>
              <w:tc>
                <w:tcPr>
                  <w:tcW w:w="525" w:type="pct"/>
                  <w:vAlign w:val="center"/>
                </w:tcPr>
                <w:p w14:paraId="1CE2D3FC">
                  <w:pPr>
                    <w:adjustRightInd w:val="0"/>
                    <w:snapToGrid w:val="0"/>
                    <w:jc w:val="center"/>
                    <w:rPr>
                      <w:szCs w:val="21"/>
                    </w:rPr>
                  </w:pPr>
                  <w:r>
                    <w:rPr>
                      <w:szCs w:val="21"/>
                    </w:rPr>
                    <w:t>1</w:t>
                  </w:r>
                </w:p>
              </w:tc>
            </w:tr>
            <w:tr w14:paraId="06E2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7A5A69E4">
                  <w:pPr>
                    <w:adjustRightInd w:val="0"/>
                    <w:snapToGrid w:val="0"/>
                    <w:jc w:val="center"/>
                    <w:rPr>
                      <w:szCs w:val="21"/>
                    </w:rPr>
                  </w:pPr>
                </w:p>
              </w:tc>
              <w:tc>
                <w:tcPr>
                  <w:tcW w:w="257" w:type="pct"/>
                  <w:vMerge w:val="continue"/>
                  <w:vAlign w:val="center"/>
                </w:tcPr>
                <w:p w14:paraId="799D3DD2">
                  <w:pPr>
                    <w:jc w:val="center"/>
                    <w:rPr>
                      <w:szCs w:val="21"/>
                    </w:rPr>
                  </w:pPr>
                </w:p>
              </w:tc>
              <w:tc>
                <w:tcPr>
                  <w:tcW w:w="663" w:type="pct"/>
                  <w:vAlign w:val="center"/>
                </w:tcPr>
                <w:p w14:paraId="20599402">
                  <w:pPr>
                    <w:widowControl/>
                    <w:jc w:val="center"/>
                    <w:textAlignment w:val="center"/>
                    <w:rPr>
                      <w:color w:val="FF0000"/>
                      <w:szCs w:val="21"/>
                      <w:u w:val="single"/>
                    </w:rPr>
                  </w:pPr>
                  <w:r>
                    <w:rPr>
                      <w:color w:val="FF0000"/>
                      <w:szCs w:val="21"/>
                      <w:u w:val="single"/>
                    </w:rPr>
                    <w:t>滚筒筛1</w:t>
                  </w:r>
                </w:p>
              </w:tc>
              <w:tc>
                <w:tcPr>
                  <w:tcW w:w="454" w:type="pct"/>
                  <w:vAlign w:val="center"/>
                </w:tcPr>
                <w:p w14:paraId="278FC7CD">
                  <w:pPr>
                    <w:adjustRightInd w:val="0"/>
                    <w:snapToGrid w:val="0"/>
                    <w:jc w:val="center"/>
                    <w:rPr>
                      <w:color w:val="FF0000"/>
                      <w:szCs w:val="21"/>
                      <w:u w:val="single"/>
                    </w:rPr>
                  </w:pPr>
                  <w:r>
                    <w:rPr>
                      <w:color w:val="FF0000"/>
                      <w:szCs w:val="21"/>
                      <w:u w:val="single"/>
                    </w:rPr>
                    <w:t>85</w:t>
                  </w:r>
                </w:p>
              </w:tc>
              <w:tc>
                <w:tcPr>
                  <w:tcW w:w="384" w:type="pct"/>
                  <w:vMerge w:val="continue"/>
                  <w:vAlign w:val="center"/>
                </w:tcPr>
                <w:p w14:paraId="51F0CA5B">
                  <w:pPr>
                    <w:adjustRightInd w:val="0"/>
                    <w:snapToGrid w:val="0"/>
                    <w:jc w:val="center"/>
                    <w:rPr>
                      <w:color w:val="FF0000"/>
                      <w:szCs w:val="21"/>
                      <w:u w:val="single"/>
                    </w:rPr>
                  </w:pPr>
                </w:p>
              </w:tc>
              <w:tc>
                <w:tcPr>
                  <w:tcW w:w="328" w:type="pct"/>
                  <w:vAlign w:val="center"/>
                </w:tcPr>
                <w:p w14:paraId="1D8FD875">
                  <w:pPr>
                    <w:adjustRightInd w:val="0"/>
                    <w:snapToGrid w:val="0"/>
                    <w:jc w:val="center"/>
                    <w:rPr>
                      <w:color w:val="FF0000"/>
                      <w:szCs w:val="21"/>
                      <w:u w:val="single"/>
                    </w:rPr>
                  </w:pPr>
                  <w:r>
                    <w:rPr>
                      <w:color w:val="FF0000"/>
                      <w:szCs w:val="21"/>
                      <w:u w:val="single"/>
                    </w:rPr>
                    <w:t>144</w:t>
                  </w:r>
                </w:p>
              </w:tc>
              <w:tc>
                <w:tcPr>
                  <w:tcW w:w="342" w:type="pct"/>
                  <w:vAlign w:val="center"/>
                </w:tcPr>
                <w:p w14:paraId="326FBA5A">
                  <w:pPr>
                    <w:adjustRightInd w:val="0"/>
                    <w:snapToGrid w:val="0"/>
                    <w:jc w:val="center"/>
                    <w:rPr>
                      <w:color w:val="FF0000"/>
                      <w:szCs w:val="21"/>
                      <w:u w:val="single"/>
                    </w:rPr>
                  </w:pPr>
                  <w:r>
                    <w:rPr>
                      <w:color w:val="FF0000"/>
                      <w:szCs w:val="21"/>
                      <w:u w:val="single"/>
                    </w:rPr>
                    <w:t>228</w:t>
                  </w:r>
                </w:p>
              </w:tc>
              <w:tc>
                <w:tcPr>
                  <w:tcW w:w="252" w:type="pct"/>
                  <w:vAlign w:val="center"/>
                </w:tcPr>
                <w:p w14:paraId="034CCADE">
                  <w:pPr>
                    <w:adjustRightInd w:val="0"/>
                    <w:snapToGrid w:val="0"/>
                    <w:jc w:val="center"/>
                    <w:rPr>
                      <w:color w:val="FF0000"/>
                      <w:szCs w:val="21"/>
                      <w:u w:val="single"/>
                    </w:rPr>
                  </w:pPr>
                  <w:r>
                    <w:rPr>
                      <w:color w:val="FF0000"/>
                      <w:szCs w:val="21"/>
                      <w:u w:val="single"/>
                    </w:rPr>
                    <w:t>-2</w:t>
                  </w:r>
                </w:p>
              </w:tc>
              <w:tc>
                <w:tcPr>
                  <w:tcW w:w="395" w:type="pct"/>
                  <w:vAlign w:val="center"/>
                </w:tcPr>
                <w:p w14:paraId="340F54A8">
                  <w:pPr>
                    <w:adjustRightInd w:val="0"/>
                    <w:snapToGrid w:val="0"/>
                    <w:jc w:val="center"/>
                    <w:rPr>
                      <w:color w:val="FF0000"/>
                      <w:szCs w:val="21"/>
                      <w:u w:val="single"/>
                    </w:rPr>
                  </w:pPr>
                  <w:r>
                    <w:rPr>
                      <w:color w:val="FF0000"/>
                      <w:szCs w:val="21"/>
                      <w:u w:val="single"/>
                    </w:rPr>
                    <w:t>17</w:t>
                  </w:r>
                </w:p>
              </w:tc>
              <w:tc>
                <w:tcPr>
                  <w:tcW w:w="395" w:type="pct"/>
                  <w:shd w:val="clear" w:color="auto" w:fill="auto"/>
                  <w:vAlign w:val="center"/>
                </w:tcPr>
                <w:p w14:paraId="4B2F78BD">
                  <w:pPr>
                    <w:adjustRightInd w:val="0"/>
                    <w:snapToGrid w:val="0"/>
                    <w:jc w:val="center"/>
                    <w:rPr>
                      <w:color w:val="FF0000"/>
                      <w:szCs w:val="21"/>
                      <w:u w:val="single"/>
                    </w:rPr>
                  </w:pPr>
                  <w:r>
                    <w:rPr>
                      <w:color w:val="FF0000"/>
                      <w:szCs w:val="21"/>
                      <w:u w:val="single"/>
                    </w:rPr>
                    <w:t>60.4</w:t>
                  </w:r>
                </w:p>
              </w:tc>
              <w:tc>
                <w:tcPr>
                  <w:tcW w:w="395" w:type="pct"/>
                  <w:vAlign w:val="center"/>
                </w:tcPr>
                <w:p w14:paraId="7737D4FB">
                  <w:pPr>
                    <w:adjustRightInd w:val="0"/>
                    <w:snapToGrid w:val="0"/>
                    <w:jc w:val="center"/>
                    <w:rPr>
                      <w:color w:val="FF0000"/>
                      <w:szCs w:val="21"/>
                      <w:u w:val="single"/>
                    </w:rPr>
                  </w:pPr>
                  <w:r>
                    <w:rPr>
                      <w:color w:val="FF0000"/>
                      <w:szCs w:val="21"/>
                      <w:u w:val="single"/>
                    </w:rPr>
                    <w:t>20</w:t>
                  </w:r>
                </w:p>
              </w:tc>
              <w:tc>
                <w:tcPr>
                  <w:tcW w:w="352" w:type="pct"/>
                  <w:shd w:val="clear" w:color="auto" w:fill="auto"/>
                  <w:vAlign w:val="center"/>
                </w:tcPr>
                <w:p w14:paraId="33F297B9">
                  <w:pPr>
                    <w:jc w:val="center"/>
                    <w:rPr>
                      <w:color w:val="FF0000"/>
                      <w:szCs w:val="21"/>
                      <w:u w:val="single"/>
                    </w:rPr>
                  </w:pPr>
                  <w:r>
                    <w:rPr>
                      <w:color w:val="FF0000"/>
                      <w:szCs w:val="21"/>
                      <w:u w:val="single"/>
                    </w:rPr>
                    <w:t>40.4</w:t>
                  </w:r>
                </w:p>
              </w:tc>
              <w:tc>
                <w:tcPr>
                  <w:tcW w:w="525" w:type="pct"/>
                  <w:vAlign w:val="center"/>
                </w:tcPr>
                <w:p w14:paraId="7CB35577">
                  <w:pPr>
                    <w:adjustRightInd w:val="0"/>
                    <w:snapToGrid w:val="0"/>
                    <w:jc w:val="center"/>
                    <w:rPr>
                      <w:color w:val="FF0000"/>
                      <w:szCs w:val="21"/>
                      <w:u w:val="single"/>
                    </w:rPr>
                  </w:pPr>
                  <w:r>
                    <w:rPr>
                      <w:color w:val="FF0000"/>
                      <w:szCs w:val="21"/>
                      <w:u w:val="single"/>
                    </w:rPr>
                    <w:t>1</w:t>
                  </w:r>
                </w:p>
              </w:tc>
            </w:tr>
            <w:tr w14:paraId="5C0E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6B39D9CC">
                  <w:pPr>
                    <w:adjustRightInd w:val="0"/>
                    <w:snapToGrid w:val="0"/>
                    <w:jc w:val="center"/>
                    <w:rPr>
                      <w:szCs w:val="21"/>
                    </w:rPr>
                  </w:pPr>
                </w:p>
              </w:tc>
              <w:tc>
                <w:tcPr>
                  <w:tcW w:w="257" w:type="pct"/>
                  <w:vMerge w:val="continue"/>
                  <w:vAlign w:val="center"/>
                </w:tcPr>
                <w:p w14:paraId="25656152">
                  <w:pPr>
                    <w:jc w:val="center"/>
                    <w:rPr>
                      <w:szCs w:val="21"/>
                    </w:rPr>
                  </w:pPr>
                </w:p>
              </w:tc>
              <w:tc>
                <w:tcPr>
                  <w:tcW w:w="663" w:type="pct"/>
                  <w:vAlign w:val="center"/>
                </w:tcPr>
                <w:p w14:paraId="3D534428">
                  <w:pPr>
                    <w:widowControl/>
                    <w:jc w:val="center"/>
                    <w:textAlignment w:val="center"/>
                    <w:rPr>
                      <w:color w:val="FF0000"/>
                      <w:szCs w:val="21"/>
                      <w:u w:val="single"/>
                    </w:rPr>
                  </w:pPr>
                  <w:r>
                    <w:rPr>
                      <w:color w:val="FF0000"/>
                      <w:szCs w:val="21"/>
                      <w:u w:val="single"/>
                    </w:rPr>
                    <w:t>滚筒筛2</w:t>
                  </w:r>
                </w:p>
              </w:tc>
              <w:tc>
                <w:tcPr>
                  <w:tcW w:w="454" w:type="pct"/>
                  <w:vAlign w:val="center"/>
                </w:tcPr>
                <w:p w14:paraId="3E6A834E">
                  <w:pPr>
                    <w:adjustRightInd w:val="0"/>
                    <w:snapToGrid w:val="0"/>
                    <w:jc w:val="center"/>
                    <w:rPr>
                      <w:color w:val="FF0000"/>
                      <w:szCs w:val="21"/>
                      <w:u w:val="single"/>
                    </w:rPr>
                  </w:pPr>
                  <w:r>
                    <w:rPr>
                      <w:color w:val="FF0000"/>
                      <w:szCs w:val="21"/>
                      <w:u w:val="single"/>
                    </w:rPr>
                    <w:t>85</w:t>
                  </w:r>
                </w:p>
              </w:tc>
              <w:tc>
                <w:tcPr>
                  <w:tcW w:w="384" w:type="pct"/>
                  <w:vMerge w:val="continue"/>
                  <w:vAlign w:val="center"/>
                </w:tcPr>
                <w:p w14:paraId="173C19D6">
                  <w:pPr>
                    <w:adjustRightInd w:val="0"/>
                    <w:snapToGrid w:val="0"/>
                    <w:jc w:val="center"/>
                    <w:rPr>
                      <w:color w:val="FF0000"/>
                      <w:szCs w:val="21"/>
                      <w:u w:val="single"/>
                    </w:rPr>
                  </w:pPr>
                </w:p>
              </w:tc>
              <w:tc>
                <w:tcPr>
                  <w:tcW w:w="328" w:type="pct"/>
                  <w:vAlign w:val="center"/>
                </w:tcPr>
                <w:p w14:paraId="77B7D9B1">
                  <w:pPr>
                    <w:adjustRightInd w:val="0"/>
                    <w:snapToGrid w:val="0"/>
                    <w:jc w:val="center"/>
                    <w:rPr>
                      <w:color w:val="FF0000"/>
                      <w:szCs w:val="21"/>
                      <w:u w:val="single"/>
                    </w:rPr>
                  </w:pPr>
                  <w:r>
                    <w:rPr>
                      <w:color w:val="FF0000"/>
                      <w:szCs w:val="21"/>
                      <w:u w:val="single"/>
                    </w:rPr>
                    <w:t>144</w:t>
                  </w:r>
                </w:p>
              </w:tc>
              <w:tc>
                <w:tcPr>
                  <w:tcW w:w="342" w:type="pct"/>
                  <w:vAlign w:val="center"/>
                </w:tcPr>
                <w:p w14:paraId="632748EB">
                  <w:pPr>
                    <w:adjustRightInd w:val="0"/>
                    <w:snapToGrid w:val="0"/>
                    <w:jc w:val="center"/>
                    <w:rPr>
                      <w:color w:val="FF0000"/>
                      <w:szCs w:val="21"/>
                      <w:u w:val="single"/>
                    </w:rPr>
                  </w:pPr>
                  <w:r>
                    <w:rPr>
                      <w:color w:val="FF0000"/>
                      <w:szCs w:val="21"/>
                      <w:u w:val="single"/>
                    </w:rPr>
                    <w:t>230</w:t>
                  </w:r>
                </w:p>
              </w:tc>
              <w:tc>
                <w:tcPr>
                  <w:tcW w:w="252" w:type="pct"/>
                  <w:vAlign w:val="center"/>
                </w:tcPr>
                <w:p w14:paraId="752555AE">
                  <w:pPr>
                    <w:adjustRightInd w:val="0"/>
                    <w:snapToGrid w:val="0"/>
                    <w:jc w:val="center"/>
                    <w:rPr>
                      <w:color w:val="FF0000"/>
                      <w:szCs w:val="21"/>
                      <w:u w:val="single"/>
                    </w:rPr>
                  </w:pPr>
                  <w:r>
                    <w:rPr>
                      <w:color w:val="FF0000"/>
                      <w:szCs w:val="21"/>
                      <w:u w:val="single"/>
                    </w:rPr>
                    <w:t>-2</w:t>
                  </w:r>
                </w:p>
              </w:tc>
              <w:tc>
                <w:tcPr>
                  <w:tcW w:w="395" w:type="pct"/>
                  <w:vAlign w:val="center"/>
                </w:tcPr>
                <w:p w14:paraId="3454ED25">
                  <w:pPr>
                    <w:adjustRightInd w:val="0"/>
                    <w:snapToGrid w:val="0"/>
                    <w:jc w:val="center"/>
                    <w:rPr>
                      <w:color w:val="FF0000"/>
                      <w:szCs w:val="21"/>
                      <w:u w:val="single"/>
                    </w:rPr>
                  </w:pPr>
                  <w:r>
                    <w:rPr>
                      <w:color w:val="FF0000"/>
                      <w:szCs w:val="21"/>
                      <w:u w:val="single"/>
                    </w:rPr>
                    <w:t>17</w:t>
                  </w:r>
                </w:p>
              </w:tc>
              <w:tc>
                <w:tcPr>
                  <w:tcW w:w="395" w:type="pct"/>
                  <w:shd w:val="clear" w:color="auto" w:fill="auto"/>
                  <w:vAlign w:val="center"/>
                </w:tcPr>
                <w:p w14:paraId="391A84E0">
                  <w:pPr>
                    <w:adjustRightInd w:val="0"/>
                    <w:snapToGrid w:val="0"/>
                    <w:jc w:val="center"/>
                    <w:rPr>
                      <w:color w:val="FF0000"/>
                      <w:szCs w:val="21"/>
                      <w:u w:val="single"/>
                    </w:rPr>
                  </w:pPr>
                  <w:r>
                    <w:rPr>
                      <w:color w:val="FF0000"/>
                      <w:szCs w:val="21"/>
                      <w:u w:val="single"/>
                    </w:rPr>
                    <w:t>60.4</w:t>
                  </w:r>
                </w:p>
              </w:tc>
              <w:tc>
                <w:tcPr>
                  <w:tcW w:w="395" w:type="pct"/>
                  <w:vAlign w:val="center"/>
                </w:tcPr>
                <w:p w14:paraId="49685672">
                  <w:pPr>
                    <w:adjustRightInd w:val="0"/>
                    <w:snapToGrid w:val="0"/>
                    <w:jc w:val="center"/>
                    <w:rPr>
                      <w:color w:val="FF0000"/>
                      <w:szCs w:val="21"/>
                      <w:u w:val="single"/>
                    </w:rPr>
                  </w:pPr>
                  <w:r>
                    <w:rPr>
                      <w:color w:val="FF0000"/>
                      <w:szCs w:val="21"/>
                      <w:u w:val="single"/>
                    </w:rPr>
                    <w:t>20</w:t>
                  </w:r>
                </w:p>
              </w:tc>
              <w:tc>
                <w:tcPr>
                  <w:tcW w:w="352" w:type="pct"/>
                  <w:shd w:val="clear" w:color="auto" w:fill="auto"/>
                  <w:vAlign w:val="center"/>
                </w:tcPr>
                <w:p w14:paraId="42C941C9">
                  <w:pPr>
                    <w:jc w:val="center"/>
                    <w:rPr>
                      <w:color w:val="FF0000"/>
                      <w:szCs w:val="21"/>
                      <w:u w:val="single"/>
                    </w:rPr>
                  </w:pPr>
                  <w:r>
                    <w:rPr>
                      <w:color w:val="FF0000"/>
                      <w:szCs w:val="21"/>
                      <w:u w:val="single"/>
                    </w:rPr>
                    <w:t>40.4</w:t>
                  </w:r>
                </w:p>
              </w:tc>
              <w:tc>
                <w:tcPr>
                  <w:tcW w:w="525" w:type="pct"/>
                  <w:vAlign w:val="center"/>
                </w:tcPr>
                <w:p w14:paraId="3DED84DA">
                  <w:pPr>
                    <w:adjustRightInd w:val="0"/>
                    <w:snapToGrid w:val="0"/>
                    <w:jc w:val="center"/>
                    <w:rPr>
                      <w:color w:val="FF0000"/>
                      <w:szCs w:val="21"/>
                      <w:u w:val="single"/>
                    </w:rPr>
                  </w:pPr>
                  <w:r>
                    <w:rPr>
                      <w:color w:val="FF0000"/>
                      <w:szCs w:val="21"/>
                      <w:u w:val="single"/>
                    </w:rPr>
                    <w:t>1</w:t>
                  </w:r>
                </w:p>
              </w:tc>
            </w:tr>
            <w:tr w14:paraId="2503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384CF66C">
                  <w:pPr>
                    <w:adjustRightInd w:val="0"/>
                    <w:snapToGrid w:val="0"/>
                    <w:jc w:val="center"/>
                    <w:rPr>
                      <w:szCs w:val="21"/>
                    </w:rPr>
                  </w:pPr>
                </w:p>
              </w:tc>
              <w:tc>
                <w:tcPr>
                  <w:tcW w:w="257" w:type="pct"/>
                  <w:vMerge w:val="restart"/>
                  <w:vAlign w:val="center"/>
                </w:tcPr>
                <w:p w14:paraId="7B965324">
                  <w:pPr>
                    <w:jc w:val="center"/>
                    <w:rPr>
                      <w:szCs w:val="21"/>
                    </w:rPr>
                  </w:pPr>
                  <w:r>
                    <w:rPr>
                      <w:szCs w:val="21"/>
                    </w:rPr>
                    <w:t>南边界</w:t>
                  </w:r>
                </w:p>
              </w:tc>
              <w:tc>
                <w:tcPr>
                  <w:tcW w:w="663" w:type="pct"/>
                  <w:vAlign w:val="center"/>
                </w:tcPr>
                <w:p w14:paraId="510077F9">
                  <w:pPr>
                    <w:widowControl/>
                    <w:jc w:val="center"/>
                    <w:textAlignment w:val="center"/>
                    <w:rPr>
                      <w:szCs w:val="21"/>
                    </w:rPr>
                  </w:pPr>
                  <w:r>
                    <w:rPr>
                      <w:szCs w:val="21"/>
                    </w:rPr>
                    <w:t>双级破碎机</w:t>
                  </w:r>
                </w:p>
              </w:tc>
              <w:tc>
                <w:tcPr>
                  <w:tcW w:w="454" w:type="pct"/>
                  <w:vAlign w:val="center"/>
                </w:tcPr>
                <w:p w14:paraId="1A077AE1">
                  <w:pPr>
                    <w:adjustRightInd w:val="0"/>
                    <w:snapToGrid w:val="0"/>
                    <w:jc w:val="center"/>
                    <w:rPr>
                      <w:szCs w:val="21"/>
                    </w:rPr>
                  </w:pPr>
                  <w:r>
                    <w:rPr>
                      <w:szCs w:val="21"/>
                    </w:rPr>
                    <w:t>90</w:t>
                  </w:r>
                </w:p>
              </w:tc>
              <w:tc>
                <w:tcPr>
                  <w:tcW w:w="384" w:type="pct"/>
                  <w:vMerge w:val="continue"/>
                  <w:vAlign w:val="center"/>
                </w:tcPr>
                <w:p w14:paraId="2C01C109">
                  <w:pPr>
                    <w:adjustRightInd w:val="0"/>
                    <w:snapToGrid w:val="0"/>
                    <w:jc w:val="center"/>
                    <w:rPr>
                      <w:szCs w:val="21"/>
                    </w:rPr>
                  </w:pPr>
                </w:p>
              </w:tc>
              <w:tc>
                <w:tcPr>
                  <w:tcW w:w="328" w:type="pct"/>
                  <w:vAlign w:val="center"/>
                </w:tcPr>
                <w:p w14:paraId="5A57520E">
                  <w:pPr>
                    <w:adjustRightInd w:val="0"/>
                    <w:snapToGrid w:val="0"/>
                    <w:jc w:val="center"/>
                    <w:rPr>
                      <w:szCs w:val="21"/>
                    </w:rPr>
                  </w:pPr>
                  <w:r>
                    <w:rPr>
                      <w:szCs w:val="21"/>
                    </w:rPr>
                    <w:t>130</w:t>
                  </w:r>
                </w:p>
              </w:tc>
              <w:tc>
                <w:tcPr>
                  <w:tcW w:w="342" w:type="pct"/>
                  <w:vAlign w:val="center"/>
                </w:tcPr>
                <w:p w14:paraId="62F3D07B">
                  <w:pPr>
                    <w:adjustRightInd w:val="0"/>
                    <w:snapToGrid w:val="0"/>
                    <w:jc w:val="center"/>
                    <w:rPr>
                      <w:szCs w:val="21"/>
                    </w:rPr>
                  </w:pPr>
                  <w:r>
                    <w:rPr>
                      <w:szCs w:val="21"/>
                    </w:rPr>
                    <w:t>225</w:t>
                  </w:r>
                </w:p>
              </w:tc>
              <w:tc>
                <w:tcPr>
                  <w:tcW w:w="252" w:type="pct"/>
                  <w:vAlign w:val="center"/>
                </w:tcPr>
                <w:p w14:paraId="3E91E004">
                  <w:pPr>
                    <w:adjustRightInd w:val="0"/>
                    <w:snapToGrid w:val="0"/>
                    <w:jc w:val="center"/>
                    <w:rPr>
                      <w:szCs w:val="21"/>
                    </w:rPr>
                  </w:pPr>
                  <w:r>
                    <w:rPr>
                      <w:szCs w:val="21"/>
                    </w:rPr>
                    <w:t>-2</w:t>
                  </w:r>
                </w:p>
              </w:tc>
              <w:tc>
                <w:tcPr>
                  <w:tcW w:w="395" w:type="pct"/>
                  <w:vAlign w:val="center"/>
                </w:tcPr>
                <w:p w14:paraId="7D4BD16A">
                  <w:pPr>
                    <w:adjustRightInd w:val="0"/>
                    <w:snapToGrid w:val="0"/>
                    <w:jc w:val="center"/>
                    <w:rPr>
                      <w:szCs w:val="21"/>
                    </w:rPr>
                  </w:pPr>
                  <w:r>
                    <w:rPr>
                      <w:szCs w:val="21"/>
                    </w:rPr>
                    <w:t>15</w:t>
                  </w:r>
                </w:p>
              </w:tc>
              <w:tc>
                <w:tcPr>
                  <w:tcW w:w="395" w:type="pct"/>
                  <w:shd w:val="clear" w:color="auto" w:fill="auto"/>
                  <w:vAlign w:val="center"/>
                </w:tcPr>
                <w:p w14:paraId="60ADD926">
                  <w:pPr>
                    <w:adjustRightInd w:val="0"/>
                    <w:snapToGrid w:val="0"/>
                    <w:jc w:val="center"/>
                    <w:rPr>
                      <w:szCs w:val="21"/>
                    </w:rPr>
                  </w:pPr>
                  <w:r>
                    <w:rPr>
                      <w:szCs w:val="21"/>
                    </w:rPr>
                    <w:t>66.5</w:t>
                  </w:r>
                </w:p>
              </w:tc>
              <w:tc>
                <w:tcPr>
                  <w:tcW w:w="395" w:type="pct"/>
                  <w:vAlign w:val="center"/>
                </w:tcPr>
                <w:p w14:paraId="08707A93">
                  <w:pPr>
                    <w:adjustRightInd w:val="0"/>
                    <w:snapToGrid w:val="0"/>
                    <w:jc w:val="center"/>
                    <w:rPr>
                      <w:szCs w:val="21"/>
                    </w:rPr>
                  </w:pPr>
                  <w:r>
                    <w:rPr>
                      <w:szCs w:val="21"/>
                    </w:rPr>
                    <w:t>20</w:t>
                  </w:r>
                </w:p>
              </w:tc>
              <w:tc>
                <w:tcPr>
                  <w:tcW w:w="352" w:type="pct"/>
                  <w:shd w:val="clear" w:color="auto" w:fill="auto"/>
                  <w:vAlign w:val="center"/>
                </w:tcPr>
                <w:p w14:paraId="5E1AFEDD">
                  <w:pPr>
                    <w:jc w:val="center"/>
                    <w:rPr>
                      <w:szCs w:val="21"/>
                    </w:rPr>
                  </w:pPr>
                  <w:r>
                    <w:rPr>
                      <w:szCs w:val="21"/>
                    </w:rPr>
                    <w:t>46.5</w:t>
                  </w:r>
                </w:p>
              </w:tc>
              <w:tc>
                <w:tcPr>
                  <w:tcW w:w="525" w:type="pct"/>
                  <w:vAlign w:val="center"/>
                </w:tcPr>
                <w:p w14:paraId="4CB05D98">
                  <w:pPr>
                    <w:adjustRightInd w:val="0"/>
                    <w:snapToGrid w:val="0"/>
                    <w:jc w:val="center"/>
                    <w:rPr>
                      <w:szCs w:val="21"/>
                    </w:rPr>
                  </w:pPr>
                  <w:r>
                    <w:rPr>
                      <w:szCs w:val="21"/>
                    </w:rPr>
                    <w:t>1</w:t>
                  </w:r>
                </w:p>
              </w:tc>
            </w:tr>
            <w:tr w14:paraId="112D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270887DA">
                  <w:pPr>
                    <w:adjustRightInd w:val="0"/>
                    <w:snapToGrid w:val="0"/>
                    <w:jc w:val="center"/>
                    <w:rPr>
                      <w:szCs w:val="21"/>
                    </w:rPr>
                  </w:pPr>
                </w:p>
              </w:tc>
              <w:tc>
                <w:tcPr>
                  <w:tcW w:w="257" w:type="pct"/>
                  <w:vMerge w:val="continue"/>
                  <w:vAlign w:val="center"/>
                </w:tcPr>
                <w:p w14:paraId="0D508A45">
                  <w:pPr>
                    <w:jc w:val="center"/>
                    <w:rPr>
                      <w:szCs w:val="21"/>
                    </w:rPr>
                  </w:pPr>
                </w:p>
              </w:tc>
              <w:tc>
                <w:tcPr>
                  <w:tcW w:w="663" w:type="pct"/>
                  <w:vAlign w:val="center"/>
                </w:tcPr>
                <w:p w14:paraId="65D524E6">
                  <w:pPr>
                    <w:widowControl/>
                    <w:jc w:val="center"/>
                    <w:textAlignment w:val="center"/>
                    <w:rPr>
                      <w:color w:val="FF0000"/>
                      <w:szCs w:val="21"/>
                      <w:u w:val="single"/>
                    </w:rPr>
                  </w:pPr>
                  <w:r>
                    <w:rPr>
                      <w:color w:val="FF0000"/>
                      <w:szCs w:val="21"/>
                      <w:u w:val="single"/>
                    </w:rPr>
                    <w:t>滚筒筛1</w:t>
                  </w:r>
                </w:p>
              </w:tc>
              <w:tc>
                <w:tcPr>
                  <w:tcW w:w="454" w:type="pct"/>
                  <w:vAlign w:val="center"/>
                </w:tcPr>
                <w:p w14:paraId="3CF56F5C">
                  <w:pPr>
                    <w:adjustRightInd w:val="0"/>
                    <w:snapToGrid w:val="0"/>
                    <w:jc w:val="center"/>
                    <w:rPr>
                      <w:color w:val="FF0000"/>
                      <w:szCs w:val="21"/>
                      <w:u w:val="single"/>
                    </w:rPr>
                  </w:pPr>
                  <w:r>
                    <w:rPr>
                      <w:color w:val="FF0000"/>
                      <w:szCs w:val="21"/>
                      <w:u w:val="single"/>
                    </w:rPr>
                    <w:t>85</w:t>
                  </w:r>
                </w:p>
              </w:tc>
              <w:tc>
                <w:tcPr>
                  <w:tcW w:w="384" w:type="pct"/>
                  <w:vMerge w:val="continue"/>
                  <w:vAlign w:val="center"/>
                </w:tcPr>
                <w:p w14:paraId="2EBDF42A">
                  <w:pPr>
                    <w:adjustRightInd w:val="0"/>
                    <w:snapToGrid w:val="0"/>
                    <w:jc w:val="center"/>
                    <w:rPr>
                      <w:color w:val="FF0000"/>
                      <w:szCs w:val="21"/>
                      <w:u w:val="single"/>
                    </w:rPr>
                  </w:pPr>
                </w:p>
              </w:tc>
              <w:tc>
                <w:tcPr>
                  <w:tcW w:w="328" w:type="pct"/>
                  <w:vAlign w:val="center"/>
                </w:tcPr>
                <w:p w14:paraId="484CBDA2">
                  <w:pPr>
                    <w:adjustRightInd w:val="0"/>
                    <w:snapToGrid w:val="0"/>
                    <w:jc w:val="center"/>
                    <w:rPr>
                      <w:color w:val="FF0000"/>
                      <w:szCs w:val="21"/>
                      <w:u w:val="single"/>
                    </w:rPr>
                  </w:pPr>
                  <w:r>
                    <w:rPr>
                      <w:color w:val="FF0000"/>
                      <w:szCs w:val="21"/>
                      <w:u w:val="single"/>
                    </w:rPr>
                    <w:t>144</w:t>
                  </w:r>
                </w:p>
              </w:tc>
              <w:tc>
                <w:tcPr>
                  <w:tcW w:w="342" w:type="pct"/>
                  <w:vAlign w:val="center"/>
                </w:tcPr>
                <w:p w14:paraId="4313C98A">
                  <w:pPr>
                    <w:adjustRightInd w:val="0"/>
                    <w:snapToGrid w:val="0"/>
                    <w:jc w:val="center"/>
                    <w:rPr>
                      <w:color w:val="FF0000"/>
                      <w:szCs w:val="21"/>
                      <w:u w:val="single"/>
                    </w:rPr>
                  </w:pPr>
                  <w:r>
                    <w:rPr>
                      <w:color w:val="FF0000"/>
                      <w:szCs w:val="21"/>
                      <w:u w:val="single"/>
                    </w:rPr>
                    <w:t>228</w:t>
                  </w:r>
                </w:p>
              </w:tc>
              <w:tc>
                <w:tcPr>
                  <w:tcW w:w="252" w:type="pct"/>
                  <w:vAlign w:val="center"/>
                </w:tcPr>
                <w:p w14:paraId="69279D3B">
                  <w:pPr>
                    <w:adjustRightInd w:val="0"/>
                    <w:snapToGrid w:val="0"/>
                    <w:jc w:val="center"/>
                    <w:rPr>
                      <w:color w:val="FF0000"/>
                      <w:szCs w:val="21"/>
                      <w:u w:val="single"/>
                    </w:rPr>
                  </w:pPr>
                  <w:r>
                    <w:rPr>
                      <w:color w:val="FF0000"/>
                      <w:szCs w:val="21"/>
                      <w:u w:val="single"/>
                    </w:rPr>
                    <w:t>-2</w:t>
                  </w:r>
                </w:p>
              </w:tc>
              <w:tc>
                <w:tcPr>
                  <w:tcW w:w="395" w:type="pct"/>
                  <w:vAlign w:val="center"/>
                </w:tcPr>
                <w:p w14:paraId="2FC7C211">
                  <w:pPr>
                    <w:adjustRightInd w:val="0"/>
                    <w:snapToGrid w:val="0"/>
                    <w:jc w:val="center"/>
                    <w:rPr>
                      <w:color w:val="FF0000"/>
                      <w:szCs w:val="21"/>
                      <w:u w:val="single"/>
                    </w:rPr>
                  </w:pPr>
                  <w:r>
                    <w:rPr>
                      <w:color w:val="FF0000"/>
                      <w:szCs w:val="21"/>
                      <w:u w:val="single"/>
                    </w:rPr>
                    <w:t>30</w:t>
                  </w:r>
                </w:p>
              </w:tc>
              <w:tc>
                <w:tcPr>
                  <w:tcW w:w="395" w:type="pct"/>
                  <w:shd w:val="clear" w:color="auto" w:fill="auto"/>
                  <w:vAlign w:val="center"/>
                </w:tcPr>
                <w:p w14:paraId="1D6CD3A7">
                  <w:pPr>
                    <w:adjustRightInd w:val="0"/>
                    <w:snapToGrid w:val="0"/>
                    <w:jc w:val="center"/>
                    <w:rPr>
                      <w:color w:val="FF0000"/>
                      <w:szCs w:val="21"/>
                      <w:u w:val="single"/>
                    </w:rPr>
                  </w:pPr>
                  <w:r>
                    <w:rPr>
                      <w:color w:val="FF0000"/>
                      <w:szCs w:val="21"/>
                      <w:u w:val="single"/>
                    </w:rPr>
                    <w:t>55.5</w:t>
                  </w:r>
                </w:p>
              </w:tc>
              <w:tc>
                <w:tcPr>
                  <w:tcW w:w="395" w:type="pct"/>
                  <w:vAlign w:val="center"/>
                </w:tcPr>
                <w:p w14:paraId="73008076">
                  <w:pPr>
                    <w:adjustRightInd w:val="0"/>
                    <w:snapToGrid w:val="0"/>
                    <w:jc w:val="center"/>
                    <w:rPr>
                      <w:color w:val="FF0000"/>
                      <w:szCs w:val="21"/>
                      <w:u w:val="single"/>
                    </w:rPr>
                  </w:pPr>
                  <w:r>
                    <w:rPr>
                      <w:color w:val="FF0000"/>
                      <w:szCs w:val="21"/>
                      <w:u w:val="single"/>
                    </w:rPr>
                    <w:t>20</w:t>
                  </w:r>
                </w:p>
              </w:tc>
              <w:tc>
                <w:tcPr>
                  <w:tcW w:w="352" w:type="pct"/>
                  <w:shd w:val="clear" w:color="auto" w:fill="auto"/>
                  <w:vAlign w:val="center"/>
                </w:tcPr>
                <w:p w14:paraId="754D240D">
                  <w:pPr>
                    <w:jc w:val="center"/>
                    <w:rPr>
                      <w:color w:val="FF0000"/>
                      <w:szCs w:val="21"/>
                      <w:u w:val="single"/>
                    </w:rPr>
                  </w:pPr>
                  <w:r>
                    <w:rPr>
                      <w:color w:val="FF0000"/>
                      <w:szCs w:val="21"/>
                      <w:u w:val="single"/>
                    </w:rPr>
                    <w:t>35.5</w:t>
                  </w:r>
                </w:p>
              </w:tc>
              <w:tc>
                <w:tcPr>
                  <w:tcW w:w="525" w:type="pct"/>
                  <w:vAlign w:val="center"/>
                </w:tcPr>
                <w:p w14:paraId="2B6D0A39">
                  <w:pPr>
                    <w:adjustRightInd w:val="0"/>
                    <w:snapToGrid w:val="0"/>
                    <w:jc w:val="center"/>
                    <w:rPr>
                      <w:szCs w:val="21"/>
                    </w:rPr>
                  </w:pPr>
                  <w:r>
                    <w:rPr>
                      <w:szCs w:val="21"/>
                    </w:rPr>
                    <w:t>1</w:t>
                  </w:r>
                </w:p>
              </w:tc>
            </w:tr>
            <w:tr w14:paraId="5CE8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4E64F0FE">
                  <w:pPr>
                    <w:adjustRightInd w:val="0"/>
                    <w:snapToGrid w:val="0"/>
                    <w:jc w:val="center"/>
                    <w:rPr>
                      <w:szCs w:val="21"/>
                    </w:rPr>
                  </w:pPr>
                </w:p>
              </w:tc>
              <w:tc>
                <w:tcPr>
                  <w:tcW w:w="257" w:type="pct"/>
                  <w:vMerge w:val="continue"/>
                  <w:vAlign w:val="center"/>
                </w:tcPr>
                <w:p w14:paraId="117E1DF0">
                  <w:pPr>
                    <w:jc w:val="center"/>
                    <w:rPr>
                      <w:szCs w:val="21"/>
                    </w:rPr>
                  </w:pPr>
                </w:p>
              </w:tc>
              <w:tc>
                <w:tcPr>
                  <w:tcW w:w="663" w:type="pct"/>
                  <w:vAlign w:val="center"/>
                </w:tcPr>
                <w:p w14:paraId="2E4F359D">
                  <w:pPr>
                    <w:widowControl/>
                    <w:jc w:val="center"/>
                    <w:textAlignment w:val="center"/>
                    <w:rPr>
                      <w:color w:val="FF0000"/>
                      <w:szCs w:val="21"/>
                      <w:u w:val="single"/>
                    </w:rPr>
                  </w:pPr>
                  <w:r>
                    <w:rPr>
                      <w:color w:val="FF0000"/>
                      <w:szCs w:val="21"/>
                      <w:u w:val="single"/>
                    </w:rPr>
                    <w:t>滚筒筛2</w:t>
                  </w:r>
                </w:p>
              </w:tc>
              <w:tc>
                <w:tcPr>
                  <w:tcW w:w="454" w:type="pct"/>
                  <w:vAlign w:val="center"/>
                </w:tcPr>
                <w:p w14:paraId="2FC88F12">
                  <w:pPr>
                    <w:adjustRightInd w:val="0"/>
                    <w:snapToGrid w:val="0"/>
                    <w:jc w:val="center"/>
                    <w:rPr>
                      <w:color w:val="FF0000"/>
                      <w:szCs w:val="21"/>
                      <w:u w:val="single"/>
                    </w:rPr>
                  </w:pPr>
                  <w:r>
                    <w:rPr>
                      <w:color w:val="FF0000"/>
                      <w:szCs w:val="21"/>
                      <w:u w:val="single"/>
                    </w:rPr>
                    <w:t>85</w:t>
                  </w:r>
                </w:p>
              </w:tc>
              <w:tc>
                <w:tcPr>
                  <w:tcW w:w="384" w:type="pct"/>
                  <w:vMerge w:val="continue"/>
                  <w:vAlign w:val="center"/>
                </w:tcPr>
                <w:p w14:paraId="3C256082">
                  <w:pPr>
                    <w:adjustRightInd w:val="0"/>
                    <w:snapToGrid w:val="0"/>
                    <w:jc w:val="center"/>
                    <w:rPr>
                      <w:color w:val="FF0000"/>
                      <w:szCs w:val="21"/>
                      <w:u w:val="single"/>
                    </w:rPr>
                  </w:pPr>
                </w:p>
              </w:tc>
              <w:tc>
                <w:tcPr>
                  <w:tcW w:w="328" w:type="pct"/>
                  <w:vAlign w:val="center"/>
                </w:tcPr>
                <w:p w14:paraId="00F43332">
                  <w:pPr>
                    <w:adjustRightInd w:val="0"/>
                    <w:snapToGrid w:val="0"/>
                    <w:jc w:val="center"/>
                    <w:rPr>
                      <w:color w:val="FF0000"/>
                      <w:szCs w:val="21"/>
                      <w:u w:val="single"/>
                    </w:rPr>
                  </w:pPr>
                  <w:r>
                    <w:rPr>
                      <w:color w:val="FF0000"/>
                      <w:szCs w:val="21"/>
                      <w:u w:val="single"/>
                    </w:rPr>
                    <w:t>144</w:t>
                  </w:r>
                </w:p>
              </w:tc>
              <w:tc>
                <w:tcPr>
                  <w:tcW w:w="342" w:type="pct"/>
                  <w:vAlign w:val="center"/>
                </w:tcPr>
                <w:p w14:paraId="335CC215">
                  <w:pPr>
                    <w:adjustRightInd w:val="0"/>
                    <w:snapToGrid w:val="0"/>
                    <w:jc w:val="center"/>
                    <w:rPr>
                      <w:color w:val="FF0000"/>
                      <w:szCs w:val="21"/>
                      <w:u w:val="single"/>
                    </w:rPr>
                  </w:pPr>
                  <w:r>
                    <w:rPr>
                      <w:color w:val="FF0000"/>
                      <w:szCs w:val="21"/>
                      <w:u w:val="single"/>
                    </w:rPr>
                    <w:t>230</w:t>
                  </w:r>
                </w:p>
              </w:tc>
              <w:tc>
                <w:tcPr>
                  <w:tcW w:w="252" w:type="pct"/>
                  <w:vAlign w:val="center"/>
                </w:tcPr>
                <w:p w14:paraId="088E6CF6">
                  <w:pPr>
                    <w:adjustRightInd w:val="0"/>
                    <w:snapToGrid w:val="0"/>
                    <w:jc w:val="center"/>
                    <w:rPr>
                      <w:color w:val="FF0000"/>
                      <w:szCs w:val="21"/>
                      <w:u w:val="single"/>
                    </w:rPr>
                  </w:pPr>
                  <w:r>
                    <w:rPr>
                      <w:color w:val="FF0000"/>
                      <w:szCs w:val="21"/>
                      <w:u w:val="single"/>
                    </w:rPr>
                    <w:t>-2</w:t>
                  </w:r>
                </w:p>
              </w:tc>
              <w:tc>
                <w:tcPr>
                  <w:tcW w:w="395" w:type="pct"/>
                  <w:vAlign w:val="center"/>
                </w:tcPr>
                <w:p w14:paraId="5AF6C35D">
                  <w:pPr>
                    <w:adjustRightInd w:val="0"/>
                    <w:snapToGrid w:val="0"/>
                    <w:jc w:val="center"/>
                    <w:rPr>
                      <w:color w:val="FF0000"/>
                      <w:szCs w:val="21"/>
                      <w:u w:val="single"/>
                    </w:rPr>
                  </w:pPr>
                  <w:r>
                    <w:rPr>
                      <w:color w:val="FF0000"/>
                      <w:szCs w:val="21"/>
                      <w:u w:val="single"/>
                    </w:rPr>
                    <w:t>32</w:t>
                  </w:r>
                </w:p>
              </w:tc>
              <w:tc>
                <w:tcPr>
                  <w:tcW w:w="395" w:type="pct"/>
                  <w:shd w:val="clear" w:color="auto" w:fill="auto"/>
                  <w:vAlign w:val="center"/>
                </w:tcPr>
                <w:p w14:paraId="47B1AC80">
                  <w:pPr>
                    <w:adjustRightInd w:val="0"/>
                    <w:snapToGrid w:val="0"/>
                    <w:jc w:val="center"/>
                    <w:rPr>
                      <w:color w:val="FF0000"/>
                      <w:szCs w:val="21"/>
                      <w:u w:val="single"/>
                    </w:rPr>
                  </w:pPr>
                  <w:r>
                    <w:rPr>
                      <w:color w:val="FF0000"/>
                      <w:szCs w:val="21"/>
                      <w:u w:val="single"/>
                    </w:rPr>
                    <w:t>54.9</w:t>
                  </w:r>
                </w:p>
              </w:tc>
              <w:tc>
                <w:tcPr>
                  <w:tcW w:w="395" w:type="pct"/>
                  <w:vAlign w:val="center"/>
                </w:tcPr>
                <w:p w14:paraId="06338744">
                  <w:pPr>
                    <w:adjustRightInd w:val="0"/>
                    <w:snapToGrid w:val="0"/>
                    <w:jc w:val="center"/>
                    <w:rPr>
                      <w:color w:val="FF0000"/>
                      <w:szCs w:val="21"/>
                      <w:u w:val="single"/>
                    </w:rPr>
                  </w:pPr>
                  <w:r>
                    <w:rPr>
                      <w:color w:val="FF0000"/>
                      <w:szCs w:val="21"/>
                      <w:u w:val="single"/>
                    </w:rPr>
                    <w:t>20</w:t>
                  </w:r>
                </w:p>
              </w:tc>
              <w:tc>
                <w:tcPr>
                  <w:tcW w:w="352" w:type="pct"/>
                  <w:shd w:val="clear" w:color="auto" w:fill="auto"/>
                  <w:vAlign w:val="center"/>
                </w:tcPr>
                <w:p w14:paraId="01D8EA3D">
                  <w:pPr>
                    <w:jc w:val="center"/>
                    <w:rPr>
                      <w:color w:val="FF0000"/>
                      <w:szCs w:val="21"/>
                      <w:u w:val="single"/>
                    </w:rPr>
                  </w:pPr>
                  <w:r>
                    <w:rPr>
                      <w:color w:val="FF0000"/>
                      <w:szCs w:val="21"/>
                      <w:u w:val="single"/>
                    </w:rPr>
                    <w:t>34.9</w:t>
                  </w:r>
                </w:p>
              </w:tc>
              <w:tc>
                <w:tcPr>
                  <w:tcW w:w="525" w:type="pct"/>
                  <w:vAlign w:val="center"/>
                </w:tcPr>
                <w:p w14:paraId="799ED1EA">
                  <w:pPr>
                    <w:adjustRightInd w:val="0"/>
                    <w:snapToGrid w:val="0"/>
                    <w:jc w:val="center"/>
                    <w:rPr>
                      <w:szCs w:val="21"/>
                    </w:rPr>
                  </w:pPr>
                  <w:r>
                    <w:rPr>
                      <w:szCs w:val="21"/>
                    </w:rPr>
                    <w:t>1</w:t>
                  </w:r>
                </w:p>
              </w:tc>
            </w:tr>
            <w:tr w14:paraId="659F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7E8D9D92">
                  <w:pPr>
                    <w:adjustRightInd w:val="0"/>
                    <w:snapToGrid w:val="0"/>
                    <w:jc w:val="center"/>
                    <w:rPr>
                      <w:szCs w:val="21"/>
                    </w:rPr>
                  </w:pPr>
                </w:p>
              </w:tc>
              <w:tc>
                <w:tcPr>
                  <w:tcW w:w="257" w:type="pct"/>
                  <w:vMerge w:val="restart"/>
                  <w:vAlign w:val="center"/>
                </w:tcPr>
                <w:p w14:paraId="19E2DF74">
                  <w:pPr>
                    <w:jc w:val="center"/>
                    <w:rPr>
                      <w:szCs w:val="21"/>
                    </w:rPr>
                  </w:pPr>
                  <w:r>
                    <w:rPr>
                      <w:szCs w:val="21"/>
                    </w:rPr>
                    <w:t>北边界</w:t>
                  </w:r>
                </w:p>
              </w:tc>
              <w:tc>
                <w:tcPr>
                  <w:tcW w:w="663" w:type="pct"/>
                  <w:vAlign w:val="center"/>
                </w:tcPr>
                <w:p w14:paraId="2FA330E5">
                  <w:pPr>
                    <w:widowControl/>
                    <w:jc w:val="center"/>
                    <w:textAlignment w:val="center"/>
                    <w:rPr>
                      <w:szCs w:val="21"/>
                    </w:rPr>
                  </w:pPr>
                  <w:r>
                    <w:rPr>
                      <w:szCs w:val="21"/>
                    </w:rPr>
                    <w:t>双级破碎机</w:t>
                  </w:r>
                </w:p>
              </w:tc>
              <w:tc>
                <w:tcPr>
                  <w:tcW w:w="454" w:type="pct"/>
                  <w:vAlign w:val="center"/>
                </w:tcPr>
                <w:p w14:paraId="22978D2C">
                  <w:pPr>
                    <w:adjustRightInd w:val="0"/>
                    <w:snapToGrid w:val="0"/>
                    <w:jc w:val="center"/>
                    <w:rPr>
                      <w:szCs w:val="21"/>
                    </w:rPr>
                  </w:pPr>
                  <w:r>
                    <w:rPr>
                      <w:szCs w:val="21"/>
                    </w:rPr>
                    <w:t>90</w:t>
                  </w:r>
                </w:p>
              </w:tc>
              <w:tc>
                <w:tcPr>
                  <w:tcW w:w="384" w:type="pct"/>
                  <w:vMerge w:val="continue"/>
                  <w:vAlign w:val="center"/>
                </w:tcPr>
                <w:p w14:paraId="2B0F8B81">
                  <w:pPr>
                    <w:adjustRightInd w:val="0"/>
                    <w:snapToGrid w:val="0"/>
                    <w:jc w:val="center"/>
                    <w:rPr>
                      <w:szCs w:val="21"/>
                    </w:rPr>
                  </w:pPr>
                </w:p>
              </w:tc>
              <w:tc>
                <w:tcPr>
                  <w:tcW w:w="328" w:type="pct"/>
                  <w:vAlign w:val="center"/>
                </w:tcPr>
                <w:p w14:paraId="0E67A863">
                  <w:pPr>
                    <w:adjustRightInd w:val="0"/>
                    <w:snapToGrid w:val="0"/>
                    <w:jc w:val="center"/>
                    <w:rPr>
                      <w:szCs w:val="21"/>
                    </w:rPr>
                  </w:pPr>
                  <w:r>
                    <w:rPr>
                      <w:szCs w:val="21"/>
                    </w:rPr>
                    <w:t>130</w:t>
                  </w:r>
                </w:p>
              </w:tc>
              <w:tc>
                <w:tcPr>
                  <w:tcW w:w="342" w:type="pct"/>
                  <w:vAlign w:val="center"/>
                </w:tcPr>
                <w:p w14:paraId="39B38D3F">
                  <w:pPr>
                    <w:adjustRightInd w:val="0"/>
                    <w:snapToGrid w:val="0"/>
                    <w:jc w:val="center"/>
                    <w:rPr>
                      <w:szCs w:val="21"/>
                    </w:rPr>
                  </w:pPr>
                  <w:r>
                    <w:rPr>
                      <w:szCs w:val="21"/>
                    </w:rPr>
                    <w:t>225</w:t>
                  </w:r>
                </w:p>
              </w:tc>
              <w:tc>
                <w:tcPr>
                  <w:tcW w:w="252" w:type="pct"/>
                  <w:vAlign w:val="center"/>
                </w:tcPr>
                <w:p w14:paraId="383E74F7">
                  <w:pPr>
                    <w:adjustRightInd w:val="0"/>
                    <w:snapToGrid w:val="0"/>
                    <w:jc w:val="center"/>
                    <w:rPr>
                      <w:szCs w:val="21"/>
                    </w:rPr>
                  </w:pPr>
                  <w:r>
                    <w:rPr>
                      <w:szCs w:val="21"/>
                    </w:rPr>
                    <w:t>-2</w:t>
                  </w:r>
                </w:p>
              </w:tc>
              <w:tc>
                <w:tcPr>
                  <w:tcW w:w="395" w:type="pct"/>
                  <w:vAlign w:val="center"/>
                </w:tcPr>
                <w:p w14:paraId="4F1A01B8">
                  <w:pPr>
                    <w:adjustRightInd w:val="0"/>
                    <w:snapToGrid w:val="0"/>
                    <w:jc w:val="center"/>
                    <w:rPr>
                      <w:szCs w:val="21"/>
                    </w:rPr>
                  </w:pPr>
                  <w:r>
                    <w:rPr>
                      <w:szCs w:val="21"/>
                    </w:rPr>
                    <w:t>20</w:t>
                  </w:r>
                </w:p>
              </w:tc>
              <w:tc>
                <w:tcPr>
                  <w:tcW w:w="395" w:type="pct"/>
                  <w:shd w:val="clear" w:color="auto" w:fill="auto"/>
                  <w:vAlign w:val="center"/>
                </w:tcPr>
                <w:p w14:paraId="33C0CF74">
                  <w:pPr>
                    <w:adjustRightInd w:val="0"/>
                    <w:snapToGrid w:val="0"/>
                    <w:jc w:val="center"/>
                    <w:rPr>
                      <w:szCs w:val="21"/>
                    </w:rPr>
                  </w:pPr>
                  <w:r>
                    <w:rPr>
                      <w:szCs w:val="21"/>
                    </w:rPr>
                    <w:t>64.0</w:t>
                  </w:r>
                </w:p>
              </w:tc>
              <w:tc>
                <w:tcPr>
                  <w:tcW w:w="395" w:type="pct"/>
                  <w:vAlign w:val="center"/>
                </w:tcPr>
                <w:p w14:paraId="06E3664B">
                  <w:pPr>
                    <w:adjustRightInd w:val="0"/>
                    <w:snapToGrid w:val="0"/>
                    <w:jc w:val="center"/>
                    <w:rPr>
                      <w:szCs w:val="21"/>
                    </w:rPr>
                  </w:pPr>
                  <w:r>
                    <w:rPr>
                      <w:szCs w:val="21"/>
                    </w:rPr>
                    <w:t>20</w:t>
                  </w:r>
                </w:p>
              </w:tc>
              <w:tc>
                <w:tcPr>
                  <w:tcW w:w="352" w:type="pct"/>
                  <w:shd w:val="clear" w:color="auto" w:fill="auto"/>
                  <w:vAlign w:val="center"/>
                </w:tcPr>
                <w:p w14:paraId="5CD7F3DB">
                  <w:pPr>
                    <w:jc w:val="center"/>
                    <w:rPr>
                      <w:szCs w:val="21"/>
                    </w:rPr>
                  </w:pPr>
                  <w:r>
                    <w:rPr>
                      <w:szCs w:val="21"/>
                    </w:rPr>
                    <w:t>44.0</w:t>
                  </w:r>
                </w:p>
              </w:tc>
              <w:tc>
                <w:tcPr>
                  <w:tcW w:w="525" w:type="pct"/>
                  <w:vAlign w:val="center"/>
                </w:tcPr>
                <w:p w14:paraId="63B303A1">
                  <w:pPr>
                    <w:adjustRightInd w:val="0"/>
                    <w:snapToGrid w:val="0"/>
                    <w:jc w:val="center"/>
                    <w:rPr>
                      <w:szCs w:val="21"/>
                    </w:rPr>
                  </w:pPr>
                  <w:r>
                    <w:rPr>
                      <w:szCs w:val="21"/>
                    </w:rPr>
                    <w:t>1</w:t>
                  </w:r>
                </w:p>
              </w:tc>
            </w:tr>
            <w:tr w14:paraId="49D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47802DCA">
                  <w:pPr>
                    <w:adjustRightInd w:val="0"/>
                    <w:snapToGrid w:val="0"/>
                    <w:jc w:val="center"/>
                    <w:rPr>
                      <w:szCs w:val="21"/>
                    </w:rPr>
                  </w:pPr>
                </w:p>
              </w:tc>
              <w:tc>
                <w:tcPr>
                  <w:tcW w:w="257" w:type="pct"/>
                  <w:vMerge w:val="continue"/>
                  <w:vAlign w:val="center"/>
                </w:tcPr>
                <w:p w14:paraId="1B697BF9">
                  <w:pPr>
                    <w:jc w:val="center"/>
                    <w:rPr>
                      <w:szCs w:val="21"/>
                    </w:rPr>
                  </w:pPr>
                </w:p>
              </w:tc>
              <w:tc>
                <w:tcPr>
                  <w:tcW w:w="663" w:type="pct"/>
                  <w:vAlign w:val="center"/>
                </w:tcPr>
                <w:p w14:paraId="38C5C4EB">
                  <w:pPr>
                    <w:widowControl/>
                    <w:jc w:val="center"/>
                    <w:textAlignment w:val="center"/>
                    <w:rPr>
                      <w:color w:val="FF0000"/>
                      <w:szCs w:val="21"/>
                      <w:u w:val="single"/>
                    </w:rPr>
                  </w:pPr>
                  <w:r>
                    <w:rPr>
                      <w:color w:val="FF0000"/>
                      <w:szCs w:val="21"/>
                      <w:u w:val="single"/>
                    </w:rPr>
                    <w:t>滚筒筛1</w:t>
                  </w:r>
                </w:p>
              </w:tc>
              <w:tc>
                <w:tcPr>
                  <w:tcW w:w="454" w:type="pct"/>
                  <w:vAlign w:val="center"/>
                </w:tcPr>
                <w:p w14:paraId="16202D76">
                  <w:pPr>
                    <w:adjustRightInd w:val="0"/>
                    <w:snapToGrid w:val="0"/>
                    <w:jc w:val="center"/>
                    <w:rPr>
                      <w:color w:val="FF0000"/>
                      <w:szCs w:val="21"/>
                      <w:u w:val="single"/>
                    </w:rPr>
                  </w:pPr>
                  <w:r>
                    <w:rPr>
                      <w:color w:val="FF0000"/>
                      <w:szCs w:val="21"/>
                      <w:u w:val="single"/>
                    </w:rPr>
                    <w:t>85</w:t>
                  </w:r>
                </w:p>
              </w:tc>
              <w:tc>
                <w:tcPr>
                  <w:tcW w:w="384" w:type="pct"/>
                  <w:vMerge w:val="continue"/>
                  <w:vAlign w:val="center"/>
                </w:tcPr>
                <w:p w14:paraId="6B7CC348">
                  <w:pPr>
                    <w:adjustRightInd w:val="0"/>
                    <w:snapToGrid w:val="0"/>
                    <w:jc w:val="center"/>
                    <w:rPr>
                      <w:color w:val="FF0000"/>
                      <w:szCs w:val="21"/>
                      <w:u w:val="single"/>
                    </w:rPr>
                  </w:pPr>
                </w:p>
              </w:tc>
              <w:tc>
                <w:tcPr>
                  <w:tcW w:w="328" w:type="pct"/>
                  <w:vAlign w:val="center"/>
                </w:tcPr>
                <w:p w14:paraId="2C5CA2EF">
                  <w:pPr>
                    <w:adjustRightInd w:val="0"/>
                    <w:snapToGrid w:val="0"/>
                    <w:jc w:val="center"/>
                    <w:rPr>
                      <w:color w:val="FF0000"/>
                      <w:szCs w:val="21"/>
                      <w:u w:val="single"/>
                    </w:rPr>
                  </w:pPr>
                  <w:r>
                    <w:rPr>
                      <w:color w:val="FF0000"/>
                      <w:szCs w:val="21"/>
                      <w:u w:val="single"/>
                    </w:rPr>
                    <w:t>144</w:t>
                  </w:r>
                </w:p>
              </w:tc>
              <w:tc>
                <w:tcPr>
                  <w:tcW w:w="342" w:type="pct"/>
                  <w:vAlign w:val="center"/>
                </w:tcPr>
                <w:p w14:paraId="78E37560">
                  <w:pPr>
                    <w:adjustRightInd w:val="0"/>
                    <w:snapToGrid w:val="0"/>
                    <w:jc w:val="center"/>
                    <w:rPr>
                      <w:color w:val="FF0000"/>
                      <w:szCs w:val="21"/>
                      <w:u w:val="single"/>
                    </w:rPr>
                  </w:pPr>
                  <w:r>
                    <w:rPr>
                      <w:color w:val="FF0000"/>
                      <w:szCs w:val="21"/>
                      <w:u w:val="single"/>
                    </w:rPr>
                    <w:t>228</w:t>
                  </w:r>
                </w:p>
              </w:tc>
              <w:tc>
                <w:tcPr>
                  <w:tcW w:w="252" w:type="pct"/>
                  <w:vAlign w:val="center"/>
                </w:tcPr>
                <w:p w14:paraId="491AD9D0">
                  <w:pPr>
                    <w:adjustRightInd w:val="0"/>
                    <w:snapToGrid w:val="0"/>
                    <w:jc w:val="center"/>
                    <w:rPr>
                      <w:color w:val="FF0000"/>
                      <w:szCs w:val="21"/>
                      <w:u w:val="single"/>
                    </w:rPr>
                  </w:pPr>
                  <w:r>
                    <w:rPr>
                      <w:color w:val="FF0000"/>
                      <w:szCs w:val="21"/>
                      <w:u w:val="single"/>
                    </w:rPr>
                    <w:t>-2</w:t>
                  </w:r>
                </w:p>
              </w:tc>
              <w:tc>
                <w:tcPr>
                  <w:tcW w:w="395" w:type="pct"/>
                  <w:vAlign w:val="center"/>
                </w:tcPr>
                <w:p w14:paraId="2622D6CF">
                  <w:pPr>
                    <w:adjustRightInd w:val="0"/>
                    <w:snapToGrid w:val="0"/>
                    <w:jc w:val="center"/>
                    <w:rPr>
                      <w:color w:val="FF0000"/>
                      <w:szCs w:val="21"/>
                      <w:u w:val="single"/>
                    </w:rPr>
                  </w:pPr>
                  <w:r>
                    <w:rPr>
                      <w:color w:val="FF0000"/>
                      <w:szCs w:val="21"/>
                      <w:u w:val="single"/>
                    </w:rPr>
                    <w:t>10</w:t>
                  </w:r>
                </w:p>
              </w:tc>
              <w:tc>
                <w:tcPr>
                  <w:tcW w:w="395" w:type="pct"/>
                  <w:shd w:val="clear" w:color="auto" w:fill="auto"/>
                  <w:vAlign w:val="center"/>
                </w:tcPr>
                <w:p w14:paraId="2197794D">
                  <w:pPr>
                    <w:adjustRightInd w:val="0"/>
                    <w:snapToGrid w:val="0"/>
                    <w:jc w:val="center"/>
                    <w:rPr>
                      <w:color w:val="FF0000"/>
                      <w:szCs w:val="21"/>
                      <w:u w:val="single"/>
                    </w:rPr>
                  </w:pPr>
                  <w:r>
                    <w:rPr>
                      <w:color w:val="FF0000"/>
                      <w:szCs w:val="21"/>
                      <w:u w:val="single"/>
                    </w:rPr>
                    <w:t>65.0</w:t>
                  </w:r>
                </w:p>
              </w:tc>
              <w:tc>
                <w:tcPr>
                  <w:tcW w:w="395" w:type="pct"/>
                  <w:vAlign w:val="center"/>
                </w:tcPr>
                <w:p w14:paraId="4B1537FE">
                  <w:pPr>
                    <w:adjustRightInd w:val="0"/>
                    <w:snapToGrid w:val="0"/>
                    <w:jc w:val="center"/>
                    <w:rPr>
                      <w:color w:val="FF0000"/>
                      <w:szCs w:val="21"/>
                      <w:u w:val="single"/>
                    </w:rPr>
                  </w:pPr>
                  <w:r>
                    <w:rPr>
                      <w:color w:val="FF0000"/>
                      <w:szCs w:val="21"/>
                      <w:u w:val="single"/>
                    </w:rPr>
                    <w:t>20</w:t>
                  </w:r>
                </w:p>
              </w:tc>
              <w:tc>
                <w:tcPr>
                  <w:tcW w:w="352" w:type="pct"/>
                  <w:shd w:val="clear" w:color="auto" w:fill="auto"/>
                  <w:vAlign w:val="center"/>
                </w:tcPr>
                <w:p w14:paraId="0811EDE2">
                  <w:pPr>
                    <w:jc w:val="center"/>
                    <w:rPr>
                      <w:color w:val="FF0000"/>
                      <w:szCs w:val="21"/>
                      <w:u w:val="single"/>
                    </w:rPr>
                  </w:pPr>
                  <w:r>
                    <w:rPr>
                      <w:color w:val="FF0000"/>
                      <w:szCs w:val="21"/>
                      <w:u w:val="single"/>
                    </w:rPr>
                    <w:t>45.0</w:t>
                  </w:r>
                </w:p>
              </w:tc>
              <w:tc>
                <w:tcPr>
                  <w:tcW w:w="525" w:type="pct"/>
                  <w:vAlign w:val="center"/>
                </w:tcPr>
                <w:p w14:paraId="32DFAC14">
                  <w:pPr>
                    <w:adjustRightInd w:val="0"/>
                    <w:snapToGrid w:val="0"/>
                    <w:jc w:val="center"/>
                    <w:rPr>
                      <w:szCs w:val="21"/>
                    </w:rPr>
                  </w:pPr>
                  <w:r>
                    <w:rPr>
                      <w:szCs w:val="21"/>
                    </w:rPr>
                    <w:t>1</w:t>
                  </w:r>
                </w:p>
              </w:tc>
            </w:tr>
            <w:tr w14:paraId="06E8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8" w:type="pct"/>
                  <w:vMerge w:val="continue"/>
                  <w:vAlign w:val="center"/>
                </w:tcPr>
                <w:p w14:paraId="211BD53A">
                  <w:pPr>
                    <w:adjustRightInd w:val="0"/>
                    <w:snapToGrid w:val="0"/>
                    <w:jc w:val="center"/>
                    <w:rPr>
                      <w:szCs w:val="21"/>
                    </w:rPr>
                  </w:pPr>
                </w:p>
              </w:tc>
              <w:tc>
                <w:tcPr>
                  <w:tcW w:w="257" w:type="pct"/>
                  <w:vMerge w:val="continue"/>
                  <w:vAlign w:val="center"/>
                </w:tcPr>
                <w:p w14:paraId="43CFE504">
                  <w:pPr>
                    <w:jc w:val="center"/>
                    <w:rPr>
                      <w:szCs w:val="21"/>
                    </w:rPr>
                  </w:pPr>
                </w:p>
              </w:tc>
              <w:tc>
                <w:tcPr>
                  <w:tcW w:w="663" w:type="pct"/>
                  <w:vAlign w:val="center"/>
                </w:tcPr>
                <w:p w14:paraId="1991A738">
                  <w:pPr>
                    <w:widowControl/>
                    <w:jc w:val="center"/>
                    <w:textAlignment w:val="center"/>
                    <w:rPr>
                      <w:color w:val="FF0000"/>
                      <w:szCs w:val="21"/>
                      <w:u w:val="single"/>
                    </w:rPr>
                  </w:pPr>
                  <w:r>
                    <w:rPr>
                      <w:color w:val="FF0000"/>
                      <w:szCs w:val="21"/>
                      <w:u w:val="single"/>
                    </w:rPr>
                    <w:t>滚筒筛2</w:t>
                  </w:r>
                </w:p>
              </w:tc>
              <w:tc>
                <w:tcPr>
                  <w:tcW w:w="454" w:type="pct"/>
                  <w:vAlign w:val="center"/>
                </w:tcPr>
                <w:p w14:paraId="03C8BDE1">
                  <w:pPr>
                    <w:adjustRightInd w:val="0"/>
                    <w:snapToGrid w:val="0"/>
                    <w:jc w:val="center"/>
                    <w:rPr>
                      <w:color w:val="FF0000"/>
                      <w:szCs w:val="21"/>
                      <w:u w:val="single"/>
                    </w:rPr>
                  </w:pPr>
                  <w:r>
                    <w:rPr>
                      <w:color w:val="FF0000"/>
                      <w:szCs w:val="21"/>
                      <w:u w:val="single"/>
                    </w:rPr>
                    <w:t>85</w:t>
                  </w:r>
                </w:p>
              </w:tc>
              <w:tc>
                <w:tcPr>
                  <w:tcW w:w="384" w:type="pct"/>
                  <w:vMerge w:val="continue"/>
                  <w:vAlign w:val="center"/>
                </w:tcPr>
                <w:p w14:paraId="47290C7F">
                  <w:pPr>
                    <w:adjustRightInd w:val="0"/>
                    <w:snapToGrid w:val="0"/>
                    <w:jc w:val="center"/>
                    <w:rPr>
                      <w:color w:val="FF0000"/>
                      <w:szCs w:val="21"/>
                      <w:u w:val="single"/>
                    </w:rPr>
                  </w:pPr>
                </w:p>
              </w:tc>
              <w:tc>
                <w:tcPr>
                  <w:tcW w:w="328" w:type="pct"/>
                  <w:vAlign w:val="center"/>
                </w:tcPr>
                <w:p w14:paraId="0CD140FA">
                  <w:pPr>
                    <w:adjustRightInd w:val="0"/>
                    <w:snapToGrid w:val="0"/>
                    <w:jc w:val="center"/>
                    <w:rPr>
                      <w:color w:val="FF0000"/>
                      <w:szCs w:val="21"/>
                      <w:u w:val="single"/>
                    </w:rPr>
                  </w:pPr>
                  <w:r>
                    <w:rPr>
                      <w:color w:val="FF0000"/>
                      <w:szCs w:val="21"/>
                      <w:u w:val="single"/>
                    </w:rPr>
                    <w:t>144</w:t>
                  </w:r>
                </w:p>
              </w:tc>
              <w:tc>
                <w:tcPr>
                  <w:tcW w:w="342" w:type="pct"/>
                  <w:vAlign w:val="center"/>
                </w:tcPr>
                <w:p w14:paraId="52B66C51">
                  <w:pPr>
                    <w:adjustRightInd w:val="0"/>
                    <w:snapToGrid w:val="0"/>
                    <w:jc w:val="center"/>
                    <w:rPr>
                      <w:color w:val="FF0000"/>
                      <w:szCs w:val="21"/>
                      <w:u w:val="single"/>
                    </w:rPr>
                  </w:pPr>
                  <w:r>
                    <w:rPr>
                      <w:color w:val="FF0000"/>
                      <w:szCs w:val="21"/>
                      <w:u w:val="single"/>
                    </w:rPr>
                    <w:t>230</w:t>
                  </w:r>
                </w:p>
              </w:tc>
              <w:tc>
                <w:tcPr>
                  <w:tcW w:w="252" w:type="pct"/>
                  <w:vAlign w:val="center"/>
                </w:tcPr>
                <w:p w14:paraId="3B6653CA">
                  <w:pPr>
                    <w:adjustRightInd w:val="0"/>
                    <w:snapToGrid w:val="0"/>
                    <w:jc w:val="center"/>
                    <w:rPr>
                      <w:color w:val="FF0000"/>
                      <w:szCs w:val="21"/>
                      <w:u w:val="single"/>
                    </w:rPr>
                  </w:pPr>
                  <w:r>
                    <w:rPr>
                      <w:color w:val="FF0000"/>
                      <w:szCs w:val="21"/>
                      <w:u w:val="single"/>
                    </w:rPr>
                    <w:t>-2</w:t>
                  </w:r>
                </w:p>
              </w:tc>
              <w:tc>
                <w:tcPr>
                  <w:tcW w:w="395" w:type="pct"/>
                  <w:vAlign w:val="center"/>
                </w:tcPr>
                <w:p w14:paraId="5FA94998">
                  <w:pPr>
                    <w:adjustRightInd w:val="0"/>
                    <w:snapToGrid w:val="0"/>
                    <w:jc w:val="center"/>
                    <w:rPr>
                      <w:color w:val="FF0000"/>
                      <w:szCs w:val="21"/>
                      <w:u w:val="single"/>
                    </w:rPr>
                  </w:pPr>
                  <w:r>
                    <w:rPr>
                      <w:color w:val="FF0000"/>
                      <w:szCs w:val="21"/>
                      <w:u w:val="single"/>
                    </w:rPr>
                    <w:t>8</w:t>
                  </w:r>
                </w:p>
              </w:tc>
              <w:tc>
                <w:tcPr>
                  <w:tcW w:w="395" w:type="pct"/>
                  <w:shd w:val="clear" w:color="auto" w:fill="auto"/>
                  <w:vAlign w:val="center"/>
                </w:tcPr>
                <w:p w14:paraId="7C79248E">
                  <w:pPr>
                    <w:adjustRightInd w:val="0"/>
                    <w:snapToGrid w:val="0"/>
                    <w:jc w:val="center"/>
                    <w:rPr>
                      <w:color w:val="FF0000"/>
                      <w:szCs w:val="21"/>
                      <w:u w:val="single"/>
                    </w:rPr>
                  </w:pPr>
                  <w:r>
                    <w:rPr>
                      <w:color w:val="FF0000"/>
                      <w:szCs w:val="21"/>
                      <w:u w:val="single"/>
                    </w:rPr>
                    <w:t>66.9</w:t>
                  </w:r>
                </w:p>
              </w:tc>
              <w:tc>
                <w:tcPr>
                  <w:tcW w:w="395" w:type="pct"/>
                  <w:vAlign w:val="center"/>
                </w:tcPr>
                <w:p w14:paraId="4E7C61B5">
                  <w:pPr>
                    <w:adjustRightInd w:val="0"/>
                    <w:snapToGrid w:val="0"/>
                    <w:jc w:val="center"/>
                    <w:rPr>
                      <w:color w:val="FF0000"/>
                      <w:szCs w:val="21"/>
                      <w:u w:val="single"/>
                    </w:rPr>
                  </w:pPr>
                  <w:r>
                    <w:rPr>
                      <w:color w:val="FF0000"/>
                      <w:szCs w:val="21"/>
                      <w:u w:val="single"/>
                    </w:rPr>
                    <w:t>20</w:t>
                  </w:r>
                </w:p>
              </w:tc>
              <w:tc>
                <w:tcPr>
                  <w:tcW w:w="352" w:type="pct"/>
                  <w:shd w:val="clear" w:color="auto" w:fill="auto"/>
                  <w:vAlign w:val="center"/>
                </w:tcPr>
                <w:p w14:paraId="14BD3BFE">
                  <w:pPr>
                    <w:jc w:val="center"/>
                    <w:rPr>
                      <w:color w:val="FF0000"/>
                      <w:szCs w:val="21"/>
                      <w:u w:val="single"/>
                    </w:rPr>
                  </w:pPr>
                  <w:r>
                    <w:rPr>
                      <w:color w:val="FF0000"/>
                      <w:szCs w:val="21"/>
                      <w:u w:val="single"/>
                    </w:rPr>
                    <w:t>46.9</w:t>
                  </w:r>
                </w:p>
              </w:tc>
              <w:tc>
                <w:tcPr>
                  <w:tcW w:w="525" w:type="pct"/>
                  <w:vAlign w:val="center"/>
                </w:tcPr>
                <w:p w14:paraId="3AB32D94">
                  <w:pPr>
                    <w:adjustRightInd w:val="0"/>
                    <w:snapToGrid w:val="0"/>
                    <w:jc w:val="center"/>
                    <w:rPr>
                      <w:szCs w:val="21"/>
                    </w:rPr>
                  </w:pPr>
                  <w:r>
                    <w:rPr>
                      <w:szCs w:val="21"/>
                    </w:rPr>
                    <w:t>1</w:t>
                  </w:r>
                </w:p>
              </w:tc>
            </w:tr>
            <w:tr w14:paraId="3CC5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000" w:type="pct"/>
                  <w:gridSpan w:val="13"/>
                  <w:vAlign w:val="center"/>
                </w:tcPr>
                <w:p w14:paraId="759B8EBD">
                  <w:pPr>
                    <w:jc w:val="left"/>
                    <w:rPr>
                      <w:szCs w:val="21"/>
                    </w:rPr>
                  </w:pPr>
                  <w:r>
                    <w:rPr>
                      <w:b/>
                      <w:bCs/>
                      <w:szCs w:val="21"/>
                    </w:rPr>
                    <w:t>注：</w:t>
                  </w:r>
                  <w:r>
                    <w:rPr>
                      <w:szCs w:val="21"/>
                    </w:rPr>
                    <w:t>以厂区西南角为坐标原点。</w:t>
                  </w:r>
                </w:p>
                <w:p w14:paraId="6BBFEBC8">
                  <w:pPr>
                    <w:pStyle w:val="36"/>
                    <w:spacing w:after="0"/>
                    <w:ind w:left="0" w:leftChars="0"/>
                  </w:pPr>
                  <w:r>
                    <w:rPr>
                      <w:szCs w:val="21"/>
                    </w:rPr>
                    <w:t>设备运行时段：6:00~22:00</w:t>
                  </w:r>
                </w:p>
              </w:tc>
            </w:tr>
            <w:bookmarkEnd w:id="41"/>
          </w:tbl>
          <w:p w14:paraId="494D8D8B">
            <w:pPr>
              <w:spacing w:line="520" w:lineRule="exact"/>
              <w:jc w:val="center"/>
              <w:rPr>
                <w:rFonts w:eastAsia="黑体"/>
                <w:sz w:val="24"/>
              </w:rPr>
            </w:pPr>
            <w:r>
              <w:rPr>
                <w:rFonts w:eastAsia="黑体"/>
                <w:sz w:val="24"/>
              </w:rPr>
              <w:t>表4-23    本项目噪声源强调查清单（室外）       单位：dB（A）</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499"/>
              <w:gridCol w:w="713"/>
              <w:gridCol w:w="1045"/>
              <w:gridCol w:w="672"/>
              <w:gridCol w:w="953"/>
              <w:gridCol w:w="1844"/>
              <w:gridCol w:w="862"/>
            </w:tblGrid>
            <w:tr w14:paraId="71A9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restart"/>
                  <w:vAlign w:val="center"/>
                </w:tcPr>
                <w:p w14:paraId="3F3BF62C">
                  <w:pPr>
                    <w:pStyle w:val="36"/>
                    <w:spacing w:after="0" w:line="320" w:lineRule="exact"/>
                    <w:ind w:left="0" w:leftChars="0" w:firstLine="0" w:firstLineChars="0"/>
                    <w:jc w:val="center"/>
                    <w:rPr>
                      <w:sz w:val="18"/>
                      <w:szCs w:val="18"/>
                    </w:rPr>
                  </w:pPr>
                  <w:r>
                    <w:rPr>
                      <w:sz w:val="18"/>
                      <w:szCs w:val="18"/>
                    </w:rPr>
                    <w:t>序号</w:t>
                  </w:r>
                </w:p>
              </w:tc>
              <w:tc>
                <w:tcPr>
                  <w:tcW w:w="1499" w:type="dxa"/>
                  <w:vMerge w:val="restart"/>
                  <w:vAlign w:val="center"/>
                </w:tcPr>
                <w:p w14:paraId="7A5FC64E">
                  <w:pPr>
                    <w:pStyle w:val="36"/>
                    <w:spacing w:after="0" w:line="320" w:lineRule="exact"/>
                    <w:ind w:left="0" w:leftChars="0" w:firstLine="0" w:firstLineChars="0"/>
                    <w:jc w:val="center"/>
                    <w:rPr>
                      <w:sz w:val="18"/>
                      <w:szCs w:val="18"/>
                    </w:rPr>
                  </w:pPr>
                  <w:r>
                    <w:rPr>
                      <w:sz w:val="18"/>
                      <w:szCs w:val="18"/>
                    </w:rPr>
                    <w:t>声源名称</w:t>
                  </w:r>
                </w:p>
              </w:tc>
              <w:tc>
                <w:tcPr>
                  <w:tcW w:w="2430" w:type="dxa"/>
                  <w:gridSpan w:val="3"/>
                  <w:vAlign w:val="center"/>
                </w:tcPr>
                <w:p w14:paraId="474793C0">
                  <w:pPr>
                    <w:pStyle w:val="36"/>
                    <w:adjustRightInd w:val="0"/>
                    <w:snapToGrid w:val="0"/>
                    <w:spacing w:after="0" w:line="320" w:lineRule="exact"/>
                    <w:ind w:left="0" w:leftChars="0" w:firstLine="0" w:firstLineChars="0"/>
                    <w:jc w:val="center"/>
                    <w:rPr>
                      <w:sz w:val="18"/>
                      <w:szCs w:val="18"/>
                    </w:rPr>
                  </w:pPr>
                  <w:r>
                    <w:rPr>
                      <w:sz w:val="18"/>
                      <w:szCs w:val="18"/>
                    </w:rPr>
                    <w:t>空间相对位置</w:t>
                  </w:r>
                </w:p>
              </w:tc>
              <w:tc>
                <w:tcPr>
                  <w:tcW w:w="953" w:type="dxa"/>
                  <w:vAlign w:val="center"/>
                </w:tcPr>
                <w:p w14:paraId="1FFBF881">
                  <w:pPr>
                    <w:pStyle w:val="36"/>
                    <w:spacing w:after="0" w:line="320" w:lineRule="exact"/>
                    <w:ind w:left="0" w:leftChars="0" w:firstLine="0" w:firstLineChars="0"/>
                    <w:jc w:val="center"/>
                    <w:rPr>
                      <w:sz w:val="18"/>
                      <w:szCs w:val="18"/>
                    </w:rPr>
                  </w:pPr>
                  <w:r>
                    <w:rPr>
                      <w:sz w:val="18"/>
                      <w:szCs w:val="18"/>
                    </w:rPr>
                    <w:t>声源源强</w:t>
                  </w:r>
                </w:p>
              </w:tc>
              <w:tc>
                <w:tcPr>
                  <w:tcW w:w="1844" w:type="dxa"/>
                  <w:vMerge w:val="restart"/>
                  <w:vAlign w:val="center"/>
                </w:tcPr>
                <w:p w14:paraId="207938D8">
                  <w:pPr>
                    <w:pStyle w:val="36"/>
                    <w:spacing w:after="0" w:line="320" w:lineRule="exact"/>
                    <w:ind w:left="0" w:leftChars="0" w:firstLine="0" w:firstLineChars="0"/>
                    <w:jc w:val="center"/>
                    <w:rPr>
                      <w:sz w:val="18"/>
                      <w:szCs w:val="18"/>
                    </w:rPr>
                  </w:pPr>
                  <w:r>
                    <w:rPr>
                      <w:sz w:val="18"/>
                      <w:szCs w:val="18"/>
                    </w:rPr>
                    <w:t>声源控制措施</w:t>
                  </w:r>
                </w:p>
              </w:tc>
              <w:tc>
                <w:tcPr>
                  <w:tcW w:w="862" w:type="dxa"/>
                  <w:vMerge w:val="restart"/>
                  <w:vAlign w:val="center"/>
                </w:tcPr>
                <w:p w14:paraId="658670FC">
                  <w:pPr>
                    <w:pStyle w:val="36"/>
                    <w:spacing w:after="0" w:line="320" w:lineRule="exact"/>
                    <w:ind w:left="0" w:leftChars="0" w:firstLine="0" w:firstLineChars="0"/>
                    <w:jc w:val="center"/>
                    <w:rPr>
                      <w:sz w:val="18"/>
                      <w:szCs w:val="18"/>
                    </w:rPr>
                  </w:pPr>
                  <w:r>
                    <w:rPr>
                      <w:sz w:val="18"/>
                      <w:szCs w:val="18"/>
                    </w:rPr>
                    <w:t>运行时段</w:t>
                  </w:r>
                </w:p>
              </w:tc>
            </w:tr>
            <w:tr w14:paraId="3393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22" w:type="dxa"/>
                  <w:vMerge w:val="continue"/>
                  <w:vAlign w:val="center"/>
                </w:tcPr>
                <w:p w14:paraId="0BFE479C">
                  <w:pPr>
                    <w:pStyle w:val="36"/>
                    <w:spacing w:after="0" w:line="320" w:lineRule="exact"/>
                    <w:ind w:left="0" w:leftChars="0" w:firstLine="0" w:firstLineChars="0"/>
                    <w:jc w:val="center"/>
                    <w:rPr>
                      <w:sz w:val="18"/>
                      <w:szCs w:val="18"/>
                    </w:rPr>
                  </w:pPr>
                </w:p>
              </w:tc>
              <w:tc>
                <w:tcPr>
                  <w:tcW w:w="1499" w:type="dxa"/>
                  <w:vMerge w:val="continue"/>
                  <w:vAlign w:val="center"/>
                </w:tcPr>
                <w:p w14:paraId="350DD076">
                  <w:pPr>
                    <w:pStyle w:val="36"/>
                    <w:spacing w:after="0" w:line="320" w:lineRule="exact"/>
                    <w:ind w:left="0" w:leftChars="0" w:firstLine="0" w:firstLineChars="0"/>
                    <w:jc w:val="center"/>
                    <w:rPr>
                      <w:sz w:val="18"/>
                      <w:szCs w:val="18"/>
                    </w:rPr>
                  </w:pPr>
                </w:p>
              </w:tc>
              <w:tc>
                <w:tcPr>
                  <w:tcW w:w="713" w:type="dxa"/>
                  <w:vAlign w:val="center"/>
                </w:tcPr>
                <w:p w14:paraId="6E031FD2">
                  <w:pPr>
                    <w:pStyle w:val="36"/>
                    <w:spacing w:after="0" w:line="320" w:lineRule="exact"/>
                    <w:ind w:left="0" w:leftChars="0" w:firstLine="0" w:firstLineChars="0"/>
                    <w:jc w:val="center"/>
                    <w:rPr>
                      <w:sz w:val="18"/>
                      <w:szCs w:val="18"/>
                    </w:rPr>
                  </w:pPr>
                  <w:r>
                    <w:rPr>
                      <w:sz w:val="18"/>
                      <w:szCs w:val="18"/>
                    </w:rPr>
                    <w:t>X</w:t>
                  </w:r>
                </w:p>
              </w:tc>
              <w:tc>
                <w:tcPr>
                  <w:tcW w:w="1045" w:type="dxa"/>
                  <w:vAlign w:val="center"/>
                </w:tcPr>
                <w:p w14:paraId="08E8BD25">
                  <w:pPr>
                    <w:pStyle w:val="36"/>
                    <w:spacing w:after="0" w:line="320" w:lineRule="exact"/>
                    <w:ind w:left="0" w:leftChars="0" w:firstLine="0" w:firstLineChars="0"/>
                    <w:jc w:val="center"/>
                    <w:rPr>
                      <w:sz w:val="18"/>
                      <w:szCs w:val="18"/>
                    </w:rPr>
                  </w:pPr>
                  <w:r>
                    <w:rPr>
                      <w:sz w:val="18"/>
                      <w:szCs w:val="18"/>
                    </w:rPr>
                    <w:t>Y</w:t>
                  </w:r>
                </w:p>
              </w:tc>
              <w:tc>
                <w:tcPr>
                  <w:tcW w:w="672" w:type="dxa"/>
                  <w:vAlign w:val="center"/>
                </w:tcPr>
                <w:p w14:paraId="63ACDFAC">
                  <w:pPr>
                    <w:pStyle w:val="36"/>
                    <w:spacing w:after="0" w:line="320" w:lineRule="exact"/>
                    <w:ind w:left="0" w:leftChars="0" w:firstLine="0" w:firstLineChars="0"/>
                    <w:jc w:val="center"/>
                    <w:rPr>
                      <w:sz w:val="18"/>
                      <w:szCs w:val="18"/>
                    </w:rPr>
                  </w:pPr>
                  <w:r>
                    <w:rPr>
                      <w:sz w:val="18"/>
                      <w:szCs w:val="18"/>
                    </w:rPr>
                    <w:t>Z</w:t>
                  </w:r>
                </w:p>
              </w:tc>
              <w:tc>
                <w:tcPr>
                  <w:tcW w:w="953" w:type="dxa"/>
                  <w:vAlign w:val="center"/>
                </w:tcPr>
                <w:p w14:paraId="7A0DC244">
                  <w:pPr>
                    <w:pStyle w:val="36"/>
                    <w:spacing w:after="0" w:line="320" w:lineRule="exact"/>
                    <w:ind w:left="0" w:leftChars="0" w:firstLine="0" w:firstLineChars="0"/>
                    <w:jc w:val="center"/>
                    <w:rPr>
                      <w:sz w:val="18"/>
                      <w:szCs w:val="18"/>
                    </w:rPr>
                  </w:pPr>
                  <w:r>
                    <w:rPr>
                      <w:sz w:val="18"/>
                      <w:szCs w:val="18"/>
                    </w:rPr>
                    <w:t>声功率级</w:t>
                  </w:r>
                </w:p>
              </w:tc>
              <w:tc>
                <w:tcPr>
                  <w:tcW w:w="1844" w:type="dxa"/>
                  <w:vMerge w:val="continue"/>
                  <w:vAlign w:val="center"/>
                </w:tcPr>
                <w:p w14:paraId="7CE2A369">
                  <w:pPr>
                    <w:pStyle w:val="36"/>
                    <w:spacing w:after="0" w:line="320" w:lineRule="exact"/>
                    <w:ind w:left="0" w:leftChars="0" w:firstLine="0" w:firstLineChars="0"/>
                    <w:jc w:val="center"/>
                    <w:rPr>
                      <w:sz w:val="18"/>
                      <w:szCs w:val="18"/>
                    </w:rPr>
                  </w:pPr>
                </w:p>
              </w:tc>
              <w:tc>
                <w:tcPr>
                  <w:tcW w:w="862" w:type="dxa"/>
                  <w:vMerge w:val="continue"/>
                  <w:vAlign w:val="center"/>
                </w:tcPr>
                <w:p w14:paraId="1DA3E4F7">
                  <w:pPr>
                    <w:pStyle w:val="36"/>
                    <w:spacing w:after="0" w:line="320" w:lineRule="exact"/>
                    <w:ind w:left="0" w:leftChars="0" w:firstLine="0" w:firstLineChars="0"/>
                    <w:jc w:val="center"/>
                    <w:rPr>
                      <w:sz w:val="18"/>
                      <w:szCs w:val="18"/>
                    </w:rPr>
                  </w:pPr>
                </w:p>
              </w:tc>
            </w:tr>
            <w:tr w14:paraId="2C36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22" w:type="dxa"/>
                  <w:vAlign w:val="center"/>
                </w:tcPr>
                <w:p w14:paraId="2107480F">
                  <w:pPr>
                    <w:pStyle w:val="36"/>
                    <w:spacing w:after="0" w:line="320" w:lineRule="exact"/>
                    <w:ind w:left="0" w:leftChars="0" w:firstLine="0" w:firstLineChars="0"/>
                    <w:jc w:val="center"/>
                    <w:rPr>
                      <w:sz w:val="18"/>
                      <w:szCs w:val="18"/>
                    </w:rPr>
                  </w:pPr>
                  <w:r>
                    <w:rPr>
                      <w:sz w:val="18"/>
                      <w:szCs w:val="18"/>
                    </w:rPr>
                    <w:t>1</w:t>
                  </w:r>
                </w:p>
              </w:tc>
              <w:tc>
                <w:tcPr>
                  <w:tcW w:w="1499" w:type="dxa"/>
                  <w:vAlign w:val="center"/>
                </w:tcPr>
                <w:p w14:paraId="2F641C20">
                  <w:pPr>
                    <w:pStyle w:val="36"/>
                    <w:spacing w:after="0" w:line="320" w:lineRule="exact"/>
                    <w:ind w:left="0" w:leftChars="0" w:firstLine="0" w:firstLineChars="0"/>
                    <w:jc w:val="center"/>
                    <w:rPr>
                      <w:sz w:val="18"/>
                      <w:szCs w:val="18"/>
                    </w:rPr>
                  </w:pPr>
                  <w:r>
                    <w:rPr>
                      <w:sz w:val="18"/>
                      <w:szCs w:val="18"/>
                    </w:rPr>
                    <w:t>窑炉烟气引风机</w:t>
                  </w:r>
                </w:p>
              </w:tc>
              <w:tc>
                <w:tcPr>
                  <w:tcW w:w="713" w:type="dxa"/>
                  <w:vAlign w:val="center"/>
                </w:tcPr>
                <w:p w14:paraId="2E97C5B4">
                  <w:pPr>
                    <w:pStyle w:val="36"/>
                    <w:spacing w:after="0" w:line="320" w:lineRule="exact"/>
                    <w:ind w:left="0" w:leftChars="0" w:firstLine="0" w:firstLineChars="0"/>
                    <w:jc w:val="center"/>
                    <w:rPr>
                      <w:sz w:val="18"/>
                      <w:szCs w:val="18"/>
                    </w:rPr>
                  </w:pPr>
                  <w:r>
                    <w:rPr>
                      <w:sz w:val="18"/>
                      <w:szCs w:val="18"/>
                    </w:rPr>
                    <w:t>172</w:t>
                  </w:r>
                </w:p>
              </w:tc>
              <w:tc>
                <w:tcPr>
                  <w:tcW w:w="1045" w:type="dxa"/>
                  <w:vAlign w:val="center"/>
                </w:tcPr>
                <w:p w14:paraId="0F884836">
                  <w:pPr>
                    <w:pStyle w:val="36"/>
                    <w:spacing w:after="0" w:line="320" w:lineRule="exact"/>
                    <w:ind w:left="0" w:leftChars="0" w:firstLine="0" w:firstLineChars="0"/>
                    <w:jc w:val="center"/>
                    <w:rPr>
                      <w:sz w:val="18"/>
                      <w:szCs w:val="18"/>
                    </w:rPr>
                  </w:pPr>
                  <w:r>
                    <w:rPr>
                      <w:sz w:val="18"/>
                      <w:szCs w:val="18"/>
                    </w:rPr>
                    <w:t>226</w:t>
                  </w:r>
                </w:p>
              </w:tc>
              <w:tc>
                <w:tcPr>
                  <w:tcW w:w="672" w:type="dxa"/>
                  <w:vAlign w:val="center"/>
                </w:tcPr>
                <w:p w14:paraId="7A46ED78">
                  <w:pPr>
                    <w:pStyle w:val="36"/>
                    <w:spacing w:after="0" w:line="320" w:lineRule="exact"/>
                    <w:ind w:left="0" w:leftChars="0" w:firstLine="0" w:firstLineChars="0"/>
                    <w:jc w:val="center"/>
                    <w:rPr>
                      <w:sz w:val="18"/>
                      <w:szCs w:val="18"/>
                    </w:rPr>
                  </w:pPr>
                  <w:r>
                    <w:rPr>
                      <w:sz w:val="18"/>
                      <w:szCs w:val="18"/>
                    </w:rPr>
                    <w:t>-3</w:t>
                  </w:r>
                </w:p>
              </w:tc>
              <w:tc>
                <w:tcPr>
                  <w:tcW w:w="953" w:type="dxa"/>
                  <w:vAlign w:val="center"/>
                </w:tcPr>
                <w:p w14:paraId="0E111B18">
                  <w:pPr>
                    <w:pStyle w:val="36"/>
                    <w:spacing w:after="0" w:line="320" w:lineRule="exact"/>
                    <w:ind w:left="0" w:leftChars="0" w:firstLine="0" w:firstLineChars="0"/>
                    <w:jc w:val="center"/>
                    <w:rPr>
                      <w:sz w:val="18"/>
                      <w:szCs w:val="18"/>
                    </w:rPr>
                  </w:pPr>
                  <w:r>
                    <w:rPr>
                      <w:sz w:val="18"/>
                      <w:szCs w:val="18"/>
                    </w:rPr>
                    <w:t>100</w:t>
                  </w:r>
                </w:p>
              </w:tc>
              <w:tc>
                <w:tcPr>
                  <w:tcW w:w="1844" w:type="dxa"/>
                  <w:vAlign w:val="center"/>
                </w:tcPr>
                <w:p w14:paraId="41491CFE">
                  <w:pPr>
                    <w:pStyle w:val="36"/>
                    <w:spacing w:after="0" w:line="320" w:lineRule="exact"/>
                    <w:ind w:left="0" w:leftChars="0" w:firstLine="0" w:firstLineChars="0"/>
                    <w:jc w:val="center"/>
                    <w:rPr>
                      <w:sz w:val="18"/>
                      <w:szCs w:val="18"/>
                    </w:rPr>
                  </w:pPr>
                  <w:r>
                    <w:rPr>
                      <w:sz w:val="18"/>
                      <w:szCs w:val="18"/>
                    </w:rPr>
                    <w:t>消声器、隔声、减振</w:t>
                  </w:r>
                </w:p>
              </w:tc>
              <w:tc>
                <w:tcPr>
                  <w:tcW w:w="862" w:type="dxa"/>
                  <w:vAlign w:val="center"/>
                </w:tcPr>
                <w:p w14:paraId="2CEA1BBC">
                  <w:pPr>
                    <w:pStyle w:val="36"/>
                    <w:spacing w:after="0" w:line="320" w:lineRule="exact"/>
                    <w:ind w:left="0" w:leftChars="0" w:firstLine="0" w:firstLineChars="0"/>
                    <w:jc w:val="center"/>
                    <w:rPr>
                      <w:sz w:val="18"/>
                      <w:szCs w:val="18"/>
                    </w:rPr>
                  </w:pPr>
                  <w:r>
                    <w:rPr>
                      <w:sz w:val="18"/>
                      <w:szCs w:val="18"/>
                    </w:rPr>
                    <w:t>24h</w:t>
                  </w:r>
                </w:p>
              </w:tc>
            </w:tr>
            <w:tr w14:paraId="04AF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22" w:type="dxa"/>
                  <w:vAlign w:val="center"/>
                </w:tcPr>
                <w:p w14:paraId="3DD1C79E">
                  <w:pPr>
                    <w:pStyle w:val="36"/>
                    <w:spacing w:after="0" w:line="320" w:lineRule="exact"/>
                    <w:ind w:left="0" w:leftChars="0" w:firstLine="0" w:firstLineChars="0"/>
                    <w:jc w:val="center"/>
                    <w:rPr>
                      <w:sz w:val="18"/>
                      <w:szCs w:val="18"/>
                    </w:rPr>
                  </w:pPr>
                  <w:r>
                    <w:rPr>
                      <w:sz w:val="18"/>
                      <w:szCs w:val="18"/>
                    </w:rPr>
                    <w:t>2</w:t>
                  </w:r>
                </w:p>
              </w:tc>
              <w:tc>
                <w:tcPr>
                  <w:tcW w:w="1499" w:type="dxa"/>
                  <w:vAlign w:val="center"/>
                </w:tcPr>
                <w:p w14:paraId="33E3C74D">
                  <w:pPr>
                    <w:spacing w:line="320" w:lineRule="exact"/>
                    <w:jc w:val="center"/>
                    <w:rPr>
                      <w:sz w:val="18"/>
                      <w:szCs w:val="18"/>
                    </w:rPr>
                  </w:pPr>
                  <w:r>
                    <w:rPr>
                      <w:sz w:val="18"/>
                      <w:szCs w:val="18"/>
                    </w:rPr>
                    <w:t>脱硫塔氧化风机</w:t>
                  </w:r>
                </w:p>
              </w:tc>
              <w:tc>
                <w:tcPr>
                  <w:tcW w:w="713" w:type="dxa"/>
                  <w:vAlign w:val="center"/>
                </w:tcPr>
                <w:p w14:paraId="446192B7">
                  <w:pPr>
                    <w:pStyle w:val="36"/>
                    <w:spacing w:after="0" w:line="320" w:lineRule="exact"/>
                    <w:ind w:left="0" w:leftChars="0" w:firstLine="0" w:firstLineChars="0"/>
                    <w:jc w:val="center"/>
                    <w:rPr>
                      <w:sz w:val="18"/>
                      <w:szCs w:val="18"/>
                    </w:rPr>
                  </w:pPr>
                  <w:r>
                    <w:rPr>
                      <w:sz w:val="18"/>
                      <w:szCs w:val="18"/>
                    </w:rPr>
                    <w:t>188</w:t>
                  </w:r>
                </w:p>
              </w:tc>
              <w:tc>
                <w:tcPr>
                  <w:tcW w:w="1045" w:type="dxa"/>
                  <w:vAlign w:val="center"/>
                </w:tcPr>
                <w:p w14:paraId="6E4643BB">
                  <w:pPr>
                    <w:pStyle w:val="36"/>
                    <w:spacing w:after="0" w:line="320" w:lineRule="exact"/>
                    <w:ind w:left="0" w:leftChars="0" w:firstLine="0" w:firstLineChars="0"/>
                    <w:jc w:val="center"/>
                    <w:rPr>
                      <w:sz w:val="18"/>
                      <w:szCs w:val="18"/>
                    </w:rPr>
                  </w:pPr>
                  <w:r>
                    <w:rPr>
                      <w:sz w:val="18"/>
                      <w:szCs w:val="18"/>
                    </w:rPr>
                    <w:t>238</w:t>
                  </w:r>
                </w:p>
              </w:tc>
              <w:tc>
                <w:tcPr>
                  <w:tcW w:w="672" w:type="dxa"/>
                  <w:vAlign w:val="center"/>
                </w:tcPr>
                <w:p w14:paraId="18A14131">
                  <w:pPr>
                    <w:pStyle w:val="36"/>
                    <w:spacing w:after="0" w:line="320" w:lineRule="exact"/>
                    <w:ind w:left="0" w:leftChars="0" w:firstLine="0" w:firstLineChars="0"/>
                    <w:jc w:val="center"/>
                    <w:rPr>
                      <w:sz w:val="18"/>
                      <w:szCs w:val="18"/>
                    </w:rPr>
                  </w:pPr>
                  <w:r>
                    <w:rPr>
                      <w:sz w:val="18"/>
                      <w:szCs w:val="18"/>
                    </w:rPr>
                    <w:t>-3</w:t>
                  </w:r>
                </w:p>
              </w:tc>
              <w:tc>
                <w:tcPr>
                  <w:tcW w:w="953" w:type="dxa"/>
                </w:tcPr>
                <w:p w14:paraId="7D4EA9C6">
                  <w:pPr>
                    <w:pStyle w:val="36"/>
                    <w:spacing w:after="0" w:line="320" w:lineRule="exact"/>
                    <w:ind w:left="0" w:leftChars="0" w:firstLine="0" w:firstLineChars="0"/>
                    <w:jc w:val="center"/>
                    <w:rPr>
                      <w:sz w:val="18"/>
                      <w:szCs w:val="18"/>
                    </w:rPr>
                  </w:pPr>
                  <w:r>
                    <w:rPr>
                      <w:sz w:val="18"/>
                      <w:szCs w:val="18"/>
                    </w:rPr>
                    <w:t>95</w:t>
                  </w:r>
                </w:p>
              </w:tc>
              <w:tc>
                <w:tcPr>
                  <w:tcW w:w="1844" w:type="dxa"/>
                  <w:vAlign w:val="center"/>
                </w:tcPr>
                <w:p w14:paraId="4DD3FAE1">
                  <w:pPr>
                    <w:pStyle w:val="36"/>
                    <w:spacing w:after="0" w:line="320" w:lineRule="exact"/>
                    <w:ind w:left="0" w:leftChars="0" w:firstLine="0" w:firstLineChars="0"/>
                    <w:jc w:val="center"/>
                    <w:rPr>
                      <w:sz w:val="18"/>
                      <w:szCs w:val="18"/>
                    </w:rPr>
                  </w:pPr>
                  <w:r>
                    <w:rPr>
                      <w:sz w:val="18"/>
                      <w:szCs w:val="18"/>
                    </w:rPr>
                    <w:t>消声器、隔声、减振</w:t>
                  </w:r>
                </w:p>
              </w:tc>
              <w:tc>
                <w:tcPr>
                  <w:tcW w:w="862" w:type="dxa"/>
                  <w:vAlign w:val="center"/>
                </w:tcPr>
                <w:p w14:paraId="584C5D95">
                  <w:pPr>
                    <w:pStyle w:val="36"/>
                    <w:spacing w:after="0" w:line="320" w:lineRule="exact"/>
                    <w:ind w:left="0" w:leftChars="0" w:firstLine="0" w:firstLineChars="0"/>
                    <w:jc w:val="center"/>
                    <w:rPr>
                      <w:sz w:val="18"/>
                      <w:szCs w:val="18"/>
                    </w:rPr>
                  </w:pPr>
                  <w:r>
                    <w:rPr>
                      <w:sz w:val="18"/>
                      <w:szCs w:val="18"/>
                    </w:rPr>
                    <w:t>24h</w:t>
                  </w:r>
                </w:p>
              </w:tc>
            </w:tr>
            <w:tr w14:paraId="7185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4A862F6B">
                  <w:pPr>
                    <w:pStyle w:val="36"/>
                    <w:spacing w:after="0" w:line="320" w:lineRule="exact"/>
                    <w:ind w:left="0" w:leftChars="0" w:firstLine="0" w:firstLineChars="0"/>
                    <w:jc w:val="center"/>
                    <w:rPr>
                      <w:sz w:val="18"/>
                      <w:szCs w:val="18"/>
                    </w:rPr>
                  </w:pPr>
                  <w:r>
                    <w:rPr>
                      <w:sz w:val="18"/>
                      <w:szCs w:val="18"/>
                    </w:rPr>
                    <w:t>3</w:t>
                  </w:r>
                </w:p>
              </w:tc>
              <w:tc>
                <w:tcPr>
                  <w:tcW w:w="1499" w:type="dxa"/>
                  <w:vAlign w:val="center"/>
                </w:tcPr>
                <w:p w14:paraId="18D60719">
                  <w:pPr>
                    <w:spacing w:line="320" w:lineRule="exact"/>
                    <w:jc w:val="center"/>
                    <w:rPr>
                      <w:sz w:val="18"/>
                      <w:szCs w:val="18"/>
                    </w:rPr>
                  </w:pPr>
                  <w:r>
                    <w:rPr>
                      <w:sz w:val="18"/>
                      <w:szCs w:val="18"/>
                    </w:rPr>
                    <w:t>浆液循环泵</w:t>
                  </w:r>
                </w:p>
              </w:tc>
              <w:tc>
                <w:tcPr>
                  <w:tcW w:w="713" w:type="dxa"/>
                  <w:vAlign w:val="center"/>
                </w:tcPr>
                <w:p w14:paraId="65DAFAC9">
                  <w:pPr>
                    <w:pStyle w:val="36"/>
                    <w:spacing w:after="0" w:line="320" w:lineRule="exact"/>
                    <w:ind w:left="0" w:leftChars="0" w:firstLine="0" w:firstLineChars="0"/>
                    <w:jc w:val="center"/>
                    <w:rPr>
                      <w:sz w:val="18"/>
                      <w:szCs w:val="18"/>
                    </w:rPr>
                  </w:pPr>
                  <w:r>
                    <w:rPr>
                      <w:sz w:val="18"/>
                      <w:szCs w:val="18"/>
                    </w:rPr>
                    <w:t>189</w:t>
                  </w:r>
                </w:p>
              </w:tc>
              <w:tc>
                <w:tcPr>
                  <w:tcW w:w="1045" w:type="dxa"/>
                  <w:vAlign w:val="center"/>
                </w:tcPr>
                <w:p w14:paraId="1CD3CD69">
                  <w:pPr>
                    <w:pStyle w:val="36"/>
                    <w:spacing w:after="0" w:line="320" w:lineRule="exact"/>
                    <w:ind w:left="0" w:leftChars="0" w:firstLine="0" w:firstLineChars="0"/>
                    <w:jc w:val="center"/>
                    <w:rPr>
                      <w:sz w:val="18"/>
                      <w:szCs w:val="18"/>
                    </w:rPr>
                  </w:pPr>
                  <w:r>
                    <w:rPr>
                      <w:sz w:val="18"/>
                      <w:szCs w:val="18"/>
                    </w:rPr>
                    <w:t>235</w:t>
                  </w:r>
                </w:p>
              </w:tc>
              <w:tc>
                <w:tcPr>
                  <w:tcW w:w="672" w:type="dxa"/>
                  <w:vAlign w:val="center"/>
                </w:tcPr>
                <w:p w14:paraId="047BE733">
                  <w:pPr>
                    <w:pStyle w:val="36"/>
                    <w:spacing w:after="0" w:line="320" w:lineRule="exact"/>
                    <w:ind w:left="0" w:leftChars="0" w:firstLine="0" w:firstLineChars="0"/>
                    <w:jc w:val="center"/>
                    <w:rPr>
                      <w:sz w:val="18"/>
                      <w:szCs w:val="18"/>
                    </w:rPr>
                  </w:pPr>
                  <w:r>
                    <w:rPr>
                      <w:sz w:val="18"/>
                      <w:szCs w:val="18"/>
                    </w:rPr>
                    <w:t>-3</w:t>
                  </w:r>
                </w:p>
              </w:tc>
              <w:tc>
                <w:tcPr>
                  <w:tcW w:w="953" w:type="dxa"/>
                </w:tcPr>
                <w:p w14:paraId="20614FE5">
                  <w:pPr>
                    <w:pStyle w:val="36"/>
                    <w:spacing w:after="0" w:line="320" w:lineRule="exact"/>
                    <w:ind w:left="0" w:leftChars="0" w:firstLine="0" w:firstLineChars="0"/>
                    <w:jc w:val="center"/>
                    <w:rPr>
                      <w:sz w:val="18"/>
                      <w:szCs w:val="18"/>
                    </w:rPr>
                  </w:pPr>
                  <w:r>
                    <w:rPr>
                      <w:sz w:val="18"/>
                      <w:szCs w:val="18"/>
                    </w:rPr>
                    <w:t>90</w:t>
                  </w:r>
                </w:p>
              </w:tc>
              <w:tc>
                <w:tcPr>
                  <w:tcW w:w="1844" w:type="dxa"/>
                  <w:vAlign w:val="center"/>
                </w:tcPr>
                <w:p w14:paraId="5042B8CA">
                  <w:pPr>
                    <w:pStyle w:val="36"/>
                    <w:spacing w:after="0" w:line="320" w:lineRule="exact"/>
                    <w:ind w:left="0" w:leftChars="0" w:firstLine="0" w:firstLineChars="0"/>
                    <w:jc w:val="center"/>
                    <w:rPr>
                      <w:sz w:val="18"/>
                      <w:szCs w:val="18"/>
                    </w:rPr>
                  </w:pPr>
                  <w:r>
                    <w:rPr>
                      <w:sz w:val="18"/>
                      <w:szCs w:val="18"/>
                    </w:rPr>
                    <w:t>减振、隔声</w:t>
                  </w:r>
                </w:p>
              </w:tc>
              <w:tc>
                <w:tcPr>
                  <w:tcW w:w="862" w:type="dxa"/>
                  <w:vAlign w:val="center"/>
                </w:tcPr>
                <w:p w14:paraId="2AB80ADB">
                  <w:pPr>
                    <w:pStyle w:val="36"/>
                    <w:spacing w:after="0" w:line="320" w:lineRule="exact"/>
                    <w:ind w:left="0" w:leftChars="0" w:firstLine="0" w:firstLineChars="0"/>
                    <w:jc w:val="center"/>
                    <w:rPr>
                      <w:sz w:val="18"/>
                      <w:szCs w:val="18"/>
                    </w:rPr>
                  </w:pPr>
                  <w:r>
                    <w:rPr>
                      <w:sz w:val="18"/>
                      <w:szCs w:val="18"/>
                    </w:rPr>
                    <w:t>24h</w:t>
                  </w:r>
                </w:p>
              </w:tc>
            </w:tr>
            <w:tr w14:paraId="7C3C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6827102C">
                  <w:pPr>
                    <w:pStyle w:val="36"/>
                    <w:spacing w:after="0" w:line="320" w:lineRule="exact"/>
                    <w:ind w:left="0" w:leftChars="0" w:firstLine="0" w:firstLineChars="0"/>
                    <w:jc w:val="center"/>
                    <w:rPr>
                      <w:sz w:val="18"/>
                      <w:szCs w:val="18"/>
                    </w:rPr>
                  </w:pPr>
                  <w:r>
                    <w:rPr>
                      <w:sz w:val="18"/>
                      <w:szCs w:val="18"/>
                    </w:rPr>
                    <w:t>4</w:t>
                  </w:r>
                </w:p>
              </w:tc>
              <w:tc>
                <w:tcPr>
                  <w:tcW w:w="1499" w:type="dxa"/>
                  <w:vAlign w:val="center"/>
                </w:tcPr>
                <w:p w14:paraId="3DA44A11">
                  <w:pPr>
                    <w:spacing w:line="320" w:lineRule="exact"/>
                    <w:jc w:val="center"/>
                    <w:rPr>
                      <w:sz w:val="18"/>
                      <w:szCs w:val="18"/>
                    </w:rPr>
                  </w:pPr>
                  <w:r>
                    <w:rPr>
                      <w:sz w:val="18"/>
                      <w:szCs w:val="18"/>
                    </w:rPr>
                    <w:t>石膏泵</w:t>
                  </w:r>
                </w:p>
              </w:tc>
              <w:tc>
                <w:tcPr>
                  <w:tcW w:w="713" w:type="dxa"/>
                  <w:vAlign w:val="center"/>
                </w:tcPr>
                <w:p w14:paraId="62BA3F19">
                  <w:pPr>
                    <w:pStyle w:val="36"/>
                    <w:spacing w:after="0" w:line="320" w:lineRule="exact"/>
                    <w:ind w:left="0" w:leftChars="0" w:firstLine="0" w:firstLineChars="0"/>
                    <w:jc w:val="center"/>
                    <w:rPr>
                      <w:sz w:val="18"/>
                      <w:szCs w:val="18"/>
                    </w:rPr>
                  </w:pPr>
                  <w:r>
                    <w:rPr>
                      <w:sz w:val="18"/>
                      <w:szCs w:val="18"/>
                    </w:rPr>
                    <w:t>175</w:t>
                  </w:r>
                </w:p>
              </w:tc>
              <w:tc>
                <w:tcPr>
                  <w:tcW w:w="1045" w:type="dxa"/>
                  <w:vAlign w:val="center"/>
                </w:tcPr>
                <w:p w14:paraId="1E138284">
                  <w:pPr>
                    <w:pStyle w:val="36"/>
                    <w:spacing w:after="0" w:line="320" w:lineRule="exact"/>
                    <w:ind w:left="0" w:leftChars="0" w:firstLine="0" w:firstLineChars="0"/>
                    <w:jc w:val="center"/>
                    <w:rPr>
                      <w:sz w:val="18"/>
                      <w:szCs w:val="18"/>
                    </w:rPr>
                  </w:pPr>
                  <w:r>
                    <w:rPr>
                      <w:sz w:val="18"/>
                      <w:szCs w:val="18"/>
                    </w:rPr>
                    <w:t>218</w:t>
                  </w:r>
                </w:p>
              </w:tc>
              <w:tc>
                <w:tcPr>
                  <w:tcW w:w="672" w:type="dxa"/>
                  <w:vAlign w:val="center"/>
                </w:tcPr>
                <w:p w14:paraId="6D82D306">
                  <w:pPr>
                    <w:pStyle w:val="36"/>
                    <w:spacing w:after="0" w:line="320" w:lineRule="exact"/>
                    <w:ind w:left="0" w:leftChars="0" w:firstLine="0" w:firstLineChars="0"/>
                    <w:jc w:val="center"/>
                    <w:rPr>
                      <w:sz w:val="18"/>
                      <w:szCs w:val="18"/>
                    </w:rPr>
                  </w:pPr>
                  <w:r>
                    <w:rPr>
                      <w:sz w:val="18"/>
                      <w:szCs w:val="18"/>
                    </w:rPr>
                    <w:t>-3</w:t>
                  </w:r>
                </w:p>
              </w:tc>
              <w:tc>
                <w:tcPr>
                  <w:tcW w:w="953" w:type="dxa"/>
                </w:tcPr>
                <w:p w14:paraId="4EE67B8C">
                  <w:pPr>
                    <w:pStyle w:val="36"/>
                    <w:spacing w:after="0" w:line="320" w:lineRule="exact"/>
                    <w:ind w:left="0" w:leftChars="0" w:firstLine="0" w:firstLineChars="0"/>
                    <w:jc w:val="center"/>
                    <w:rPr>
                      <w:sz w:val="18"/>
                      <w:szCs w:val="18"/>
                    </w:rPr>
                  </w:pPr>
                  <w:r>
                    <w:rPr>
                      <w:sz w:val="18"/>
                      <w:szCs w:val="18"/>
                    </w:rPr>
                    <w:t>90</w:t>
                  </w:r>
                </w:p>
              </w:tc>
              <w:tc>
                <w:tcPr>
                  <w:tcW w:w="1844" w:type="dxa"/>
                  <w:vAlign w:val="center"/>
                </w:tcPr>
                <w:p w14:paraId="7B1E9920">
                  <w:pPr>
                    <w:pStyle w:val="36"/>
                    <w:spacing w:after="0" w:line="320" w:lineRule="exact"/>
                    <w:ind w:left="0" w:leftChars="0" w:firstLine="0" w:firstLineChars="0"/>
                    <w:jc w:val="center"/>
                    <w:rPr>
                      <w:sz w:val="18"/>
                      <w:szCs w:val="18"/>
                    </w:rPr>
                  </w:pPr>
                  <w:r>
                    <w:rPr>
                      <w:sz w:val="18"/>
                      <w:szCs w:val="18"/>
                    </w:rPr>
                    <w:t>减振、隔声</w:t>
                  </w:r>
                </w:p>
              </w:tc>
              <w:tc>
                <w:tcPr>
                  <w:tcW w:w="862" w:type="dxa"/>
                  <w:vAlign w:val="center"/>
                </w:tcPr>
                <w:p w14:paraId="5FE556B6">
                  <w:pPr>
                    <w:pStyle w:val="36"/>
                    <w:spacing w:after="0" w:line="320" w:lineRule="exact"/>
                    <w:ind w:left="0" w:leftChars="0" w:firstLine="0" w:firstLineChars="0"/>
                    <w:jc w:val="center"/>
                    <w:rPr>
                      <w:sz w:val="18"/>
                      <w:szCs w:val="18"/>
                    </w:rPr>
                  </w:pPr>
                  <w:r>
                    <w:rPr>
                      <w:sz w:val="18"/>
                      <w:szCs w:val="18"/>
                    </w:rPr>
                    <w:t>24h</w:t>
                  </w:r>
                </w:p>
              </w:tc>
            </w:tr>
            <w:tr w14:paraId="1CBB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747C78BD">
                  <w:pPr>
                    <w:pStyle w:val="36"/>
                    <w:spacing w:after="0" w:line="320" w:lineRule="exact"/>
                    <w:ind w:left="0" w:leftChars="0" w:firstLine="0" w:firstLineChars="0"/>
                    <w:jc w:val="center"/>
                    <w:rPr>
                      <w:sz w:val="18"/>
                      <w:szCs w:val="18"/>
                    </w:rPr>
                  </w:pPr>
                  <w:r>
                    <w:rPr>
                      <w:sz w:val="18"/>
                      <w:szCs w:val="18"/>
                    </w:rPr>
                    <w:t>5</w:t>
                  </w:r>
                </w:p>
              </w:tc>
              <w:tc>
                <w:tcPr>
                  <w:tcW w:w="1499" w:type="dxa"/>
                  <w:vAlign w:val="center"/>
                </w:tcPr>
                <w:p w14:paraId="6630E59E">
                  <w:pPr>
                    <w:spacing w:line="320" w:lineRule="exact"/>
                    <w:jc w:val="center"/>
                    <w:rPr>
                      <w:sz w:val="18"/>
                      <w:szCs w:val="18"/>
                    </w:rPr>
                  </w:pPr>
                  <w:r>
                    <w:rPr>
                      <w:sz w:val="18"/>
                      <w:szCs w:val="18"/>
                    </w:rPr>
                    <w:t>污水泵</w:t>
                  </w:r>
                </w:p>
              </w:tc>
              <w:tc>
                <w:tcPr>
                  <w:tcW w:w="713" w:type="dxa"/>
                  <w:vAlign w:val="center"/>
                </w:tcPr>
                <w:p w14:paraId="7CE5BB15">
                  <w:pPr>
                    <w:pStyle w:val="36"/>
                    <w:spacing w:after="0" w:line="320" w:lineRule="exact"/>
                    <w:ind w:left="0" w:leftChars="0" w:firstLine="0" w:firstLineChars="0"/>
                    <w:jc w:val="center"/>
                    <w:rPr>
                      <w:sz w:val="18"/>
                      <w:szCs w:val="18"/>
                    </w:rPr>
                  </w:pPr>
                  <w:r>
                    <w:rPr>
                      <w:sz w:val="18"/>
                      <w:szCs w:val="18"/>
                    </w:rPr>
                    <w:t>176</w:t>
                  </w:r>
                </w:p>
              </w:tc>
              <w:tc>
                <w:tcPr>
                  <w:tcW w:w="1045" w:type="dxa"/>
                  <w:vAlign w:val="center"/>
                </w:tcPr>
                <w:p w14:paraId="144708EC">
                  <w:pPr>
                    <w:pStyle w:val="36"/>
                    <w:spacing w:after="0" w:line="320" w:lineRule="exact"/>
                    <w:ind w:left="0" w:leftChars="0" w:firstLine="0" w:firstLineChars="0"/>
                    <w:jc w:val="center"/>
                    <w:rPr>
                      <w:sz w:val="18"/>
                      <w:szCs w:val="18"/>
                    </w:rPr>
                  </w:pPr>
                  <w:r>
                    <w:rPr>
                      <w:sz w:val="18"/>
                      <w:szCs w:val="18"/>
                    </w:rPr>
                    <w:t>205</w:t>
                  </w:r>
                </w:p>
              </w:tc>
              <w:tc>
                <w:tcPr>
                  <w:tcW w:w="672" w:type="dxa"/>
                  <w:vAlign w:val="center"/>
                </w:tcPr>
                <w:p w14:paraId="042DF59E">
                  <w:pPr>
                    <w:pStyle w:val="36"/>
                    <w:spacing w:after="0" w:line="320" w:lineRule="exact"/>
                    <w:ind w:left="0" w:leftChars="0" w:firstLine="0" w:firstLineChars="0"/>
                    <w:jc w:val="center"/>
                    <w:rPr>
                      <w:sz w:val="18"/>
                      <w:szCs w:val="18"/>
                    </w:rPr>
                  </w:pPr>
                  <w:r>
                    <w:rPr>
                      <w:sz w:val="18"/>
                      <w:szCs w:val="18"/>
                    </w:rPr>
                    <w:t>-3</w:t>
                  </w:r>
                </w:p>
              </w:tc>
              <w:tc>
                <w:tcPr>
                  <w:tcW w:w="953" w:type="dxa"/>
                </w:tcPr>
                <w:p w14:paraId="7234647E">
                  <w:pPr>
                    <w:pStyle w:val="36"/>
                    <w:spacing w:after="0" w:line="320" w:lineRule="exact"/>
                    <w:ind w:left="0" w:leftChars="0" w:firstLine="0" w:firstLineChars="0"/>
                    <w:jc w:val="center"/>
                    <w:rPr>
                      <w:sz w:val="18"/>
                      <w:szCs w:val="18"/>
                    </w:rPr>
                  </w:pPr>
                  <w:r>
                    <w:rPr>
                      <w:sz w:val="18"/>
                      <w:szCs w:val="18"/>
                    </w:rPr>
                    <w:t>85</w:t>
                  </w:r>
                </w:p>
              </w:tc>
              <w:tc>
                <w:tcPr>
                  <w:tcW w:w="1844" w:type="dxa"/>
                  <w:vAlign w:val="center"/>
                </w:tcPr>
                <w:p w14:paraId="5F003B85">
                  <w:pPr>
                    <w:pStyle w:val="36"/>
                    <w:spacing w:after="0" w:line="320" w:lineRule="exact"/>
                    <w:ind w:left="0" w:leftChars="0" w:firstLine="0" w:firstLineChars="0"/>
                    <w:jc w:val="center"/>
                    <w:rPr>
                      <w:sz w:val="18"/>
                      <w:szCs w:val="18"/>
                    </w:rPr>
                  </w:pPr>
                  <w:r>
                    <w:rPr>
                      <w:sz w:val="18"/>
                      <w:szCs w:val="18"/>
                    </w:rPr>
                    <w:t>减振、隔声</w:t>
                  </w:r>
                </w:p>
              </w:tc>
              <w:tc>
                <w:tcPr>
                  <w:tcW w:w="862" w:type="dxa"/>
                  <w:vAlign w:val="center"/>
                </w:tcPr>
                <w:p w14:paraId="26F84000">
                  <w:pPr>
                    <w:pStyle w:val="36"/>
                    <w:spacing w:after="0" w:line="320" w:lineRule="exact"/>
                    <w:ind w:left="0" w:leftChars="0" w:firstLine="0" w:firstLineChars="0"/>
                    <w:jc w:val="center"/>
                    <w:rPr>
                      <w:sz w:val="18"/>
                      <w:szCs w:val="18"/>
                    </w:rPr>
                  </w:pPr>
                  <w:r>
                    <w:rPr>
                      <w:sz w:val="18"/>
                      <w:szCs w:val="18"/>
                    </w:rPr>
                    <w:t>24h</w:t>
                  </w:r>
                </w:p>
              </w:tc>
            </w:tr>
            <w:tr w14:paraId="1FCD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326EFFBC">
                  <w:pPr>
                    <w:pStyle w:val="36"/>
                    <w:spacing w:after="0" w:line="320" w:lineRule="exact"/>
                    <w:ind w:left="0" w:leftChars="0" w:firstLine="0" w:firstLineChars="0"/>
                    <w:jc w:val="center"/>
                    <w:rPr>
                      <w:sz w:val="18"/>
                      <w:szCs w:val="18"/>
                    </w:rPr>
                  </w:pPr>
                  <w:r>
                    <w:rPr>
                      <w:sz w:val="18"/>
                      <w:szCs w:val="18"/>
                    </w:rPr>
                    <w:t>6</w:t>
                  </w:r>
                </w:p>
              </w:tc>
              <w:tc>
                <w:tcPr>
                  <w:tcW w:w="1499" w:type="dxa"/>
                  <w:vAlign w:val="center"/>
                </w:tcPr>
                <w:p w14:paraId="67559295">
                  <w:pPr>
                    <w:spacing w:line="320" w:lineRule="exact"/>
                    <w:jc w:val="center"/>
                    <w:rPr>
                      <w:sz w:val="18"/>
                      <w:szCs w:val="18"/>
                    </w:rPr>
                  </w:pPr>
                  <w:r>
                    <w:rPr>
                      <w:sz w:val="18"/>
                      <w:szCs w:val="18"/>
                    </w:rPr>
                    <w:t>污泥泵</w:t>
                  </w:r>
                </w:p>
              </w:tc>
              <w:tc>
                <w:tcPr>
                  <w:tcW w:w="713" w:type="dxa"/>
                  <w:vAlign w:val="center"/>
                </w:tcPr>
                <w:p w14:paraId="58E53C50">
                  <w:pPr>
                    <w:pStyle w:val="36"/>
                    <w:spacing w:after="0" w:line="320" w:lineRule="exact"/>
                    <w:ind w:left="0" w:leftChars="0" w:firstLine="0" w:firstLineChars="0"/>
                    <w:jc w:val="center"/>
                    <w:rPr>
                      <w:sz w:val="18"/>
                      <w:szCs w:val="18"/>
                    </w:rPr>
                  </w:pPr>
                  <w:r>
                    <w:rPr>
                      <w:sz w:val="18"/>
                      <w:szCs w:val="18"/>
                    </w:rPr>
                    <w:t>178</w:t>
                  </w:r>
                </w:p>
              </w:tc>
              <w:tc>
                <w:tcPr>
                  <w:tcW w:w="1045" w:type="dxa"/>
                  <w:vAlign w:val="center"/>
                </w:tcPr>
                <w:p w14:paraId="6D47AF43">
                  <w:pPr>
                    <w:pStyle w:val="36"/>
                    <w:spacing w:after="0" w:line="320" w:lineRule="exact"/>
                    <w:ind w:left="0" w:leftChars="0" w:firstLine="0" w:firstLineChars="0"/>
                    <w:jc w:val="center"/>
                    <w:rPr>
                      <w:sz w:val="18"/>
                      <w:szCs w:val="18"/>
                    </w:rPr>
                  </w:pPr>
                  <w:r>
                    <w:rPr>
                      <w:sz w:val="18"/>
                      <w:szCs w:val="18"/>
                    </w:rPr>
                    <w:t>195</w:t>
                  </w:r>
                </w:p>
              </w:tc>
              <w:tc>
                <w:tcPr>
                  <w:tcW w:w="672" w:type="dxa"/>
                  <w:vAlign w:val="center"/>
                </w:tcPr>
                <w:p w14:paraId="721B9440">
                  <w:pPr>
                    <w:pStyle w:val="36"/>
                    <w:spacing w:after="0" w:line="320" w:lineRule="exact"/>
                    <w:ind w:left="0" w:leftChars="0" w:firstLine="0" w:firstLineChars="0"/>
                    <w:jc w:val="center"/>
                    <w:rPr>
                      <w:sz w:val="18"/>
                      <w:szCs w:val="18"/>
                    </w:rPr>
                  </w:pPr>
                  <w:r>
                    <w:rPr>
                      <w:sz w:val="18"/>
                      <w:szCs w:val="18"/>
                    </w:rPr>
                    <w:t>-3</w:t>
                  </w:r>
                </w:p>
              </w:tc>
              <w:tc>
                <w:tcPr>
                  <w:tcW w:w="953" w:type="dxa"/>
                </w:tcPr>
                <w:p w14:paraId="27133F48">
                  <w:pPr>
                    <w:pStyle w:val="36"/>
                    <w:spacing w:after="0" w:line="320" w:lineRule="exact"/>
                    <w:ind w:left="0" w:leftChars="0" w:firstLine="0" w:firstLineChars="0"/>
                    <w:jc w:val="center"/>
                    <w:rPr>
                      <w:sz w:val="18"/>
                      <w:szCs w:val="18"/>
                    </w:rPr>
                  </w:pPr>
                  <w:r>
                    <w:rPr>
                      <w:sz w:val="18"/>
                      <w:szCs w:val="18"/>
                    </w:rPr>
                    <w:t>85</w:t>
                  </w:r>
                </w:p>
              </w:tc>
              <w:tc>
                <w:tcPr>
                  <w:tcW w:w="1844" w:type="dxa"/>
                  <w:vAlign w:val="center"/>
                </w:tcPr>
                <w:p w14:paraId="286F7384">
                  <w:pPr>
                    <w:pStyle w:val="36"/>
                    <w:spacing w:after="0" w:line="320" w:lineRule="exact"/>
                    <w:ind w:left="0" w:leftChars="0" w:firstLine="0" w:firstLineChars="0"/>
                    <w:jc w:val="center"/>
                    <w:rPr>
                      <w:sz w:val="18"/>
                      <w:szCs w:val="18"/>
                    </w:rPr>
                  </w:pPr>
                  <w:r>
                    <w:rPr>
                      <w:sz w:val="18"/>
                      <w:szCs w:val="18"/>
                    </w:rPr>
                    <w:t>减振、隔声</w:t>
                  </w:r>
                </w:p>
              </w:tc>
              <w:tc>
                <w:tcPr>
                  <w:tcW w:w="862" w:type="dxa"/>
                  <w:vAlign w:val="center"/>
                </w:tcPr>
                <w:p w14:paraId="56AF57EF">
                  <w:pPr>
                    <w:pStyle w:val="36"/>
                    <w:spacing w:after="0" w:line="320" w:lineRule="exact"/>
                    <w:ind w:left="0" w:leftChars="0" w:firstLine="0" w:firstLineChars="0"/>
                    <w:jc w:val="center"/>
                    <w:rPr>
                      <w:sz w:val="18"/>
                      <w:szCs w:val="18"/>
                    </w:rPr>
                  </w:pPr>
                  <w:r>
                    <w:rPr>
                      <w:sz w:val="18"/>
                      <w:szCs w:val="18"/>
                    </w:rPr>
                    <w:t>24h</w:t>
                  </w:r>
                </w:p>
              </w:tc>
            </w:tr>
            <w:tr w14:paraId="4514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210" w:type="dxa"/>
                  <w:gridSpan w:val="8"/>
                  <w:vAlign w:val="center"/>
                </w:tcPr>
                <w:p w14:paraId="371894DF">
                  <w:pPr>
                    <w:spacing w:line="320" w:lineRule="exact"/>
                    <w:jc w:val="left"/>
                    <w:rPr>
                      <w:szCs w:val="21"/>
                    </w:rPr>
                  </w:pPr>
                  <w:r>
                    <w:rPr>
                      <w:b/>
                      <w:bCs/>
                      <w:szCs w:val="21"/>
                    </w:rPr>
                    <w:t>注：</w:t>
                  </w:r>
                  <w:r>
                    <w:rPr>
                      <w:szCs w:val="21"/>
                    </w:rPr>
                    <w:t>以厂区西南角为坐标原点。</w:t>
                  </w:r>
                </w:p>
              </w:tc>
            </w:tr>
          </w:tbl>
          <w:p w14:paraId="0428A8A5">
            <w:pPr>
              <w:tabs>
                <w:tab w:val="left" w:pos="3638"/>
                <w:tab w:val="left" w:pos="8558"/>
              </w:tabs>
              <w:spacing w:line="520" w:lineRule="exact"/>
              <w:ind w:firstLine="480" w:firstLineChars="200"/>
              <w:rPr>
                <w:b/>
                <w:bCs/>
                <w:sz w:val="24"/>
              </w:rPr>
            </w:pPr>
            <w:r>
              <w:rPr>
                <w:sz w:val="24"/>
              </w:rPr>
              <w:t>根据预测模型计算技改工程新增噪声源对全厂边界各方向噪声贡献值，叠加现有背景值，项目四周边界噪声预测值见表4-24。</w:t>
            </w:r>
          </w:p>
          <w:p w14:paraId="26DA86BA">
            <w:pPr>
              <w:tabs>
                <w:tab w:val="left" w:pos="3638"/>
                <w:tab w:val="left" w:pos="4341"/>
                <w:tab w:val="left" w:pos="8558"/>
              </w:tabs>
              <w:spacing w:line="520" w:lineRule="exact"/>
              <w:jc w:val="center"/>
              <w:rPr>
                <w:rFonts w:eastAsia="黑体"/>
                <w:sz w:val="24"/>
              </w:rPr>
            </w:pPr>
            <w:r>
              <w:rPr>
                <w:rFonts w:eastAsia="黑体"/>
                <w:sz w:val="24"/>
              </w:rPr>
              <w:t>表4-24         厂界噪声预测结果一览表          单位：dB（A）</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1120"/>
              <w:gridCol w:w="713"/>
              <w:gridCol w:w="1143"/>
              <w:gridCol w:w="714"/>
              <w:gridCol w:w="1143"/>
              <w:gridCol w:w="1143"/>
              <w:gridCol w:w="1155"/>
              <w:gridCol w:w="714"/>
            </w:tblGrid>
            <w:tr w14:paraId="3EC5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31" w:type="dxa"/>
                  <w:vAlign w:val="center"/>
                </w:tcPr>
                <w:p w14:paraId="286F5DAC">
                  <w:pPr>
                    <w:jc w:val="center"/>
                    <w:rPr>
                      <w:sz w:val="18"/>
                      <w:szCs w:val="18"/>
                    </w:rPr>
                  </w:pPr>
                  <w:r>
                    <w:rPr>
                      <w:sz w:val="18"/>
                      <w:szCs w:val="18"/>
                    </w:rPr>
                    <w:t>厂界</w:t>
                  </w:r>
                </w:p>
              </w:tc>
              <w:tc>
                <w:tcPr>
                  <w:tcW w:w="1122" w:type="dxa"/>
                  <w:vAlign w:val="center"/>
                </w:tcPr>
                <w:p w14:paraId="536949A1">
                  <w:pPr>
                    <w:jc w:val="center"/>
                    <w:rPr>
                      <w:bCs/>
                      <w:sz w:val="18"/>
                      <w:szCs w:val="18"/>
                    </w:rPr>
                  </w:pPr>
                  <w:r>
                    <w:rPr>
                      <w:bCs/>
                      <w:sz w:val="18"/>
                      <w:szCs w:val="18"/>
                    </w:rPr>
                    <w:t>噪声源</w:t>
                  </w:r>
                </w:p>
              </w:tc>
              <w:tc>
                <w:tcPr>
                  <w:tcW w:w="714" w:type="dxa"/>
                  <w:vAlign w:val="center"/>
                </w:tcPr>
                <w:p w14:paraId="093A7D88">
                  <w:pPr>
                    <w:jc w:val="center"/>
                    <w:rPr>
                      <w:bCs/>
                      <w:sz w:val="18"/>
                      <w:szCs w:val="18"/>
                    </w:rPr>
                  </w:pPr>
                  <w:r>
                    <w:rPr>
                      <w:bCs/>
                      <w:sz w:val="18"/>
                      <w:szCs w:val="18"/>
                    </w:rPr>
                    <w:t>源强</w:t>
                  </w:r>
                </w:p>
              </w:tc>
              <w:tc>
                <w:tcPr>
                  <w:tcW w:w="1144" w:type="dxa"/>
                  <w:vAlign w:val="center"/>
                </w:tcPr>
                <w:p w14:paraId="23EE8E4B">
                  <w:pPr>
                    <w:jc w:val="center"/>
                    <w:rPr>
                      <w:bCs/>
                      <w:sz w:val="18"/>
                      <w:szCs w:val="18"/>
                    </w:rPr>
                  </w:pPr>
                  <w:r>
                    <w:rPr>
                      <w:bCs/>
                      <w:sz w:val="18"/>
                      <w:szCs w:val="18"/>
                    </w:rPr>
                    <w:t>厂界与噪声源距离（m）</w:t>
                  </w:r>
                </w:p>
              </w:tc>
              <w:tc>
                <w:tcPr>
                  <w:tcW w:w="715" w:type="dxa"/>
                  <w:vAlign w:val="center"/>
                </w:tcPr>
                <w:p w14:paraId="4ADFD360">
                  <w:pPr>
                    <w:jc w:val="center"/>
                    <w:rPr>
                      <w:bCs/>
                      <w:sz w:val="18"/>
                      <w:szCs w:val="18"/>
                    </w:rPr>
                  </w:pPr>
                  <w:r>
                    <w:rPr>
                      <w:bCs/>
                      <w:sz w:val="18"/>
                      <w:szCs w:val="18"/>
                    </w:rPr>
                    <w:t>贡献值</w:t>
                  </w:r>
                </w:p>
              </w:tc>
              <w:tc>
                <w:tcPr>
                  <w:tcW w:w="1144" w:type="dxa"/>
                  <w:vAlign w:val="center"/>
                </w:tcPr>
                <w:p w14:paraId="2C05BE45">
                  <w:pPr>
                    <w:jc w:val="center"/>
                    <w:rPr>
                      <w:bCs/>
                      <w:sz w:val="18"/>
                      <w:szCs w:val="18"/>
                    </w:rPr>
                  </w:pPr>
                  <w:r>
                    <w:rPr>
                      <w:bCs/>
                      <w:sz w:val="18"/>
                      <w:szCs w:val="18"/>
                    </w:rPr>
                    <w:t>背景值</w:t>
                  </w:r>
                </w:p>
                <w:p w14:paraId="222C8A09">
                  <w:pPr>
                    <w:jc w:val="center"/>
                    <w:rPr>
                      <w:bCs/>
                      <w:sz w:val="18"/>
                      <w:szCs w:val="18"/>
                    </w:rPr>
                  </w:pPr>
                  <w:r>
                    <w:rPr>
                      <w:bCs/>
                      <w:sz w:val="18"/>
                      <w:szCs w:val="18"/>
                    </w:rPr>
                    <w:t>（昼/夜）</w:t>
                  </w:r>
                </w:p>
              </w:tc>
              <w:tc>
                <w:tcPr>
                  <w:tcW w:w="1144" w:type="dxa"/>
                  <w:vAlign w:val="center"/>
                </w:tcPr>
                <w:p w14:paraId="6FF7DCD1">
                  <w:pPr>
                    <w:jc w:val="center"/>
                    <w:rPr>
                      <w:bCs/>
                      <w:sz w:val="18"/>
                      <w:szCs w:val="18"/>
                    </w:rPr>
                  </w:pPr>
                  <w:r>
                    <w:rPr>
                      <w:bCs/>
                      <w:sz w:val="18"/>
                      <w:szCs w:val="18"/>
                    </w:rPr>
                    <w:t>预测值</w:t>
                  </w:r>
                </w:p>
                <w:p w14:paraId="5B17409C">
                  <w:pPr>
                    <w:jc w:val="center"/>
                    <w:rPr>
                      <w:bCs/>
                      <w:sz w:val="18"/>
                      <w:szCs w:val="18"/>
                    </w:rPr>
                  </w:pPr>
                  <w:r>
                    <w:rPr>
                      <w:bCs/>
                      <w:sz w:val="18"/>
                      <w:szCs w:val="18"/>
                    </w:rPr>
                    <w:t>（昼/夜）</w:t>
                  </w:r>
                </w:p>
              </w:tc>
              <w:tc>
                <w:tcPr>
                  <w:tcW w:w="1156" w:type="dxa"/>
                  <w:vAlign w:val="center"/>
                </w:tcPr>
                <w:p w14:paraId="07BCDD6C">
                  <w:pPr>
                    <w:jc w:val="center"/>
                    <w:rPr>
                      <w:bCs/>
                      <w:sz w:val="18"/>
                      <w:szCs w:val="18"/>
                    </w:rPr>
                  </w:pPr>
                  <w:r>
                    <w:rPr>
                      <w:bCs/>
                      <w:sz w:val="18"/>
                      <w:szCs w:val="18"/>
                    </w:rPr>
                    <w:t>标准值</w:t>
                  </w:r>
                </w:p>
                <w:p w14:paraId="73874003">
                  <w:pPr>
                    <w:jc w:val="center"/>
                    <w:rPr>
                      <w:bCs/>
                      <w:sz w:val="18"/>
                      <w:szCs w:val="18"/>
                    </w:rPr>
                  </w:pPr>
                  <w:r>
                    <w:rPr>
                      <w:bCs/>
                      <w:sz w:val="18"/>
                      <w:szCs w:val="18"/>
                    </w:rPr>
                    <w:t>（昼/夜）</w:t>
                  </w:r>
                </w:p>
              </w:tc>
              <w:tc>
                <w:tcPr>
                  <w:tcW w:w="714" w:type="dxa"/>
                  <w:vAlign w:val="center"/>
                </w:tcPr>
                <w:p w14:paraId="26AFB3BE">
                  <w:pPr>
                    <w:jc w:val="center"/>
                    <w:rPr>
                      <w:bCs/>
                      <w:sz w:val="18"/>
                      <w:szCs w:val="18"/>
                    </w:rPr>
                  </w:pPr>
                  <w:r>
                    <w:rPr>
                      <w:bCs/>
                      <w:sz w:val="18"/>
                      <w:szCs w:val="18"/>
                    </w:rPr>
                    <w:t>达标</w:t>
                  </w:r>
                </w:p>
                <w:p w14:paraId="3D8F5538">
                  <w:pPr>
                    <w:jc w:val="center"/>
                    <w:rPr>
                      <w:bCs/>
                      <w:sz w:val="18"/>
                      <w:szCs w:val="18"/>
                    </w:rPr>
                  </w:pPr>
                  <w:r>
                    <w:rPr>
                      <w:bCs/>
                      <w:sz w:val="18"/>
                      <w:szCs w:val="18"/>
                    </w:rPr>
                    <w:t>情况</w:t>
                  </w:r>
                </w:p>
              </w:tc>
            </w:tr>
            <w:tr w14:paraId="227B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restart"/>
                  <w:vAlign w:val="center"/>
                </w:tcPr>
                <w:p w14:paraId="288F9F2D">
                  <w:pPr>
                    <w:jc w:val="center"/>
                    <w:rPr>
                      <w:sz w:val="18"/>
                      <w:szCs w:val="18"/>
                    </w:rPr>
                  </w:pPr>
                  <w:r>
                    <w:rPr>
                      <w:sz w:val="18"/>
                      <w:szCs w:val="18"/>
                    </w:rPr>
                    <w:t>东厂界</w:t>
                  </w:r>
                </w:p>
              </w:tc>
              <w:tc>
                <w:tcPr>
                  <w:tcW w:w="1122" w:type="dxa"/>
                  <w:vAlign w:val="center"/>
                </w:tcPr>
                <w:p w14:paraId="28DA3859">
                  <w:pPr>
                    <w:jc w:val="center"/>
                    <w:rPr>
                      <w:sz w:val="18"/>
                      <w:szCs w:val="18"/>
                    </w:rPr>
                  </w:pPr>
                  <w:r>
                    <w:rPr>
                      <w:sz w:val="18"/>
                      <w:szCs w:val="18"/>
                    </w:rPr>
                    <w:t>混料车间</w:t>
                  </w:r>
                </w:p>
              </w:tc>
              <w:tc>
                <w:tcPr>
                  <w:tcW w:w="714" w:type="dxa"/>
                  <w:vAlign w:val="center"/>
                </w:tcPr>
                <w:p w14:paraId="56B06E3F">
                  <w:pPr>
                    <w:jc w:val="center"/>
                    <w:rPr>
                      <w:sz w:val="18"/>
                      <w:szCs w:val="18"/>
                    </w:rPr>
                  </w:pPr>
                  <w:r>
                    <w:rPr>
                      <w:sz w:val="18"/>
                      <w:szCs w:val="18"/>
                    </w:rPr>
                    <w:t>58.8</w:t>
                  </w:r>
                </w:p>
              </w:tc>
              <w:tc>
                <w:tcPr>
                  <w:tcW w:w="1144" w:type="dxa"/>
                  <w:vAlign w:val="center"/>
                </w:tcPr>
                <w:p w14:paraId="49823E67">
                  <w:pPr>
                    <w:jc w:val="center"/>
                    <w:rPr>
                      <w:sz w:val="18"/>
                      <w:szCs w:val="18"/>
                    </w:rPr>
                  </w:pPr>
                  <w:r>
                    <w:rPr>
                      <w:sz w:val="18"/>
                      <w:szCs w:val="18"/>
                    </w:rPr>
                    <w:t>60</w:t>
                  </w:r>
                </w:p>
              </w:tc>
              <w:tc>
                <w:tcPr>
                  <w:tcW w:w="715" w:type="dxa"/>
                  <w:vMerge w:val="restart"/>
                  <w:vAlign w:val="center"/>
                </w:tcPr>
                <w:p w14:paraId="24A0D541">
                  <w:pPr>
                    <w:jc w:val="center"/>
                    <w:rPr>
                      <w:sz w:val="18"/>
                      <w:szCs w:val="18"/>
                    </w:rPr>
                  </w:pPr>
                  <w:r>
                    <w:rPr>
                      <w:sz w:val="18"/>
                      <w:szCs w:val="18"/>
                    </w:rPr>
                    <w:t>46.5</w:t>
                  </w:r>
                </w:p>
              </w:tc>
              <w:tc>
                <w:tcPr>
                  <w:tcW w:w="1144" w:type="dxa"/>
                  <w:vMerge w:val="restart"/>
                  <w:vAlign w:val="center"/>
                </w:tcPr>
                <w:p w14:paraId="3594FCA4">
                  <w:pPr>
                    <w:jc w:val="center"/>
                    <w:rPr>
                      <w:sz w:val="18"/>
                      <w:szCs w:val="18"/>
                    </w:rPr>
                  </w:pPr>
                  <w:r>
                    <w:rPr>
                      <w:sz w:val="18"/>
                      <w:szCs w:val="18"/>
                    </w:rPr>
                    <w:t>55/45</w:t>
                  </w:r>
                </w:p>
              </w:tc>
              <w:tc>
                <w:tcPr>
                  <w:tcW w:w="1144" w:type="dxa"/>
                  <w:vMerge w:val="restart"/>
                  <w:vAlign w:val="center"/>
                </w:tcPr>
                <w:p w14:paraId="48105DA2">
                  <w:pPr>
                    <w:jc w:val="center"/>
                    <w:rPr>
                      <w:sz w:val="18"/>
                      <w:szCs w:val="18"/>
                    </w:rPr>
                  </w:pPr>
                  <w:r>
                    <w:rPr>
                      <w:sz w:val="18"/>
                      <w:szCs w:val="18"/>
                    </w:rPr>
                    <w:t>55.6/48.8</w:t>
                  </w:r>
                </w:p>
              </w:tc>
              <w:tc>
                <w:tcPr>
                  <w:tcW w:w="1156" w:type="dxa"/>
                  <w:vMerge w:val="restart"/>
                  <w:vAlign w:val="center"/>
                </w:tcPr>
                <w:p w14:paraId="4921DE4D">
                  <w:pPr>
                    <w:jc w:val="center"/>
                    <w:rPr>
                      <w:sz w:val="18"/>
                      <w:szCs w:val="18"/>
                    </w:rPr>
                  </w:pPr>
                  <w:r>
                    <w:rPr>
                      <w:sz w:val="18"/>
                      <w:szCs w:val="18"/>
                    </w:rPr>
                    <w:t>60/50</w:t>
                  </w:r>
                </w:p>
              </w:tc>
              <w:tc>
                <w:tcPr>
                  <w:tcW w:w="714" w:type="dxa"/>
                  <w:vMerge w:val="restart"/>
                  <w:vAlign w:val="center"/>
                </w:tcPr>
                <w:p w14:paraId="335A18F3">
                  <w:pPr>
                    <w:jc w:val="center"/>
                    <w:rPr>
                      <w:sz w:val="18"/>
                      <w:szCs w:val="18"/>
                    </w:rPr>
                  </w:pPr>
                  <w:r>
                    <w:rPr>
                      <w:sz w:val="18"/>
                      <w:szCs w:val="18"/>
                    </w:rPr>
                    <w:t>达标</w:t>
                  </w:r>
                </w:p>
              </w:tc>
            </w:tr>
            <w:tr w14:paraId="1A4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06845F1B">
                  <w:pPr>
                    <w:jc w:val="center"/>
                    <w:rPr>
                      <w:sz w:val="18"/>
                      <w:szCs w:val="18"/>
                    </w:rPr>
                  </w:pPr>
                </w:p>
              </w:tc>
              <w:tc>
                <w:tcPr>
                  <w:tcW w:w="1122" w:type="dxa"/>
                  <w:vAlign w:val="center"/>
                </w:tcPr>
                <w:p w14:paraId="1F4135A0">
                  <w:pPr>
                    <w:jc w:val="center"/>
                    <w:rPr>
                      <w:sz w:val="18"/>
                      <w:szCs w:val="18"/>
                    </w:rPr>
                  </w:pPr>
                  <w:r>
                    <w:rPr>
                      <w:sz w:val="18"/>
                      <w:szCs w:val="18"/>
                    </w:rPr>
                    <w:t>窑炉烟气引风机</w:t>
                  </w:r>
                </w:p>
              </w:tc>
              <w:tc>
                <w:tcPr>
                  <w:tcW w:w="714" w:type="dxa"/>
                  <w:vAlign w:val="center"/>
                </w:tcPr>
                <w:p w14:paraId="23B2F20D">
                  <w:pPr>
                    <w:widowControl/>
                    <w:jc w:val="center"/>
                    <w:rPr>
                      <w:sz w:val="18"/>
                      <w:szCs w:val="18"/>
                    </w:rPr>
                  </w:pPr>
                  <w:r>
                    <w:rPr>
                      <w:sz w:val="18"/>
                      <w:szCs w:val="18"/>
                    </w:rPr>
                    <w:t>70</w:t>
                  </w:r>
                </w:p>
              </w:tc>
              <w:tc>
                <w:tcPr>
                  <w:tcW w:w="1144" w:type="dxa"/>
                  <w:vAlign w:val="center"/>
                </w:tcPr>
                <w:p w14:paraId="22FC95AC">
                  <w:pPr>
                    <w:jc w:val="center"/>
                    <w:rPr>
                      <w:sz w:val="18"/>
                      <w:szCs w:val="18"/>
                    </w:rPr>
                  </w:pPr>
                  <w:r>
                    <w:rPr>
                      <w:sz w:val="18"/>
                      <w:szCs w:val="18"/>
                    </w:rPr>
                    <w:t>43</w:t>
                  </w:r>
                </w:p>
              </w:tc>
              <w:tc>
                <w:tcPr>
                  <w:tcW w:w="715" w:type="dxa"/>
                  <w:vMerge w:val="continue"/>
                  <w:vAlign w:val="center"/>
                </w:tcPr>
                <w:p w14:paraId="4F069CC2">
                  <w:pPr>
                    <w:jc w:val="center"/>
                    <w:rPr>
                      <w:sz w:val="18"/>
                      <w:szCs w:val="18"/>
                    </w:rPr>
                  </w:pPr>
                </w:p>
              </w:tc>
              <w:tc>
                <w:tcPr>
                  <w:tcW w:w="1144" w:type="dxa"/>
                  <w:vMerge w:val="continue"/>
                  <w:vAlign w:val="center"/>
                </w:tcPr>
                <w:p w14:paraId="187F1FD7">
                  <w:pPr>
                    <w:jc w:val="center"/>
                    <w:rPr>
                      <w:sz w:val="18"/>
                      <w:szCs w:val="18"/>
                    </w:rPr>
                  </w:pPr>
                </w:p>
              </w:tc>
              <w:tc>
                <w:tcPr>
                  <w:tcW w:w="1144" w:type="dxa"/>
                  <w:vMerge w:val="continue"/>
                  <w:vAlign w:val="center"/>
                </w:tcPr>
                <w:p w14:paraId="04E37420">
                  <w:pPr>
                    <w:jc w:val="center"/>
                    <w:rPr>
                      <w:sz w:val="18"/>
                      <w:szCs w:val="18"/>
                    </w:rPr>
                  </w:pPr>
                </w:p>
              </w:tc>
              <w:tc>
                <w:tcPr>
                  <w:tcW w:w="1156" w:type="dxa"/>
                  <w:vMerge w:val="continue"/>
                  <w:vAlign w:val="center"/>
                </w:tcPr>
                <w:p w14:paraId="4BB89DEF">
                  <w:pPr>
                    <w:jc w:val="center"/>
                    <w:rPr>
                      <w:sz w:val="18"/>
                      <w:szCs w:val="18"/>
                    </w:rPr>
                  </w:pPr>
                </w:p>
              </w:tc>
              <w:tc>
                <w:tcPr>
                  <w:tcW w:w="714" w:type="dxa"/>
                  <w:vMerge w:val="continue"/>
                  <w:vAlign w:val="center"/>
                </w:tcPr>
                <w:p w14:paraId="048FC367">
                  <w:pPr>
                    <w:jc w:val="center"/>
                    <w:rPr>
                      <w:sz w:val="18"/>
                      <w:szCs w:val="18"/>
                    </w:rPr>
                  </w:pPr>
                </w:p>
              </w:tc>
            </w:tr>
            <w:tr w14:paraId="7DB2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55E5FC63">
                  <w:pPr>
                    <w:jc w:val="center"/>
                    <w:rPr>
                      <w:sz w:val="18"/>
                      <w:szCs w:val="18"/>
                    </w:rPr>
                  </w:pPr>
                </w:p>
              </w:tc>
              <w:tc>
                <w:tcPr>
                  <w:tcW w:w="1122" w:type="dxa"/>
                  <w:vAlign w:val="center"/>
                </w:tcPr>
                <w:p w14:paraId="73105880">
                  <w:pPr>
                    <w:jc w:val="center"/>
                    <w:rPr>
                      <w:sz w:val="18"/>
                      <w:szCs w:val="18"/>
                    </w:rPr>
                  </w:pPr>
                  <w:r>
                    <w:rPr>
                      <w:sz w:val="18"/>
                      <w:szCs w:val="18"/>
                    </w:rPr>
                    <w:t>脱硫塔氧化风机</w:t>
                  </w:r>
                </w:p>
              </w:tc>
              <w:tc>
                <w:tcPr>
                  <w:tcW w:w="714" w:type="dxa"/>
                  <w:vAlign w:val="center"/>
                </w:tcPr>
                <w:p w14:paraId="55200DFA">
                  <w:pPr>
                    <w:widowControl/>
                    <w:jc w:val="center"/>
                    <w:rPr>
                      <w:sz w:val="18"/>
                      <w:szCs w:val="18"/>
                    </w:rPr>
                  </w:pPr>
                  <w:r>
                    <w:rPr>
                      <w:sz w:val="18"/>
                      <w:szCs w:val="18"/>
                    </w:rPr>
                    <w:t>65</w:t>
                  </w:r>
                </w:p>
              </w:tc>
              <w:tc>
                <w:tcPr>
                  <w:tcW w:w="1144" w:type="dxa"/>
                  <w:vAlign w:val="center"/>
                </w:tcPr>
                <w:p w14:paraId="49C503D1">
                  <w:pPr>
                    <w:jc w:val="center"/>
                    <w:rPr>
                      <w:sz w:val="18"/>
                      <w:szCs w:val="18"/>
                    </w:rPr>
                  </w:pPr>
                  <w:r>
                    <w:rPr>
                      <w:sz w:val="18"/>
                      <w:szCs w:val="18"/>
                    </w:rPr>
                    <w:t>27</w:t>
                  </w:r>
                </w:p>
              </w:tc>
              <w:tc>
                <w:tcPr>
                  <w:tcW w:w="715" w:type="dxa"/>
                  <w:vMerge w:val="continue"/>
                  <w:vAlign w:val="center"/>
                </w:tcPr>
                <w:p w14:paraId="26303428">
                  <w:pPr>
                    <w:jc w:val="center"/>
                    <w:rPr>
                      <w:sz w:val="18"/>
                      <w:szCs w:val="18"/>
                    </w:rPr>
                  </w:pPr>
                </w:p>
              </w:tc>
              <w:tc>
                <w:tcPr>
                  <w:tcW w:w="1144" w:type="dxa"/>
                  <w:vMerge w:val="continue"/>
                  <w:vAlign w:val="center"/>
                </w:tcPr>
                <w:p w14:paraId="5F0B3924">
                  <w:pPr>
                    <w:jc w:val="center"/>
                    <w:rPr>
                      <w:sz w:val="18"/>
                      <w:szCs w:val="18"/>
                    </w:rPr>
                  </w:pPr>
                </w:p>
              </w:tc>
              <w:tc>
                <w:tcPr>
                  <w:tcW w:w="1144" w:type="dxa"/>
                  <w:vMerge w:val="continue"/>
                  <w:vAlign w:val="center"/>
                </w:tcPr>
                <w:p w14:paraId="59BEFFC3">
                  <w:pPr>
                    <w:jc w:val="center"/>
                    <w:rPr>
                      <w:sz w:val="18"/>
                      <w:szCs w:val="18"/>
                    </w:rPr>
                  </w:pPr>
                </w:p>
              </w:tc>
              <w:tc>
                <w:tcPr>
                  <w:tcW w:w="1156" w:type="dxa"/>
                  <w:vMerge w:val="continue"/>
                  <w:vAlign w:val="center"/>
                </w:tcPr>
                <w:p w14:paraId="224DA418">
                  <w:pPr>
                    <w:jc w:val="center"/>
                    <w:rPr>
                      <w:sz w:val="18"/>
                      <w:szCs w:val="18"/>
                    </w:rPr>
                  </w:pPr>
                </w:p>
              </w:tc>
              <w:tc>
                <w:tcPr>
                  <w:tcW w:w="714" w:type="dxa"/>
                  <w:vMerge w:val="continue"/>
                  <w:vAlign w:val="center"/>
                </w:tcPr>
                <w:p w14:paraId="179D0417">
                  <w:pPr>
                    <w:jc w:val="center"/>
                    <w:rPr>
                      <w:sz w:val="18"/>
                      <w:szCs w:val="18"/>
                    </w:rPr>
                  </w:pPr>
                </w:p>
              </w:tc>
            </w:tr>
            <w:tr w14:paraId="5CBF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46939FC2">
                  <w:pPr>
                    <w:jc w:val="center"/>
                    <w:rPr>
                      <w:sz w:val="18"/>
                      <w:szCs w:val="18"/>
                    </w:rPr>
                  </w:pPr>
                </w:p>
              </w:tc>
              <w:tc>
                <w:tcPr>
                  <w:tcW w:w="1122" w:type="dxa"/>
                  <w:vAlign w:val="center"/>
                </w:tcPr>
                <w:p w14:paraId="2864BDB4">
                  <w:pPr>
                    <w:jc w:val="center"/>
                    <w:rPr>
                      <w:sz w:val="18"/>
                      <w:szCs w:val="18"/>
                    </w:rPr>
                  </w:pPr>
                  <w:r>
                    <w:rPr>
                      <w:sz w:val="18"/>
                      <w:szCs w:val="18"/>
                    </w:rPr>
                    <w:t>浆液循环泵</w:t>
                  </w:r>
                </w:p>
              </w:tc>
              <w:tc>
                <w:tcPr>
                  <w:tcW w:w="714" w:type="dxa"/>
                  <w:vAlign w:val="center"/>
                </w:tcPr>
                <w:p w14:paraId="3BCE6F45">
                  <w:pPr>
                    <w:widowControl/>
                    <w:jc w:val="center"/>
                    <w:rPr>
                      <w:sz w:val="18"/>
                      <w:szCs w:val="18"/>
                    </w:rPr>
                  </w:pPr>
                  <w:r>
                    <w:rPr>
                      <w:sz w:val="18"/>
                      <w:szCs w:val="18"/>
                    </w:rPr>
                    <w:t>70</w:t>
                  </w:r>
                </w:p>
              </w:tc>
              <w:tc>
                <w:tcPr>
                  <w:tcW w:w="1144" w:type="dxa"/>
                  <w:vAlign w:val="center"/>
                </w:tcPr>
                <w:p w14:paraId="798F6B7A">
                  <w:pPr>
                    <w:jc w:val="center"/>
                    <w:rPr>
                      <w:sz w:val="18"/>
                      <w:szCs w:val="18"/>
                    </w:rPr>
                  </w:pPr>
                  <w:r>
                    <w:rPr>
                      <w:sz w:val="18"/>
                      <w:szCs w:val="18"/>
                    </w:rPr>
                    <w:t>26</w:t>
                  </w:r>
                </w:p>
              </w:tc>
              <w:tc>
                <w:tcPr>
                  <w:tcW w:w="715" w:type="dxa"/>
                  <w:vMerge w:val="continue"/>
                  <w:vAlign w:val="center"/>
                </w:tcPr>
                <w:p w14:paraId="0E1B171E">
                  <w:pPr>
                    <w:jc w:val="center"/>
                    <w:rPr>
                      <w:sz w:val="18"/>
                      <w:szCs w:val="18"/>
                    </w:rPr>
                  </w:pPr>
                </w:p>
              </w:tc>
              <w:tc>
                <w:tcPr>
                  <w:tcW w:w="1144" w:type="dxa"/>
                  <w:vMerge w:val="continue"/>
                  <w:vAlign w:val="center"/>
                </w:tcPr>
                <w:p w14:paraId="170E82DB">
                  <w:pPr>
                    <w:jc w:val="center"/>
                    <w:rPr>
                      <w:sz w:val="18"/>
                      <w:szCs w:val="18"/>
                    </w:rPr>
                  </w:pPr>
                </w:p>
              </w:tc>
              <w:tc>
                <w:tcPr>
                  <w:tcW w:w="1144" w:type="dxa"/>
                  <w:vMerge w:val="continue"/>
                  <w:vAlign w:val="center"/>
                </w:tcPr>
                <w:p w14:paraId="72B3819D">
                  <w:pPr>
                    <w:jc w:val="center"/>
                    <w:rPr>
                      <w:sz w:val="18"/>
                      <w:szCs w:val="18"/>
                    </w:rPr>
                  </w:pPr>
                </w:p>
              </w:tc>
              <w:tc>
                <w:tcPr>
                  <w:tcW w:w="1156" w:type="dxa"/>
                  <w:vMerge w:val="continue"/>
                  <w:vAlign w:val="center"/>
                </w:tcPr>
                <w:p w14:paraId="40528DAD">
                  <w:pPr>
                    <w:jc w:val="center"/>
                    <w:rPr>
                      <w:sz w:val="18"/>
                      <w:szCs w:val="18"/>
                    </w:rPr>
                  </w:pPr>
                </w:p>
              </w:tc>
              <w:tc>
                <w:tcPr>
                  <w:tcW w:w="714" w:type="dxa"/>
                  <w:vMerge w:val="continue"/>
                  <w:vAlign w:val="center"/>
                </w:tcPr>
                <w:p w14:paraId="3A11ED08">
                  <w:pPr>
                    <w:jc w:val="center"/>
                    <w:rPr>
                      <w:sz w:val="18"/>
                      <w:szCs w:val="18"/>
                    </w:rPr>
                  </w:pPr>
                </w:p>
              </w:tc>
            </w:tr>
            <w:tr w14:paraId="487E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298E3F4A">
                  <w:pPr>
                    <w:jc w:val="center"/>
                    <w:rPr>
                      <w:sz w:val="18"/>
                      <w:szCs w:val="18"/>
                    </w:rPr>
                  </w:pPr>
                </w:p>
              </w:tc>
              <w:tc>
                <w:tcPr>
                  <w:tcW w:w="1122" w:type="dxa"/>
                  <w:vAlign w:val="center"/>
                </w:tcPr>
                <w:p w14:paraId="511EB78C">
                  <w:pPr>
                    <w:jc w:val="center"/>
                    <w:rPr>
                      <w:sz w:val="18"/>
                      <w:szCs w:val="18"/>
                    </w:rPr>
                  </w:pPr>
                  <w:r>
                    <w:rPr>
                      <w:sz w:val="18"/>
                      <w:szCs w:val="18"/>
                    </w:rPr>
                    <w:t>石膏泵</w:t>
                  </w:r>
                </w:p>
              </w:tc>
              <w:tc>
                <w:tcPr>
                  <w:tcW w:w="714" w:type="dxa"/>
                  <w:vAlign w:val="center"/>
                </w:tcPr>
                <w:p w14:paraId="22746282">
                  <w:pPr>
                    <w:widowControl/>
                    <w:jc w:val="center"/>
                    <w:rPr>
                      <w:sz w:val="18"/>
                      <w:szCs w:val="18"/>
                    </w:rPr>
                  </w:pPr>
                  <w:r>
                    <w:rPr>
                      <w:sz w:val="18"/>
                      <w:szCs w:val="18"/>
                    </w:rPr>
                    <w:t>70</w:t>
                  </w:r>
                </w:p>
              </w:tc>
              <w:tc>
                <w:tcPr>
                  <w:tcW w:w="1144" w:type="dxa"/>
                  <w:vAlign w:val="center"/>
                </w:tcPr>
                <w:p w14:paraId="65F3D73D">
                  <w:pPr>
                    <w:jc w:val="center"/>
                    <w:rPr>
                      <w:sz w:val="18"/>
                      <w:szCs w:val="18"/>
                    </w:rPr>
                  </w:pPr>
                  <w:r>
                    <w:rPr>
                      <w:sz w:val="18"/>
                      <w:szCs w:val="18"/>
                    </w:rPr>
                    <w:t>40</w:t>
                  </w:r>
                </w:p>
              </w:tc>
              <w:tc>
                <w:tcPr>
                  <w:tcW w:w="715" w:type="dxa"/>
                  <w:vMerge w:val="continue"/>
                  <w:vAlign w:val="center"/>
                </w:tcPr>
                <w:p w14:paraId="569519F9">
                  <w:pPr>
                    <w:jc w:val="center"/>
                    <w:rPr>
                      <w:sz w:val="18"/>
                      <w:szCs w:val="18"/>
                    </w:rPr>
                  </w:pPr>
                </w:p>
              </w:tc>
              <w:tc>
                <w:tcPr>
                  <w:tcW w:w="1144" w:type="dxa"/>
                  <w:vMerge w:val="continue"/>
                  <w:vAlign w:val="center"/>
                </w:tcPr>
                <w:p w14:paraId="0AE18BE0">
                  <w:pPr>
                    <w:jc w:val="center"/>
                    <w:rPr>
                      <w:sz w:val="18"/>
                      <w:szCs w:val="18"/>
                    </w:rPr>
                  </w:pPr>
                </w:p>
              </w:tc>
              <w:tc>
                <w:tcPr>
                  <w:tcW w:w="1144" w:type="dxa"/>
                  <w:vMerge w:val="continue"/>
                  <w:vAlign w:val="center"/>
                </w:tcPr>
                <w:p w14:paraId="345F0ED7">
                  <w:pPr>
                    <w:jc w:val="center"/>
                    <w:rPr>
                      <w:sz w:val="18"/>
                      <w:szCs w:val="18"/>
                    </w:rPr>
                  </w:pPr>
                </w:p>
              </w:tc>
              <w:tc>
                <w:tcPr>
                  <w:tcW w:w="1156" w:type="dxa"/>
                  <w:vMerge w:val="continue"/>
                  <w:vAlign w:val="center"/>
                </w:tcPr>
                <w:p w14:paraId="311244FE">
                  <w:pPr>
                    <w:jc w:val="center"/>
                    <w:rPr>
                      <w:sz w:val="18"/>
                      <w:szCs w:val="18"/>
                    </w:rPr>
                  </w:pPr>
                </w:p>
              </w:tc>
              <w:tc>
                <w:tcPr>
                  <w:tcW w:w="714" w:type="dxa"/>
                  <w:vMerge w:val="continue"/>
                  <w:vAlign w:val="center"/>
                </w:tcPr>
                <w:p w14:paraId="24ED8E74">
                  <w:pPr>
                    <w:jc w:val="center"/>
                    <w:rPr>
                      <w:sz w:val="18"/>
                      <w:szCs w:val="18"/>
                    </w:rPr>
                  </w:pPr>
                </w:p>
              </w:tc>
            </w:tr>
            <w:tr w14:paraId="1A03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4347A77F">
                  <w:pPr>
                    <w:jc w:val="center"/>
                    <w:rPr>
                      <w:sz w:val="18"/>
                      <w:szCs w:val="18"/>
                    </w:rPr>
                  </w:pPr>
                </w:p>
              </w:tc>
              <w:tc>
                <w:tcPr>
                  <w:tcW w:w="1122" w:type="dxa"/>
                  <w:vAlign w:val="center"/>
                </w:tcPr>
                <w:p w14:paraId="2EF17FCA">
                  <w:pPr>
                    <w:jc w:val="center"/>
                    <w:rPr>
                      <w:sz w:val="18"/>
                      <w:szCs w:val="18"/>
                    </w:rPr>
                  </w:pPr>
                  <w:r>
                    <w:rPr>
                      <w:sz w:val="18"/>
                      <w:szCs w:val="18"/>
                    </w:rPr>
                    <w:t>污水泵</w:t>
                  </w:r>
                </w:p>
              </w:tc>
              <w:tc>
                <w:tcPr>
                  <w:tcW w:w="714" w:type="dxa"/>
                  <w:vAlign w:val="center"/>
                </w:tcPr>
                <w:p w14:paraId="01C03B42">
                  <w:pPr>
                    <w:widowControl/>
                    <w:jc w:val="center"/>
                    <w:rPr>
                      <w:sz w:val="18"/>
                      <w:szCs w:val="18"/>
                    </w:rPr>
                  </w:pPr>
                  <w:r>
                    <w:rPr>
                      <w:sz w:val="18"/>
                      <w:szCs w:val="18"/>
                    </w:rPr>
                    <w:t>65</w:t>
                  </w:r>
                </w:p>
              </w:tc>
              <w:tc>
                <w:tcPr>
                  <w:tcW w:w="1144" w:type="dxa"/>
                  <w:vAlign w:val="center"/>
                </w:tcPr>
                <w:p w14:paraId="46AE0268">
                  <w:pPr>
                    <w:jc w:val="center"/>
                    <w:rPr>
                      <w:sz w:val="18"/>
                      <w:szCs w:val="18"/>
                    </w:rPr>
                  </w:pPr>
                  <w:r>
                    <w:rPr>
                      <w:sz w:val="18"/>
                      <w:szCs w:val="18"/>
                    </w:rPr>
                    <w:t>39</w:t>
                  </w:r>
                </w:p>
              </w:tc>
              <w:tc>
                <w:tcPr>
                  <w:tcW w:w="715" w:type="dxa"/>
                  <w:vMerge w:val="continue"/>
                  <w:vAlign w:val="center"/>
                </w:tcPr>
                <w:p w14:paraId="1C9F28CD">
                  <w:pPr>
                    <w:jc w:val="center"/>
                    <w:rPr>
                      <w:sz w:val="18"/>
                      <w:szCs w:val="18"/>
                    </w:rPr>
                  </w:pPr>
                </w:p>
              </w:tc>
              <w:tc>
                <w:tcPr>
                  <w:tcW w:w="1144" w:type="dxa"/>
                  <w:vMerge w:val="continue"/>
                  <w:vAlign w:val="center"/>
                </w:tcPr>
                <w:p w14:paraId="1E560206">
                  <w:pPr>
                    <w:jc w:val="center"/>
                    <w:rPr>
                      <w:sz w:val="18"/>
                      <w:szCs w:val="18"/>
                    </w:rPr>
                  </w:pPr>
                </w:p>
              </w:tc>
              <w:tc>
                <w:tcPr>
                  <w:tcW w:w="1144" w:type="dxa"/>
                  <w:vMerge w:val="continue"/>
                  <w:vAlign w:val="center"/>
                </w:tcPr>
                <w:p w14:paraId="68E042A7">
                  <w:pPr>
                    <w:jc w:val="center"/>
                    <w:rPr>
                      <w:sz w:val="18"/>
                      <w:szCs w:val="18"/>
                    </w:rPr>
                  </w:pPr>
                </w:p>
              </w:tc>
              <w:tc>
                <w:tcPr>
                  <w:tcW w:w="1156" w:type="dxa"/>
                  <w:vMerge w:val="continue"/>
                  <w:vAlign w:val="center"/>
                </w:tcPr>
                <w:p w14:paraId="20ED02DD">
                  <w:pPr>
                    <w:jc w:val="center"/>
                    <w:rPr>
                      <w:sz w:val="18"/>
                      <w:szCs w:val="18"/>
                    </w:rPr>
                  </w:pPr>
                </w:p>
              </w:tc>
              <w:tc>
                <w:tcPr>
                  <w:tcW w:w="714" w:type="dxa"/>
                  <w:vMerge w:val="continue"/>
                  <w:vAlign w:val="center"/>
                </w:tcPr>
                <w:p w14:paraId="3F938937">
                  <w:pPr>
                    <w:jc w:val="center"/>
                    <w:rPr>
                      <w:sz w:val="18"/>
                      <w:szCs w:val="18"/>
                    </w:rPr>
                  </w:pPr>
                </w:p>
              </w:tc>
            </w:tr>
            <w:tr w14:paraId="3DDB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1EFF2FB3">
                  <w:pPr>
                    <w:jc w:val="center"/>
                    <w:rPr>
                      <w:sz w:val="18"/>
                      <w:szCs w:val="18"/>
                    </w:rPr>
                  </w:pPr>
                </w:p>
              </w:tc>
              <w:tc>
                <w:tcPr>
                  <w:tcW w:w="1122" w:type="dxa"/>
                  <w:vAlign w:val="center"/>
                </w:tcPr>
                <w:p w14:paraId="3ED5A784">
                  <w:pPr>
                    <w:jc w:val="center"/>
                    <w:rPr>
                      <w:sz w:val="18"/>
                      <w:szCs w:val="18"/>
                    </w:rPr>
                  </w:pPr>
                  <w:r>
                    <w:rPr>
                      <w:sz w:val="18"/>
                      <w:szCs w:val="18"/>
                    </w:rPr>
                    <w:t>污泥泵</w:t>
                  </w:r>
                </w:p>
              </w:tc>
              <w:tc>
                <w:tcPr>
                  <w:tcW w:w="714" w:type="dxa"/>
                  <w:vAlign w:val="center"/>
                </w:tcPr>
                <w:p w14:paraId="2588435A">
                  <w:pPr>
                    <w:widowControl/>
                    <w:jc w:val="center"/>
                    <w:rPr>
                      <w:sz w:val="18"/>
                      <w:szCs w:val="18"/>
                    </w:rPr>
                  </w:pPr>
                  <w:r>
                    <w:rPr>
                      <w:sz w:val="18"/>
                      <w:szCs w:val="18"/>
                    </w:rPr>
                    <w:t>65</w:t>
                  </w:r>
                </w:p>
              </w:tc>
              <w:tc>
                <w:tcPr>
                  <w:tcW w:w="1144" w:type="dxa"/>
                  <w:vAlign w:val="center"/>
                </w:tcPr>
                <w:p w14:paraId="778CA9B6">
                  <w:pPr>
                    <w:jc w:val="center"/>
                    <w:rPr>
                      <w:sz w:val="18"/>
                      <w:szCs w:val="18"/>
                    </w:rPr>
                  </w:pPr>
                  <w:r>
                    <w:rPr>
                      <w:sz w:val="18"/>
                      <w:szCs w:val="18"/>
                    </w:rPr>
                    <w:t>37</w:t>
                  </w:r>
                </w:p>
              </w:tc>
              <w:tc>
                <w:tcPr>
                  <w:tcW w:w="715" w:type="dxa"/>
                  <w:vMerge w:val="continue"/>
                  <w:vAlign w:val="center"/>
                </w:tcPr>
                <w:p w14:paraId="6A579909">
                  <w:pPr>
                    <w:jc w:val="center"/>
                    <w:rPr>
                      <w:sz w:val="18"/>
                      <w:szCs w:val="18"/>
                    </w:rPr>
                  </w:pPr>
                </w:p>
              </w:tc>
              <w:tc>
                <w:tcPr>
                  <w:tcW w:w="1144" w:type="dxa"/>
                  <w:vMerge w:val="continue"/>
                  <w:vAlign w:val="center"/>
                </w:tcPr>
                <w:p w14:paraId="43BF9AD7">
                  <w:pPr>
                    <w:jc w:val="center"/>
                    <w:rPr>
                      <w:sz w:val="18"/>
                      <w:szCs w:val="18"/>
                    </w:rPr>
                  </w:pPr>
                </w:p>
              </w:tc>
              <w:tc>
                <w:tcPr>
                  <w:tcW w:w="1144" w:type="dxa"/>
                  <w:vMerge w:val="continue"/>
                  <w:vAlign w:val="center"/>
                </w:tcPr>
                <w:p w14:paraId="42011015">
                  <w:pPr>
                    <w:jc w:val="center"/>
                    <w:rPr>
                      <w:sz w:val="18"/>
                      <w:szCs w:val="18"/>
                    </w:rPr>
                  </w:pPr>
                </w:p>
              </w:tc>
              <w:tc>
                <w:tcPr>
                  <w:tcW w:w="1156" w:type="dxa"/>
                  <w:vMerge w:val="continue"/>
                  <w:vAlign w:val="center"/>
                </w:tcPr>
                <w:p w14:paraId="3D96DA18">
                  <w:pPr>
                    <w:jc w:val="center"/>
                    <w:rPr>
                      <w:sz w:val="18"/>
                      <w:szCs w:val="18"/>
                    </w:rPr>
                  </w:pPr>
                </w:p>
              </w:tc>
              <w:tc>
                <w:tcPr>
                  <w:tcW w:w="714" w:type="dxa"/>
                  <w:vMerge w:val="continue"/>
                  <w:vAlign w:val="center"/>
                </w:tcPr>
                <w:p w14:paraId="5F398CCE">
                  <w:pPr>
                    <w:jc w:val="center"/>
                    <w:rPr>
                      <w:sz w:val="18"/>
                      <w:szCs w:val="18"/>
                    </w:rPr>
                  </w:pPr>
                </w:p>
              </w:tc>
            </w:tr>
            <w:tr w14:paraId="14B7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restart"/>
                  <w:vAlign w:val="center"/>
                </w:tcPr>
                <w:p w14:paraId="169AD55C">
                  <w:pPr>
                    <w:jc w:val="center"/>
                    <w:rPr>
                      <w:sz w:val="18"/>
                      <w:szCs w:val="18"/>
                    </w:rPr>
                  </w:pPr>
                  <w:r>
                    <w:rPr>
                      <w:sz w:val="18"/>
                      <w:szCs w:val="18"/>
                    </w:rPr>
                    <w:t>南厂界</w:t>
                  </w:r>
                </w:p>
              </w:tc>
              <w:tc>
                <w:tcPr>
                  <w:tcW w:w="1122" w:type="dxa"/>
                  <w:vAlign w:val="center"/>
                </w:tcPr>
                <w:p w14:paraId="4CF7D7C1">
                  <w:pPr>
                    <w:jc w:val="center"/>
                    <w:rPr>
                      <w:sz w:val="18"/>
                      <w:szCs w:val="18"/>
                    </w:rPr>
                  </w:pPr>
                  <w:r>
                    <w:rPr>
                      <w:sz w:val="18"/>
                      <w:szCs w:val="18"/>
                    </w:rPr>
                    <w:t>混料车间</w:t>
                  </w:r>
                </w:p>
              </w:tc>
              <w:tc>
                <w:tcPr>
                  <w:tcW w:w="714" w:type="dxa"/>
                  <w:vAlign w:val="center"/>
                </w:tcPr>
                <w:p w14:paraId="5B1CDCD4">
                  <w:pPr>
                    <w:jc w:val="center"/>
                    <w:rPr>
                      <w:sz w:val="18"/>
                      <w:szCs w:val="18"/>
                    </w:rPr>
                  </w:pPr>
                  <w:r>
                    <w:rPr>
                      <w:sz w:val="18"/>
                      <w:szCs w:val="18"/>
                    </w:rPr>
                    <w:t>47.1</w:t>
                  </w:r>
                </w:p>
              </w:tc>
              <w:tc>
                <w:tcPr>
                  <w:tcW w:w="1144" w:type="dxa"/>
                  <w:vAlign w:val="center"/>
                </w:tcPr>
                <w:p w14:paraId="7D50A96C">
                  <w:pPr>
                    <w:jc w:val="center"/>
                    <w:rPr>
                      <w:sz w:val="18"/>
                      <w:szCs w:val="18"/>
                    </w:rPr>
                  </w:pPr>
                  <w:r>
                    <w:rPr>
                      <w:sz w:val="18"/>
                      <w:szCs w:val="18"/>
                    </w:rPr>
                    <w:t>215</w:t>
                  </w:r>
                </w:p>
              </w:tc>
              <w:tc>
                <w:tcPr>
                  <w:tcW w:w="715" w:type="dxa"/>
                  <w:vMerge w:val="restart"/>
                  <w:vAlign w:val="center"/>
                </w:tcPr>
                <w:p w14:paraId="1A809078">
                  <w:pPr>
                    <w:jc w:val="center"/>
                    <w:rPr>
                      <w:sz w:val="18"/>
                      <w:szCs w:val="18"/>
                    </w:rPr>
                  </w:pPr>
                  <w:r>
                    <w:rPr>
                      <w:sz w:val="18"/>
                      <w:szCs w:val="18"/>
                    </w:rPr>
                    <w:t>17.2</w:t>
                  </w:r>
                </w:p>
              </w:tc>
              <w:tc>
                <w:tcPr>
                  <w:tcW w:w="1144" w:type="dxa"/>
                  <w:vMerge w:val="restart"/>
                  <w:vAlign w:val="center"/>
                </w:tcPr>
                <w:p w14:paraId="218EBBAE">
                  <w:pPr>
                    <w:jc w:val="center"/>
                    <w:rPr>
                      <w:sz w:val="18"/>
                      <w:szCs w:val="18"/>
                    </w:rPr>
                  </w:pPr>
                  <w:r>
                    <w:rPr>
                      <w:sz w:val="18"/>
                      <w:szCs w:val="18"/>
                    </w:rPr>
                    <w:t>55/46</w:t>
                  </w:r>
                </w:p>
              </w:tc>
              <w:tc>
                <w:tcPr>
                  <w:tcW w:w="1144" w:type="dxa"/>
                  <w:vMerge w:val="restart"/>
                  <w:vAlign w:val="center"/>
                </w:tcPr>
                <w:p w14:paraId="08C9537E">
                  <w:pPr>
                    <w:jc w:val="center"/>
                    <w:rPr>
                      <w:sz w:val="18"/>
                      <w:szCs w:val="18"/>
                    </w:rPr>
                  </w:pPr>
                  <w:r>
                    <w:rPr>
                      <w:sz w:val="18"/>
                      <w:szCs w:val="18"/>
                    </w:rPr>
                    <w:t>55/46</w:t>
                  </w:r>
                </w:p>
              </w:tc>
              <w:tc>
                <w:tcPr>
                  <w:tcW w:w="1156" w:type="dxa"/>
                  <w:vMerge w:val="restart"/>
                  <w:vAlign w:val="center"/>
                </w:tcPr>
                <w:p w14:paraId="5133055D">
                  <w:pPr>
                    <w:jc w:val="center"/>
                    <w:rPr>
                      <w:sz w:val="18"/>
                      <w:szCs w:val="18"/>
                    </w:rPr>
                  </w:pPr>
                  <w:r>
                    <w:rPr>
                      <w:sz w:val="18"/>
                      <w:szCs w:val="18"/>
                    </w:rPr>
                    <w:t>70/55</w:t>
                  </w:r>
                </w:p>
              </w:tc>
              <w:tc>
                <w:tcPr>
                  <w:tcW w:w="714" w:type="dxa"/>
                  <w:vMerge w:val="restart"/>
                  <w:vAlign w:val="center"/>
                </w:tcPr>
                <w:p w14:paraId="2D619C59">
                  <w:pPr>
                    <w:jc w:val="center"/>
                    <w:rPr>
                      <w:sz w:val="18"/>
                      <w:szCs w:val="18"/>
                    </w:rPr>
                  </w:pPr>
                  <w:r>
                    <w:rPr>
                      <w:sz w:val="18"/>
                      <w:szCs w:val="18"/>
                    </w:rPr>
                    <w:t>达标</w:t>
                  </w:r>
                </w:p>
              </w:tc>
            </w:tr>
            <w:tr w14:paraId="089B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6C5297FB">
                  <w:pPr>
                    <w:jc w:val="center"/>
                    <w:rPr>
                      <w:sz w:val="18"/>
                      <w:szCs w:val="18"/>
                    </w:rPr>
                  </w:pPr>
                </w:p>
              </w:tc>
              <w:tc>
                <w:tcPr>
                  <w:tcW w:w="1122" w:type="dxa"/>
                  <w:vAlign w:val="center"/>
                </w:tcPr>
                <w:p w14:paraId="379D7564">
                  <w:pPr>
                    <w:jc w:val="center"/>
                    <w:rPr>
                      <w:sz w:val="18"/>
                      <w:szCs w:val="18"/>
                    </w:rPr>
                  </w:pPr>
                  <w:r>
                    <w:rPr>
                      <w:sz w:val="18"/>
                      <w:szCs w:val="18"/>
                    </w:rPr>
                    <w:t>窑炉烟气引风机</w:t>
                  </w:r>
                </w:p>
              </w:tc>
              <w:tc>
                <w:tcPr>
                  <w:tcW w:w="714" w:type="dxa"/>
                  <w:vAlign w:val="center"/>
                </w:tcPr>
                <w:p w14:paraId="2EAD44E3">
                  <w:pPr>
                    <w:widowControl/>
                    <w:jc w:val="center"/>
                    <w:rPr>
                      <w:sz w:val="18"/>
                      <w:szCs w:val="18"/>
                    </w:rPr>
                  </w:pPr>
                  <w:r>
                    <w:rPr>
                      <w:sz w:val="18"/>
                      <w:szCs w:val="18"/>
                    </w:rPr>
                    <w:t>70</w:t>
                  </w:r>
                </w:p>
              </w:tc>
              <w:tc>
                <w:tcPr>
                  <w:tcW w:w="1144" w:type="dxa"/>
                  <w:vAlign w:val="center"/>
                </w:tcPr>
                <w:p w14:paraId="48387DD9">
                  <w:pPr>
                    <w:jc w:val="center"/>
                    <w:rPr>
                      <w:sz w:val="18"/>
                      <w:szCs w:val="18"/>
                    </w:rPr>
                  </w:pPr>
                  <w:r>
                    <w:rPr>
                      <w:sz w:val="18"/>
                      <w:szCs w:val="18"/>
                    </w:rPr>
                    <w:t>226</w:t>
                  </w:r>
                </w:p>
              </w:tc>
              <w:tc>
                <w:tcPr>
                  <w:tcW w:w="715" w:type="dxa"/>
                  <w:vMerge w:val="continue"/>
                  <w:vAlign w:val="center"/>
                </w:tcPr>
                <w:p w14:paraId="3A40CF50">
                  <w:pPr>
                    <w:jc w:val="center"/>
                    <w:rPr>
                      <w:sz w:val="18"/>
                      <w:szCs w:val="18"/>
                    </w:rPr>
                  </w:pPr>
                </w:p>
              </w:tc>
              <w:tc>
                <w:tcPr>
                  <w:tcW w:w="1144" w:type="dxa"/>
                  <w:vMerge w:val="continue"/>
                  <w:vAlign w:val="center"/>
                </w:tcPr>
                <w:p w14:paraId="79649FB9">
                  <w:pPr>
                    <w:jc w:val="center"/>
                    <w:rPr>
                      <w:sz w:val="18"/>
                      <w:szCs w:val="18"/>
                    </w:rPr>
                  </w:pPr>
                </w:p>
              </w:tc>
              <w:tc>
                <w:tcPr>
                  <w:tcW w:w="1144" w:type="dxa"/>
                  <w:vMerge w:val="continue"/>
                  <w:vAlign w:val="center"/>
                </w:tcPr>
                <w:p w14:paraId="1A37BE3C">
                  <w:pPr>
                    <w:jc w:val="center"/>
                    <w:rPr>
                      <w:sz w:val="18"/>
                      <w:szCs w:val="18"/>
                    </w:rPr>
                  </w:pPr>
                </w:p>
              </w:tc>
              <w:tc>
                <w:tcPr>
                  <w:tcW w:w="1156" w:type="dxa"/>
                  <w:vMerge w:val="continue"/>
                  <w:vAlign w:val="center"/>
                </w:tcPr>
                <w:p w14:paraId="635E15F7">
                  <w:pPr>
                    <w:jc w:val="center"/>
                    <w:rPr>
                      <w:sz w:val="18"/>
                      <w:szCs w:val="18"/>
                    </w:rPr>
                  </w:pPr>
                </w:p>
              </w:tc>
              <w:tc>
                <w:tcPr>
                  <w:tcW w:w="714" w:type="dxa"/>
                  <w:vMerge w:val="continue"/>
                  <w:vAlign w:val="center"/>
                </w:tcPr>
                <w:p w14:paraId="2B7D7FC5">
                  <w:pPr>
                    <w:jc w:val="center"/>
                    <w:rPr>
                      <w:sz w:val="18"/>
                      <w:szCs w:val="18"/>
                    </w:rPr>
                  </w:pPr>
                </w:p>
              </w:tc>
            </w:tr>
            <w:tr w14:paraId="0B0E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4F2355C2">
                  <w:pPr>
                    <w:jc w:val="center"/>
                    <w:rPr>
                      <w:sz w:val="18"/>
                      <w:szCs w:val="18"/>
                    </w:rPr>
                  </w:pPr>
                </w:p>
              </w:tc>
              <w:tc>
                <w:tcPr>
                  <w:tcW w:w="1122" w:type="dxa"/>
                  <w:vAlign w:val="center"/>
                </w:tcPr>
                <w:p w14:paraId="199DC7B3">
                  <w:pPr>
                    <w:jc w:val="center"/>
                    <w:rPr>
                      <w:sz w:val="18"/>
                      <w:szCs w:val="18"/>
                    </w:rPr>
                  </w:pPr>
                  <w:r>
                    <w:rPr>
                      <w:sz w:val="18"/>
                      <w:szCs w:val="18"/>
                    </w:rPr>
                    <w:t>脱硫塔氧化风机</w:t>
                  </w:r>
                </w:p>
              </w:tc>
              <w:tc>
                <w:tcPr>
                  <w:tcW w:w="714" w:type="dxa"/>
                  <w:vAlign w:val="center"/>
                </w:tcPr>
                <w:p w14:paraId="5502D7CC">
                  <w:pPr>
                    <w:widowControl/>
                    <w:jc w:val="center"/>
                    <w:rPr>
                      <w:sz w:val="18"/>
                      <w:szCs w:val="18"/>
                    </w:rPr>
                  </w:pPr>
                  <w:r>
                    <w:rPr>
                      <w:sz w:val="18"/>
                      <w:szCs w:val="18"/>
                    </w:rPr>
                    <w:t>65</w:t>
                  </w:r>
                </w:p>
              </w:tc>
              <w:tc>
                <w:tcPr>
                  <w:tcW w:w="1144" w:type="dxa"/>
                  <w:vAlign w:val="center"/>
                </w:tcPr>
                <w:p w14:paraId="691D88AB">
                  <w:pPr>
                    <w:jc w:val="center"/>
                    <w:rPr>
                      <w:sz w:val="18"/>
                      <w:szCs w:val="18"/>
                    </w:rPr>
                  </w:pPr>
                  <w:r>
                    <w:rPr>
                      <w:sz w:val="18"/>
                      <w:szCs w:val="18"/>
                    </w:rPr>
                    <w:t>238</w:t>
                  </w:r>
                </w:p>
              </w:tc>
              <w:tc>
                <w:tcPr>
                  <w:tcW w:w="715" w:type="dxa"/>
                  <w:vMerge w:val="continue"/>
                  <w:vAlign w:val="center"/>
                </w:tcPr>
                <w:p w14:paraId="2D1106FA">
                  <w:pPr>
                    <w:jc w:val="center"/>
                    <w:rPr>
                      <w:sz w:val="18"/>
                      <w:szCs w:val="18"/>
                    </w:rPr>
                  </w:pPr>
                </w:p>
              </w:tc>
              <w:tc>
                <w:tcPr>
                  <w:tcW w:w="1144" w:type="dxa"/>
                  <w:vMerge w:val="continue"/>
                  <w:vAlign w:val="center"/>
                </w:tcPr>
                <w:p w14:paraId="408205B7">
                  <w:pPr>
                    <w:jc w:val="center"/>
                    <w:rPr>
                      <w:sz w:val="18"/>
                      <w:szCs w:val="18"/>
                    </w:rPr>
                  </w:pPr>
                </w:p>
              </w:tc>
              <w:tc>
                <w:tcPr>
                  <w:tcW w:w="1144" w:type="dxa"/>
                  <w:vMerge w:val="continue"/>
                  <w:vAlign w:val="center"/>
                </w:tcPr>
                <w:p w14:paraId="2D705A41">
                  <w:pPr>
                    <w:jc w:val="center"/>
                    <w:rPr>
                      <w:sz w:val="18"/>
                      <w:szCs w:val="18"/>
                    </w:rPr>
                  </w:pPr>
                </w:p>
              </w:tc>
              <w:tc>
                <w:tcPr>
                  <w:tcW w:w="1156" w:type="dxa"/>
                  <w:vMerge w:val="continue"/>
                  <w:vAlign w:val="center"/>
                </w:tcPr>
                <w:p w14:paraId="01456C28">
                  <w:pPr>
                    <w:jc w:val="center"/>
                    <w:rPr>
                      <w:sz w:val="18"/>
                      <w:szCs w:val="18"/>
                    </w:rPr>
                  </w:pPr>
                </w:p>
              </w:tc>
              <w:tc>
                <w:tcPr>
                  <w:tcW w:w="714" w:type="dxa"/>
                  <w:vMerge w:val="continue"/>
                  <w:vAlign w:val="center"/>
                </w:tcPr>
                <w:p w14:paraId="5F52EB02">
                  <w:pPr>
                    <w:jc w:val="center"/>
                    <w:rPr>
                      <w:sz w:val="18"/>
                      <w:szCs w:val="18"/>
                    </w:rPr>
                  </w:pPr>
                </w:p>
              </w:tc>
            </w:tr>
            <w:tr w14:paraId="4316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4A266648">
                  <w:pPr>
                    <w:jc w:val="center"/>
                    <w:rPr>
                      <w:sz w:val="18"/>
                      <w:szCs w:val="18"/>
                    </w:rPr>
                  </w:pPr>
                </w:p>
              </w:tc>
              <w:tc>
                <w:tcPr>
                  <w:tcW w:w="1122" w:type="dxa"/>
                  <w:vAlign w:val="center"/>
                </w:tcPr>
                <w:p w14:paraId="3E2EB5BE">
                  <w:pPr>
                    <w:jc w:val="center"/>
                    <w:rPr>
                      <w:sz w:val="18"/>
                      <w:szCs w:val="18"/>
                    </w:rPr>
                  </w:pPr>
                  <w:r>
                    <w:rPr>
                      <w:sz w:val="18"/>
                      <w:szCs w:val="18"/>
                    </w:rPr>
                    <w:t>浆液循环泵</w:t>
                  </w:r>
                </w:p>
              </w:tc>
              <w:tc>
                <w:tcPr>
                  <w:tcW w:w="714" w:type="dxa"/>
                  <w:vAlign w:val="center"/>
                </w:tcPr>
                <w:p w14:paraId="20FF0ED8">
                  <w:pPr>
                    <w:widowControl/>
                    <w:jc w:val="center"/>
                    <w:rPr>
                      <w:sz w:val="18"/>
                      <w:szCs w:val="18"/>
                    </w:rPr>
                  </w:pPr>
                  <w:r>
                    <w:rPr>
                      <w:sz w:val="18"/>
                      <w:szCs w:val="18"/>
                    </w:rPr>
                    <w:t>70</w:t>
                  </w:r>
                </w:p>
              </w:tc>
              <w:tc>
                <w:tcPr>
                  <w:tcW w:w="1144" w:type="dxa"/>
                  <w:vAlign w:val="center"/>
                </w:tcPr>
                <w:p w14:paraId="73E93F9E">
                  <w:pPr>
                    <w:jc w:val="center"/>
                    <w:rPr>
                      <w:sz w:val="18"/>
                      <w:szCs w:val="18"/>
                    </w:rPr>
                  </w:pPr>
                  <w:r>
                    <w:rPr>
                      <w:sz w:val="18"/>
                      <w:szCs w:val="18"/>
                    </w:rPr>
                    <w:t>235</w:t>
                  </w:r>
                </w:p>
              </w:tc>
              <w:tc>
                <w:tcPr>
                  <w:tcW w:w="715" w:type="dxa"/>
                  <w:vMerge w:val="continue"/>
                  <w:vAlign w:val="center"/>
                </w:tcPr>
                <w:p w14:paraId="563A97B8">
                  <w:pPr>
                    <w:jc w:val="center"/>
                    <w:rPr>
                      <w:sz w:val="18"/>
                      <w:szCs w:val="18"/>
                    </w:rPr>
                  </w:pPr>
                </w:p>
              </w:tc>
              <w:tc>
                <w:tcPr>
                  <w:tcW w:w="1144" w:type="dxa"/>
                  <w:vMerge w:val="continue"/>
                  <w:vAlign w:val="center"/>
                </w:tcPr>
                <w:p w14:paraId="5443FB2C">
                  <w:pPr>
                    <w:jc w:val="center"/>
                    <w:rPr>
                      <w:sz w:val="18"/>
                      <w:szCs w:val="18"/>
                    </w:rPr>
                  </w:pPr>
                </w:p>
              </w:tc>
              <w:tc>
                <w:tcPr>
                  <w:tcW w:w="1144" w:type="dxa"/>
                  <w:vMerge w:val="continue"/>
                  <w:vAlign w:val="center"/>
                </w:tcPr>
                <w:p w14:paraId="0E0A6AFF">
                  <w:pPr>
                    <w:jc w:val="center"/>
                    <w:rPr>
                      <w:sz w:val="18"/>
                      <w:szCs w:val="18"/>
                    </w:rPr>
                  </w:pPr>
                </w:p>
              </w:tc>
              <w:tc>
                <w:tcPr>
                  <w:tcW w:w="1156" w:type="dxa"/>
                  <w:vMerge w:val="continue"/>
                  <w:vAlign w:val="center"/>
                </w:tcPr>
                <w:p w14:paraId="20DB497C">
                  <w:pPr>
                    <w:jc w:val="center"/>
                    <w:rPr>
                      <w:sz w:val="18"/>
                      <w:szCs w:val="18"/>
                    </w:rPr>
                  </w:pPr>
                </w:p>
              </w:tc>
              <w:tc>
                <w:tcPr>
                  <w:tcW w:w="714" w:type="dxa"/>
                  <w:vMerge w:val="continue"/>
                  <w:vAlign w:val="center"/>
                </w:tcPr>
                <w:p w14:paraId="179ED325">
                  <w:pPr>
                    <w:jc w:val="center"/>
                    <w:rPr>
                      <w:sz w:val="18"/>
                      <w:szCs w:val="18"/>
                    </w:rPr>
                  </w:pPr>
                </w:p>
              </w:tc>
            </w:tr>
            <w:tr w14:paraId="49F3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62DADEE2">
                  <w:pPr>
                    <w:jc w:val="center"/>
                    <w:rPr>
                      <w:sz w:val="18"/>
                      <w:szCs w:val="18"/>
                    </w:rPr>
                  </w:pPr>
                </w:p>
              </w:tc>
              <w:tc>
                <w:tcPr>
                  <w:tcW w:w="1122" w:type="dxa"/>
                  <w:vAlign w:val="center"/>
                </w:tcPr>
                <w:p w14:paraId="01A56E6E">
                  <w:pPr>
                    <w:jc w:val="center"/>
                    <w:rPr>
                      <w:sz w:val="18"/>
                      <w:szCs w:val="18"/>
                    </w:rPr>
                  </w:pPr>
                  <w:r>
                    <w:rPr>
                      <w:sz w:val="18"/>
                      <w:szCs w:val="18"/>
                    </w:rPr>
                    <w:t>石膏泵</w:t>
                  </w:r>
                </w:p>
              </w:tc>
              <w:tc>
                <w:tcPr>
                  <w:tcW w:w="714" w:type="dxa"/>
                  <w:vAlign w:val="center"/>
                </w:tcPr>
                <w:p w14:paraId="428A1BC5">
                  <w:pPr>
                    <w:widowControl/>
                    <w:jc w:val="center"/>
                    <w:rPr>
                      <w:sz w:val="18"/>
                      <w:szCs w:val="18"/>
                    </w:rPr>
                  </w:pPr>
                  <w:r>
                    <w:rPr>
                      <w:sz w:val="18"/>
                      <w:szCs w:val="18"/>
                    </w:rPr>
                    <w:t>70</w:t>
                  </w:r>
                </w:p>
              </w:tc>
              <w:tc>
                <w:tcPr>
                  <w:tcW w:w="1144" w:type="dxa"/>
                  <w:vAlign w:val="center"/>
                </w:tcPr>
                <w:p w14:paraId="47583C0B">
                  <w:pPr>
                    <w:jc w:val="center"/>
                    <w:rPr>
                      <w:sz w:val="18"/>
                      <w:szCs w:val="18"/>
                    </w:rPr>
                  </w:pPr>
                  <w:r>
                    <w:rPr>
                      <w:sz w:val="18"/>
                      <w:szCs w:val="18"/>
                    </w:rPr>
                    <w:t>218</w:t>
                  </w:r>
                </w:p>
              </w:tc>
              <w:tc>
                <w:tcPr>
                  <w:tcW w:w="715" w:type="dxa"/>
                  <w:vMerge w:val="continue"/>
                  <w:vAlign w:val="center"/>
                </w:tcPr>
                <w:p w14:paraId="1F045162">
                  <w:pPr>
                    <w:jc w:val="center"/>
                    <w:rPr>
                      <w:sz w:val="18"/>
                      <w:szCs w:val="18"/>
                    </w:rPr>
                  </w:pPr>
                </w:p>
              </w:tc>
              <w:tc>
                <w:tcPr>
                  <w:tcW w:w="1144" w:type="dxa"/>
                  <w:vMerge w:val="continue"/>
                  <w:vAlign w:val="center"/>
                </w:tcPr>
                <w:p w14:paraId="748BDAFC">
                  <w:pPr>
                    <w:jc w:val="center"/>
                    <w:rPr>
                      <w:sz w:val="18"/>
                      <w:szCs w:val="18"/>
                    </w:rPr>
                  </w:pPr>
                </w:p>
              </w:tc>
              <w:tc>
                <w:tcPr>
                  <w:tcW w:w="1144" w:type="dxa"/>
                  <w:vMerge w:val="continue"/>
                  <w:vAlign w:val="center"/>
                </w:tcPr>
                <w:p w14:paraId="55D2BC31">
                  <w:pPr>
                    <w:jc w:val="center"/>
                    <w:rPr>
                      <w:sz w:val="18"/>
                      <w:szCs w:val="18"/>
                    </w:rPr>
                  </w:pPr>
                </w:p>
              </w:tc>
              <w:tc>
                <w:tcPr>
                  <w:tcW w:w="1156" w:type="dxa"/>
                  <w:vMerge w:val="continue"/>
                  <w:vAlign w:val="center"/>
                </w:tcPr>
                <w:p w14:paraId="03B2D8D9">
                  <w:pPr>
                    <w:jc w:val="center"/>
                    <w:rPr>
                      <w:sz w:val="18"/>
                      <w:szCs w:val="18"/>
                    </w:rPr>
                  </w:pPr>
                </w:p>
              </w:tc>
              <w:tc>
                <w:tcPr>
                  <w:tcW w:w="714" w:type="dxa"/>
                  <w:vMerge w:val="continue"/>
                  <w:vAlign w:val="center"/>
                </w:tcPr>
                <w:p w14:paraId="7F35B1CE">
                  <w:pPr>
                    <w:jc w:val="center"/>
                    <w:rPr>
                      <w:sz w:val="18"/>
                      <w:szCs w:val="18"/>
                    </w:rPr>
                  </w:pPr>
                </w:p>
              </w:tc>
            </w:tr>
            <w:tr w14:paraId="74FA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0D9793DE">
                  <w:pPr>
                    <w:jc w:val="center"/>
                    <w:rPr>
                      <w:sz w:val="18"/>
                      <w:szCs w:val="18"/>
                    </w:rPr>
                  </w:pPr>
                </w:p>
              </w:tc>
              <w:tc>
                <w:tcPr>
                  <w:tcW w:w="1122" w:type="dxa"/>
                  <w:vAlign w:val="center"/>
                </w:tcPr>
                <w:p w14:paraId="0B1068F1">
                  <w:pPr>
                    <w:jc w:val="center"/>
                    <w:rPr>
                      <w:sz w:val="18"/>
                      <w:szCs w:val="18"/>
                    </w:rPr>
                  </w:pPr>
                  <w:r>
                    <w:rPr>
                      <w:sz w:val="18"/>
                      <w:szCs w:val="18"/>
                    </w:rPr>
                    <w:t>污水泵</w:t>
                  </w:r>
                </w:p>
              </w:tc>
              <w:tc>
                <w:tcPr>
                  <w:tcW w:w="714" w:type="dxa"/>
                  <w:vAlign w:val="center"/>
                </w:tcPr>
                <w:p w14:paraId="0F96AF5C">
                  <w:pPr>
                    <w:widowControl/>
                    <w:jc w:val="center"/>
                    <w:rPr>
                      <w:sz w:val="18"/>
                      <w:szCs w:val="18"/>
                    </w:rPr>
                  </w:pPr>
                  <w:r>
                    <w:rPr>
                      <w:sz w:val="18"/>
                      <w:szCs w:val="18"/>
                    </w:rPr>
                    <w:t>65</w:t>
                  </w:r>
                </w:p>
              </w:tc>
              <w:tc>
                <w:tcPr>
                  <w:tcW w:w="1144" w:type="dxa"/>
                  <w:vAlign w:val="center"/>
                </w:tcPr>
                <w:p w14:paraId="22D20CAE">
                  <w:pPr>
                    <w:jc w:val="center"/>
                    <w:rPr>
                      <w:sz w:val="18"/>
                      <w:szCs w:val="18"/>
                    </w:rPr>
                  </w:pPr>
                  <w:r>
                    <w:rPr>
                      <w:sz w:val="18"/>
                      <w:szCs w:val="18"/>
                    </w:rPr>
                    <w:t>205</w:t>
                  </w:r>
                </w:p>
              </w:tc>
              <w:tc>
                <w:tcPr>
                  <w:tcW w:w="715" w:type="dxa"/>
                  <w:vMerge w:val="continue"/>
                  <w:vAlign w:val="center"/>
                </w:tcPr>
                <w:p w14:paraId="6F3D21C9">
                  <w:pPr>
                    <w:jc w:val="center"/>
                    <w:rPr>
                      <w:sz w:val="18"/>
                      <w:szCs w:val="18"/>
                    </w:rPr>
                  </w:pPr>
                </w:p>
              </w:tc>
              <w:tc>
                <w:tcPr>
                  <w:tcW w:w="1144" w:type="dxa"/>
                  <w:vMerge w:val="continue"/>
                  <w:vAlign w:val="center"/>
                </w:tcPr>
                <w:p w14:paraId="6910E953">
                  <w:pPr>
                    <w:jc w:val="center"/>
                    <w:rPr>
                      <w:sz w:val="18"/>
                      <w:szCs w:val="18"/>
                    </w:rPr>
                  </w:pPr>
                </w:p>
              </w:tc>
              <w:tc>
                <w:tcPr>
                  <w:tcW w:w="1144" w:type="dxa"/>
                  <w:vMerge w:val="continue"/>
                  <w:vAlign w:val="center"/>
                </w:tcPr>
                <w:p w14:paraId="2D72BDB3">
                  <w:pPr>
                    <w:jc w:val="center"/>
                    <w:rPr>
                      <w:sz w:val="18"/>
                      <w:szCs w:val="18"/>
                    </w:rPr>
                  </w:pPr>
                </w:p>
              </w:tc>
              <w:tc>
                <w:tcPr>
                  <w:tcW w:w="1156" w:type="dxa"/>
                  <w:vMerge w:val="continue"/>
                  <w:vAlign w:val="center"/>
                </w:tcPr>
                <w:p w14:paraId="17460D2A">
                  <w:pPr>
                    <w:jc w:val="center"/>
                    <w:rPr>
                      <w:sz w:val="18"/>
                      <w:szCs w:val="18"/>
                    </w:rPr>
                  </w:pPr>
                </w:p>
              </w:tc>
              <w:tc>
                <w:tcPr>
                  <w:tcW w:w="714" w:type="dxa"/>
                  <w:vMerge w:val="continue"/>
                  <w:vAlign w:val="center"/>
                </w:tcPr>
                <w:p w14:paraId="7573C285">
                  <w:pPr>
                    <w:jc w:val="center"/>
                    <w:rPr>
                      <w:sz w:val="18"/>
                      <w:szCs w:val="18"/>
                    </w:rPr>
                  </w:pPr>
                </w:p>
              </w:tc>
            </w:tr>
            <w:tr w14:paraId="07A1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45352BE3">
                  <w:pPr>
                    <w:jc w:val="center"/>
                    <w:rPr>
                      <w:sz w:val="18"/>
                      <w:szCs w:val="18"/>
                    </w:rPr>
                  </w:pPr>
                </w:p>
              </w:tc>
              <w:tc>
                <w:tcPr>
                  <w:tcW w:w="1122" w:type="dxa"/>
                  <w:vAlign w:val="center"/>
                </w:tcPr>
                <w:p w14:paraId="23E18F4A">
                  <w:pPr>
                    <w:jc w:val="center"/>
                    <w:rPr>
                      <w:sz w:val="18"/>
                      <w:szCs w:val="18"/>
                    </w:rPr>
                  </w:pPr>
                  <w:r>
                    <w:rPr>
                      <w:sz w:val="18"/>
                      <w:szCs w:val="18"/>
                    </w:rPr>
                    <w:t>污泥泵</w:t>
                  </w:r>
                </w:p>
              </w:tc>
              <w:tc>
                <w:tcPr>
                  <w:tcW w:w="714" w:type="dxa"/>
                  <w:vAlign w:val="center"/>
                </w:tcPr>
                <w:p w14:paraId="1F42CBF9">
                  <w:pPr>
                    <w:widowControl/>
                    <w:jc w:val="center"/>
                    <w:rPr>
                      <w:sz w:val="18"/>
                      <w:szCs w:val="18"/>
                    </w:rPr>
                  </w:pPr>
                  <w:r>
                    <w:rPr>
                      <w:sz w:val="18"/>
                      <w:szCs w:val="18"/>
                    </w:rPr>
                    <w:t>65</w:t>
                  </w:r>
                </w:p>
              </w:tc>
              <w:tc>
                <w:tcPr>
                  <w:tcW w:w="1144" w:type="dxa"/>
                  <w:vAlign w:val="center"/>
                </w:tcPr>
                <w:p w14:paraId="6097CAE0">
                  <w:pPr>
                    <w:jc w:val="center"/>
                    <w:rPr>
                      <w:sz w:val="18"/>
                      <w:szCs w:val="18"/>
                    </w:rPr>
                  </w:pPr>
                  <w:r>
                    <w:rPr>
                      <w:sz w:val="18"/>
                      <w:szCs w:val="18"/>
                    </w:rPr>
                    <w:t>195</w:t>
                  </w:r>
                </w:p>
              </w:tc>
              <w:tc>
                <w:tcPr>
                  <w:tcW w:w="715" w:type="dxa"/>
                  <w:vMerge w:val="continue"/>
                  <w:vAlign w:val="center"/>
                </w:tcPr>
                <w:p w14:paraId="3A4ECECA">
                  <w:pPr>
                    <w:jc w:val="center"/>
                    <w:rPr>
                      <w:sz w:val="18"/>
                      <w:szCs w:val="18"/>
                    </w:rPr>
                  </w:pPr>
                </w:p>
              </w:tc>
              <w:tc>
                <w:tcPr>
                  <w:tcW w:w="1144" w:type="dxa"/>
                  <w:vMerge w:val="continue"/>
                  <w:vAlign w:val="center"/>
                </w:tcPr>
                <w:p w14:paraId="0A66BFB1">
                  <w:pPr>
                    <w:jc w:val="center"/>
                    <w:rPr>
                      <w:sz w:val="18"/>
                      <w:szCs w:val="18"/>
                    </w:rPr>
                  </w:pPr>
                </w:p>
              </w:tc>
              <w:tc>
                <w:tcPr>
                  <w:tcW w:w="1144" w:type="dxa"/>
                  <w:vMerge w:val="continue"/>
                  <w:vAlign w:val="center"/>
                </w:tcPr>
                <w:p w14:paraId="3F5DE9C2">
                  <w:pPr>
                    <w:jc w:val="center"/>
                    <w:rPr>
                      <w:sz w:val="18"/>
                      <w:szCs w:val="18"/>
                    </w:rPr>
                  </w:pPr>
                </w:p>
              </w:tc>
              <w:tc>
                <w:tcPr>
                  <w:tcW w:w="1156" w:type="dxa"/>
                  <w:vMerge w:val="continue"/>
                  <w:vAlign w:val="center"/>
                </w:tcPr>
                <w:p w14:paraId="7C5FE5EF">
                  <w:pPr>
                    <w:jc w:val="center"/>
                    <w:rPr>
                      <w:sz w:val="18"/>
                      <w:szCs w:val="18"/>
                    </w:rPr>
                  </w:pPr>
                </w:p>
              </w:tc>
              <w:tc>
                <w:tcPr>
                  <w:tcW w:w="714" w:type="dxa"/>
                  <w:vMerge w:val="continue"/>
                  <w:vAlign w:val="center"/>
                </w:tcPr>
                <w:p w14:paraId="0604F7C4">
                  <w:pPr>
                    <w:jc w:val="center"/>
                    <w:rPr>
                      <w:sz w:val="18"/>
                      <w:szCs w:val="18"/>
                    </w:rPr>
                  </w:pPr>
                </w:p>
              </w:tc>
            </w:tr>
            <w:tr w14:paraId="3CF8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restart"/>
                  <w:vAlign w:val="center"/>
                </w:tcPr>
                <w:p w14:paraId="1EA39330">
                  <w:pPr>
                    <w:jc w:val="center"/>
                    <w:rPr>
                      <w:sz w:val="18"/>
                      <w:szCs w:val="18"/>
                    </w:rPr>
                  </w:pPr>
                  <w:r>
                    <w:rPr>
                      <w:sz w:val="18"/>
                      <w:szCs w:val="18"/>
                    </w:rPr>
                    <w:t>西厂界</w:t>
                  </w:r>
                </w:p>
              </w:tc>
              <w:tc>
                <w:tcPr>
                  <w:tcW w:w="1122" w:type="dxa"/>
                  <w:vAlign w:val="center"/>
                </w:tcPr>
                <w:p w14:paraId="045263D2">
                  <w:pPr>
                    <w:jc w:val="center"/>
                    <w:rPr>
                      <w:sz w:val="18"/>
                      <w:szCs w:val="18"/>
                    </w:rPr>
                  </w:pPr>
                  <w:r>
                    <w:rPr>
                      <w:sz w:val="18"/>
                      <w:szCs w:val="18"/>
                    </w:rPr>
                    <w:t>混料车间</w:t>
                  </w:r>
                </w:p>
              </w:tc>
              <w:tc>
                <w:tcPr>
                  <w:tcW w:w="714" w:type="dxa"/>
                  <w:vAlign w:val="center"/>
                </w:tcPr>
                <w:p w14:paraId="67CC186C">
                  <w:pPr>
                    <w:jc w:val="center"/>
                    <w:rPr>
                      <w:sz w:val="18"/>
                      <w:szCs w:val="18"/>
                    </w:rPr>
                  </w:pPr>
                  <w:r>
                    <w:rPr>
                      <w:sz w:val="18"/>
                      <w:szCs w:val="18"/>
                    </w:rPr>
                    <w:t>53.8</w:t>
                  </w:r>
                </w:p>
              </w:tc>
              <w:tc>
                <w:tcPr>
                  <w:tcW w:w="1144" w:type="dxa"/>
                  <w:vAlign w:val="center"/>
                </w:tcPr>
                <w:p w14:paraId="1BD1DCB9">
                  <w:pPr>
                    <w:jc w:val="center"/>
                    <w:rPr>
                      <w:sz w:val="18"/>
                      <w:szCs w:val="18"/>
                    </w:rPr>
                  </w:pPr>
                  <w:r>
                    <w:rPr>
                      <w:sz w:val="18"/>
                      <w:szCs w:val="18"/>
                    </w:rPr>
                    <w:t>126</w:t>
                  </w:r>
                </w:p>
              </w:tc>
              <w:tc>
                <w:tcPr>
                  <w:tcW w:w="715" w:type="dxa"/>
                  <w:vMerge w:val="restart"/>
                  <w:vAlign w:val="center"/>
                </w:tcPr>
                <w:p w14:paraId="5D0D77DA">
                  <w:pPr>
                    <w:jc w:val="center"/>
                    <w:rPr>
                      <w:sz w:val="18"/>
                      <w:szCs w:val="18"/>
                    </w:rPr>
                  </w:pPr>
                  <w:r>
                    <w:rPr>
                      <w:sz w:val="18"/>
                      <w:szCs w:val="18"/>
                    </w:rPr>
                    <w:t>22.6</w:t>
                  </w:r>
                </w:p>
              </w:tc>
              <w:tc>
                <w:tcPr>
                  <w:tcW w:w="1144" w:type="dxa"/>
                  <w:vMerge w:val="restart"/>
                  <w:vAlign w:val="center"/>
                </w:tcPr>
                <w:p w14:paraId="617A6E74">
                  <w:pPr>
                    <w:jc w:val="center"/>
                    <w:rPr>
                      <w:sz w:val="18"/>
                      <w:szCs w:val="18"/>
                    </w:rPr>
                  </w:pPr>
                  <w:r>
                    <w:rPr>
                      <w:sz w:val="18"/>
                      <w:szCs w:val="18"/>
                    </w:rPr>
                    <w:t>52/46</w:t>
                  </w:r>
                </w:p>
              </w:tc>
              <w:tc>
                <w:tcPr>
                  <w:tcW w:w="1144" w:type="dxa"/>
                  <w:vMerge w:val="restart"/>
                  <w:vAlign w:val="center"/>
                </w:tcPr>
                <w:p w14:paraId="0FE88E05">
                  <w:pPr>
                    <w:jc w:val="center"/>
                    <w:rPr>
                      <w:sz w:val="18"/>
                      <w:szCs w:val="18"/>
                    </w:rPr>
                  </w:pPr>
                  <w:r>
                    <w:rPr>
                      <w:sz w:val="18"/>
                      <w:szCs w:val="18"/>
                    </w:rPr>
                    <w:t>52/46</w:t>
                  </w:r>
                </w:p>
              </w:tc>
              <w:tc>
                <w:tcPr>
                  <w:tcW w:w="1156" w:type="dxa"/>
                  <w:vMerge w:val="restart"/>
                  <w:vAlign w:val="center"/>
                </w:tcPr>
                <w:p w14:paraId="68BBCD72">
                  <w:pPr>
                    <w:jc w:val="center"/>
                    <w:rPr>
                      <w:sz w:val="18"/>
                      <w:szCs w:val="18"/>
                    </w:rPr>
                  </w:pPr>
                  <w:r>
                    <w:rPr>
                      <w:sz w:val="18"/>
                      <w:szCs w:val="18"/>
                    </w:rPr>
                    <w:t>60/50</w:t>
                  </w:r>
                </w:p>
              </w:tc>
              <w:tc>
                <w:tcPr>
                  <w:tcW w:w="714" w:type="dxa"/>
                  <w:vMerge w:val="restart"/>
                  <w:vAlign w:val="center"/>
                </w:tcPr>
                <w:p w14:paraId="07C573CC">
                  <w:pPr>
                    <w:jc w:val="center"/>
                    <w:rPr>
                      <w:sz w:val="18"/>
                      <w:szCs w:val="18"/>
                    </w:rPr>
                  </w:pPr>
                  <w:r>
                    <w:rPr>
                      <w:sz w:val="18"/>
                      <w:szCs w:val="18"/>
                    </w:rPr>
                    <w:t>达标</w:t>
                  </w:r>
                </w:p>
              </w:tc>
            </w:tr>
            <w:tr w14:paraId="5473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11A61813">
                  <w:pPr>
                    <w:jc w:val="center"/>
                    <w:rPr>
                      <w:sz w:val="18"/>
                      <w:szCs w:val="18"/>
                    </w:rPr>
                  </w:pPr>
                </w:p>
              </w:tc>
              <w:tc>
                <w:tcPr>
                  <w:tcW w:w="1122" w:type="dxa"/>
                  <w:vAlign w:val="center"/>
                </w:tcPr>
                <w:p w14:paraId="2BF64C19">
                  <w:pPr>
                    <w:jc w:val="center"/>
                    <w:rPr>
                      <w:sz w:val="18"/>
                      <w:szCs w:val="18"/>
                    </w:rPr>
                  </w:pPr>
                  <w:r>
                    <w:rPr>
                      <w:sz w:val="18"/>
                      <w:szCs w:val="18"/>
                    </w:rPr>
                    <w:t>窑炉烟气引风机</w:t>
                  </w:r>
                </w:p>
              </w:tc>
              <w:tc>
                <w:tcPr>
                  <w:tcW w:w="714" w:type="dxa"/>
                  <w:vAlign w:val="center"/>
                </w:tcPr>
                <w:p w14:paraId="22D22197">
                  <w:pPr>
                    <w:jc w:val="center"/>
                    <w:rPr>
                      <w:sz w:val="18"/>
                      <w:szCs w:val="18"/>
                    </w:rPr>
                  </w:pPr>
                  <w:r>
                    <w:rPr>
                      <w:sz w:val="18"/>
                      <w:szCs w:val="18"/>
                    </w:rPr>
                    <w:t>70</w:t>
                  </w:r>
                </w:p>
              </w:tc>
              <w:tc>
                <w:tcPr>
                  <w:tcW w:w="1144" w:type="dxa"/>
                  <w:vAlign w:val="center"/>
                </w:tcPr>
                <w:p w14:paraId="725F74C5">
                  <w:pPr>
                    <w:jc w:val="center"/>
                    <w:rPr>
                      <w:sz w:val="18"/>
                      <w:szCs w:val="18"/>
                    </w:rPr>
                  </w:pPr>
                  <w:r>
                    <w:rPr>
                      <w:sz w:val="18"/>
                      <w:szCs w:val="18"/>
                    </w:rPr>
                    <w:t>172</w:t>
                  </w:r>
                </w:p>
              </w:tc>
              <w:tc>
                <w:tcPr>
                  <w:tcW w:w="715" w:type="dxa"/>
                  <w:vMerge w:val="continue"/>
                  <w:vAlign w:val="center"/>
                </w:tcPr>
                <w:p w14:paraId="530F9E61">
                  <w:pPr>
                    <w:jc w:val="center"/>
                    <w:rPr>
                      <w:sz w:val="18"/>
                      <w:szCs w:val="18"/>
                    </w:rPr>
                  </w:pPr>
                </w:p>
              </w:tc>
              <w:tc>
                <w:tcPr>
                  <w:tcW w:w="1144" w:type="dxa"/>
                  <w:vMerge w:val="continue"/>
                  <w:vAlign w:val="center"/>
                </w:tcPr>
                <w:p w14:paraId="72B5FFCA">
                  <w:pPr>
                    <w:jc w:val="center"/>
                    <w:rPr>
                      <w:sz w:val="18"/>
                      <w:szCs w:val="18"/>
                    </w:rPr>
                  </w:pPr>
                </w:p>
              </w:tc>
              <w:tc>
                <w:tcPr>
                  <w:tcW w:w="1144" w:type="dxa"/>
                  <w:vMerge w:val="continue"/>
                  <w:vAlign w:val="center"/>
                </w:tcPr>
                <w:p w14:paraId="0F494A9C">
                  <w:pPr>
                    <w:jc w:val="center"/>
                    <w:rPr>
                      <w:sz w:val="18"/>
                      <w:szCs w:val="18"/>
                    </w:rPr>
                  </w:pPr>
                </w:p>
              </w:tc>
              <w:tc>
                <w:tcPr>
                  <w:tcW w:w="1156" w:type="dxa"/>
                  <w:vMerge w:val="continue"/>
                  <w:vAlign w:val="center"/>
                </w:tcPr>
                <w:p w14:paraId="193BCFF9">
                  <w:pPr>
                    <w:jc w:val="center"/>
                    <w:rPr>
                      <w:sz w:val="18"/>
                      <w:szCs w:val="18"/>
                    </w:rPr>
                  </w:pPr>
                </w:p>
              </w:tc>
              <w:tc>
                <w:tcPr>
                  <w:tcW w:w="714" w:type="dxa"/>
                  <w:vMerge w:val="continue"/>
                  <w:vAlign w:val="center"/>
                </w:tcPr>
                <w:p w14:paraId="26A64A0B">
                  <w:pPr>
                    <w:jc w:val="center"/>
                    <w:rPr>
                      <w:sz w:val="18"/>
                      <w:szCs w:val="18"/>
                    </w:rPr>
                  </w:pPr>
                </w:p>
              </w:tc>
            </w:tr>
            <w:tr w14:paraId="3C5A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64589BA5">
                  <w:pPr>
                    <w:jc w:val="center"/>
                    <w:rPr>
                      <w:sz w:val="18"/>
                      <w:szCs w:val="18"/>
                    </w:rPr>
                  </w:pPr>
                </w:p>
              </w:tc>
              <w:tc>
                <w:tcPr>
                  <w:tcW w:w="1122" w:type="dxa"/>
                  <w:vAlign w:val="center"/>
                </w:tcPr>
                <w:p w14:paraId="3657E9F9">
                  <w:pPr>
                    <w:jc w:val="center"/>
                    <w:rPr>
                      <w:sz w:val="18"/>
                      <w:szCs w:val="18"/>
                    </w:rPr>
                  </w:pPr>
                  <w:r>
                    <w:rPr>
                      <w:sz w:val="18"/>
                      <w:szCs w:val="18"/>
                    </w:rPr>
                    <w:t>脱硫塔氧化风机</w:t>
                  </w:r>
                </w:p>
              </w:tc>
              <w:tc>
                <w:tcPr>
                  <w:tcW w:w="714" w:type="dxa"/>
                  <w:vAlign w:val="center"/>
                </w:tcPr>
                <w:p w14:paraId="65B7D7E9">
                  <w:pPr>
                    <w:jc w:val="center"/>
                    <w:rPr>
                      <w:sz w:val="18"/>
                      <w:szCs w:val="18"/>
                    </w:rPr>
                  </w:pPr>
                  <w:r>
                    <w:rPr>
                      <w:sz w:val="18"/>
                      <w:szCs w:val="18"/>
                    </w:rPr>
                    <w:t>65</w:t>
                  </w:r>
                </w:p>
              </w:tc>
              <w:tc>
                <w:tcPr>
                  <w:tcW w:w="1144" w:type="dxa"/>
                  <w:vAlign w:val="center"/>
                </w:tcPr>
                <w:p w14:paraId="58E2F968">
                  <w:pPr>
                    <w:jc w:val="center"/>
                    <w:rPr>
                      <w:sz w:val="18"/>
                      <w:szCs w:val="18"/>
                    </w:rPr>
                  </w:pPr>
                  <w:r>
                    <w:rPr>
                      <w:sz w:val="18"/>
                      <w:szCs w:val="18"/>
                    </w:rPr>
                    <w:t>188</w:t>
                  </w:r>
                </w:p>
              </w:tc>
              <w:tc>
                <w:tcPr>
                  <w:tcW w:w="715" w:type="dxa"/>
                  <w:vMerge w:val="continue"/>
                  <w:vAlign w:val="center"/>
                </w:tcPr>
                <w:p w14:paraId="1686FCFA">
                  <w:pPr>
                    <w:jc w:val="center"/>
                    <w:rPr>
                      <w:sz w:val="18"/>
                      <w:szCs w:val="18"/>
                    </w:rPr>
                  </w:pPr>
                </w:p>
              </w:tc>
              <w:tc>
                <w:tcPr>
                  <w:tcW w:w="1144" w:type="dxa"/>
                  <w:vMerge w:val="continue"/>
                  <w:vAlign w:val="center"/>
                </w:tcPr>
                <w:p w14:paraId="136749A8">
                  <w:pPr>
                    <w:jc w:val="center"/>
                    <w:rPr>
                      <w:sz w:val="18"/>
                      <w:szCs w:val="18"/>
                    </w:rPr>
                  </w:pPr>
                </w:p>
              </w:tc>
              <w:tc>
                <w:tcPr>
                  <w:tcW w:w="1144" w:type="dxa"/>
                  <w:vMerge w:val="continue"/>
                  <w:vAlign w:val="center"/>
                </w:tcPr>
                <w:p w14:paraId="25C890AB">
                  <w:pPr>
                    <w:jc w:val="center"/>
                    <w:rPr>
                      <w:sz w:val="18"/>
                      <w:szCs w:val="18"/>
                    </w:rPr>
                  </w:pPr>
                </w:p>
              </w:tc>
              <w:tc>
                <w:tcPr>
                  <w:tcW w:w="1156" w:type="dxa"/>
                  <w:vMerge w:val="continue"/>
                  <w:vAlign w:val="center"/>
                </w:tcPr>
                <w:p w14:paraId="53A3AF67">
                  <w:pPr>
                    <w:jc w:val="center"/>
                    <w:rPr>
                      <w:sz w:val="18"/>
                      <w:szCs w:val="18"/>
                    </w:rPr>
                  </w:pPr>
                </w:p>
              </w:tc>
              <w:tc>
                <w:tcPr>
                  <w:tcW w:w="714" w:type="dxa"/>
                  <w:vMerge w:val="continue"/>
                  <w:vAlign w:val="center"/>
                </w:tcPr>
                <w:p w14:paraId="498CDF2E">
                  <w:pPr>
                    <w:jc w:val="center"/>
                    <w:rPr>
                      <w:sz w:val="18"/>
                      <w:szCs w:val="18"/>
                    </w:rPr>
                  </w:pPr>
                </w:p>
              </w:tc>
            </w:tr>
            <w:tr w14:paraId="5C5B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0002586F">
                  <w:pPr>
                    <w:jc w:val="center"/>
                    <w:rPr>
                      <w:sz w:val="18"/>
                      <w:szCs w:val="18"/>
                    </w:rPr>
                  </w:pPr>
                </w:p>
              </w:tc>
              <w:tc>
                <w:tcPr>
                  <w:tcW w:w="1122" w:type="dxa"/>
                  <w:vAlign w:val="center"/>
                </w:tcPr>
                <w:p w14:paraId="750750CB">
                  <w:pPr>
                    <w:jc w:val="center"/>
                    <w:rPr>
                      <w:sz w:val="18"/>
                      <w:szCs w:val="18"/>
                    </w:rPr>
                  </w:pPr>
                  <w:r>
                    <w:rPr>
                      <w:sz w:val="18"/>
                      <w:szCs w:val="18"/>
                    </w:rPr>
                    <w:t>浆液循环泵</w:t>
                  </w:r>
                </w:p>
              </w:tc>
              <w:tc>
                <w:tcPr>
                  <w:tcW w:w="714" w:type="dxa"/>
                  <w:vAlign w:val="center"/>
                </w:tcPr>
                <w:p w14:paraId="34B37DF9">
                  <w:pPr>
                    <w:jc w:val="center"/>
                    <w:rPr>
                      <w:sz w:val="18"/>
                      <w:szCs w:val="18"/>
                    </w:rPr>
                  </w:pPr>
                  <w:r>
                    <w:rPr>
                      <w:sz w:val="18"/>
                      <w:szCs w:val="18"/>
                    </w:rPr>
                    <w:t>70</w:t>
                  </w:r>
                </w:p>
              </w:tc>
              <w:tc>
                <w:tcPr>
                  <w:tcW w:w="1144" w:type="dxa"/>
                  <w:vAlign w:val="center"/>
                </w:tcPr>
                <w:p w14:paraId="64F49564">
                  <w:pPr>
                    <w:jc w:val="center"/>
                    <w:rPr>
                      <w:sz w:val="18"/>
                      <w:szCs w:val="18"/>
                    </w:rPr>
                  </w:pPr>
                  <w:r>
                    <w:rPr>
                      <w:sz w:val="18"/>
                      <w:szCs w:val="18"/>
                    </w:rPr>
                    <w:t>189</w:t>
                  </w:r>
                </w:p>
              </w:tc>
              <w:tc>
                <w:tcPr>
                  <w:tcW w:w="715" w:type="dxa"/>
                  <w:vMerge w:val="continue"/>
                  <w:vAlign w:val="center"/>
                </w:tcPr>
                <w:p w14:paraId="161418AA">
                  <w:pPr>
                    <w:jc w:val="center"/>
                    <w:rPr>
                      <w:sz w:val="18"/>
                      <w:szCs w:val="18"/>
                    </w:rPr>
                  </w:pPr>
                </w:p>
              </w:tc>
              <w:tc>
                <w:tcPr>
                  <w:tcW w:w="1144" w:type="dxa"/>
                  <w:vMerge w:val="continue"/>
                  <w:vAlign w:val="center"/>
                </w:tcPr>
                <w:p w14:paraId="0B9018DC">
                  <w:pPr>
                    <w:jc w:val="center"/>
                    <w:rPr>
                      <w:sz w:val="18"/>
                      <w:szCs w:val="18"/>
                    </w:rPr>
                  </w:pPr>
                </w:p>
              </w:tc>
              <w:tc>
                <w:tcPr>
                  <w:tcW w:w="1144" w:type="dxa"/>
                  <w:vMerge w:val="continue"/>
                  <w:vAlign w:val="center"/>
                </w:tcPr>
                <w:p w14:paraId="554D74B3">
                  <w:pPr>
                    <w:jc w:val="center"/>
                    <w:rPr>
                      <w:sz w:val="18"/>
                      <w:szCs w:val="18"/>
                    </w:rPr>
                  </w:pPr>
                </w:p>
              </w:tc>
              <w:tc>
                <w:tcPr>
                  <w:tcW w:w="1156" w:type="dxa"/>
                  <w:vMerge w:val="continue"/>
                  <w:vAlign w:val="center"/>
                </w:tcPr>
                <w:p w14:paraId="1C02E47D">
                  <w:pPr>
                    <w:jc w:val="center"/>
                    <w:rPr>
                      <w:sz w:val="18"/>
                      <w:szCs w:val="18"/>
                    </w:rPr>
                  </w:pPr>
                </w:p>
              </w:tc>
              <w:tc>
                <w:tcPr>
                  <w:tcW w:w="714" w:type="dxa"/>
                  <w:vMerge w:val="continue"/>
                  <w:vAlign w:val="center"/>
                </w:tcPr>
                <w:p w14:paraId="360441C3">
                  <w:pPr>
                    <w:jc w:val="center"/>
                    <w:rPr>
                      <w:sz w:val="18"/>
                      <w:szCs w:val="18"/>
                    </w:rPr>
                  </w:pPr>
                </w:p>
              </w:tc>
            </w:tr>
            <w:tr w14:paraId="1109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44CB73BF">
                  <w:pPr>
                    <w:jc w:val="center"/>
                    <w:rPr>
                      <w:sz w:val="18"/>
                      <w:szCs w:val="18"/>
                    </w:rPr>
                  </w:pPr>
                </w:p>
              </w:tc>
              <w:tc>
                <w:tcPr>
                  <w:tcW w:w="1122" w:type="dxa"/>
                  <w:vAlign w:val="center"/>
                </w:tcPr>
                <w:p w14:paraId="4C242EFE">
                  <w:pPr>
                    <w:jc w:val="center"/>
                    <w:rPr>
                      <w:sz w:val="18"/>
                      <w:szCs w:val="18"/>
                    </w:rPr>
                  </w:pPr>
                  <w:r>
                    <w:rPr>
                      <w:sz w:val="18"/>
                      <w:szCs w:val="18"/>
                    </w:rPr>
                    <w:t>石膏泵</w:t>
                  </w:r>
                </w:p>
              </w:tc>
              <w:tc>
                <w:tcPr>
                  <w:tcW w:w="714" w:type="dxa"/>
                  <w:vAlign w:val="center"/>
                </w:tcPr>
                <w:p w14:paraId="232BA07D">
                  <w:pPr>
                    <w:jc w:val="center"/>
                    <w:rPr>
                      <w:sz w:val="18"/>
                      <w:szCs w:val="18"/>
                    </w:rPr>
                  </w:pPr>
                  <w:r>
                    <w:rPr>
                      <w:sz w:val="18"/>
                      <w:szCs w:val="18"/>
                    </w:rPr>
                    <w:t>70</w:t>
                  </w:r>
                </w:p>
              </w:tc>
              <w:tc>
                <w:tcPr>
                  <w:tcW w:w="1144" w:type="dxa"/>
                  <w:vAlign w:val="center"/>
                </w:tcPr>
                <w:p w14:paraId="5BB8A98F">
                  <w:pPr>
                    <w:jc w:val="center"/>
                    <w:rPr>
                      <w:sz w:val="18"/>
                      <w:szCs w:val="18"/>
                    </w:rPr>
                  </w:pPr>
                  <w:r>
                    <w:rPr>
                      <w:sz w:val="18"/>
                      <w:szCs w:val="18"/>
                    </w:rPr>
                    <w:t>175</w:t>
                  </w:r>
                </w:p>
              </w:tc>
              <w:tc>
                <w:tcPr>
                  <w:tcW w:w="715" w:type="dxa"/>
                  <w:vMerge w:val="continue"/>
                  <w:vAlign w:val="center"/>
                </w:tcPr>
                <w:p w14:paraId="564DBE18">
                  <w:pPr>
                    <w:jc w:val="center"/>
                    <w:rPr>
                      <w:sz w:val="18"/>
                      <w:szCs w:val="18"/>
                    </w:rPr>
                  </w:pPr>
                </w:p>
              </w:tc>
              <w:tc>
                <w:tcPr>
                  <w:tcW w:w="1144" w:type="dxa"/>
                  <w:vMerge w:val="continue"/>
                  <w:vAlign w:val="center"/>
                </w:tcPr>
                <w:p w14:paraId="1ECADEEC">
                  <w:pPr>
                    <w:jc w:val="center"/>
                    <w:rPr>
                      <w:sz w:val="18"/>
                      <w:szCs w:val="18"/>
                    </w:rPr>
                  </w:pPr>
                </w:p>
              </w:tc>
              <w:tc>
                <w:tcPr>
                  <w:tcW w:w="1144" w:type="dxa"/>
                  <w:vMerge w:val="continue"/>
                  <w:vAlign w:val="center"/>
                </w:tcPr>
                <w:p w14:paraId="1498B806">
                  <w:pPr>
                    <w:jc w:val="center"/>
                    <w:rPr>
                      <w:sz w:val="18"/>
                      <w:szCs w:val="18"/>
                    </w:rPr>
                  </w:pPr>
                </w:p>
              </w:tc>
              <w:tc>
                <w:tcPr>
                  <w:tcW w:w="1156" w:type="dxa"/>
                  <w:vMerge w:val="continue"/>
                  <w:vAlign w:val="center"/>
                </w:tcPr>
                <w:p w14:paraId="7F82952D">
                  <w:pPr>
                    <w:jc w:val="center"/>
                    <w:rPr>
                      <w:sz w:val="18"/>
                      <w:szCs w:val="18"/>
                    </w:rPr>
                  </w:pPr>
                </w:p>
              </w:tc>
              <w:tc>
                <w:tcPr>
                  <w:tcW w:w="714" w:type="dxa"/>
                  <w:vMerge w:val="continue"/>
                  <w:vAlign w:val="center"/>
                </w:tcPr>
                <w:p w14:paraId="4FA1E638">
                  <w:pPr>
                    <w:jc w:val="center"/>
                    <w:rPr>
                      <w:sz w:val="18"/>
                      <w:szCs w:val="18"/>
                    </w:rPr>
                  </w:pPr>
                </w:p>
              </w:tc>
            </w:tr>
            <w:tr w14:paraId="0C8E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3FA5FBDA">
                  <w:pPr>
                    <w:jc w:val="center"/>
                    <w:rPr>
                      <w:sz w:val="18"/>
                      <w:szCs w:val="18"/>
                    </w:rPr>
                  </w:pPr>
                </w:p>
              </w:tc>
              <w:tc>
                <w:tcPr>
                  <w:tcW w:w="1122" w:type="dxa"/>
                  <w:vAlign w:val="center"/>
                </w:tcPr>
                <w:p w14:paraId="5DBBA366">
                  <w:pPr>
                    <w:jc w:val="center"/>
                    <w:rPr>
                      <w:sz w:val="18"/>
                      <w:szCs w:val="18"/>
                    </w:rPr>
                  </w:pPr>
                  <w:r>
                    <w:rPr>
                      <w:sz w:val="18"/>
                      <w:szCs w:val="18"/>
                    </w:rPr>
                    <w:t>污水泵</w:t>
                  </w:r>
                </w:p>
              </w:tc>
              <w:tc>
                <w:tcPr>
                  <w:tcW w:w="714" w:type="dxa"/>
                  <w:vAlign w:val="center"/>
                </w:tcPr>
                <w:p w14:paraId="02786BA8">
                  <w:pPr>
                    <w:jc w:val="center"/>
                    <w:rPr>
                      <w:sz w:val="18"/>
                      <w:szCs w:val="18"/>
                    </w:rPr>
                  </w:pPr>
                  <w:r>
                    <w:rPr>
                      <w:sz w:val="18"/>
                      <w:szCs w:val="18"/>
                    </w:rPr>
                    <w:t>65</w:t>
                  </w:r>
                </w:p>
              </w:tc>
              <w:tc>
                <w:tcPr>
                  <w:tcW w:w="1144" w:type="dxa"/>
                  <w:vAlign w:val="center"/>
                </w:tcPr>
                <w:p w14:paraId="60C6B936">
                  <w:pPr>
                    <w:jc w:val="center"/>
                    <w:rPr>
                      <w:sz w:val="18"/>
                      <w:szCs w:val="18"/>
                    </w:rPr>
                  </w:pPr>
                  <w:r>
                    <w:rPr>
                      <w:sz w:val="18"/>
                      <w:szCs w:val="18"/>
                    </w:rPr>
                    <w:t>176</w:t>
                  </w:r>
                </w:p>
              </w:tc>
              <w:tc>
                <w:tcPr>
                  <w:tcW w:w="715" w:type="dxa"/>
                  <w:vMerge w:val="continue"/>
                  <w:vAlign w:val="center"/>
                </w:tcPr>
                <w:p w14:paraId="42BC3AC4">
                  <w:pPr>
                    <w:jc w:val="center"/>
                    <w:rPr>
                      <w:sz w:val="18"/>
                      <w:szCs w:val="18"/>
                    </w:rPr>
                  </w:pPr>
                </w:p>
              </w:tc>
              <w:tc>
                <w:tcPr>
                  <w:tcW w:w="1144" w:type="dxa"/>
                  <w:vMerge w:val="continue"/>
                  <w:vAlign w:val="center"/>
                </w:tcPr>
                <w:p w14:paraId="32EEE7E9">
                  <w:pPr>
                    <w:jc w:val="center"/>
                    <w:rPr>
                      <w:sz w:val="18"/>
                      <w:szCs w:val="18"/>
                    </w:rPr>
                  </w:pPr>
                </w:p>
              </w:tc>
              <w:tc>
                <w:tcPr>
                  <w:tcW w:w="1144" w:type="dxa"/>
                  <w:vMerge w:val="continue"/>
                  <w:vAlign w:val="center"/>
                </w:tcPr>
                <w:p w14:paraId="2A9AE887">
                  <w:pPr>
                    <w:jc w:val="center"/>
                    <w:rPr>
                      <w:sz w:val="18"/>
                      <w:szCs w:val="18"/>
                    </w:rPr>
                  </w:pPr>
                </w:p>
              </w:tc>
              <w:tc>
                <w:tcPr>
                  <w:tcW w:w="1156" w:type="dxa"/>
                  <w:vMerge w:val="continue"/>
                  <w:vAlign w:val="center"/>
                </w:tcPr>
                <w:p w14:paraId="4A273C22">
                  <w:pPr>
                    <w:jc w:val="center"/>
                    <w:rPr>
                      <w:sz w:val="18"/>
                      <w:szCs w:val="18"/>
                    </w:rPr>
                  </w:pPr>
                </w:p>
              </w:tc>
              <w:tc>
                <w:tcPr>
                  <w:tcW w:w="714" w:type="dxa"/>
                  <w:vMerge w:val="continue"/>
                  <w:vAlign w:val="center"/>
                </w:tcPr>
                <w:p w14:paraId="5E3AB067">
                  <w:pPr>
                    <w:jc w:val="center"/>
                    <w:rPr>
                      <w:sz w:val="18"/>
                      <w:szCs w:val="18"/>
                    </w:rPr>
                  </w:pPr>
                </w:p>
              </w:tc>
            </w:tr>
            <w:tr w14:paraId="059A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4950F277">
                  <w:pPr>
                    <w:jc w:val="center"/>
                    <w:rPr>
                      <w:sz w:val="18"/>
                      <w:szCs w:val="18"/>
                    </w:rPr>
                  </w:pPr>
                </w:p>
              </w:tc>
              <w:tc>
                <w:tcPr>
                  <w:tcW w:w="1122" w:type="dxa"/>
                  <w:vAlign w:val="center"/>
                </w:tcPr>
                <w:p w14:paraId="41729540">
                  <w:pPr>
                    <w:jc w:val="center"/>
                    <w:rPr>
                      <w:sz w:val="18"/>
                      <w:szCs w:val="18"/>
                    </w:rPr>
                  </w:pPr>
                  <w:r>
                    <w:rPr>
                      <w:sz w:val="18"/>
                      <w:szCs w:val="18"/>
                    </w:rPr>
                    <w:t>污泥泵</w:t>
                  </w:r>
                </w:p>
              </w:tc>
              <w:tc>
                <w:tcPr>
                  <w:tcW w:w="714" w:type="dxa"/>
                  <w:vAlign w:val="center"/>
                </w:tcPr>
                <w:p w14:paraId="63D47FCE">
                  <w:pPr>
                    <w:jc w:val="center"/>
                    <w:rPr>
                      <w:sz w:val="18"/>
                      <w:szCs w:val="18"/>
                    </w:rPr>
                  </w:pPr>
                  <w:r>
                    <w:rPr>
                      <w:sz w:val="18"/>
                      <w:szCs w:val="18"/>
                    </w:rPr>
                    <w:t>65</w:t>
                  </w:r>
                </w:p>
              </w:tc>
              <w:tc>
                <w:tcPr>
                  <w:tcW w:w="1144" w:type="dxa"/>
                  <w:vAlign w:val="center"/>
                </w:tcPr>
                <w:p w14:paraId="6A37ED95">
                  <w:pPr>
                    <w:jc w:val="center"/>
                    <w:rPr>
                      <w:sz w:val="18"/>
                      <w:szCs w:val="18"/>
                    </w:rPr>
                  </w:pPr>
                  <w:r>
                    <w:rPr>
                      <w:sz w:val="18"/>
                      <w:szCs w:val="18"/>
                    </w:rPr>
                    <w:t>178</w:t>
                  </w:r>
                </w:p>
              </w:tc>
              <w:tc>
                <w:tcPr>
                  <w:tcW w:w="715" w:type="dxa"/>
                  <w:vMerge w:val="continue"/>
                  <w:vAlign w:val="center"/>
                </w:tcPr>
                <w:p w14:paraId="7EA24E9B">
                  <w:pPr>
                    <w:jc w:val="center"/>
                    <w:rPr>
                      <w:sz w:val="18"/>
                      <w:szCs w:val="18"/>
                    </w:rPr>
                  </w:pPr>
                </w:p>
              </w:tc>
              <w:tc>
                <w:tcPr>
                  <w:tcW w:w="1144" w:type="dxa"/>
                  <w:vMerge w:val="continue"/>
                  <w:vAlign w:val="center"/>
                </w:tcPr>
                <w:p w14:paraId="49AA39FA">
                  <w:pPr>
                    <w:jc w:val="center"/>
                    <w:rPr>
                      <w:sz w:val="18"/>
                      <w:szCs w:val="18"/>
                    </w:rPr>
                  </w:pPr>
                </w:p>
              </w:tc>
              <w:tc>
                <w:tcPr>
                  <w:tcW w:w="1144" w:type="dxa"/>
                  <w:vMerge w:val="continue"/>
                  <w:vAlign w:val="center"/>
                </w:tcPr>
                <w:p w14:paraId="46BFEB09">
                  <w:pPr>
                    <w:jc w:val="center"/>
                    <w:rPr>
                      <w:sz w:val="18"/>
                      <w:szCs w:val="18"/>
                    </w:rPr>
                  </w:pPr>
                </w:p>
              </w:tc>
              <w:tc>
                <w:tcPr>
                  <w:tcW w:w="1156" w:type="dxa"/>
                  <w:vMerge w:val="continue"/>
                  <w:vAlign w:val="center"/>
                </w:tcPr>
                <w:p w14:paraId="33AE9C93">
                  <w:pPr>
                    <w:jc w:val="center"/>
                    <w:rPr>
                      <w:sz w:val="18"/>
                      <w:szCs w:val="18"/>
                    </w:rPr>
                  </w:pPr>
                </w:p>
              </w:tc>
              <w:tc>
                <w:tcPr>
                  <w:tcW w:w="714" w:type="dxa"/>
                  <w:vMerge w:val="continue"/>
                  <w:vAlign w:val="center"/>
                </w:tcPr>
                <w:p w14:paraId="4CB98E71">
                  <w:pPr>
                    <w:jc w:val="center"/>
                    <w:rPr>
                      <w:sz w:val="18"/>
                      <w:szCs w:val="18"/>
                    </w:rPr>
                  </w:pPr>
                </w:p>
              </w:tc>
            </w:tr>
            <w:tr w14:paraId="13DE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restart"/>
                  <w:vAlign w:val="center"/>
                </w:tcPr>
                <w:p w14:paraId="2863A24F">
                  <w:pPr>
                    <w:jc w:val="center"/>
                    <w:rPr>
                      <w:sz w:val="18"/>
                      <w:szCs w:val="18"/>
                    </w:rPr>
                  </w:pPr>
                  <w:r>
                    <w:rPr>
                      <w:sz w:val="18"/>
                      <w:szCs w:val="18"/>
                    </w:rPr>
                    <w:t>北厂界</w:t>
                  </w:r>
                </w:p>
              </w:tc>
              <w:tc>
                <w:tcPr>
                  <w:tcW w:w="1122" w:type="dxa"/>
                  <w:vAlign w:val="center"/>
                </w:tcPr>
                <w:p w14:paraId="11566993">
                  <w:pPr>
                    <w:jc w:val="center"/>
                    <w:rPr>
                      <w:sz w:val="18"/>
                      <w:szCs w:val="18"/>
                    </w:rPr>
                  </w:pPr>
                  <w:r>
                    <w:rPr>
                      <w:sz w:val="18"/>
                      <w:szCs w:val="18"/>
                    </w:rPr>
                    <w:t>混料车间</w:t>
                  </w:r>
                </w:p>
              </w:tc>
              <w:tc>
                <w:tcPr>
                  <w:tcW w:w="714" w:type="dxa"/>
                  <w:vAlign w:val="center"/>
                </w:tcPr>
                <w:p w14:paraId="3B1CDAB5">
                  <w:pPr>
                    <w:jc w:val="center"/>
                    <w:rPr>
                      <w:sz w:val="18"/>
                      <w:szCs w:val="18"/>
                    </w:rPr>
                  </w:pPr>
                  <w:r>
                    <w:rPr>
                      <w:sz w:val="18"/>
                      <w:szCs w:val="18"/>
                    </w:rPr>
                    <w:t>50.2</w:t>
                  </w:r>
                </w:p>
              </w:tc>
              <w:tc>
                <w:tcPr>
                  <w:tcW w:w="1144" w:type="dxa"/>
                  <w:vAlign w:val="center"/>
                </w:tcPr>
                <w:p w14:paraId="5CFF3555">
                  <w:pPr>
                    <w:jc w:val="center"/>
                    <w:rPr>
                      <w:sz w:val="18"/>
                      <w:szCs w:val="18"/>
                    </w:rPr>
                  </w:pPr>
                  <w:r>
                    <w:rPr>
                      <w:sz w:val="18"/>
                      <w:szCs w:val="18"/>
                    </w:rPr>
                    <w:t>5</w:t>
                  </w:r>
                </w:p>
              </w:tc>
              <w:tc>
                <w:tcPr>
                  <w:tcW w:w="715" w:type="dxa"/>
                  <w:vMerge w:val="restart"/>
                  <w:vAlign w:val="center"/>
                </w:tcPr>
                <w:p w14:paraId="45ADE714">
                  <w:pPr>
                    <w:jc w:val="center"/>
                    <w:rPr>
                      <w:sz w:val="18"/>
                      <w:szCs w:val="18"/>
                    </w:rPr>
                  </w:pPr>
                  <w:r>
                    <w:rPr>
                      <w:sz w:val="18"/>
                      <w:szCs w:val="18"/>
                    </w:rPr>
                    <w:t>46.3</w:t>
                  </w:r>
                </w:p>
              </w:tc>
              <w:tc>
                <w:tcPr>
                  <w:tcW w:w="1144" w:type="dxa"/>
                  <w:vMerge w:val="restart"/>
                  <w:vAlign w:val="center"/>
                </w:tcPr>
                <w:p w14:paraId="2C5FF511">
                  <w:pPr>
                    <w:jc w:val="center"/>
                    <w:rPr>
                      <w:sz w:val="18"/>
                      <w:szCs w:val="18"/>
                    </w:rPr>
                  </w:pPr>
                  <w:r>
                    <w:rPr>
                      <w:sz w:val="18"/>
                      <w:szCs w:val="18"/>
                    </w:rPr>
                    <w:t>57/47</w:t>
                  </w:r>
                </w:p>
              </w:tc>
              <w:tc>
                <w:tcPr>
                  <w:tcW w:w="1144" w:type="dxa"/>
                  <w:vMerge w:val="restart"/>
                  <w:vAlign w:val="center"/>
                </w:tcPr>
                <w:p w14:paraId="086C1346">
                  <w:pPr>
                    <w:jc w:val="center"/>
                    <w:rPr>
                      <w:sz w:val="18"/>
                      <w:szCs w:val="18"/>
                    </w:rPr>
                  </w:pPr>
                  <w:r>
                    <w:rPr>
                      <w:sz w:val="18"/>
                      <w:szCs w:val="18"/>
                    </w:rPr>
                    <w:t>57.3/49.7</w:t>
                  </w:r>
                </w:p>
              </w:tc>
              <w:tc>
                <w:tcPr>
                  <w:tcW w:w="1156" w:type="dxa"/>
                  <w:vMerge w:val="restart"/>
                  <w:vAlign w:val="center"/>
                </w:tcPr>
                <w:p w14:paraId="3B86C501">
                  <w:pPr>
                    <w:jc w:val="center"/>
                    <w:rPr>
                      <w:sz w:val="18"/>
                      <w:szCs w:val="18"/>
                    </w:rPr>
                  </w:pPr>
                  <w:r>
                    <w:rPr>
                      <w:sz w:val="18"/>
                      <w:szCs w:val="18"/>
                    </w:rPr>
                    <w:t>60/50</w:t>
                  </w:r>
                </w:p>
              </w:tc>
              <w:tc>
                <w:tcPr>
                  <w:tcW w:w="714" w:type="dxa"/>
                  <w:vMerge w:val="restart"/>
                  <w:vAlign w:val="center"/>
                </w:tcPr>
                <w:p w14:paraId="3C408FEE">
                  <w:pPr>
                    <w:jc w:val="center"/>
                    <w:rPr>
                      <w:sz w:val="18"/>
                      <w:szCs w:val="18"/>
                    </w:rPr>
                  </w:pPr>
                  <w:r>
                    <w:rPr>
                      <w:sz w:val="18"/>
                      <w:szCs w:val="18"/>
                    </w:rPr>
                    <w:t>达标</w:t>
                  </w:r>
                </w:p>
              </w:tc>
            </w:tr>
            <w:tr w14:paraId="49CB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56D8EA8F">
                  <w:pPr>
                    <w:jc w:val="center"/>
                    <w:rPr>
                      <w:sz w:val="18"/>
                      <w:szCs w:val="18"/>
                    </w:rPr>
                  </w:pPr>
                </w:p>
              </w:tc>
              <w:tc>
                <w:tcPr>
                  <w:tcW w:w="1122" w:type="dxa"/>
                  <w:vAlign w:val="center"/>
                </w:tcPr>
                <w:p w14:paraId="5AAB5E2B">
                  <w:pPr>
                    <w:jc w:val="center"/>
                    <w:rPr>
                      <w:sz w:val="18"/>
                      <w:szCs w:val="18"/>
                    </w:rPr>
                  </w:pPr>
                  <w:r>
                    <w:rPr>
                      <w:sz w:val="18"/>
                      <w:szCs w:val="18"/>
                    </w:rPr>
                    <w:t>窑炉烟气引风机</w:t>
                  </w:r>
                </w:p>
              </w:tc>
              <w:tc>
                <w:tcPr>
                  <w:tcW w:w="714" w:type="dxa"/>
                  <w:vAlign w:val="center"/>
                </w:tcPr>
                <w:p w14:paraId="7B4878E0">
                  <w:pPr>
                    <w:jc w:val="center"/>
                    <w:rPr>
                      <w:sz w:val="18"/>
                      <w:szCs w:val="18"/>
                    </w:rPr>
                  </w:pPr>
                  <w:r>
                    <w:rPr>
                      <w:sz w:val="18"/>
                      <w:szCs w:val="18"/>
                    </w:rPr>
                    <w:t>70</w:t>
                  </w:r>
                </w:p>
              </w:tc>
              <w:tc>
                <w:tcPr>
                  <w:tcW w:w="1144" w:type="dxa"/>
                  <w:vAlign w:val="center"/>
                </w:tcPr>
                <w:p w14:paraId="265220BD">
                  <w:pPr>
                    <w:jc w:val="center"/>
                    <w:rPr>
                      <w:sz w:val="18"/>
                      <w:szCs w:val="18"/>
                    </w:rPr>
                  </w:pPr>
                  <w:r>
                    <w:rPr>
                      <w:sz w:val="18"/>
                      <w:szCs w:val="18"/>
                    </w:rPr>
                    <w:t>39</w:t>
                  </w:r>
                </w:p>
              </w:tc>
              <w:tc>
                <w:tcPr>
                  <w:tcW w:w="715" w:type="dxa"/>
                  <w:vMerge w:val="continue"/>
                  <w:vAlign w:val="center"/>
                </w:tcPr>
                <w:p w14:paraId="37BEB3C6">
                  <w:pPr>
                    <w:jc w:val="center"/>
                    <w:rPr>
                      <w:sz w:val="18"/>
                      <w:szCs w:val="18"/>
                    </w:rPr>
                  </w:pPr>
                </w:p>
              </w:tc>
              <w:tc>
                <w:tcPr>
                  <w:tcW w:w="1144" w:type="dxa"/>
                  <w:vMerge w:val="continue"/>
                  <w:vAlign w:val="center"/>
                </w:tcPr>
                <w:p w14:paraId="2ECBE6A0">
                  <w:pPr>
                    <w:jc w:val="center"/>
                    <w:rPr>
                      <w:sz w:val="18"/>
                      <w:szCs w:val="18"/>
                    </w:rPr>
                  </w:pPr>
                </w:p>
              </w:tc>
              <w:tc>
                <w:tcPr>
                  <w:tcW w:w="1144" w:type="dxa"/>
                  <w:vMerge w:val="continue"/>
                  <w:vAlign w:val="center"/>
                </w:tcPr>
                <w:p w14:paraId="7A0AD504">
                  <w:pPr>
                    <w:jc w:val="center"/>
                    <w:rPr>
                      <w:sz w:val="18"/>
                      <w:szCs w:val="18"/>
                    </w:rPr>
                  </w:pPr>
                </w:p>
              </w:tc>
              <w:tc>
                <w:tcPr>
                  <w:tcW w:w="1156" w:type="dxa"/>
                  <w:vMerge w:val="continue"/>
                  <w:vAlign w:val="center"/>
                </w:tcPr>
                <w:p w14:paraId="2A0386DA">
                  <w:pPr>
                    <w:jc w:val="center"/>
                    <w:rPr>
                      <w:sz w:val="18"/>
                      <w:szCs w:val="18"/>
                    </w:rPr>
                  </w:pPr>
                </w:p>
              </w:tc>
              <w:tc>
                <w:tcPr>
                  <w:tcW w:w="714" w:type="dxa"/>
                  <w:vMerge w:val="continue"/>
                  <w:vAlign w:val="center"/>
                </w:tcPr>
                <w:p w14:paraId="64591D74">
                  <w:pPr>
                    <w:jc w:val="center"/>
                    <w:rPr>
                      <w:sz w:val="18"/>
                      <w:szCs w:val="18"/>
                    </w:rPr>
                  </w:pPr>
                </w:p>
              </w:tc>
            </w:tr>
            <w:tr w14:paraId="45D6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2C0B236E">
                  <w:pPr>
                    <w:jc w:val="center"/>
                    <w:rPr>
                      <w:sz w:val="18"/>
                      <w:szCs w:val="18"/>
                    </w:rPr>
                  </w:pPr>
                </w:p>
              </w:tc>
              <w:tc>
                <w:tcPr>
                  <w:tcW w:w="1122" w:type="dxa"/>
                  <w:vAlign w:val="center"/>
                </w:tcPr>
                <w:p w14:paraId="425B0861">
                  <w:pPr>
                    <w:jc w:val="center"/>
                    <w:rPr>
                      <w:sz w:val="18"/>
                      <w:szCs w:val="18"/>
                    </w:rPr>
                  </w:pPr>
                  <w:r>
                    <w:rPr>
                      <w:sz w:val="18"/>
                      <w:szCs w:val="18"/>
                    </w:rPr>
                    <w:t>脱硫塔氧化风机</w:t>
                  </w:r>
                </w:p>
              </w:tc>
              <w:tc>
                <w:tcPr>
                  <w:tcW w:w="714" w:type="dxa"/>
                  <w:vAlign w:val="center"/>
                </w:tcPr>
                <w:p w14:paraId="395D4DC7">
                  <w:pPr>
                    <w:jc w:val="center"/>
                    <w:rPr>
                      <w:sz w:val="18"/>
                      <w:szCs w:val="18"/>
                    </w:rPr>
                  </w:pPr>
                  <w:r>
                    <w:rPr>
                      <w:sz w:val="18"/>
                      <w:szCs w:val="18"/>
                    </w:rPr>
                    <w:t>65</w:t>
                  </w:r>
                </w:p>
              </w:tc>
              <w:tc>
                <w:tcPr>
                  <w:tcW w:w="1144" w:type="dxa"/>
                  <w:vAlign w:val="center"/>
                </w:tcPr>
                <w:p w14:paraId="4B7D8B48">
                  <w:pPr>
                    <w:jc w:val="center"/>
                    <w:rPr>
                      <w:sz w:val="18"/>
                      <w:szCs w:val="18"/>
                    </w:rPr>
                  </w:pPr>
                  <w:r>
                    <w:rPr>
                      <w:sz w:val="18"/>
                      <w:szCs w:val="18"/>
                    </w:rPr>
                    <w:t>27</w:t>
                  </w:r>
                </w:p>
              </w:tc>
              <w:tc>
                <w:tcPr>
                  <w:tcW w:w="715" w:type="dxa"/>
                  <w:vMerge w:val="continue"/>
                  <w:vAlign w:val="center"/>
                </w:tcPr>
                <w:p w14:paraId="2A5527A4">
                  <w:pPr>
                    <w:jc w:val="center"/>
                    <w:rPr>
                      <w:sz w:val="18"/>
                      <w:szCs w:val="18"/>
                    </w:rPr>
                  </w:pPr>
                </w:p>
              </w:tc>
              <w:tc>
                <w:tcPr>
                  <w:tcW w:w="1144" w:type="dxa"/>
                  <w:vMerge w:val="continue"/>
                  <w:vAlign w:val="center"/>
                </w:tcPr>
                <w:p w14:paraId="4B9CC283">
                  <w:pPr>
                    <w:jc w:val="center"/>
                    <w:rPr>
                      <w:sz w:val="18"/>
                      <w:szCs w:val="18"/>
                    </w:rPr>
                  </w:pPr>
                </w:p>
              </w:tc>
              <w:tc>
                <w:tcPr>
                  <w:tcW w:w="1144" w:type="dxa"/>
                  <w:vMerge w:val="continue"/>
                  <w:vAlign w:val="center"/>
                </w:tcPr>
                <w:p w14:paraId="2F529F01">
                  <w:pPr>
                    <w:jc w:val="center"/>
                    <w:rPr>
                      <w:sz w:val="18"/>
                      <w:szCs w:val="18"/>
                    </w:rPr>
                  </w:pPr>
                </w:p>
              </w:tc>
              <w:tc>
                <w:tcPr>
                  <w:tcW w:w="1156" w:type="dxa"/>
                  <w:vMerge w:val="continue"/>
                  <w:vAlign w:val="center"/>
                </w:tcPr>
                <w:p w14:paraId="1FDE9A4B">
                  <w:pPr>
                    <w:jc w:val="center"/>
                    <w:rPr>
                      <w:sz w:val="18"/>
                      <w:szCs w:val="18"/>
                    </w:rPr>
                  </w:pPr>
                </w:p>
              </w:tc>
              <w:tc>
                <w:tcPr>
                  <w:tcW w:w="714" w:type="dxa"/>
                  <w:vMerge w:val="continue"/>
                  <w:vAlign w:val="center"/>
                </w:tcPr>
                <w:p w14:paraId="39D1EF4F">
                  <w:pPr>
                    <w:jc w:val="center"/>
                    <w:rPr>
                      <w:sz w:val="18"/>
                      <w:szCs w:val="18"/>
                    </w:rPr>
                  </w:pPr>
                </w:p>
              </w:tc>
            </w:tr>
            <w:tr w14:paraId="0A29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533EA2C2">
                  <w:pPr>
                    <w:jc w:val="center"/>
                    <w:rPr>
                      <w:sz w:val="18"/>
                      <w:szCs w:val="18"/>
                    </w:rPr>
                  </w:pPr>
                </w:p>
              </w:tc>
              <w:tc>
                <w:tcPr>
                  <w:tcW w:w="1122" w:type="dxa"/>
                  <w:vAlign w:val="center"/>
                </w:tcPr>
                <w:p w14:paraId="24F6D348">
                  <w:pPr>
                    <w:jc w:val="center"/>
                    <w:rPr>
                      <w:sz w:val="18"/>
                      <w:szCs w:val="18"/>
                    </w:rPr>
                  </w:pPr>
                  <w:r>
                    <w:rPr>
                      <w:sz w:val="18"/>
                      <w:szCs w:val="18"/>
                    </w:rPr>
                    <w:t>浆液循环泵</w:t>
                  </w:r>
                </w:p>
              </w:tc>
              <w:tc>
                <w:tcPr>
                  <w:tcW w:w="714" w:type="dxa"/>
                  <w:vAlign w:val="center"/>
                </w:tcPr>
                <w:p w14:paraId="2C142CBA">
                  <w:pPr>
                    <w:jc w:val="center"/>
                    <w:rPr>
                      <w:sz w:val="18"/>
                      <w:szCs w:val="18"/>
                    </w:rPr>
                  </w:pPr>
                  <w:r>
                    <w:rPr>
                      <w:sz w:val="18"/>
                      <w:szCs w:val="18"/>
                    </w:rPr>
                    <w:t>70</w:t>
                  </w:r>
                </w:p>
              </w:tc>
              <w:tc>
                <w:tcPr>
                  <w:tcW w:w="1144" w:type="dxa"/>
                  <w:vAlign w:val="center"/>
                </w:tcPr>
                <w:p w14:paraId="1D049E8F">
                  <w:pPr>
                    <w:jc w:val="center"/>
                    <w:rPr>
                      <w:sz w:val="18"/>
                      <w:szCs w:val="18"/>
                    </w:rPr>
                  </w:pPr>
                  <w:r>
                    <w:rPr>
                      <w:sz w:val="18"/>
                      <w:szCs w:val="18"/>
                    </w:rPr>
                    <w:t>30</w:t>
                  </w:r>
                </w:p>
              </w:tc>
              <w:tc>
                <w:tcPr>
                  <w:tcW w:w="715" w:type="dxa"/>
                  <w:vMerge w:val="continue"/>
                  <w:vAlign w:val="center"/>
                </w:tcPr>
                <w:p w14:paraId="55439643">
                  <w:pPr>
                    <w:jc w:val="center"/>
                    <w:rPr>
                      <w:sz w:val="18"/>
                      <w:szCs w:val="18"/>
                    </w:rPr>
                  </w:pPr>
                </w:p>
              </w:tc>
              <w:tc>
                <w:tcPr>
                  <w:tcW w:w="1144" w:type="dxa"/>
                  <w:vMerge w:val="continue"/>
                  <w:vAlign w:val="center"/>
                </w:tcPr>
                <w:p w14:paraId="1F2F91FF">
                  <w:pPr>
                    <w:jc w:val="center"/>
                    <w:rPr>
                      <w:sz w:val="18"/>
                      <w:szCs w:val="18"/>
                    </w:rPr>
                  </w:pPr>
                </w:p>
              </w:tc>
              <w:tc>
                <w:tcPr>
                  <w:tcW w:w="1144" w:type="dxa"/>
                  <w:vMerge w:val="continue"/>
                  <w:vAlign w:val="center"/>
                </w:tcPr>
                <w:p w14:paraId="24FB5478">
                  <w:pPr>
                    <w:jc w:val="center"/>
                    <w:rPr>
                      <w:sz w:val="18"/>
                      <w:szCs w:val="18"/>
                    </w:rPr>
                  </w:pPr>
                </w:p>
              </w:tc>
              <w:tc>
                <w:tcPr>
                  <w:tcW w:w="1156" w:type="dxa"/>
                  <w:vMerge w:val="continue"/>
                  <w:vAlign w:val="center"/>
                </w:tcPr>
                <w:p w14:paraId="1CE858AA">
                  <w:pPr>
                    <w:jc w:val="center"/>
                    <w:rPr>
                      <w:sz w:val="18"/>
                      <w:szCs w:val="18"/>
                    </w:rPr>
                  </w:pPr>
                </w:p>
              </w:tc>
              <w:tc>
                <w:tcPr>
                  <w:tcW w:w="714" w:type="dxa"/>
                  <w:vMerge w:val="continue"/>
                  <w:vAlign w:val="center"/>
                </w:tcPr>
                <w:p w14:paraId="189E40CF">
                  <w:pPr>
                    <w:jc w:val="center"/>
                    <w:rPr>
                      <w:sz w:val="18"/>
                      <w:szCs w:val="18"/>
                    </w:rPr>
                  </w:pPr>
                </w:p>
              </w:tc>
            </w:tr>
            <w:tr w14:paraId="07FC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64794CBF">
                  <w:pPr>
                    <w:jc w:val="center"/>
                    <w:rPr>
                      <w:sz w:val="18"/>
                      <w:szCs w:val="18"/>
                    </w:rPr>
                  </w:pPr>
                </w:p>
              </w:tc>
              <w:tc>
                <w:tcPr>
                  <w:tcW w:w="1122" w:type="dxa"/>
                  <w:vAlign w:val="center"/>
                </w:tcPr>
                <w:p w14:paraId="1C822064">
                  <w:pPr>
                    <w:jc w:val="center"/>
                    <w:rPr>
                      <w:sz w:val="18"/>
                      <w:szCs w:val="18"/>
                    </w:rPr>
                  </w:pPr>
                  <w:r>
                    <w:rPr>
                      <w:sz w:val="18"/>
                      <w:szCs w:val="18"/>
                    </w:rPr>
                    <w:t>石膏泵</w:t>
                  </w:r>
                </w:p>
              </w:tc>
              <w:tc>
                <w:tcPr>
                  <w:tcW w:w="714" w:type="dxa"/>
                  <w:vAlign w:val="center"/>
                </w:tcPr>
                <w:p w14:paraId="47217079">
                  <w:pPr>
                    <w:jc w:val="center"/>
                    <w:rPr>
                      <w:sz w:val="18"/>
                      <w:szCs w:val="18"/>
                    </w:rPr>
                  </w:pPr>
                  <w:r>
                    <w:rPr>
                      <w:sz w:val="18"/>
                      <w:szCs w:val="18"/>
                    </w:rPr>
                    <w:t>70</w:t>
                  </w:r>
                </w:p>
              </w:tc>
              <w:tc>
                <w:tcPr>
                  <w:tcW w:w="1144" w:type="dxa"/>
                  <w:vAlign w:val="center"/>
                </w:tcPr>
                <w:p w14:paraId="68E4AB1F">
                  <w:pPr>
                    <w:jc w:val="center"/>
                    <w:rPr>
                      <w:sz w:val="18"/>
                      <w:szCs w:val="18"/>
                    </w:rPr>
                  </w:pPr>
                  <w:r>
                    <w:rPr>
                      <w:sz w:val="18"/>
                      <w:szCs w:val="18"/>
                    </w:rPr>
                    <w:t>47</w:t>
                  </w:r>
                </w:p>
              </w:tc>
              <w:tc>
                <w:tcPr>
                  <w:tcW w:w="715" w:type="dxa"/>
                  <w:vMerge w:val="continue"/>
                  <w:vAlign w:val="center"/>
                </w:tcPr>
                <w:p w14:paraId="2785A3F2">
                  <w:pPr>
                    <w:jc w:val="center"/>
                    <w:rPr>
                      <w:sz w:val="18"/>
                      <w:szCs w:val="18"/>
                    </w:rPr>
                  </w:pPr>
                </w:p>
              </w:tc>
              <w:tc>
                <w:tcPr>
                  <w:tcW w:w="1144" w:type="dxa"/>
                  <w:vMerge w:val="continue"/>
                  <w:vAlign w:val="center"/>
                </w:tcPr>
                <w:p w14:paraId="592FD17A">
                  <w:pPr>
                    <w:jc w:val="center"/>
                    <w:rPr>
                      <w:sz w:val="18"/>
                      <w:szCs w:val="18"/>
                    </w:rPr>
                  </w:pPr>
                </w:p>
              </w:tc>
              <w:tc>
                <w:tcPr>
                  <w:tcW w:w="1144" w:type="dxa"/>
                  <w:vMerge w:val="continue"/>
                  <w:vAlign w:val="center"/>
                </w:tcPr>
                <w:p w14:paraId="49C97A32">
                  <w:pPr>
                    <w:jc w:val="center"/>
                    <w:rPr>
                      <w:sz w:val="18"/>
                      <w:szCs w:val="18"/>
                    </w:rPr>
                  </w:pPr>
                </w:p>
              </w:tc>
              <w:tc>
                <w:tcPr>
                  <w:tcW w:w="1156" w:type="dxa"/>
                  <w:vMerge w:val="continue"/>
                  <w:vAlign w:val="center"/>
                </w:tcPr>
                <w:p w14:paraId="4CEF5307">
                  <w:pPr>
                    <w:jc w:val="center"/>
                    <w:rPr>
                      <w:sz w:val="18"/>
                      <w:szCs w:val="18"/>
                    </w:rPr>
                  </w:pPr>
                </w:p>
              </w:tc>
              <w:tc>
                <w:tcPr>
                  <w:tcW w:w="714" w:type="dxa"/>
                  <w:vMerge w:val="continue"/>
                  <w:vAlign w:val="center"/>
                </w:tcPr>
                <w:p w14:paraId="145124C3">
                  <w:pPr>
                    <w:jc w:val="center"/>
                    <w:rPr>
                      <w:sz w:val="18"/>
                      <w:szCs w:val="18"/>
                    </w:rPr>
                  </w:pPr>
                </w:p>
              </w:tc>
            </w:tr>
            <w:tr w14:paraId="62D3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6C4876B4">
                  <w:pPr>
                    <w:jc w:val="center"/>
                    <w:rPr>
                      <w:sz w:val="18"/>
                      <w:szCs w:val="18"/>
                    </w:rPr>
                  </w:pPr>
                </w:p>
              </w:tc>
              <w:tc>
                <w:tcPr>
                  <w:tcW w:w="1122" w:type="dxa"/>
                  <w:vAlign w:val="center"/>
                </w:tcPr>
                <w:p w14:paraId="32FECDC7">
                  <w:pPr>
                    <w:jc w:val="center"/>
                    <w:rPr>
                      <w:sz w:val="18"/>
                      <w:szCs w:val="18"/>
                    </w:rPr>
                  </w:pPr>
                  <w:r>
                    <w:rPr>
                      <w:sz w:val="18"/>
                      <w:szCs w:val="18"/>
                    </w:rPr>
                    <w:t>污水泵</w:t>
                  </w:r>
                </w:p>
              </w:tc>
              <w:tc>
                <w:tcPr>
                  <w:tcW w:w="714" w:type="dxa"/>
                  <w:vAlign w:val="center"/>
                </w:tcPr>
                <w:p w14:paraId="742924D4">
                  <w:pPr>
                    <w:jc w:val="center"/>
                    <w:rPr>
                      <w:sz w:val="18"/>
                      <w:szCs w:val="18"/>
                    </w:rPr>
                  </w:pPr>
                  <w:r>
                    <w:rPr>
                      <w:sz w:val="18"/>
                      <w:szCs w:val="18"/>
                    </w:rPr>
                    <w:t>65</w:t>
                  </w:r>
                </w:p>
              </w:tc>
              <w:tc>
                <w:tcPr>
                  <w:tcW w:w="1144" w:type="dxa"/>
                  <w:vAlign w:val="center"/>
                </w:tcPr>
                <w:p w14:paraId="6976DB8A">
                  <w:pPr>
                    <w:jc w:val="center"/>
                    <w:rPr>
                      <w:sz w:val="18"/>
                      <w:szCs w:val="18"/>
                    </w:rPr>
                  </w:pPr>
                  <w:r>
                    <w:rPr>
                      <w:sz w:val="18"/>
                      <w:szCs w:val="18"/>
                    </w:rPr>
                    <w:t>60</w:t>
                  </w:r>
                </w:p>
              </w:tc>
              <w:tc>
                <w:tcPr>
                  <w:tcW w:w="715" w:type="dxa"/>
                  <w:vMerge w:val="continue"/>
                  <w:vAlign w:val="center"/>
                </w:tcPr>
                <w:p w14:paraId="0FD12729">
                  <w:pPr>
                    <w:jc w:val="center"/>
                    <w:rPr>
                      <w:sz w:val="18"/>
                      <w:szCs w:val="18"/>
                    </w:rPr>
                  </w:pPr>
                </w:p>
              </w:tc>
              <w:tc>
                <w:tcPr>
                  <w:tcW w:w="1144" w:type="dxa"/>
                  <w:vMerge w:val="continue"/>
                  <w:vAlign w:val="center"/>
                </w:tcPr>
                <w:p w14:paraId="5768E803">
                  <w:pPr>
                    <w:jc w:val="center"/>
                    <w:rPr>
                      <w:sz w:val="18"/>
                      <w:szCs w:val="18"/>
                    </w:rPr>
                  </w:pPr>
                </w:p>
              </w:tc>
              <w:tc>
                <w:tcPr>
                  <w:tcW w:w="1144" w:type="dxa"/>
                  <w:vMerge w:val="continue"/>
                  <w:vAlign w:val="center"/>
                </w:tcPr>
                <w:p w14:paraId="2C5907CD">
                  <w:pPr>
                    <w:jc w:val="center"/>
                    <w:rPr>
                      <w:sz w:val="18"/>
                      <w:szCs w:val="18"/>
                    </w:rPr>
                  </w:pPr>
                </w:p>
              </w:tc>
              <w:tc>
                <w:tcPr>
                  <w:tcW w:w="1156" w:type="dxa"/>
                  <w:vMerge w:val="continue"/>
                  <w:vAlign w:val="center"/>
                </w:tcPr>
                <w:p w14:paraId="65D80431">
                  <w:pPr>
                    <w:jc w:val="center"/>
                    <w:rPr>
                      <w:sz w:val="18"/>
                      <w:szCs w:val="18"/>
                    </w:rPr>
                  </w:pPr>
                </w:p>
              </w:tc>
              <w:tc>
                <w:tcPr>
                  <w:tcW w:w="714" w:type="dxa"/>
                  <w:vMerge w:val="continue"/>
                  <w:vAlign w:val="center"/>
                </w:tcPr>
                <w:p w14:paraId="2B25C3C3">
                  <w:pPr>
                    <w:jc w:val="center"/>
                    <w:rPr>
                      <w:sz w:val="18"/>
                      <w:szCs w:val="18"/>
                    </w:rPr>
                  </w:pPr>
                </w:p>
              </w:tc>
            </w:tr>
            <w:tr w14:paraId="5D7A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759BF6AF">
                  <w:pPr>
                    <w:jc w:val="center"/>
                    <w:rPr>
                      <w:sz w:val="18"/>
                      <w:szCs w:val="18"/>
                    </w:rPr>
                  </w:pPr>
                </w:p>
              </w:tc>
              <w:tc>
                <w:tcPr>
                  <w:tcW w:w="1122" w:type="dxa"/>
                  <w:vAlign w:val="center"/>
                </w:tcPr>
                <w:p w14:paraId="7B538950">
                  <w:pPr>
                    <w:jc w:val="center"/>
                    <w:rPr>
                      <w:sz w:val="18"/>
                      <w:szCs w:val="18"/>
                    </w:rPr>
                  </w:pPr>
                  <w:r>
                    <w:rPr>
                      <w:sz w:val="18"/>
                      <w:szCs w:val="18"/>
                    </w:rPr>
                    <w:t>污泥泵</w:t>
                  </w:r>
                </w:p>
              </w:tc>
              <w:tc>
                <w:tcPr>
                  <w:tcW w:w="714" w:type="dxa"/>
                  <w:vAlign w:val="center"/>
                </w:tcPr>
                <w:p w14:paraId="4EC7B813">
                  <w:pPr>
                    <w:jc w:val="center"/>
                    <w:rPr>
                      <w:sz w:val="18"/>
                      <w:szCs w:val="18"/>
                    </w:rPr>
                  </w:pPr>
                  <w:r>
                    <w:rPr>
                      <w:sz w:val="18"/>
                      <w:szCs w:val="18"/>
                    </w:rPr>
                    <w:t>65</w:t>
                  </w:r>
                </w:p>
              </w:tc>
              <w:tc>
                <w:tcPr>
                  <w:tcW w:w="1144" w:type="dxa"/>
                  <w:vAlign w:val="center"/>
                </w:tcPr>
                <w:p w14:paraId="5EED8E09">
                  <w:pPr>
                    <w:jc w:val="center"/>
                    <w:rPr>
                      <w:sz w:val="18"/>
                      <w:szCs w:val="18"/>
                    </w:rPr>
                  </w:pPr>
                  <w:r>
                    <w:rPr>
                      <w:sz w:val="18"/>
                      <w:szCs w:val="18"/>
                    </w:rPr>
                    <w:t>70</w:t>
                  </w:r>
                </w:p>
              </w:tc>
              <w:tc>
                <w:tcPr>
                  <w:tcW w:w="715" w:type="dxa"/>
                  <w:vMerge w:val="continue"/>
                  <w:vAlign w:val="center"/>
                </w:tcPr>
                <w:p w14:paraId="5A6EE701">
                  <w:pPr>
                    <w:jc w:val="center"/>
                    <w:rPr>
                      <w:sz w:val="18"/>
                      <w:szCs w:val="18"/>
                    </w:rPr>
                  </w:pPr>
                </w:p>
              </w:tc>
              <w:tc>
                <w:tcPr>
                  <w:tcW w:w="1144" w:type="dxa"/>
                  <w:vMerge w:val="continue"/>
                  <w:vAlign w:val="center"/>
                </w:tcPr>
                <w:p w14:paraId="18F851D6">
                  <w:pPr>
                    <w:jc w:val="center"/>
                    <w:rPr>
                      <w:sz w:val="18"/>
                      <w:szCs w:val="18"/>
                    </w:rPr>
                  </w:pPr>
                </w:p>
              </w:tc>
              <w:tc>
                <w:tcPr>
                  <w:tcW w:w="1144" w:type="dxa"/>
                  <w:vMerge w:val="continue"/>
                  <w:vAlign w:val="center"/>
                </w:tcPr>
                <w:p w14:paraId="35C18236">
                  <w:pPr>
                    <w:jc w:val="center"/>
                    <w:rPr>
                      <w:sz w:val="18"/>
                      <w:szCs w:val="18"/>
                    </w:rPr>
                  </w:pPr>
                </w:p>
              </w:tc>
              <w:tc>
                <w:tcPr>
                  <w:tcW w:w="1156" w:type="dxa"/>
                  <w:vMerge w:val="continue"/>
                  <w:vAlign w:val="center"/>
                </w:tcPr>
                <w:p w14:paraId="6BA0F53E">
                  <w:pPr>
                    <w:jc w:val="center"/>
                    <w:rPr>
                      <w:sz w:val="18"/>
                      <w:szCs w:val="18"/>
                    </w:rPr>
                  </w:pPr>
                </w:p>
              </w:tc>
              <w:tc>
                <w:tcPr>
                  <w:tcW w:w="714" w:type="dxa"/>
                  <w:vMerge w:val="continue"/>
                  <w:vAlign w:val="center"/>
                </w:tcPr>
                <w:p w14:paraId="18ED2A3C">
                  <w:pPr>
                    <w:jc w:val="center"/>
                    <w:rPr>
                      <w:sz w:val="18"/>
                      <w:szCs w:val="18"/>
                    </w:rPr>
                  </w:pPr>
                </w:p>
              </w:tc>
            </w:tr>
            <w:tr w14:paraId="251B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restart"/>
                  <w:vAlign w:val="center"/>
                </w:tcPr>
                <w:p w14:paraId="6E0E61E2">
                  <w:pPr>
                    <w:jc w:val="center"/>
                    <w:rPr>
                      <w:sz w:val="18"/>
                      <w:szCs w:val="18"/>
                    </w:rPr>
                  </w:pPr>
                  <w:r>
                    <w:rPr>
                      <w:sz w:val="18"/>
                      <w:szCs w:val="18"/>
                    </w:rPr>
                    <w:t>闹店人民法庭</w:t>
                  </w:r>
                </w:p>
              </w:tc>
              <w:tc>
                <w:tcPr>
                  <w:tcW w:w="1122" w:type="dxa"/>
                  <w:vAlign w:val="center"/>
                </w:tcPr>
                <w:p w14:paraId="38CE0520">
                  <w:pPr>
                    <w:jc w:val="center"/>
                    <w:rPr>
                      <w:sz w:val="18"/>
                      <w:szCs w:val="18"/>
                    </w:rPr>
                  </w:pPr>
                  <w:r>
                    <w:rPr>
                      <w:sz w:val="18"/>
                      <w:szCs w:val="18"/>
                    </w:rPr>
                    <w:t>混料车间</w:t>
                  </w:r>
                </w:p>
              </w:tc>
              <w:tc>
                <w:tcPr>
                  <w:tcW w:w="714" w:type="dxa"/>
                  <w:vAlign w:val="center"/>
                </w:tcPr>
                <w:p w14:paraId="52A7775D">
                  <w:pPr>
                    <w:widowControl/>
                    <w:jc w:val="center"/>
                    <w:rPr>
                      <w:sz w:val="18"/>
                      <w:szCs w:val="18"/>
                    </w:rPr>
                  </w:pPr>
                  <w:r>
                    <w:rPr>
                      <w:sz w:val="18"/>
                      <w:szCs w:val="18"/>
                    </w:rPr>
                    <w:t>47.1</w:t>
                  </w:r>
                </w:p>
              </w:tc>
              <w:tc>
                <w:tcPr>
                  <w:tcW w:w="1144" w:type="dxa"/>
                  <w:vAlign w:val="center"/>
                </w:tcPr>
                <w:p w14:paraId="7D9B0359">
                  <w:pPr>
                    <w:jc w:val="center"/>
                    <w:rPr>
                      <w:sz w:val="18"/>
                      <w:szCs w:val="18"/>
                    </w:rPr>
                  </w:pPr>
                  <w:r>
                    <w:rPr>
                      <w:sz w:val="18"/>
                      <w:szCs w:val="18"/>
                    </w:rPr>
                    <w:t>173</w:t>
                  </w:r>
                </w:p>
              </w:tc>
              <w:tc>
                <w:tcPr>
                  <w:tcW w:w="715" w:type="dxa"/>
                  <w:vMerge w:val="restart"/>
                  <w:vAlign w:val="center"/>
                </w:tcPr>
                <w:p w14:paraId="3EDC61FF">
                  <w:pPr>
                    <w:jc w:val="center"/>
                    <w:rPr>
                      <w:sz w:val="18"/>
                      <w:szCs w:val="18"/>
                    </w:rPr>
                  </w:pPr>
                  <w:r>
                    <w:rPr>
                      <w:sz w:val="18"/>
                      <w:szCs w:val="18"/>
                    </w:rPr>
                    <w:t>24.5</w:t>
                  </w:r>
                </w:p>
              </w:tc>
              <w:tc>
                <w:tcPr>
                  <w:tcW w:w="1144" w:type="dxa"/>
                  <w:vMerge w:val="restart"/>
                  <w:vAlign w:val="center"/>
                </w:tcPr>
                <w:p w14:paraId="27A8466F">
                  <w:pPr>
                    <w:jc w:val="center"/>
                    <w:rPr>
                      <w:sz w:val="18"/>
                      <w:szCs w:val="18"/>
                    </w:rPr>
                  </w:pPr>
                  <w:r>
                    <w:rPr>
                      <w:sz w:val="18"/>
                      <w:szCs w:val="18"/>
                    </w:rPr>
                    <w:t>54.5/43</w:t>
                  </w:r>
                </w:p>
              </w:tc>
              <w:tc>
                <w:tcPr>
                  <w:tcW w:w="1144" w:type="dxa"/>
                  <w:vMerge w:val="restart"/>
                  <w:vAlign w:val="center"/>
                </w:tcPr>
                <w:p w14:paraId="7DA2DF25">
                  <w:pPr>
                    <w:jc w:val="center"/>
                    <w:rPr>
                      <w:sz w:val="18"/>
                      <w:szCs w:val="18"/>
                    </w:rPr>
                  </w:pPr>
                  <w:r>
                    <w:rPr>
                      <w:sz w:val="18"/>
                      <w:szCs w:val="18"/>
                    </w:rPr>
                    <w:t>54.5/43</w:t>
                  </w:r>
                </w:p>
              </w:tc>
              <w:tc>
                <w:tcPr>
                  <w:tcW w:w="1156" w:type="dxa"/>
                  <w:vMerge w:val="restart"/>
                  <w:vAlign w:val="center"/>
                </w:tcPr>
                <w:p w14:paraId="6C5791F0">
                  <w:pPr>
                    <w:jc w:val="center"/>
                    <w:rPr>
                      <w:sz w:val="18"/>
                      <w:szCs w:val="18"/>
                    </w:rPr>
                  </w:pPr>
                  <w:r>
                    <w:rPr>
                      <w:sz w:val="18"/>
                      <w:szCs w:val="18"/>
                    </w:rPr>
                    <w:t>60/50</w:t>
                  </w:r>
                </w:p>
              </w:tc>
              <w:tc>
                <w:tcPr>
                  <w:tcW w:w="714" w:type="dxa"/>
                  <w:vMerge w:val="restart"/>
                  <w:vAlign w:val="center"/>
                </w:tcPr>
                <w:p w14:paraId="76869BFF">
                  <w:pPr>
                    <w:jc w:val="center"/>
                    <w:rPr>
                      <w:sz w:val="18"/>
                      <w:szCs w:val="18"/>
                    </w:rPr>
                  </w:pPr>
                  <w:r>
                    <w:rPr>
                      <w:sz w:val="18"/>
                      <w:szCs w:val="18"/>
                    </w:rPr>
                    <w:t>达标</w:t>
                  </w:r>
                </w:p>
              </w:tc>
            </w:tr>
            <w:tr w14:paraId="1AC8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19343A11">
                  <w:pPr>
                    <w:jc w:val="center"/>
                    <w:rPr>
                      <w:sz w:val="18"/>
                      <w:szCs w:val="18"/>
                    </w:rPr>
                  </w:pPr>
                </w:p>
              </w:tc>
              <w:tc>
                <w:tcPr>
                  <w:tcW w:w="1122" w:type="dxa"/>
                  <w:vAlign w:val="center"/>
                </w:tcPr>
                <w:p w14:paraId="03A4618A">
                  <w:pPr>
                    <w:jc w:val="center"/>
                    <w:rPr>
                      <w:sz w:val="18"/>
                      <w:szCs w:val="18"/>
                    </w:rPr>
                  </w:pPr>
                  <w:r>
                    <w:rPr>
                      <w:sz w:val="18"/>
                      <w:szCs w:val="18"/>
                    </w:rPr>
                    <w:t>窑炉烟气引风机</w:t>
                  </w:r>
                </w:p>
              </w:tc>
              <w:tc>
                <w:tcPr>
                  <w:tcW w:w="714" w:type="dxa"/>
                  <w:vAlign w:val="center"/>
                </w:tcPr>
                <w:p w14:paraId="543EA9EC">
                  <w:pPr>
                    <w:widowControl/>
                    <w:jc w:val="center"/>
                    <w:rPr>
                      <w:sz w:val="18"/>
                      <w:szCs w:val="18"/>
                    </w:rPr>
                  </w:pPr>
                  <w:r>
                    <w:rPr>
                      <w:sz w:val="18"/>
                      <w:szCs w:val="18"/>
                    </w:rPr>
                    <w:t>70</w:t>
                  </w:r>
                </w:p>
              </w:tc>
              <w:tc>
                <w:tcPr>
                  <w:tcW w:w="1144" w:type="dxa"/>
                  <w:vAlign w:val="center"/>
                </w:tcPr>
                <w:p w14:paraId="0309A4D2">
                  <w:pPr>
                    <w:jc w:val="center"/>
                    <w:rPr>
                      <w:sz w:val="18"/>
                      <w:szCs w:val="18"/>
                    </w:rPr>
                  </w:pPr>
                  <w:r>
                    <w:rPr>
                      <w:sz w:val="18"/>
                      <w:szCs w:val="18"/>
                    </w:rPr>
                    <w:t>176</w:t>
                  </w:r>
                </w:p>
              </w:tc>
              <w:tc>
                <w:tcPr>
                  <w:tcW w:w="715" w:type="dxa"/>
                  <w:vMerge w:val="continue"/>
                  <w:vAlign w:val="center"/>
                </w:tcPr>
                <w:p w14:paraId="2404B6DA">
                  <w:pPr>
                    <w:jc w:val="center"/>
                    <w:rPr>
                      <w:sz w:val="18"/>
                      <w:szCs w:val="18"/>
                    </w:rPr>
                  </w:pPr>
                </w:p>
              </w:tc>
              <w:tc>
                <w:tcPr>
                  <w:tcW w:w="1144" w:type="dxa"/>
                  <w:vMerge w:val="continue"/>
                  <w:vAlign w:val="center"/>
                </w:tcPr>
                <w:p w14:paraId="63E78344">
                  <w:pPr>
                    <w:jc w:val="center"/>
                    <w:rPr>
                      <w:sz w:val="18"/>
                      <w:szCs w:val="18"/>
                    </w:rPr>
                  </w:pPr>
                </w:p>
              </w:tc>
              <w:tc>
                <w:tcPr>
                  <w:tcW w:w="1144" w:type="dxa"/>
                  <w:vMerge w:val="continue"/>
                  <w:vAlign w:val="center"/>
                </w:tcPr>
                <w:p w14:paraId="43A3AFC7">
                  <w:pPr>
                    <w:jc w:val="center"/>
                    <w:rPr>
                      <w:sz w:val="18"/>
                      <w:szCs w:val="18"/>
                    </w:rPr>
                  </w:pPr>
                </w:p>
              </w:tc>
              <w:tc>
                <w:tcPr>
                  <w:tcW w:w="1156" w:type="dxa"/>
                  <w:vMerge w:val="continue"/>
                  <w:vAlign w:val="center"/>
                </w:tcPr>
                <w:p w14:paraId="799B4A98">
                  <w:pPr>
                    <w:jc w:val="center"/>
                    <w:rPr>
                      <w:sz w:val="18"/>
                      <w:szCs w:val="18"/>
                    </w:rPr>
                  </w:pPr>
                </w:p>
              </w:tc>
              <w:tc>
                <w:tcPr>
                  <w:tcW w:w="714" w:type="dxa"/>
                  <w:vMerge w:val="continue"/>
                  <w:vAlign w:val="center"/>
                </w:tcPr>
                <w:p w14:paraId="5589993C">
                  <w:pPr>
                    <w:jc w:val="center"/>
                    <w:rPr>
                      <w:sz w:val="18"/>
                      <w:szCs w:val="18"/>
                    </w:rPr>
                  </w:pPr>
                </w:p>
              </w:tc>
            </w:tr>
            <w:tr w14:paraId="289E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1" w:type="dxa"/>
                  <w:vMerge w:val="continue"/>
                  <w:vAlign w:val="center"/>
                </w:tcPr>
                <w:p w14:paraId="79917CF5">
                  <w:pPr>
                    <w:jc w:val="center"/>
                    <w:rPr>
                      <w:sz w:val="18"/>
                      <w:szCs w:val="18"/>
                    </w:rPr>
                  </w:pPr>
                </w:p>
              </w:tc>
              <w:tc>
                <w:tcPr>
                  <w:tcW w:w="1122" w:type="dxa"/>
                  <w:vAlign w:val="center"/>
                </w:tcPr>
                <w:p w14:paraId="5D73C4C7">
                  <w:pPr>
                    <w:jc w:val="center"/>
                    <w:rPr>
                      <w:sz w:val="18"/>
                      <w:szCs w:val="18"/>
                    </w:rPr>
                  </w:pPr>
                  <w:r>
                    <w:rPr>
                      <w:sz w:val="18"/>
                      <w:szCs w:val="18"/>
                    </w:rPr>
                    <w:t>脱硫塔氧化风机</w:t>
                  </w:r>
                </w:p>
              </w:tc>
              <w:tc>
                <w:tcPr>
                  <w:tcW w:w="714" w:type="dxa"/>
                  <w:vAlign w:val="center"/>
                </w:tcPr>
                <w:p w14:paraId="3D50F736">
                  <w:pPr>
                    <w:widowControl/>
                    <w:jc w:val="center"/>
                    <w:rPr>
                      <w:sz w:val="18"/>
                      <w:szCs w:val="18"/>
                    </w:rPr>
                  </w:pPr>
                  <w:r>
                    <w:rPr>
                      <w:sz w:val="18"/>
                      <w:szCs w:val="18"/>
                    </w:rPr>
                    <w:t>65</w:t>
                  </w:r>
                </w:p>
              </w:tc>
              <w:tc>
                <w:tcPr>
                  <w:tcW w:w="1144" w:type="dxa"/>
                  <w:vAlign w:val="center"/>
                </w:tcPr>
                <w:p w14:paraId="6628A230">
                  <w:pPr>
                    <w:jc w:val="center"/>
                    <w:rPr>
                      <w:sz w:val="18"/>
                      <w:szCs w:val="18"/>
                    </w:rPr>
                  </w:pPr>
                  <w:r>
                    <w:rPr>
                      <w:sz w:val="18"/>
                      <w:szCs w:val="18"/>
                    </w:rPr>
                    <w:t>188</w:t>
                  </w:r>
                </w:p>
              </w:tc>
              <w:tc>
                <w:tcPr>
                  <w:tcW w:w="715" w:type="dxa"/>
                  <w:vMerge w:val="continue"/>
                  <w:vAlign w:val="center"/>
                </w:tcPr>
                <w:p w14:paraId="3FE307E5">
                  <w:pPr>
                    <w:jc w:val="center"/>
                    <w:rPr>
                      <w:sz w:val="18"/>
                      <w:szCs w:val="18"/>
                    </w:rPr>
                  </w:pPr>
                </w:p>
              </w:tc>
              <w:tc>
                <w:tcPr>
                  <w:tcW w:w="1144" w:type="dxa"/>
                  <w:vMerge w:val="continue"/>
                  <w:vAlign w:val="center"/>
                </w:tcPr>
                <w:p w14:paraId="03B2AAB8">
                  <w:pPr>
                    <w:jc w:val="center"/>
                    <w:rPr>
                      <w:sz w:val="18"/>
                      <w:szCs w:val="18"/>
                    </w:rPr>
                  </w:pPr>
                </w:p>
              </w:tc>
              <w:tc>
                <w:tcPr>
                  <w:tcW w:w="1144" w:type="dxa"/>
                  <w:vMerge w:val="continue"/>
                  <w:vAlign w:val="center"/>
                </w:tcPr>
                <w:p w14:paraId="784C161A">
                  <w:pPr>
                    <w:jc w:val="center"/>
                    <w:rPr>
                      <w:sz w:val="18"/>
                      <w:szCs w:val="18"/>
                    </w:rPr>
                  </w:pPr>
                </w:p>
              </w:tc>
              <w:tc>
                <w:tcPr>
                  <w:tcW w:w="1156" w:type="dxa"/>
                  <w:vMerge w:val="continue"/>
                  <w:vAlign w:val="center"/>
                </w:tcPr>
                <w:p w14:paraId="19F8EBAB">
                  <w:pPr>
                    <w:jc w:val="center"/>
                    <w:rPr>
                      <w:sz w:val="18"/>
                      <w:szCs w:val="18"/>
                    </w:rPr>
                  </w:pPr>
                </w:p>
              </w:tc>
              <w:tc>
                <w:tcPr>
                  <w:tcW w:w="714" w:type="dxa"/>
                  <w:vMerge w:val="continue"/>
                  <w:vAlign w:val="center"/>
                </w:tcPr>
                <w:p w14:paraId="7D75BB49">
                  <w:pPr>
                    <w:jc w:val="center"/>
                    <w:rPr>
                      <w:sz w:val="18"/>
                      <w:szCs w:val="18"/>
                    </w:rPr>
                  </w:pPr>
                </w:p>
              </w:tc>
            </w:tr>
            <w:tr w14:paraId="0D97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00D7853F">
                  <w:pPr>
                    <w:jc w:val="center"/>
                    <w:rPr>
                      <w:sz w:val="18"/>
                      <w:szCs w:val="18"/>
                    </w:rPr>
                  </w:pPr>
                </w:p>
              </w:tc>
              <w:tc>
                <w:tcPr>
                  <w:tcW w:w="1122" w:type="dxa"/>
                  <w:vAlign w:val="center"/>
                </w:tcPr>
                <w:p w14:paraId="671F83BF">
                  <w:pPr>
                    <w:jc w:val="center"/>
                    <w:rPr>
                      <w:sz w:val="18"/>
                      <w:szCs w:val="18"/>
                    </w:rPr>
                  </w:pPr>
                  <w:r>
                    <w:rPr>
                      <w:sz w:val="18"/>
                      <w:szCs w:val="18"/>
                    </w:rPr>
                    <w:t>浆液循环泵</w:t>
                  </w:r>
                </w:p>
              </w:tc>
              <w:tc>
                <w:tcPr>
                  <w:tcW w:w="714" w:type="dxa"/>
                  <w:vAlign w:val="center"/>
                </w:tcPr>
                <w:p w14:paraId="3F0E29A1">
                  <w:pPr>
                    <w:widowControl/>
                    <w:jc w:val="center"/>
                    <w:rPr>
                      <w:sz w:val="18"/>
                      <w:szCs w:val="18"/>
                    </w:rPr>
                  </w:pPr>
                  <w:r>
                    <w:rPr>
                      <w:sz w:val="18"/>
                      <w:szCs w:val="18"/>
                    </w:rPr>
                    <w:t>70</w:t>
                  </w:r>
                </w:p>
              </w:tc>
              <w:tc>
                <w:tcPr>
                  <w:tcW w:w="1144" w:type="dxa"/>
                  <w:vAlign w:val="center"/>
                </w:tcPr>
                <w:p w14:paraId="1D5FD25E">
                  <w:pPr>
                    <w:jc w:val="center"/>
                    <w:rPr>
                      <w:sz w:val="18"/>
                      <w:szCs w:val="18"/>
                    </w:rPr>
                  </w:pPr>
                  <w:r>
                    <w:rPr>
                      <w:sz w:val="18"/>
                      <w:szCs w:val="18"/>
                    </w:rPr>
                    <w:t>185</w:t>
                  </w:r>
                </w:p>
              </w:tc>
              <w:tc>
                <w:tcPr>
                  <w:tcW w:w="715" w:type="dxa"/>
                  <w:vMerge w:val="continue"/>
                  <w:vAlign w:val="center"/>
                </w:tcPr>
                <w:p w14:paraId="00162191">
                  <w:pPr>
                    <w:jc w:val="center"/>
                    <w:rPr>
                      <w:sz w:val="18"/>
                      <w:szCs w:val="18"/>
                    </w:rPr>
                  </w:pPr>
                </w:p>
              </w:tc>
              <w:tc>
                <w:tcPr>
                  <w:tcW w:w="1144" w:type="dxa"/>
                  <w:vMerge w:val="continue"/>
                  <w:vAlign w:val="center"/>
                </w:tcPr>
                <w:p w14:paraId="6C125ABD">
                  <w:pPr>
                    <w:jc w:val="center"/>
                    <w:rPr>
                      <w:sz w:val="18"/>
                      <w:szCs w:val="18"/>
                    </w:rPr>
                  </w:pPr>
                </w:p>
              </w:tc>
              <w:tc>
                <w:tcPr>
                  <w:tcW w:w="1144" w:type="dxa"/>
                  <w:vMerge w:val="continue"/>
                  <w:vAlign w:val="center"/>
                </w:tcPr>
                <w:p w14:paraId="1730052B">
                  <w:pPr>
                    <w:jc w:val="center"/>
                    <w:rPr>
                      <w:sz w:val="18"/>
                      <w:szCs w:val="18"/>
                    </w:rPr>
                  </w:pPr>
                </w:p>
              </w:tc>
              <w:tc>
                <w:tcPr>
                  <w:tcW w:w="1156" w:type="dxa"/>
                  <w:vMerge w:val="continue"/>
                  <w:vAlign w:val="center"/>
                </w:tcPr>
                <w:p w14:paraId="2842F127">
                  <w:pPr>
                    <w:jc w:val="center"/>
                    <w:rPr>
                      <w:sz w:val="18"/>
                      <w:szCs w:val="18"/>
                    </w:rPr>
                  </w:pPr>
                </w:p>
              </w:tc>
              <w:tc>
                <w:tcPr>
                  <w:tcW w:w="714" w:type="dxa"/>
                  <w:vMerge w:val="continue"/>
                  <w:vAlign w:val="center"/>
                </w:tcPr>
                <w:p w14:paraId="2B2A374A">
                  <w:pPr>
                    <w:jc w:val="center"/>
                    <w:rPr>
                      <w:sz w:val="18"/>
                      <w:szCs w:val="18"/>
                    </w:rPr>
                  </w:pPr>
                </w:p>
              </w:tc>
            </w:tr>
            <w:tr w14:paraId="196FF797">
              <w:tblPrEx>
                <w:tblCellMar>
                  <w:top w:w="0" w:type="dxa"/>
                  <w:left w:w="108" w:type="dxa"/>
                  <w:bottom w:w="0" w:type="dxa"/>
                  <w:right w:w="108" w:type="dxa"/>
                </w:tblCellMar>
              </w:tblPrEx>
              <w:trPr>
                <w:trHeight w:val="340" w:hRule="atLeast"/>
                <w:jc w:val="center"/>
              </w:trPr>
              <w:tc>
                <w:tcPr>
                  <w:tcW w:w="431" w:type="dxa"/>
                  <w:vMerge w:val="continue"/>
                  <w:vAlign w:val="center"/>
                </w:tcPr>
                <w:p w14:paraId="4C50B5C2">
                  <w:pPr>
                    <w:jc w:val="center"/>
                    <w:rPr>
                      <w:sz w:val="18"/>
                      <w:szCs w:val="18"/>
                    </w:rPr>
                  </w:pPr>
                </w:p>
              </w:tc>
              <w:tc>
                <w:tcPr>
                  <w:tcW w:w="1122" w:type="dxa"/>
                  <w:vAlign w:val="center"/>
                </w:tcPr>
                <w:p w14:paraId="4F599EC7">
                  <w:pPr>
                    <w:jc w:val="center"/>
                    <w:rPr>
                      <w:sz w:val="18"/>
                      <w:szCs w:val="18"/>
                    </w:rPr>
                  </w:pPr>
                  <w:r>
                    <w:rPr>
                      <w:sz w:val="18"/>
                      <w:szCs w:val="18"/>
                    </w:rPr>
                    <w:t>石膏泵</w:t>
                  </w:r>
                </w:p>
              </w:tc>
              <w:tc>
                <w:tcPr>
                  <w:tcW w:w="714" w:type="dxa"/>
                  <w:vAlign w:val="center"/>
                </w:tcPr>
                <w:p w14:paraId="3C2D2730">
                  <w:pPr>
                    <w:widowControl/>
                    <w:jc w:val="center"/>
                    <w:rPr>
                      <w:sz w:val="18"/>
                      <w:szCs w:val="18"/>
                    </w:rPr>
                  </w:pPr>
                  <w:r>
                    <w:rPr>
                      <w:sz w:val="18"/>
                      <w:szCs w:val="18"/>
                    </w:rPr>
                    <w:t>70</w:t>
                  </w:r>
                </w:p>
              </w:tc>
              <w:tc>
                <w:tcPr>
                  <w:tcW w:w="1144" w:type="dxa"/>
                  <w:vAlign w:val="center"/>
                </w:tcPr>
                <w:p w14:paraId="2B452FAF">
                  <w:pPr>
                    <w:jc w:val="center"/>
                    <w:rPr>
                      <w:sz w:val="18"/>
                      <w:szCs w:val="18"/>
                    </w:rPr>
                  </w:pPr>
                  <w:r>
                    <w:rPr>
                      <w:sz w:val="18"/>
                      <w:szCs w:val="18"/>
                    </w:rPr>
                    <w:t>168</w:t>
                  </w:r>
                </w:p>
              </w:tc>
              <w:tc>
                <w:tcPr>
                  <w:tcW w:w="715" w:type="dxa"/>
                  <w:vMerge w:val="continue"/>
                  <w:vAlign w:val="center"/>
                </w:tcPr>
                <w:p w14:paraId="18431ED9">
                  <w:pPr>
                    <w:jc w:val="center"/>
                    <w:rPr>
                      <w:sz w:val="18"/>
                      <w:szCs w:val="18"/>
                    </w:rPr>
                  </w:pPr>
                </w:p>
              </w:tc>
              <w:tc>
                <w:tcPr>
                  <w:tcW w:w="1144" w:type="dxa"/>
                  <w:vMerge w:val="continue"/>
                  <w:vAlign w:val="center"/>
                </w:tcPr>
                <w:p w14:paraId="62032F3D">
                  <w:pPr>
                    <w:jc w:val="center"/>
                    <w:rPr>
                      <w:sz w:val="18"/>
                      <w:szCs w:val="18"/>
                    </w:rPr>
                  </w:pPr>
                </w:p>
              </w:tc>
              <w:tc>
                <w:tcPr>
                  <w:tcW w:w="1144" w:type="dxa"/>
                  <w:vMerge w:val="continue"/>
                  <w:vAlign w:val="center"/>
                </w:tcPr>
                <w:p w14:paraId="2F383125">
                  <w:pPr>
                    <w:jc w:val="center"/>
                    <w:rPr>
                      <w:sz w:val="18"/>
                      <w:szCs w:val="18"/>
                    </w:rPr>
                  </w:pPr>
                </w:p>
              </w:tc>
              <w:tc>
                <w:tcPr>
                  <w:tcW w:w="1156" w:type="dxa"/>
                  <w:vMerge w:val="continue"/>
                  <w:vAlign w:val="center"/>
                </w:tcPr>
                <w:p w14:paraId="19C22732">
                  <w:pPr>
                    <w:jc w:val="center"/>
                    <w:rPr>
                      <w:sz w:val="18"/>
                      <w:szCs w:val="18"/>
                    </w:rPr>
                  </w:pPr>
                </w:p>
              </w:tc>
              <w:tc>
                <w:tcPr>
                  <w:tcW w:w="714" w:type="dxa"/>
                  <w:vMerge w:val="continue"/>
                  <w:vAlign w:val="center"/>
                </w:tcPr>
                <w:p w14:paraId="486658F8">
                  <w:pPr>
                    <w:jc w:val="center"/>
                    <w:rPr>
                      <w:sz w:val="18"/>
                      <w:szCs w:val="18"/>
                    </w:rPr>
                  </w:pPr>
                </w:p>
              </w:tc>
            </w:tr>
            <w:tr w14:paraId="152F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1C79C815">
                  <w:pPr>
                    <w:jc w:val="center"/>
                    <w:rPr>
                      <w:sz w:val="18"/>
                      <w:szCs w:val="18"/>
                    </w:rPr>
                  </w:pPr>
                </w:p>
              </w:tc>
              <w:tc>
                <w:tcPr>
                  <w:tcW w:w="1122" w:type="dxa"/>
                  <w:vAlign w:val="center"/>
                </w:tcPr>
                <w:p w14:paraId="06FD872D">
                  <w:pPr>
                    <w:jc w:val="center"/>
                    <w:rPr>
                      <w:sz w:val="18"/>
                      <w:szCs w:val="18"/>
                    </w:rPr>
                  </w:pPr>
                  <w:r>
                    <w:rPr>
                      <w:sz w:val="18"/>
                      <w:szCs w:val="18"/>
                    </w:rPr>
                    <w:t>污水泵</w:t>
                  </w:r>
                </w:p>
              </w:tc>
              <w:tc>
                <w:tcPr>
                  <w:tcW w:w="714" w:type="dxa"/>
                  <w:vAlign w:val="center"/>
                </w:tcPr>
                <w:p w14:paraId="47379001">
                  <w:pPr>
                    <w:widowControl/>
                    <w:jc w:val="center"/>
                    <w:rPr>
                      <w:sz w:val="18"/>
                      <w:szCs w:val="18"/>
                    </w:rPr>
                  </w:pPr>
                  <w:r>
                    <w:rPr>
                      <w:sz w:val="18"/>
                      <w:szCs w:val="18"/>
                    </w:rPr>
                    <w:t>65</w:t>
                  </w:r>
                </w:p>
              </w:tc>
              <w:tc>
                <w:tcPr>
                  <w:tcW w:w="1144" w:type="dxa"/>
                  <w:vAlign w:val="center"/>
                </w:tcPr>
                <w:p w14:paraId="399C5B38">
                  <w:pPr>
                    <w:jc w:val="center"/>
                    <w:rPr>
                      <w:sz w:val="18"/>
                      <w:szCs w:val="18"/>
                    </w:rPr>
                  </w:pPr>
                  <w:r>
                    <w:rPr>
                      <w:sz w:val="18"/>
                      <w:szCs w:val="18"/>
                    </w:rPr>
                    <w:t>155</w:t>
                  </w:r>
                </w:p>
              </w:tc>
              <w:tc>
                <w:tcPr>
                  <w:tcW w:w="715" w:type="dxa"/>
                  <w:vMerge w:val="continue"/>
                  <w:vAlign w:val="center"/>
                </w:tcPr>
                <w:p w14:paraId="3E64398D">
                  <w:pPr>
                    <w:jc w:val="center"/>
                    <w:rPr>
                      <w:sz w:val="18"/>
                      <w:szCs w:val="18"/>
                    </w:rPr>
                  </w:pPr>
                </w:p>
              </w:tc>
              <w:tc>
                <w:tcPr>
                  <w:tcW w:w="1144" w:type="dxa"/>
                  <w:vMerge w:val="continue"/>
                  <w:vAlign w:val="center"/>
                </w:tcPr>
                <w:p w14:paraId="2600B7A2">
                  <w:pPr>
                    <w:jc w:val="center"/>
                    <w:rPr>
                      <w:sz w:val="18"/>
                      <w:szCs w:val="18"/>
                    </w:rPr>
                  </w:pPr>
                </w:p>
              </w:tc>
              <w:tc>
                <w:tcPr>
                  <w:tcW w:w="1144" w:type="dxa"/>
                  <w:vMerge w:val="continue"/>
                  <w:vAlign w:val="center"/>
                </w:tcPr>
                <w:p w14:paraId="04917A6D">
                  <w:pPr>
                    <w:jc w:val="center"/>
                    <w:rPr>
                      <w:sz w:val="18"/>
                      <w:szCs w:val="18"/>
                    </w:rPr>
                  </w:pPr>
                </w:p>
              </w:tc>
              <w:tc>
                <w:tcPr>
                  <w:tcW w:w="1156" w:type="dxa"/>
                  <w:vMerge w:val="continue"/>
                  <w:vAlign w:val="center"/>
                </w:tcPr>
                <w:p w14:paraId="5C126064">
                  <w:pPr>
                    <w:jc w:val="center"/>
                    <w:rPr>
                      <w:sz w:val="18"/>
                      <w:szCs w:val="18"/>
                    </w:rPr>
                  </w:pPr>
                </w:p>
              </w:tc>
              <w:tc>
                <w:tcPr>
                  <w:tcW w:w="714" w:type="dxa"/>
                  <w:vMerge w:val="continue"/>
                  <w:vAlign w:val="center"/>
                </w:tcPr>
                <w:p w14:paraId="4808D064">
                  <w:pPr>
                    <w:jc w:val="center"/>
                    <w:rPr>
                      <w:sz w:val="18"/>
                      <w:szCs w:val="18"/>
                    </w:rPr>
                  </w:pPr>
                </w:p>
              </w:tc>
            </w:tr>
            <w:tr w14:paraId="25B9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3D3CB278">
                  <w:pPr>
                    <w:jc w:val="center"/>
                    <w:rPr>
                      <w:sz w:val="18"/>
                      <w:szCs w:val="18"/>
                    </w:rPr>
                  </w:pPr>
                </w:p>
              </w:tc>
              <w:tc>
                <w:tcPr>
                  <w:tcW w:w="1122" w:type="dxa"/>
                  <w:vAlign w:val="center"/>
                </w:tcPr>
                <w:p w14:paraId="5C977458">
                  <w:pPr>
                    <w:jc w:val="center"/>
                    <w:rPr>
                      <w:sz w:val="18"/>
                      <w:szCs w:val="18"/>
                    </w:rPr>
                  </w:pPr>
                  <w:r>
                    <w:rPr>
                      <w:sz w:val="18"/>
                      <w:szCs w:val="18"/>
                    </w:rPr>
                    <w:t>污泥泵</w:t>
                  </w:r>
                </w:p>
              </w:tc>
              <w:tc>
                <w:tcPr>
                  <w:tcW w:w="714" w:type="dxa"/>
                  <w:vAlign w:val="center"/>
                </w:tcPr>
                <w:p w14:paraId="39572A23">
                  <w:pPr>
                    <w:widowControl/>
                    <w:jc w:val="center"/>
                    <w:rPr>
                      <w:sz w:val="18"/>
                      <w:szCs w:val="18"/>
                    </w:rPr>
                  </w:pPr>
                  <w:r>
                    <w:rPr>
                      <w:sz w:val="18"/>
                      <w:szCs w:val="18"/>
                    </w:rPr>
                    <w:t>65</w:t>
                  </w:r>
                </w:p>
              </w:tc>
              <w:tc>
                <w:tcPr>
                  <w:tcW w:w="1144" w:type="dxa"/>
                  <w:vAlign w:val="center"/>
                </w:tcPr>
                <w:p w14:paraId="5FF85635">
                  <w:pPr>
                    <w:jc w:val="center"/>
                    <w:rPr>
                      <w:sz w:val="18"/>
                      <w:szCs w:val="18"/>
                    </w:rPr>
                  </w:pPr>
                  <w:r>
                    <w:rPr>
                      <w:sz w:val="18"/>
                      <w:szCs w:val="18"/>
                    </w:rPr>
                    <w:t>145</w:t>
                  </w:r>
                </w:p>
              </w:tc>
              <w:tc>
                <w:tcPr>
                  <w:tcW w:w="715" w:type="dxa"/>
                  <w:vMerge w:val="continue"/>
                  <w:vAlign w:val="center"/>
                </w:tcPr>
                <w:p w14:paraId="551012C2">
                  <w:pPr>
                    <w:jc w:val="center"/>
                    <w:rPr>
                      <w:sz w:val="18"/>
                      <w:szCs w:val="18"/>
                    </w:rPr>
                  </w:pPr>
                </w:p>
              </w:tc>
              <w:tc>
                <w:tcPr>
                  <w:tcW w:w="1144" w:type="dxa"/>
                  <w:vMerge w:val="continue"/>
                  <w:vAlign w:val="center"/>
                </w:tcPr>
                <w:p w14:paraId="64AC7EB5">
                  <w:pPr>
                    <w:jc w:val="center"/>
                    <w:rPr>
                      <w:sz w:val="18"/>
                      <w:szCs w:val="18"/>
                    </w:rPr>
                  </w:pPr>
                </w:p>
              </w:tc>
              <w:tc>
                <w:tcPr>
                  <w:tcW w:w="1144" w:type="dxa"/>
                  <w:vMerge w:val="continue"/>
                  <w:vAlign w:val="center"/>
                </w:tcPr>
                <w:p w14:paraId="4885C49D">
                  <w:pPr>
                    <w:jc w:val="center"/>
                    <w:rPr>
                      <w:sz w:val="18"/>
                      <w:szCs w:val="18"/>
                    </w:rPr>
                  </w:pPr>
                </w:p>
              </w:tc>
              <w:tc>
                <w:tcPr>
                  <w:tcW w:w="1156" w:type="dxa"/>
                  <w:vMerge w:val="continue"/>
                  <w:vAlign w:val="center"/>
                </w:tcPr>
                <w:p w14:paraId="4ED4933A">
                  <w:pPr>
                    <w:jc w:val="center"/>
                    <w:rPr>
                      <w:sz w:val="18"/>
                      <w:szCs w:val="18"/>
                    </w:rPr>
                  </w:pPr>
                </w:p>
              </w:tc>
              <w:tc>
                <w:tcPr>
                  <w:tcW w:w="714" w:type="dxa"/>
                  <w:vMerge w:val="continue"/>
                  <w:vAlign w:val="center"/>
                </w:tcPr>
                <w:p w14:paraId="4C20E9E4">
                  <w:pPr>
                    <w:jc w:val="center"/>
                    <w:rPr>
                      <w:sz w:val="18"/>
                      <w:szCs w:val="18"/>
                    </w:rPr>
                  </w:pPr>
                </w:p>
              </w:tc>
            </w:tr>
            <w:tr w14:paraId="41C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restart"/>
                  <w:vAlign w:val="center"/>
                </w:tcPr>
                <w:p w14:paraId="30B74BFA">
                  <w:pPr>
                    <w:jc w:val="center"/>
                    <w:rPr>
                      <w:color w:val="FF0000"/>
                      <w:sz w:val="18"/>
                      <w:szCs w:val="18"/>
                      <w:u w:val="single"/>
                    </w:rPr>
                  </w:pPr>
                  <w:r>
                    <w:rPr>
                      <w:color w:val="FF0000"/>
                      <w:sz w:val="18"/>
                      <w:szCs w:val="18"/>
                      <w:u w:val="single"/>
                    </w:rPr>
                    <w:t>闹店敬老院</w:t>
                  </w:r>
                </w:p>
              </w:tc>
              <w:tc>
                <w:tcPr>
                  <w:tcW w:w="1122" w:type="dxa"/>
                  <w:vAlign w:val="center"/>
                </w:tcPr>
                <w:p w14:paraId="02EA7DD5">
                  <w:pPr>
                    <w:jc w:val="center"/>
                    <w:rPr>
                      <w:color w:val="FF0000"/>
                      <w:sz w:val="18"/>
                      <w:szCs w:val="18"/>
                      <w:u w:val="single"/>
                    </w:rPr>
                  </w:pPr>
                  <w:r>
                    <w:rPr>
                      <w:color w:val="FF0000"/>
                      <w:sz w:val="18"/>
                      <w:szCs w:val="18"/>
                      <w:u w:val="single"/>
                    </w:rPr>
                    <w:t>混料车间</w:t>
                  </w:r>
                </w:p>
              </w:tc>
              <w:tc>
                <w:tcPr>
                  <w:tcW w:w="714" w:type="dxa"/>
                  <w:vAlign w:val="center"/>
                </w:tcPr>
                <w:p w14:paraId="78E9F6D8">
                  <w:pPr>
                    <w:widowControl/>
                    <w:jc w:val="center"/>
                    <w:rPr>
                      <w:color w:val="FF0000"/>
                      <w:sz w:val="18"/>
                      <w:szCs w:val="18"/>
                      <w:u w:val="single"/>
                    </w:rPr>
                  </w:pPr>
                  <w:r>
                    <w:rPr>
                      <w:color w:val="FF0000"/>
                      <w:sz w:val="18"/>
                      <w:szCs w:val="18"/>
                      <w:u w:val="single"/>
                    </w:rPr>
                    <w:t>47.1</w:t>
                  </w:r>
                </w:p>
              </w:tc>
              <w:tc>
                <w:tcPr>
                  <w:tcW w:w="1144" w:type="dxa"/>
                  <w:vAlign w:val="center"/>
                </w:tcPr>
                <w:p w14:paraId="42AFAB97">
                  <w:pPr>
                    <w:jc w:val="center"/>
                    <w:rPr>
                      <w:color w:val="FF0000"/>
                      <w:sz w:val="18"/>
                      <w:szCs w:val="18"/>
                      <w:u w:val="single"/>
                    </w:rPr>
                  </w:pPr>
                  <w:r>
                    <w:rPr>
                      <w:color w:val="FF0000"/>
                      <w:sz w:val="18"/>
                      <w:szCs w:val="18"/>
                      <w:u w:val="single"/>
                    </w:rPr>
                    <w:t>300</w:t>
                  </w:r>
                </w:p>
              </w:tc>
              <w:tc>
                <w:tcPr>
                  <w:tcW w:w="715" w:type="dxa"/>
                  <w:vMerge w:val="restart"/>
                  <w:vAlign w:val="center"/>
                </w:tcPr>
                <w:p w14:paraId="685698A5">
                  <w:pPr>
                    <w:jc w:val="center"/>
                    <w:rPr>
                      <w:color w:val="FF0000"/>
                      <w:sz w:val="18"/>
                      <w:szCs w:val="18"/>
                      <w:u w:val="single"/>
                    </w:rPr>
                  </w:pPr>
                  <w:r>
                    <w:rPr>
                      <w:color w:val="FF0000"/>
                      <w:sz w:val="18"/>
                      <w:szCs w:val="18"/>
                      <w:u w:val="single"/>
                    </w:rPr>
                    <w:t>22.6</w:t>
                  </w:r>
                </w:p>
              </w:tc>
              <w:tc>
                <w:tcPr>
                  <w:tcW w:w="1144" w:type="dxa"/>
                  <w:vMerge w:val="restart"/>
                  <w:vAlign w:val="center"/>
                </w:tcPr>
                <w:p w14:paraId="5D2AD525">
                  <w:pPr>
                    <w:jc w:val="center"/>
                    <w:rPr>
                      <w:color w:val="FF0000"/>
                      <w:sz w:val="18"/>
                      <w:szCs w:val="18"/>
                      <w:u w:val="single"/>
                    </w:rPr>
                  </w:pPr>
                  <w:r>
                    <w:rPr>
                      <w:color w:val="FF0000"/>
                      <w:sz w:val="18"/>
                      <w:szCs w:val="18"/>
                      <w:u w:val="single"/>
                    </w:rPr>
                    <w:t>53.5/42.5</w:t>
                  </w:r>
                </w:p>
              </w:tc>
              <w:tc>
                <w:tcPr>
                  <w:tcW w:w="1144" w:type="dxa"/>
                  <w:vMerge w:val="restart"/>
                  <w:vAlign w:val="center"/>
                </w:tcPr>
                <w:p w14:paraId="4F3FD929">
                  <w:pPr>
                    <w:jc w:val="center"/>
                    <w:rPr>
                      <w:color w:val="FF0000"/>
                      <w:sz w:val="18"/>
                      <w:szCs w:val="18"/>
                      <w:u w:val="single"/>
                    </w:rPr>
                  </w:pPr>
                  <w:r>
                    <w:rPr>
                      <w:color w:val="FF0000"/>
                      <w:sz w:val="18"/>
                      <w:szCs w:val="18"/>
                      <w:u w:val="single"/>
                    </w:rPr>
                    <w:t>53.5/42.5</w:t>
                  </w:r>
                </w:p>
              </w:tc>
              <w:tc>
                <w:tcPr>
                  <w:tcW w:w="1156" w:type="dxa"/>
                  <w:vMerge w:val="restart"/>
                  <w:vAlign w:val="center"/>
                </w:tcPr>
                <w:p w14:paraId="5F7AE93D">
                  <w:pPr>
                    <w:jc w:val="center"/>
                    <w:rPr>
                      <w:color w:val="FF0000"/>
                      <w:sz w:val="18"/>
                      <w:szCs w:val="18"/>
                      <w:u w:val="single"/>
                    </w:rPr>
                  </w:pPr>
                  <w:r>
                    <w:rPr>
                      <w:color w:val="FF0000"/>
                      <w:sz w:val="18"/>
                      <w:szCs w:val="18"/>
                      <w:u w:val="single"/>
                    </w:rPr>
                    <w:t>60/50</w:t>
                  </w:r>
                </w:p>
              </w:tc>
              <w:tc>
                <w:tcPr>
                  <w:tcW w:w="714" w:type="dxa"/>
                  <w:vMerge w:val="restart"/>
                  <w:vAlign w:val="center"/>
                </w:tcPr>
                <w:p w14:paraId="09529FDB">
                  <w:pPr>
                    <w:jc w:val="center"/>
                    <w:rPr>
                      <w:color w:val="FF0000"/>
                      <w:sz w:val="18"/>
                      <w:szCs w:val="18"/>
                      <w:u w:val="single"/>
                    </w:rPr>
                  </w:pPr>
                  <w:r>
                    <w:rPr>
                      <w:color w:val="FF0000"/>
                      <w:sz w:val="18"/>
                      <w:szCs w:val="18"/>
                      <w:u w:val="single"/>
                    </w:rPr>
                    <w:t>达标</w:t>
                  </w:r>
                </w:p>
              </w:tc>
            </w:tr>
            <w:tr w14:paraId="40CA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55E7F412">
                  <w:pPr>
                    <w:jc w:val="center"/>
                    <w:rPr>
                      <w:color w:val="FF0000"/>
                      <w:sz w:val="18"/>
                      <w:szCs w:val="18"/>
                      <w:u w:val="single"/>
                    </w:rPr>
                  </w:pPr>
                </w:p>
              </w:tc>
              <w:tc>
                <w:tcPr>
                  <w:tcW w:w="1122" w:type="dxa"/>
                  <w:vAlign w:val="center"/>
                </w:tcPr>
                <w:p w14:paraId="3E8B4BF4">
                  <w:pPr>
                    <w:jc w:val="center"/>
                    <w:rPr>
                      <w:color w:val="FF0000"/>
                      <w:sz w:val="18"/>
                      <w:szCs w:val="18"/>
                      <w:u w:val="single"/>
                    </w:rPr>
                  </w:pPr>
                  <w:r>
                    <w:rPr>
                      <w:color w:val="FF0000"/>
                      <w:sz w:val="18"/>
                      <w:szCs w:val="18"/>
                      <w:u w:val="single"/>
                    </w:rPr>
                    <w:t>窑炉烟气引风机</w:t>
                  </w:r>
                </w:p>
              </w:tc>
              <w:tc>
                <w:tcPr>
                  <w:tcW w:w="714" w:type="dxa"/>
                  <w:vAlign w:val="center"/>
                </w:tcPr>
                <w:p w14:paraId="00ED9B53">
                  <w:pPr>
                    <w:widowControl/>
                    <w:jc w:val="center"/>
                    <w:rPr>
                      <w:color w:val="FF0000"/>
                      <w:sz w:val="18"/>
                      <w:szCs w:val="18"/>
                      <w:u w:val="single"/>
                    </w:rPr>
                  </w:pPr>
                  <w:r>
                    <w:rPr>
                      <w:color w:val="FF0000"/>
                      <w:sz w:val="18"/>
                      <w:szCs w:val="18"/>
                      <w:u w:val="single"/>
                    </w:rPr>
                    <w:t>70</w:t>
                  </w:r>
                </w:p>
              </w:tc>
              <w:tc>
                <w:tcPr>
                  <w:tcW w:w="1144" w:type="dxa"/>
                  <w:vAlign w:val="center"/>
                </w:tcPr>
                <w:p w14:paraId="366C5DCD">
                  <w:pPr>
                    <w:jc w:val="center"/>
                    <w:rPr>
                      <w:color w:val="FF0000"/>
                      <w:sz w:val="18"/>
                      <w:szCs w:val="18"/>
                      <w:u w:val="single"/>
                    </w:rPr>
                  </w:pPr>
                  <w:r>
                    <w:rPr>
                      <w:color w:val="FF0000"/>
                      <w:sz w:val="18"/>
                      <w:szCs w:val="18"/>
                      <w:u w:val="single"/>
                    </w:rPr>
                    <w:t>311</w:t>
                  </w:r>
                </w:p>
              </w:tc>
              <w:tc>
                <w:tcPr>
                  <w:tcW w:w="715" w:type="dxa"/>
                  <w:vMerge w:val="continue"/>
                  <w:vAlign w:val="center"/>
                </w:tcPr>
                <w:p w14:paraId="7657401C">
                  <w:pPr>
                    <w:jc w:val="center"/>
                    <w:rPr>
                      <w:color w:val="FF0000"/>
                      <w:sz w:val="18"/>
                      <w:szCs w:val="18"/>
                      <w:u w:val="single"/>
                    </w:rPr>
                  </w:pPr>
                </w:p>
              </w:tc>
              <w:tc>
                <w:tcPr>
                  <w:tcW w:w="1144" w:type="dxa"/>
                  <w:vMerge w:val="continue"/>
                  <w:vAlign w:val="center"/>
                </w:tcPr>
                <w:p w14:paraId="0C437826">
                  <w:pPr>
                    <w:jc w:val="center"/>
                    <w:rPr>
                      <w:color w:val="FF0000"/>
                      <w:sz w:val="18"/>
                      <w:szCs w:val="18"/>
                      <w:u w:val="single"/>
                    </w:rPr>
                  </w:pPr>
                </w:p>
              </w:tc>
              <w:tc>
                <w:tcPr>
                  <w:tcW w:w="1144" w:type="dxa"/>
                  <w:vMerge w:val="continue"/>
                  <w:vAlign w:val="center"/>
                </w:tcPr>
                <w:p w14:paraId="1364F497">
                  <w:pPr>
                    <w:jc w:val="center"/>
                    <w:rPr>
                      <w:color w:val="FF0000"/>
                      <w:sz w:val="18"/>
                      <w:szCs w:val="18"/>
                      <w:u w:val="single"/>
                    </w:rPr>
                  </w:pPr>
                </w:p>
              </w:tc>
              <w:tc>
                <w:tcPr>
                  <w:tcW w:w="1156" w:type="dxa"/>
                  <w:vMerge w:val="continue"/>
                  <w:vAlign w:val="center"/>
                </w:tcPr>
                <w:p w14:paraId="230813D5">
                  <w:pPr>
                    <w:jc w:val="center"/>
                    <w:rPr>
                      <w:color w:val="FF0000"/>
                      <w:sz w:val="18"/>
                      <w:szCs w:val="18"/>
                      <w:u w:val="single"/>
                    </w:rPr>
                  </w:pPr>
                </w:p>
              </w:tc>
              <w:tc>
                <w:tcPr>
                  <w:tcW w:w="714" w:type="dxa"/>
                  <w:vMerge w:val="continue"/>
                  <w:vAlign w:val="center"/>
                </w:tcPr>
                <w:p w14:paraId="07ED9718">
                  <w:pPr>
                    <w:jc w:val="center"/>
                    <w:rPr>
                      <w:color w:val="FF0000"/>
                      <w:sz w:val="18"/>
                      <w:szCs w:val="18"/>
                      <w:u w:val="single"/>
                    </w:rPr>
                  </w:pPr>
                </w:p>
              </w:tc>
            </w:tr>
            <w:tr w14:paraId="586F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1" w:type="dxa"/>
                  <w:vMerge w:val="continue"/>
                  <w:vAlign w:val="center"/>
                </w:tcPr>
                <w:p w14:paraId="5A23AB55">
                  <w:pPr>
                    <w:jc w:val="center"/>
                    <w:rPr>
                      <w:color w:val="FF0000"/>
                      <w:sz w:val="18"/>
                      <w:szCs w:val="18"/>
                      <w:u w:val="single"/>
                    </w:rPr>
                  </w:pPr>
                </w:p>
              </w:tc>
              <w:tc>
                <w:tcPr>
                  <w:tcW w:w="1122" w:type="dxa"/>
                  <w:vAlign w:val="center"/>
                </w:tcPr>
                <w:p w14:paraId="2570C7DA">
                  <w:pPr>
                    <w:jc w:val="center"/>
                    <w:rPr>
                      <w:color w:val="FF0000"/>
                      <w:sz w:val="18"/>
                      <w:szCs w:val="18"/>
                      <w:u w:val="single"/>
                    </w:rPr>
                  </w:pPr>
                  <w:r>
                    <w:rPr>
                      <w:color w:val="FF0000"/>
                      <w:sz w:val="18"/>
                      <w:szCs w:val="18"/>
                      <w:u w:val="single"/>
                    </w:rPr>
                    <w:t>脱硫塔氧化风机</w:t>
                  </w:r>
                </w:p>
              </w:tc>
              <w:tc>
                <w:tcPr>
                  <w:tcW w:w="714" w:type="dxa"/>
                  <w:vAlign w:val="center"/>
                </w:tcPr>
                <w:p w14:paraId="72AFC637">
                  <w:pPr>
                    <w:widowControl/>
                    <w:jc w:val="center"/>
                    <w:rPr>
                      <w:color w:val="FF0000"/>
                      <w:sz w:val="18"/>
                      <w:szCs w:val="18"/>
                      <w:u w:val="single"/>
                    </w:rPr>
                  </w:pPr>
                  <w:r>
                    <w:rPr>
                      <w:color w:val="FF0000"/>
                      <w:sz w:val="18"/>
                      <w:szCs w:val="18"/>
                      <w:u w:val="single"/>
                    </w:rPr>
                    <w:t>65</w:t>
                  </w:r>
                </w:p>
              </w:tc>
              <w:tc>
                <w:tcPr>
                  <w:tcW w:w="1144" w:type="dxa"/>
                  <w:vAlign w:val="center"/>
                </w:tcPr>
                <w:p w14:paraId="5C542BE2">
                  <w:pPr>
                    <w:jc w:val="center"/>
                    <w:rPr>
                      <w:color w:val="FF0000"/>
                      <w:sz w:val="18"/>
                      <w:szCs w:val="18"/>
                      <w:u w:val="single"/>
                    </w:rPr>
                  </w:pPr>
                  <w:r>
                    <w:rPr>
                      <w:color w:val="FF0000"/>
                      <w:sz w:val="18"/>
                      <w:szCs w:val="18"/>
                      <w:u w:val="single"/>
                    </w:rPr>
                    <w:t>323</w:t>
                  </w:r>
                </w:p>
              </w:tc>
              <w:tc>
                <w:tcPr>
                  <w:tcW w:w="715" w:type="dxa"/>
                  <w:vMerge w:val="continue"/>
                  <w:vAlign w:val="center"/>
                </w:tcPr>
                <w:p w14:paraId="24245957">
                  <w:pPr>
                    <w:jc w:val="center"/>
                    <w:rPr>
                      <w:color w:val="FF0000"/>
                      <w:sz w:val="18"/>
                      <w:szCs w:val="18"/>
                      <w:u w:val="single"/>
                    </w:rPr>
                  </w:pPr>
                </w:p>
              </w:tc>
              <w:tc>
                <w:tcPr>
                  <w:tcW w:w="1144" w:type="dxa"/>
                  <w:vMerge w:val="continue"/>
                  <w:vAlign w:val="center"/>
                </w:tcPr>
                <w:p w14:paraId="21842916">
                  <w:pPr>
                    <w:jc w:val="center"/>
                    <w:rPr>
                      <w:color w:val="FF0000"/>
                      <w:sz w:val="18"/>
                      <w:szCs w:val="18"/>
                      <w:u w:val="single"/>
                    </w:rPr>
                  </w:pPr>
                </w:p>
              </w:tc>
              <w:tc>
                <w:tcPr>
                  <w:tcW w:w="1144" w:type="dxa"/>
                  <w:vMerge w:val="continue"/>
                  <w:vAlign w:val="center"/>
                </w:tcPr>
                <w:p w14:paraId="6628F998">
                  <w:pPr>
                    <w:jc w:val="center"/>
                    <w:rPr>
                      <w:color w:val="FF0000"/>
                      <w:sz w:val="18"/>
                      <w:szCs w:val="18"/>
                      <w:u w:val="single"/>
                    </w:rPr>
                  </w:pPr>
                </w:p>
              </w:tc>
              <w:tc>
                <w:tcPr>
                  <w:tcW w:w="1156" w:type="dxa"/>
                  <w:vMerge w:val="continue"/>
                  <w:vAlign w:val="center"/>
                </w:tcPr>
                <w:p w14:paraId="4CFC3CCC">
                  <w:pPr>
                    <w:jc w:val="center"/>
                    <w:rPr>
                      <w:color w:val="FF0000"/>
                      <w:sz w:val="18"/>
                      <w:szCs w:val="18"/>
                      <w:u w:val="single"/>
                    </w:rPr>
                  </w:pPr>
                </w:p>
              </w:tc>
              <w:tc>
                <w:tcPr>
                  <w:tcW w:w="714" w:type="dxa"/>
                  <w:vMerge w:val="continue"/>
                  <w:vAlign w:val="center"/>
                </w:tcPr>
                <w:p w14:paraId="03B52C43">
                  <w:pPr>
                    <w:jc w:val="center"/>
                    <w:rPr>
                      <w:color w:val="FF0000"/>
                      <w:sz w:val="18"/>
                      <w:szCs w:val="18"/>
                      <w:u w:val="single"/>
                    </w:rPr>
                  </w:pPr>
                </w:p>
              </w:tc>
            </w:tr>
            <w:tr w14:paraId="2E87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3C08C80A">
                  <w:pPr>
                    <w:jc w:val="center"/>
                    <w:rPr>
                      <w:color w:val="FF0000"/>
                      <w:sz w:val="18"/>
                      <w:szCs w:val="18"/>
                      <w:u w:val="single"/>
                    </w:rPr>
                  </w:pPr>
                </w:p>
              </w:tc>
              <w:tc>
                <w:tcPr>
                  <w:tcW w:w="1122" w:type="dxa"/>
                  <w:vAlign w:val="center"/>
                </w:tcPr>
                <w:p w14:paraId="37EF0EA9">
                  <w:pPr>
                    <w:jc w:val="center"/>
                    <w:rPr>
                      <w:color w:val="FF0000"/>
                      <w:sz w:val="18"/>
                      <w:szCs w:val="18"/>
                      <w:u w:val="single"/>
                    </w:rPr>
                  </w:pPr>
                  <w:r>
                    <w:rPr>
                      <w:color w:val="FF0000"/>
                      <w:sz w:val="18"/>
                      <w:szCs w:val="18"/>
                      <w:u w:val="single"/>
                    </w:rPr>
                    <w:t>浆液循环泵</w:t>
                  </w:r>
                </w:p>
              </w:tc>
              <w:tc>
                <w:tcPr>
                  <w:tcW w:w="714" w:type="dxa"/>
                  <w:vAlign w:val="center"/>
                </w:tcPr>
                <w:p w14:paraId="691239DE">
                  <w:pPr>
                    <w:widowControl/>
                    <w:jc w:val="center"/>
                    <w:rPr>
                      <w:color w:val="FF0000"/>
                      <w:sz w:val="18"/>
                      <w:szCs w:val="18"/>
                      <w:u w:val="single"/>
                    </w:rPr>
                  </w:pPr>
                  <w:r>
                    <w:rPr>
                      <w:color w:val="FF0000"/>
                      <w:sz w:val="18"/>
                      <w:szCs w:val="18"/>
                      <w:u w:val="single"/>
                    </w:rPr>
                    <w:t>70</w:t>
                  </w:r>
                </w:p>
              </w:tc>
              <w:tc>
                <w:tcPr>
                  <w:tcW w:w="1144" w:type="dxa"/>
                  <w:vAlign w:val="center"/>
                </w:tcPr>
                <w:p w14:paraId="7B42D6A2">
                  <w:pPr>
                    <w:jc w:val="center"/>
                    <w:rPr>
                      <w:color w:val="FF0000"/>
                      <w:sz w:val="18"/>
                      <w:szCs w:val="18"/>
                      <w:u w:val="single"/>
                    </w:rPr>
                  </w:pPr>
                  <w:r>
                    <w:rPr>
                      <w:color w:val="FF0000"/>
                      <w:sz w:val="18"/>
                      <w:szCs w:val="18"/>
                      <w:u w:val="single"/>
                    </w:rPr>
                    <w:t>320</w:t>
                  </w:r>
                </w:p>
              </w:tc>
              <w:tc>
                <w:tcPr>
                  <w:tcW w:w="715" w:type="dxa"/>
                  <w:vMerge w:val="continue"/>
                  <w:vAlign w:val="center"/>
                </w:tcPr>
                <w:p w14:paraId="4E30EEA6">
                  <w:pPr>
                    <w:jc w:val="center"/>
                    <w:rPr>
                      <w:color w:val="FF0000"/>
                      <w:sz w:val="18"/>
                      <w:szCs w:val="18"/>
                      <w:u w:val="single"/>
                    </w:rPr>
                  </w:pPr>
                </w:p>
              </w:tc>
              <w:tc>
                <w:tcPr>
                  <w:tcW w:w="1144" w:type="dxa"/>
                  <w:vMerge w:val="continue"/>
                  <w:vAlign w:val="center"/>
                </w:tcPr>
                <w:p w14:paraId="4640426D">
                  <w:pPr>
                    <w:jc w:val="center"/>
                    <w:rPr>
                      <w:color w:val="FF0000"/>
                      <w:sz w:val="18"/>
                      <w:szCs w:val="18"/>
                      <w:u w:val="single"/>
                    </w:rPr>
                  </w:pPr>
                </w:p>
              </w:tc>
              <w:tc>
                <w:tcPr>
                  <w:tcW w:w="1144" w:type="dxa"/>
                  <w:vMerge w:val="continue"/>
                  <w:vAlign w:val="center"/>
                </w:tcPr>
                <w:p w14:paraId="2A412D8F">
                  <w:pPr>
                    <w:jc w:val="center"/>
                    <w:rPr>
                      <w:color w:val="FF0000"/>
                      <w:sz w:val="18"/>
                      <w:szCs w:val="18"/>
                      <w:u w:val="single"/>
                    </w:rPr>
                  </w:pPr>
                </w:p>
              </w:tc>
              <w:tc>
                <w:tcPr>
                  <w:tcW w:w="1156" w:type="dxa"/>
                  <w:vMerge w:val="continue"/>
                  <w:vAlign w:val="center"/>
                </w:tcPr>
                <w:p w14:paraId="217D9840">
                  <w:pPr>
                    <w:jc w:val="center"/>
                    <w:rPr>
                      <w:color w:val="FF0000"/>
                      <w:sz w:val="18"/>
                      <w:szCs w:val="18"/>
                      <w:u w:val="single"/>
                    </w:rPr>
                  </w:pPr>
                </w:p>
              </w:tc>
              <w:tc>
                <w:tcPr>
                  <w:tcW w:w="714" w:type="dxa"/>
                  <w:vMerge w:val="continue"/>
                  <w:vAlign w:val="center"/>
                </w:tcPr>
                <w:p w14:paraId="6A4685CC">
                  <w:pPr>
                    <w:jc w:val="center"/>
                    <w:rPr>
                      <w:color w:val="FF0000"/>
                      <w:sz w:val="18"/>
                      <w:szCs w:val="18"/>
                      <w:u w:val="single"/>
                    </w:rPr>
                  </w:pPr>
                </w:p>
              </w:tc>
            </w:tr>
            <w:tr w14:paraId="73D8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123DA374">
                  <w:pPr>
                    <w:jc w:val="center"/>
                    <w:rPr>
                      <w:color w:val="FF0000"/>
                      <w:sz w:val="18"/>
                      <w:szCs w:val="18"/>
                      <w:u w:val="single"/>
                    </w:rPr>
                  </w:pPr>
                </w:p>
              </w:tc>
              <w:tc>
                <w:tcPr>
                  <w:tcW w:w="1122" w:type="dxa"/>
                  <w:vAlign w:val="center"/>
                </w:tcPr>
                <w:p w14:paraId="61B45D66">
                  <w:pPr>
                    <w:jc w:val="center"/>
                    <w:rPr>
                      <w:color w:val="FF0000"/>
                      <w:sz w:val="18"/>
                      <w:szCs w:val="18"/>
                      <w:u w:val="single"/>
                    </w:rPr>
                  </w:pPr>
                  <w:r>
                    <w:rPr>
                      <w:color w:val="FF0000"/>
                      <w:sz w:val="18"/>
                      <w:szCs w:val="18"/>
                      <w:u w:val="single"/>
                    </w:rPr>
                    <w:t>石膏泵</w:t>
                  </w:r>
                </w:p>
              </w:tc>
              <w:tc>
                <w:tcPr>
                  <w:tcW w:w="714" w:type="dxa"/>
                  <w:vAlign w:val="center"/>
                </w:tcPr>
                <w:p w14:paraId="5F6FFE1A">
                  <w:pPr>
                    <w:widowControl/>
                    <w:jc w:val="center"/>
                    <w:rPr>
                      <w:color w:val="FF0000"/>
                      <w:sz w:val="18"/>
                      <w:szCs w:val="18"/>
                      <w:u w:val="single"/>
                    </w:rPr>
                  </w:pPr>
                  <w:r>
                    <w:rPr>
                      <w:color w:val="FF0000"/>
                      <w:sz w:val="18"/>
                      <w:szCs w:val="18"/>
                      <w:u w:val="single"/>
                    </w:rPr>
                    <w:t>70</w:t>
                  </w:r>
                </w:p>
              </w:tc>
              <w:tc>
                <w:tcPr>
                  <w:tcW w:w="1144" w:type="dxa"/>
                  <w:vAlign w:val="center"/>
                </w:tcPr>
                <w:p w14:paraId="6674026F">
                  <w:pPr>
                    <w:jc w:val="center"/>
                    <w:rPr>
                      <w:color w:val="FF0000"/>
                      <w:sz w:val="18"/>
                      <w:szCs w:val="18"/>
                      <w:u w:val="single"/>
                    </w:rPr>
                  </w:pPr>
                  <w:r>
                    <w:rPr>
                      <w:color w:val="FF0000"/>
                      <w:sz w:val="18"/>
                      <w:szCs w:val="18"/>
                      <w:u w:val="single"/>
                    </w:rPr>
                    <w:t>303</w:t>
                  </w:r>
                </w:p>
              </w:tc>
              <w:tc>
                <w:tcPr>
                  <w:tcW w:w="715" w:type="dxa"/>
                  <w:vMerge w:val="continue"/>
                  <w:vAlign w:val="center"/>
                </w:tcPr>
                <w:p w14:paraId="0B8E581C">
                  <w:pPr>
                    <w:jc w:val="center"/>
                    <w:rPr>
                      <w:color w:val="FF0000"/>
                      <w:sz w:val="18"/>
                      <w:szCs w:val="18"/>
                      <w:u w:val="single"/>
                    </w:rPr>
                  </w:pPr>
                </w:p>
              </w:tc>
              <w:tc>
                <w:tcPr>
                  <w:tcW w:w="1144" w:type="dxa"/>
                  <w:vMerge w:val="continue"/>
                  <w:vAlign w:val="center"/>
                </w:tcPr>
                <w:p w14:paraId="6ED6E058">
                  <w:pPr>
                    <w:jc w:val="center"/>
                    <w:rPr>
                      <w:color w:val="FF0000"/>
                      <w:sz w:val="18"/>
                      <w:szCs w:val="18"/>
                      <w:u w:val="single"/>
                    </w:rPr>
                  </w:pPr>
                </w:p>
              </w:tc>
              <w:tc>
                <w:tcPr>
                  <w:tcW w:w="1144" w:type="dxa"/>
                  <w:vMerge w:val="continue"/>
                  <w:vAlign w:val="center"/>
                </w:tcPr>
                <w:p w14:paraId="44697652">
                  <w:pPr>
                    <w:jc w:val="center"/>
                    <w:rPr>
                      <w:color w:val="FF0000"/>
                      <w:sz w:val="18"/>
                      <w:szCs w:val="18"/>
                      <w:u w:val="single"/>
                    </w:rPr>
                  </w:pPr>
                </w:p>
              </w:tc>
              <w:tc>
                <w:tcPr>
                  <w:tcW w:w="1156" w:type="dxa"/>
                  <w:vMerge w:val="continue"/>
                  <w:vAlign w:val="center"/>
                </w:tcPr>
                <w:p w14:paraId="1CED066D">
                  <w:pPr>
                    <w:jc w:val="center"/>
                    <w:rPr>
                      <w:color w:val="FF0000"/>
                      <w:sz w:val="18"/>
                      <w:szCs w:val="18"/>
                      <w:u w:val="single"/>
                    </w:rPr>
                  </w:pPr>
                </w:p>
              </w:tc>
              <w:tc>
                <w:tcPr>
                  <w:tcW w:w="714" w:type="dxa"/>
                  <w:vMerge w:val="continue"/>
                  <w:vAlign w:val="center"/>
                </w:tcPr>
                <w:p w14:paraId="4C1C46E2">
                  <w:pPr>
                    <w:jc w:val="center"/>
                    <w:rPr>
                      <w:color w:val="FF0000"/>
                      <w:sz w:val="18"/>
                      <w:szCs w:val="18"/>
                      <w:u w:val="single"/>
                    </w:rPr>
                  </w:pPr>
                </w:p>
              </w:tc>
            </w:tr>
            <w:tr w14:paraId="704F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69FB8B06">
                  <w:pPr>
                    <w:jc w:val="center"/>
                    <w:rPr>
                      <w:color w:val="FF0000"/>
                      <w:sz w:val="18"/>
                      <w:szCs w:val="18"/>
                      <w:u w:val="single"/>
                    </w:rPr>
                  </w:pPr>
                </w:p>
              </w:tc>
              <w:tc>
                <w:tcPr>
                  <w:tcW w:w="1122" w:type="dxa"/>
                  <w:vAlign w:val="center"/>
                </w:tcPr>
                <w:p w14:paraId="7211527F">
                  <w:pPr>
                    <w:jc w:val="center"/>
                    <w:rPr>
                      <w:color w:val="FF0000"/>
                      <w:sz w:val="18"/>
                      <w:szCs w:val="18"/>
                      <w:u w:val="single"/>
                    </w:rPr>
                  </w:pPr>
                  <w:r>
                    <w:rPr>
                      <w:color w:val="FF0000"/>
                      <w:sz w:val="18"/>
                      <w:szCs w:val="18"/>
                      <w:u w:val="single"/>
                    </w:rPr>
                    <w:t>污水泵</w:t>
                  </w:r>
                </w:p>
              </w:tc>
              <w:tc>
                <w:tcPr>
                  <w:tcW w:w="714" w:type="dxa"/>
                  <w:vAlign w:val="center"/>
                </w:tcPr>
                <w:p w14:paraId="1D96D2DE">
                  <w:pPr>
                    <w:widowControl/>
                    <w:jc w:val="center"/>
                    <w:rPr>
                      <w:color w:val="FF0000"/>
                      <w:sz w:val="18"/>
                      <w:szCs w:val="18"/>
                      <w:u w:val="single"/>
                    </w:rPr>
                  </w:pPr>
                  <w:r>
                    <w:rPr>
                      <w:color w:val="FF0000"/>
                      <w:sz w:val="18"/>
                      <w:szCs w:val="18"/>
                      <w:u w:val="single"/>
                    </w:rPr>
                    <w:t>65</w:t>
                  </w:r>
                </w:p>
              </w:tc>
              <w:tc>
                <w:tcPr>
                  <w:tcW w:w="1144" w:type="dxa"/>
                  <w:vAlign w:val="center"/>
                </w:tcPr>
                <w:p w14:paraId="3E244486">
                  <w:pPr>
                    <w:jc w:val="center"/>
                    <w:rPr>
                      <w:color w:val="FF0000"/>
                      <w:sz w:val="18"/>
                      <w:szCs w:val="18"/>
                      <w:u w:val="single"/>
                    </w:rPr>
                  </w:pPr>
                  <w:r>
                    <w:rPr>
                      <w:color w:val="FF0000"/>
                      <w:sz w:val="18"/>
                      <w:szCs w:val="18"/>
                      <w:u w:val="single"/>
                    </w:rPr>
                    <w:t>290</w:t>
                  </w:r>
                </w:p>
              </w:tc>
              <w:tc>
                <w:tcPr>
                  <w:tcW w:w="715" w:type="dxa"/>
                  <w:vMerge w:val="continue"/>
                  <w:vAlign w:val="center"/>
                </w:tcPr>
                <w:p w14:paraId="10659329">
                  <w:pPr>
                    <w:jc w:val="center"/>
                    <w:rPr>
                      <w:color w:val="FF0000"/>
                      <w:sz w:val="18"/>
                      <w:szCs w:val="18"/>
                      <w:u w:val="single"/>
                    </w:rPr>
                  </w:pPr>
                </w:p>
              </w:tc>
              <w:tc>
                <w:tcPr>
                  <w:tcW w:w="1144" w:type="dxa"/>
                  <w:vMerge w:val="continue"/>
                  <w:vAlign w:val="center"/>
                </w:tcPr>
                <w:p w14:paraId="23CB5481">
                  <w:pPr>
                    <w:jc w:val="center"/>
                    <w:rPr>
                      <w:color w:val="FF0000"/>
                      <w:sz w:val="18"/>
                      <w:szCs w:val="18"/>
                      <w:u w:val="single"/>
                    </w:rPr>
                  </w:pPr>
                </w:p>
              </w:tc>
              <w:tc>
                <w:tcPr>
                  <w:tcW w:w="1144" w:type="dxa"/>
                  <w:vMerge w:val="continue"/>
                  <w:vAlign w:val="center"/>
                </w:tcPr>
                <w:p w14:paraId="4A758CB7">
                  <w:pPr>
                    <w:jc w:val="center"/>
                    <w:rPr>
                      <w:color w:val="FF0000"/>
                      <w:sz w:val="18"/>
                      <w:szCs w:val="18"/>
                      <w:u w:val="single"/>
                    </w:rPr>
                  </w:pPr>
                </w:p>
              </w:tc>
              <w:tc>
                <w:tcPr>
                  <w:tcW w:w="1156" w:type="dxa"/>
                  <w:vMerge w:val="continue"/>
                  <w:vAlign w:val="center"/>
                </w:tcPr>
                <w:p w14:paraId="1AA416A2">
                  <w:pPr>
                    <w:jc w:val="center"/>
                    <w:rPr>
                      <w:color w:val="FF0000"/>
                      <w:sz w:val="18"/>
                      <w:szCs w:val="18"/>
                      <w:u w:val="single"/>
                    </w:rPr>
                  </w:pPr>
                </w:p>
              </w:tc>
              <w:tc>
                <w:tcPr>
                  <w:tcW w:w="714" w:type="dxa"/>
                  <w:vMerge w:val="continue"/>
                  <w:vAlign w:val="center"/>
                </w:tcPr>
                <w:p w14:paraId="240509A3">
                  <w:pPr>
                    <w:jc w:val="center"/>
                    <w:rPr>
                      <w:color w:val="FF0000"/>
                      <w:sz w:val="18"/>
                      <w:szCs w:val="18"/>
                      <w:u w:val="single"/>
                    </w:rPr>
                  </w:pPr>
                </w:p>
              </w:tc>
            </w:tr>
            <w:tr w14:paraId="31DC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Merge w:val="continue"/>
                  <w:vAlign w:val="center"/>
                </w:tcPr>
                <w:p w14:paraId="3171D3C8">
                  <w:pPr>
                    <w:jc w:val="center"/>
                    <w:rPr>
                      <w:color w:val="FF0000"/>
                      <w:sz w:val="18"/>
                      <w:szCs w:val="18"/>
                      <w:u w:val="single"/>
                    </w:rPr>
                  </w:pPr>
                </w:p>
              </w:tc>
              <w:tc>
                <w:tcPr>
                  <w:tcW w:w="1122" w:type="dxa"/>
                  <w:vAlign w:val="center"/>
                </w:tcPr>
                <w:p w14:paraId="76D67020">
                  <w:pPr>
                    <w:jc w:val="center"/>
                    <w:rPr>
                      <w:color w:val="FF0000"/>
                      <w:sz w:val="18"/>
                      <w:szCs w:val="18"/>
                      <w:u w:val="single"/>
                    </w:rPr>
                  </w:pPr>
                  <w:r>
                    <w:rPr>
                      <w:color w:val="FF0000"/>
                      <w:sz w:val="18"/>
                      <w:szCs w:val="18"/>
                      <w:u w:val="single"/>
                    </w:rPr>
                    <w:t>污泥泵</w:t>
                  </w:r>
                </w:p>
              </w:tc>
              <w:tc>
                <w:tcPr>
                  <w:tcW w:w="714" w:type="dxa"/>
                  <w:vAlign w:val="center"/>
                </w:tcPr>
                <w:p w14:paraId="1B987EFA">
                  <w:pPr>
                    <w:widowControl/>
                    <w:jc w:val="center"/>
                    <w:rPr>
                      <w:color w:val="FF0000"/>
                      <w:sz w:val="18"/>
                      <w:szCs w:val="18"/>
                      <w:u w:val="single"/>
                    </w:rPr>
                  </w:pPr>
                  <w:r>
                    <w:rPr>
                      <w:color w:val="FF0000"/>
                      <w:sz w:val="18"/>
                      <w:szCs w:val="18"/>
                      <w:u w:val="single"/>
                    </w:rPr>
                    <w:t>65</w:t>
                  </w:r>
                </w:p>
              </w:tc>
              <w:tc>
                <w:tcPr>
                  <w:tcW w:w="1144" w:type="dxa"/>
                  <w:vAlign w:val="center"/>
                </w:tcPr>
                <w:p w14:paraId="444C0055">
                  <w:pPr>
                    <w:jc w:val="center"/>
                    <w:rPr>
                      <w:color w:val="FF0000"/>
                      <w:sz w:val="18"/>
                      <w:szCs w:val="18"/>
                      <w:u w:val="single"/>
                    </w:rPr>
                  </w:pPr>
                  <w:r>
                    <w:rPr>
                      <w:color w:val="FF0000"/>
                      <w:sz w:val="18"/>
                      <w:szCs w:val="18"/>
                      <w:u w:val="single"/>
                    </w:rPr>
                    <w:t>280</w:t>
                  </w:r>
                </w:p>
              </w:tc>
              <w:tc>
                <w:tcPr>
                  <w:tcW w:w="715" w:type="dxa"/>
                  <w:vMerge w:val="continue"/>
                  <w:vAlign w:val="center"/>
                </w:tcPr>
                <w:p w14:paraId="32B5899B">
                  <w:pPr>
                    <w:jc w:val="center"/>
                    <w:rPr>
                      <w:color w:val="FF0000"/>
                      <w:sz w:val="18"/>
                      <w:szCs w:val="18"/>
                      <w:u w:val="single"/>
                    </w:rPr>
                  </w:pPr>
                </w:p>
              </w:tc>
              <w:tc>
                <w:tcPr>
                  <w:tcW w:w="1144" w:type="dxa"/>
                  <w:vMerge w:val="continue"/>
                  <w:vAlign w:val="center"/>
                </w:tcPr>
                <w:p w14:paraId="796CD925">
                  <w:pPr>
                    <w:jc w:val="center"/>
                    <w:rPr>
                      <w:color w:val="FF0000"/>
                      <w:sz w:val="18"/>
                      <w:szCs w:val="18"/>
                      <w:u w:val="single"/>
                    </w:rPr>
                  </w:pPr>
                </w:p>
              </w:tc>
              <w:tc>
                <w:tcPr>
                  <w:tcW w:w="1144" w:type="dxa"/>
                  <w:vMerge w:val="continue"/>
                  <w:vAlign w:val="center"/>
                </w:tcPr>
                <w:p w14:paraId="5FD3587A">
                  <w:pPr>
                    <w:jc w:val="center"/>
                    <w:rPr>
                      <w:color w:val="FF0000"/>
                      <w:sz w:val="18"/>
                      <w:szCs w:val="18"/>
                      <w:u w:val="single"/>
                    </w:rPr>
                  </w:pPr>
                </w:p>
              </w:tc>
              <w:tc>
                <w:tcPr>
                  <w:tcW w:w="1156" w:type="dxa"/>
                  <w:vMerge w:val="continue"/>
                  <w:vAlign w:val="center"/>
                </w:tcPr>
                <w:p w14:paraId="49F619DC">
                  <w:pPr>
                    <w:jc w:val="center"/>
                    <w:rPr>
                      <w:color w:val="FF0000"/>
                      <w:sz w:val="18"/>
                      <w:szCs w:val="18"/>
                      <w:u w:val="single"/>
                    </w:rPr>
                  </w:pPr>
                </w:p>
              </w:tc>
              <w:tc>
                <w:tcPr>
                  <w:tcW w:w="714" w:type="dxa"/>
                  <w:vMerge w:val="continue"/>
                  <w:vAlign w:val="center"/>
                </w:tcPr>
                <w:p w14:paraId="014AE916">
                  <w:pPr>
                    <w:jc w:val="center"/>
                    <w:rPr>
                      <w:color w:val="FF0000"/>
                      <w:sz w:val="18"/>
                      <w:szCs w:val="18"/>
                      <w:u w:val="single"/>
                    </w:rPr>
                  </w:pPr>
                </w:p>
              </w:tc>
            </w:tr>
          </w:tbl>
          <w:p w14:paraId="55391EC9">
            <w:pPr>
              <w:pStyle w:val="17"/>
              <w:widowControl w:val="0"/>
              <w:topLinePunct/>
              <w:adjustRightInd w:val="0"/>
              <w:snapToGrid/>
              <w:spacing w:before="0" w:after="0" w:line="520" w:lineRule="exact"/>
              <w:ind w:right="0" w:firstLine="480" w:firstLineChars="200"/>
              <w:rPr>
                <w:color w:val="FF0000"/>
                <w:sz w:val="24"/>
                <w:szCs w:val="24"/>
                <w:u w:val="single"/>
              </w:rPr>
            </w:pPr>
            <w:r>
              <w:rPr>
                <w:color w:val="FF0000"/>
                <w:sz w:val="24"/>
                <w:szCs w:val="24"/>
                <w:u w:val="single"/>
              </w:rPr>
              <w:t>经预测，项目运营期噪声在采取相应的降噪措施后，东、西、北厂界噪声预测值均可满足《工业企业厂界环境噪声排放标准》（GB12348-2008）中2类昼夜间排放限值要求，南厂界邻省道，噪声预测值可满足《工业企业厂界环境噪声排放标准》（GB12348-2008）中4类昼夜间排放限值要求；项目东南侧环境敏感点闹店人民法庭、西南侧闹店敬老院噪声预测值可满足《声环境质量标准》（GB3096—2008），项目营运期噪声对周围环境的影响较小。</w:t>
            </w:r>
          </w:p>
          <w:p w14:paraId="0B5EE528">
            <w:pPr>
              <w:spacing w:line="520" w:lineRule="exact"/>
              <w:ind w:firstLine="480" w:firstLineChars="200"/>
              <w:rPr>
                <w:bCs/>
                <w:kern w:val="0"/>
                <w:sz w:val="24"/>
              </w:rPr>
            </w:pPr>
            <w:r>
              <w:rPr>
                <w:bCs/>
                <w:kern w:val="0"/>
                <w:sz w:val="24"/>
              </w:rPr>
              <w:t>噪声治理措施：</w:t>
            </w:r>
          </w:p>
          <w:p w14:paraId="71A3AAF5">
            <w:pPr>
              <w:pStyle w:val="180"/>
              <w:spacing w:line="520" w:lineRule="exact"/>
              <w:ind w:firstLine="480"/>
              <w:rPr>
                <w:rFonts w:ascii="Times New Roman" w:hAnsi="Times New Roman"/>
                <w:bCs/>
                <w:kern w:val="0"/>
                <w:sz w:val="24"/>
              </w:rPr>
            </w:pPr>
            <w:r>
              <w:rPr>
                <w:rFonts w:ascii="Times New Roman" w:hAnsi="Times New Roman"/>
                <w:bCs/>
                <w:kern w:val="0"/>
                <w:sz w:val="24"/>
              </w:rPr>
              <w:fldChar w:fldCharType="begin"/>
            </w:r>
            <w:r>
              <w:rPr>
                <w:rFonts w:ascii="Times New Roman" w:hAnsi="Times New Roman"/>
                <w:bCs/>
                <w:kern w:val="0"/>
                <w:sz w:val="24"/>
              </w:rPr>
              <w:instrText xml:space="preserve"> = 1 \* GB3 </w:instrText>
            </w:r>
            <w:r>
              <w:rPr>
                <w:rFonts w:ascii="Times New Roman" w:hAnsi="Times New Roman"/>
                <w:bCs/>
                <w:kern w:val="0"/>
                <w:sz w:val="24"/>
              </w:rPr>
              <w:fldChar w:fldCharType="separate"/>
            </w:r>
            <w:r>
              <w:rPr>
                <w:rFonts w:ascii="Cambria Math" w:hAnsi="Cambria Math" w:cs="Cambria Math"/>
                <w:bCs/>
                <w:kern w:val="0"/>
                <w:sz w:val="24"/>
              </w:rPr>
              <w:t>①</w:t>
            </w:r>
            <w:r>
              <w:rPr>
                <w:rFonts w:ascii="Times New Roman" w:hAnsi="Times New Roman"/>
                <w:bCs/>
                <w:kern w:val="0"/>
                <w:sz w:val="24"/>
              </w:rPr>
              <w:fldChar w:fldCharType="end"/>
            </w:r>
            <w:r>
              <w:rPr>
                <w:rFonts w:ascii="Times New Roman" w:hAnsi="Times New Roman"/>
                <w:bCs/>
                <w:kern w:val="0"/>
                <w:sz w:val="24"/>
              </w:rPr>
              <w:t>根据本项目噪声源特征，建议在设计和设备采购阶段，选用低噪声的设备、风机、泵类；</w:t>
            </w:r>
          </w:p>
          <w:p w14:paraId="5315FB17">
            <w:pPr>
              <w:spacing w:line="520" w:lineRule="exact"/>
              <w:ind w:firstLine="480" w:firstLineChars="200"/>
              <w:rPr>
                <w:bCs/>
                <w:kern w:val="0"/>
                <w:sz w:val="24"/>
              </w:rPr>
            </w:pPr>
            <w:r>
              <w:rPr>
                <w:rFonts w:ascii="Cambria Math" w:hAnsi="Cambria Math" w:cs="Cambria Math"/>
                <w:bCs/>
                <w:kern w:val="0"/>
                <w:sz w:val="24"/>
              </w:rPr>
              <w:t>②</w:t>
            </w:r>
            <w:r>
              <w:rPr>
                <w:bCs/>
                <w:kern w:val="0"/>
                <w:sz w:val="24"/>
              </w:rPr>
              <w:t>风机进气口安装消声器，风机本体设置隔声罩，基础做减振处理。</w:t>
            </w:r>
          </w:p>
          <w:p w14:paraId="42536C5D">
            <w:pPr>
              <w:spacing w:line="520" w:lineRule="exact"/>
              <w:ind w:firstLine="480" w:firstLineChars="200"/>
              <w:rPr>
                <w:bCs/>
                <w:kern w:val="0"/>
                <w:sz w:val="24"/>
              </w:rPr>
            </w:pPr>
            <w:r>
              <w:rPr>
                <w:bCs/>
                <w:kern w:val="0"/>
                <w:sz w:val="24"/>
              </w:rPr>
              <w:fldChar w:fldCharType="begin"/>
            </w:r>
            <w:r>
              <w:rPr>
                <w:bCs/>
                <w:kern w:val="0"/>
                <w:sz w:val="24"/>
              </w:rPr>
              <w:instrText xml:space="preserve"> = 3 \* GB3 </w:instrText>
            </w:r>
            <w:r>
              <w:rPr>
                <w:bCs/>
                <w:kern w:val="0"/>
                <w:sz w:val="24"/>
              </w:rPr>
              <w:fldChar w:fldCharType="separate"/>
            </w:r>
            <w:r>
              <w:rPr>
                <w:rFonts w:ascii="Cambria Math" w:hAnsi="Cambria Math" w:cs="Cambria Math"/>
                <w:bCs/>
                <w:kern w:val="0"/>
                <w:sz w:val="24"/>
              </w:rPr>
              <w:t>③</w:t>
            </w:r>
            <w:r>
              <w:rPr>
                <w:bCs/>
                <w:kern w:val="0"/>
                <w:sz w:val="24"/>
              </w:rPr>
              <w:fldChar w:fldCharType="end"/>
            </w:r>
            <w:r>
              <w:rPr>
                <w:bCs/>
                <w:kern w:val="0"/>
                <w:sz w:val="24"/>
              </w:rPr>
              <w:t>泵类采用低噪声电机，泵体与管道之间加装柔性接头，基础铺设减振垫，设置地下泵房，利用建筑隔声。</w:t>
            </w:r>
          </w:p>
          <w:p w14:paraId="0F18B26D">
            <w:pPr>
              <w:spacing w:line="520" w:lineRule="exact"/>
              <w:ind w:firstLine="480" w:firstLineChars="200"/>
              <w:rPr>
                <w:bCs/>
                <w:kern w:val="0"/>
                <w:sz w:val="24"/>
              </w:rPr>
            </w:pPr>
            <w:r>
              <w:rPr>
                <w:bCs/>
                <w:kern w:val="0"/>
                <w:sz w:val="24"/>
              </w:rPr>
              <w:fldChar w:fldCharType="begin"/>
            </w:r>
            <w:r>
              <w:rPr>
                <w:bCs/>
                <w:kern w:val="0"/>
                <w:sz w:val="24"/>
              </w:rPr>
              <w:instrText xml:space="preserve"> = 4 \* GB3 </w:instrText>
            </w:r>
            <w:r>
              <w:rPr>
                <w:bCs/>
                <w:kern w:val="0"/>
                <w:sz w:val="24"/>
              </w:rPr>
              <w:fldChar w:fldCharType="separate"/>
            </w:r>
            <w:r>
              <w:rPr>
                <w:rFonts w:ascii="Cambria Math" w:hAnsi="Cambria Math" w:cs="Cambria Math"/>
                <w:bCs/>
                <w:kern w:val="0"/>
                <w:sz w:val="24"/>
              </w:rPr>
              <w:t>④</w:t>
            </w:r>
            <w:r>
              <w:rPr>
                <w:bCs/>
                <w:kern w:val="0"/>
                <w:sz w:val="24"/>
              </w:rPr>
              <w:fldChar w:fldCharType="end"/>
            </w:r>
            <w:r>
              <w:rPr>
                <w:bCs/>
                <w:kern w:val="0"/>
                <w:sz w:val="24"/>
              </w:rPr>
              <w:t>建立设备定期维护、保养的管理制度，以防止设备故障形成的非正常噪声，同时确保环保措施发挥最有效的功能；加强职工环保意识教育，器件、工具等应轻拿轻放，防止人为噪声。</w:t>
            </w:r>
          </w:p>
          <w:p w14:paraId="4181C6EE">
            <w:pPr>
              <w:spacing w:line="520" w:lineRule="exact"/>
              <w:jc w:val="left"/>
              <w:rPr>
                <w:rFonts w:eastAsia="黑体"/>
                <w:bCs/>
                <w:sz w:val="24"/>
              </w:rPr>
            </w:pPr>
            <w:r>
              <w:rPr>
                <w:rFonts w:eastAsia="黑体"/>
                <w:bCs/>
                <w:sz w:val="24"/>
              </w:rPr>
              <w:t>3.3噪声自行监测计划</w:t>
            </w:r>
          </w:p>
          <w:p w14:paraId="2AB96F4E">
            <w:pPr>
              <w:spacing w:line="520" w:lineRule="exact"/>
              <w:ind w:firstLine="480" w:firstLineChars="200"/>
              <w:rPr>
                <w:bCs/>
                <w:kern w:val="0"/>
                <w:sz w:val="24"/>
              </w:rPr>
            </w:pPr>
            <w:r>
              <w:rPr>
                <w:bCs/>
                <w:kern w:val="0"/>
                <w:sz w:val="24"/>
              </w:rPr>
              <w:t>根据</w:t>
            </w:r>
            <w:r>
              <w:rPr>
                <w:sz w:val="24"/>
              </w:rPr>
              <w:t>《排污单位自行监测技术指南    砖瓦工业》（HJ1254-2022）</w:t>
            </w:r>
            <w:r>
              <w:rPr>
                <w:bCs/>
                <w:kern w:val="0"/>
                <w:sz w:val="24"/>
              </w:rPr>
              <w:t>，噪声自行监测计划见下表。</w:t>
            </w:r>
          </w:p>
          <w:p w14:paraId="26EFCAD2">
            <w:pPr>
              <w:tabs>
                <w:tab w:val="left" w:pos="3638"/>
                <w:tab w:val="left" w:pos="8558"/>
              </w:tabs>
              <w:spacing w:line="520" w:lineRule="exact"/>
              <w:jc w:val="center"/>
              <w:rPr>
                <w:rFonts w:eastAsia="黑体"/>
                <w:sz w:val="24"/>
              </w:rPr>
            </w:pPr>
            <w:r>
              <w:rPr>
                <w:rFonts w:eastAsia="黑体"/>
                <w:sz w:val="24"/>
              </w:rPr>
              <w:t>表4-25         噪声自行监测计划表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2340"/>
              <w:gridCol w:w="2683"/>
              <w:gridCol w:w="1998"/>
            </w:tblGrid>
            <w:tr w14:paraId="0790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pct"/>
                  <w:vAlign w:val="center"/>
                </w:tcPr>
                <w:p w14:paraId="584498B4">
                  <w:pPr>
                    <w:pStyle w:val="17"/>
                    <w:widowControl w:val="0"/>
                    <w:spacing w:before="0" w:after="0" w:line="360" w:lineRule="exact"/>
                    <w:ind w:right="0"/>
                    <w:jc w:val="center"/>
                    <w:rPr>
                      <w:bCs/>
                      <w:color w:val="FF0000"/>
                      <w:sz w:val="21"/>
                      <w:szCs w:val="21"/>
                      <w:u w:val="single"/>
                    </w:rPr>
                  </w:pPr>
                  <w:r>
                    <w:rPr>
                      <w:bCs/>
                      <w:color w:val="FF0000"/>
                      <w:sz w:val="21"/>
                      <w:szCs w:val="21"/>
                      <w:u w:val="single"/>
                    </w:rPr>
                    <w:t>监测点位</w:t>
                  </w:r>
                </w:p>
              </w:tc>
              <w:tc>
                <w:tcPr>
                  <w:tcW w:w="1414" w:type="pct"/>
                  <w:vAlign w:val="center"/>
                </w:tcPr>
                <w:p w14:paraId="5AA316FE">
                  <w:pPr>
                    <w:pStyle w:val="17"/>
                    <w:widowControl w:val="0"/>
                    <w:spacing w:before="0" w:after="0" w:line="360" w:lineRule="exact"/>
                    <w:ind w:right="0"/>
                    <w:jc w:val="center"/>
                    <w:rPr>
                      <w:bCs/>
                      <w:color w:val="FF0000"/>
                      <w:sz w:val="21"/>
                      <w:szCs w:val="21"/>
                      <w:u w:val="single"/>
                    </w:rPr>
                  </w:pPr>
                  <w:r>
                    <w:rPr>
                      <w:bCs/>
                      <w:color w:val="FF0000"/>
                      <w:sz w:val="21"/>
                      <w:szCs w:val="21"/>
                      <w:u w:val="single"/>
                    </w:rPr>
                    <w:t>监测布设</w:t>
                  </w:r>
                </w:p>
              </w:tc>
              <w:tc>
                <w:tcPr>
                  <w:tcW w:w="1621" w:type="pct"/>
                  <w:vAlign w:val="center"/>
                </w:tcPr>
                <w:p w14:paraId="3DB5F3CD">
                  <w:pPr>
                    <w:pStyle w:val="17"/>
                    <w:widowControl w:val="0"/>
                    <w:spacing w:before="0" w:after="0" w:line="360" w:lineRule="exact"/>
                    <w:ind w:right="0"/>
                    <w:jc w:val="center"/>
                    <w:rPr>
                      <w:bCs/>
                      <w:color w:val="FF0000"/>
                      <w:sz w:val="21"/>
                      <w:szCs w:val="21"/>
                      <w:u w:val="single"/>
                    </w:rPr>
                  </w:pPr>
                  <w:r>
                    <w:rPr>
                      <w:bCs/>
                      <w:color w:val="FF0000"/>
                      <w:sz w:val="21"/>
                      <w:szCs w:val="21"/>
                      <w:u w:val="single"/>
                    </w:rPr>
                    <w:t>监测指标</w:t>
                  </w:r>
                </w:p>
              </w:tc>
              <w:tc>
                <w:tcPr>
                  <w:tcW w:w="1208" w:type="pct"/>
                  <w:vAlign w:val="center"/>
                </w:tcPr>
                <w:p w14:paraId="0856DE09">
                  <w:pPr>
                    <w:pStyle w:val="17"/>
                    <w:widowControl w:val="0"/>
                    <w:spacing w:before="0" w:after="0" w:line="360" w:lineRule="exact"/>
                    <w:ind w:right="0"/>
                    <w:jc w:val="center"/>
                    <w:rPr>
                      <w:bCs/>
                      <w:color w:val="FF0000"/>
                      <w:sz w:val="21"/>
                      <w:szCs w:val="21"/>
                      <w:u w:val="single"/>
                    </w:rPr>
                  </w:pPr>
                  <w:r>
                    <w:rPr>
                      <w:bCs/>
                      <w:color w:val="FF0000"/>
                      <w:sz w:val="21"/>
                      <w:szCs w:val="21"/>
                      <w:u w:val="single"/>
                    </w:rPr>
                    <w:t>监测频次</w:t>
                  </w:r>
                </w:p>
              </w:tc>
            </w:tr>
            <w:tr w14:paraId="7D8A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pct"/>
                  <w:vMerge w:val="restart"/>
                  <w:vAlign w:val="center"/>
                </w:tcPr>
                <w:p w14:paraId="56794BCC">
                  <w:pPr>
                    <w:snapToGrid w:val="0"/>
                    <w:spacing w:line="360" w:lineRule="exact"/>
                    <w:jc w:val="center"/>
                    <w:rPr>
                      <w:bCs/>
                      <w:color w:val="FF0000"/>
                      <w:szCs w:val="21"/>
                      <w:u w:val="single"/>
                    </w:rPr>
                  </w:pPr>
                  <w:r>
                    <w:rPr>
                      <w:bCs/>
                      <w:color w:val="FF0000"/>
                      <w:szCs w:val="21"/>
                      <w:u w:val="single"/>
                    </w:rPr>
                    <w:t>厂界</w:t>
                  </w:r>
                </w:p>
              </w:tc>
              <w:tc>
                <w:tcPr>
                  <w:tcW w:w="1414" w:type="pct"/>
                  <w:vMerge w:val="restart"/>
                  <w:vAlign w:val="center"/>
                </w:tcPr>
                <w:p w14:paraId="065DB6F1">
                  <w:pPr>
                    <w:snapToGrid w:val="0"/>
                    <w:spacing w:line="360" w:lineRule="exact"/>
                    <w:jc w:val="center"/>
                    <w:rPr>
                      <w:bCs/>
                      <w:color w:val="FF0000"/>
                      <w:szCs w:val="21"/>
                      <w:u w:val="single"/>
                    </w:rPr>
                  </w:pPr>
                  <w:r>
                    <w:rPr>
                      <w:bCs/>
                      <w:color w:val="FF0000"/>
                      <w:szCs w:val="21"/>
                      <w:u w:val="single"/>
                    </w:rPr>
                    <w:t>东、南、西、北厂界</w:t>
                  </w:r>
                </w:p>
              </w:tc>
              <w:tc>
                <w:tcPr>
                  <w:tcW w:w="1621" w:type="pct"/>
                  <w:vAlign w:val="center"/>
                </w:tcPr>
                <w:p w14:paraId="543FE942">
                  <w:pPr>
                    <w:spacing w:line="360" w:lineRule="exact"/>
                    <w:jc w:val="center"/>
                    <w:rPr>
                      <w:bCs/>
                      <w:color w:val="FF0000"/>
                      <w:szCs w:val="21"/>
                      <w:u w:val="single"/>
                    </w:rPr>
                  </w:pPr>
                  <w:r>
                    <w:rPr>
                      <w:bCs/>
                      <w:color w:val="FF0000"/>
                      <w:szCs w:val="21"/>
                      <w:u w:val="single"/>
                    </w:rPr>
                    <w:t>昼、夜Leq</w:t>
                  </w:r>
                </w:p>
              </w:tc>
              <w:tc>
                <w:tcPr>
                  <w:tcW w:w="1208" w:type="pct"/>
                  <w:vAlign w:val="center"/>
                </w:tcPr>
                <w:p w14:paraId="32E45B2D">
                  <w:pPr>
                    <w:snapToGrid w:val="0"/>
                    <w:spacing w:line="360" w:lineRule="exact"/>
                    <w:jc w:val="center"/>
                    <w:rPr>
                      <w:bCs/>
                      <w:color w:val="FF0000"/>
                      <w:szCs w:val="21"/>
                      <w:u w:val="single"/>
                    </w:rPr>
                  </w:pPr>
                  <w:r>
                    <w:rPr>
                      <w:bCs/>
                      <w:color w:val="FF0000"/>
                      <w:szCs w:val="21"/>
                      <w:u w:val="single"/>
                    </w:rPr>
                    <w:t>1次/季度</w:t>
                  </w:r>
                </w:p>
              </w:tc>
            </w:tr>
            <w:tr w14:paraId="23C4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pct"/>
                  <w:vMerge w:val="continue"/>
                  <w:vAlign w:val="center"/>
                </w:tcPr>
                <w:p w14:paraId="781C2357">
                  <w:pPr>
                    <w:snapToGrid w:val="0"/>
                    <w:spacing w:line="360" w:lineRule="exact"/>
                    <w:jc w:val="center"/>
                    <w:rPr>
                      <w:bCs/>
                      <w:color w:val="FF0000"/>
                      <w:szCs w:val="21"/>
                      <w:u w:val="single"/>
                    </w:rPr>
                  </w:pPr>
                </w:p>
              </w:tc>
              <w:tc>
                <w:tcPr>
                  <w:tcW w:w="1414" w:type="pct"/>
                  <w:vMerge w:val="continue"/>
                  <w:vAlign w:val="center"/>
                </w:tcPr>
                <w:p w14:paraId="6A84BDA9">
                  <w:pPr>
                    <w:snapToGrid w:val="0"/>
                    <w:spacing w:line="360" w:lineRule="exact"/>
                    <w:jc w:val="center"/>
                    <w:rPr>
                      <w:bCs/>
                      <w:color w:val="FF0000"/>
                      <w:szCs w:val="21"/>
                      <w:u w:val="single"/>
                    </w:rPr>
                  </w:pPr>
                </w:p>
              </w:tc>
              <w:tc>
                <w:tcPr>
                  <w:tcW w:w="1621" w:type="pct"/>
                  <w:vAlign w:val="center"/>
                </w:tcPr>
                <w:p w14:paraId="016CDC62">
                  <w:pPr>
                    <w:spacing w:line="360" w:lineRule="exact"/>
                    <w:jc w:val="center"/>
                    <w:rPr>
                      <w:bCs/>
                      <w:color w:val="FF0000"/>
                      <w:szCs w:val="21"/>
                      <w:u w:val="single"/>
                    </w:rPr>
                  </w:pPr>
                  <w:r>
                    <w:rPr>
                      <w:bCs/>
                      <w:color w:val="FF0000"/>
                      <w:szCs w:val="21"/>
                      <w:u w:val="single"/>
                    </w:rPr>
                    <w:t>频发噪声、偶发噪声Lmax</w:t>
                  </w:r>
                </w:p>
              </w:tc>
              <w:tc>
                <w:tcPr>
                  <w:tcW w:w="1208" w:type="pct"/>
                  <w:vAlign w:val="center"/>
                </w:tcPr>
                <w:p w14:paraId="484F42DD">
                  <w:pPr>
                    <w:snapToGrid w:val="0"/>
                    <w:spacing w:line="360" w:lineRule="exact"/>
                    <w:jc w:val="center"/>
                    <w:rPr>
                      <w:bCs/>
                      <w:color w:val="FF0000"/>
                      <w:szCs w:val="21"/>
                      <w:u w:val="single"/>
                    </w:rPr>
                  </w:pPr>
                  <w:r>
                    <w:rPr>
                      <w:bCs/>
                      <w:color w:val="FF0000"/>
                      <w:szCs w:val="21"/>
                      <w:u w:val="single"/>
                    </w:rPr>
                    <w:t>发生时进行监测</w:t>
                  </w:r>
                </w:p>
              </w:tc>
            </w:tr>
          </w:tbl>
          <w:p w14:paraId="7C8DE3F0">
            <w:pPr>
              <w:spacing w:line="520" w:lineRule="exact"/>
              <w:jc w:val="left"/>
              <w:rPr>
                <w:rFonts w:eastAsia="黑体"/>
                <w:bCs/>
                <w:sz w:val="24"/>
              </w:rPr>
            </w:pPr>
            <w:r>
              <w:rPr>
                <w:rFonts w:eastAsia="黑体"/>
                <w:bCs/>
                <w:sz w:val="24"/>
              </w:rPr>
              <w:t>4、固体废物影响分析</w:t>
            </w:r>
          </w:p>
          <w:p w14:paraId="6A6E604D">
            <w:pPr>
              <w:spacing w:line="520" w:lineRule="exact"/>
              <w:jc w:val="left"/>
              <w:rPr>
                <w:rFonts w:eastAsia="黑体"/>
                <w:bCs/>
                <w:sz w:val="24"/>
              </w:rPr>
            </w:pPr>
            <w:r>
              <w:rPr>
                <w:rFonts w:eastAsia="黑体"/>
                <w:bCs/>
                <w:sz w:val="24"/>
              </w:rPr>
              <w:t>4.1固体废物产生及处置情况</w:t>
            </w:r>
          </w:p>
          <w:p w14:paraId="27715C64">
            <w:pPr>
              <w:adjustRightInd w:val="0"/>
              <w:snapToGrid w:val="0"/>
              <w:spacing w:line="520" w:lineRule="exact"/>
              <w:ind w:firstLine="480" w:firstLineChars="200"/>
              <w:rPr>
                <w:bCs/>
                <w:sz w:val="24"/>
              </w:rPr>
            </w:pPr>
            <w:r>
              <w:rPr>
                <w:bCs/>
                <w:sz w:val="24"/>
              </w:rPr>
              <w:t>项目运营期产生的固体废物主要有</w:t>
            </w:r>
            <w:r>
              <w:rPr>
                <w:sz w:val="24"/>
              </w:rPr>
              <w:t>废湿坯、不合格产品、</w:t>
            </w:r>
            <w:r>
              <w:rPr>
                <w:bCs/>
                <w:sz w:val="24"/>
              </w:rPr>
              <w:t>除尘器收集的除尘灰、脱硫石膏、洗车装置沉淀池底泥、废机油、废活性炭及生活垃圾。</w:t>
            </w:r>
          </w:p>
          <w:p w14:paraId="42F229D1">
            <w:pPr>
              <w:adjustRightInd w:val="0"/>
              <w:snapToGrid w:val="0"/>
              <w:spacing w:line="520" w:lineRule="exact"/>
              <w:ind w:firstLine="480" w:firstLineChars="200"/>
              <w:rPr>
                <w:sz w:val="24"/>
              </w:rPr>
            </w:pPr>
            <w:r>
              <w:rPr>
                <w:sz w:val="24"/>
              </w:rPr>
              <w:t>（1）一般固体废物</w:t>
            </w:r>
          </w:p>
          <w:p w14:paraId="5F3B0752">
            <w:pPr>
              <w:adjustRightInd w:val="0"/>
              <w:snapToGrid w:val="0"/>
              <w:spacing w:line="520" w:lineRule="exact"/>
              <w:ind w:firstLine="480" w:firstLineChars="200"/>
              <w:rPr>
                <w:sz w:val="24"/>
              </w:rPr>
            </w:pPr>
            <w:r>
              <w:rPr>
                <w:sz w:val="24"/>
              </w:rPr>
              <w:fldChar w:fldCharType="begin"/>
            </w:r>
            <w:r>
              <w:rPr>
                <w:sz w:val="24"/>
              </w:rPr>
              <w:instrText xml:space="preserve">= 1 \* GB3</w:instrText>
            </w:r>
            <w:r>
              <w:rPr>
                <w:sz w:val="24"/>
              </w:rPr>
              <w:fldChar w:fldCharType="separate"/>
            </w:r>
            <w:r>
              <w:rPr>
                <w:rFonts w:ascii="Cambria Math" w:hAnsi="Cambria Math" w:cs="Cambria Math"/>
                <w:sz w:val="24"/>
              </w:rPr>
              <w:t>①</w:t>
            </w:r>
            <w:r>
              <w:rPr>
                <w:sz w:val="24"/>
              </w:rPr>
              <w:fldChar w:fldCharType="end"/>
            </w:r>
            <w:r>
              <w:rPr>
                <w:sz w:val="24"/>
              </w:rPr>
              <w:t>废湿坯</w:t>
            </w:r>
          </w:p>
          <w:p w14:paraId="5BBB779C">
            <w:pPr>
              <w:adjustRightInd w:val="0"/>
              <w:snapToGrid w:val="0"/>
              <w:spacing w:line="520" w:lineRule="exact"/>
              <w:ind w:firstLine="480" w:firstLineChars="200"/>
              <w:rPr>
                <w:sz w:val="24"/>
              </w:rPr>
            </w:pPr>
            <w:r>
              <w:rPr>
                <w:sz w:val="24"/>
              </w:rPr>
              <w:t>本项目废湿坯主要来源于挤出制砖机，在制砖机挤出切割过程中产生的不符合尺寸规格会变形缺角的湿坯。根据企业提供实际生产经验数据，湿坯生产过程中不合格率在6.5‰左右，本项目产品产量为年产标砖1.2亿块，单块湿坯重量约为2.0kg，由此可知，废湿坯产生量约为1560t/a。</w:t>
            </w:r>
          </w:p>
          <w:p w14:paraId="7C9766B0">
            <w:pPr>
              <w:adjustRightInd w:val="0"/>
              <w:snapToGrid w:val="0"/>
              <w:spacing w:line="520" w:lineRule="exact"/>
              <w:ind w:firstLine="480" w:firstLineChars="200"/>
              <w:rPr>
                <w:sz w:val="24"/>
              </w:rPr>
            </w:pPr>
            <w:r>
              <w:rPr>
                <w:sz w:val="24"/>
              </w:rPr>
              <w:t>根据《固体废物分类与代码目录》（生态环境部公告 2024 年第 4 号），本项目筛分固废属于一般工业固废，废物种类为SW59 其他工业固体废物，废物代码为900-099-S59。废湿坯已经具有可塑性，收集后作为生产原料直接送二次搅拌机，重新用作砖坯制作，回用于生产，不外排。</w:t>
            </w:r>
          </w:p>
          <w:p w14:paraId="78F96517">
            <w:pPr>
              <w:adjustRightInd w:val="0"/>
              <w:snapToGrid w:val="0"/>
              <w:spacing w:line="520" w:lineRule="exact"/>
              <w:ind w:firstLine="480" w:firstLineChars="200"/>
              <w:rPr>
                <w:sz w:val="24"/>
              </w:rPr>
            </w:pPr>
            <w:r>
              <w:rPr>
                <w:sz w:val="24"/>
              </w:rPr>
              <w:fldChar w:fldCharType="begin"/>
            </w:r>
            <w:r>
              <w:rPr>
                <w:sz w:val="24"/>
              </w:rPr>
              <w:instrText xml:space="preserve"> = 2 \* GB3 </w:instrText>
            </w:r>
            <w:r>
              <w:rPr>
                <w:sz w:val="24"/>
              </w:rPr>
              <w:fldChar w:fldCharType="separate"/>
            </w:r>
            <w:r>
              <w:rPr>
                <w:rFonts w:ascii="Cambria Math" w:hAnsi="Cambria Math" w:cs="Cambria Math"/>
                <w:sz w:val="24"/>
              </w:rPr>
              <w:t>②</w:t>
            </w:r>
            <w:r>
              <w:rPr>
                <w:sz w:val="24"/>
              </w:rPr>
              <w:fldChar w:fldCharType="end"/>
            </w:r>
            <w:r>
              <w:rPr>
                <w:sz w:val="24"/>
              </w:rPr>
              <w:t>不合格产品</w:t>
            </w:r>
          </w:p>
          <w:p w14:paraId="12A81B78">
            <w:pPr>
              <w:adjustRightInd w:val="0"/>
              <w:snapToGrid w:val="0"/>
              <w:spacing w:line="520" w:lineRule="exact"/>
              <w:ind w:firstLine="480" w:firstLineChars="200"/>
              <w:rPr>
                <w:sz w:val="24"/>
              </w:rPr>
            </w:pPr>
            <w:r>
              <w:rPr>
                <w:sz w:val="24"/>
              </w:rPr>
              <w:t xml:space="preserve">本项目不合格产品主要来源于产品干燥工序和烧成工序，如裂纹砖、变形砖、欠火砖、过火砖等。根据企业提供实际生产经验数据，干燥和烧成工序产品不合格率在1.5%左右，不合格产品产生量约为3379.5t/a。 </w:t>
            </w:r>
          </w:p>
          <w:p w14:paraId="6B183ED4">
            <w:pPr>
              <w:adjustRightInd w:val="0"/>
              <w:snapToGrid w:val="0"/>
              <w:spacing w:line="520" w:lineRule="exact"/>
              <w:ind w:firstLine="480" w:firstLineChars="200"/>
              <w:rPr>
                <w:sz w:val="24"/>
              </w:rPr>
            </w:pPr>
            <w:r>
              <w:rPr>
                <w:sz w:val="24"/>
              </w:rPr>
              <w:t xml:space="preserve">根据《固体废物分类与代码目录》（生态环境部公告 2024 年第 4 号），本项目不合格产品属于一般工业固废，废物种类为 SW59 其他工业固体废物，废物代码为900-099-S59。该部分固废收集后送至原料仓库，作为生产原料与煤矸石、建筑垃圾一并破碎、筛分后用于制砖，回用于生产，不外排。 </w:t>
            </w:r>
          </w:p>
          <w:p w14:paraId="1C2F3963">
            <w:pPr>
              <w:adjustRightInd w:val="0"/>
              <w:snapToGrid w:val="0"/>
              <w:spacing w:line="520" w:lineRule="exact"/>
              <w:ind w:firstLine="480" w:firstLineChars="200"/>
              <w:rPr>
                <w:sz w:val="24"/>
              </w:rPr>
            </w:pPr>
            <w:r>
              <w:rPr>
                <w:sz w:val="24"/>
              </w:rPr>
              <w:fldChar w:fldCharType="begin"/>
            </w:r>
            <w:r>
              <w:rPr>
                <w:sz w:val="24"/>
              </w:rPr>
              <w:instrText xml:space="preserve"> = 3 \* GB3 </w:instrText>
            </w:r>
            <w:r>
              <w:rPr>
                <w:sz w:val="24"/>
              </w:rPr>
              <w:fldChar w:fldCharType="separate"/>
            </w:r>
            <w:r>
              <w:rPr>
                <w:rFonts w:ascii="Cambria Math" w:hAnsi="Cambria Math" w:cs="Cambria Math"/>
                <w:sz w:val="24"/>
              </w:rPr>
              <w:t>③</w:t>
            </w:r>
            <w:r>
              <w:rPr>
                <w:sz w:val="24"/>
              </w:rPr>
              <w:fldChar w:fldCharType="end"/>
            </w:r>
            <w:r>
              <w:rPr>
                <w:sz w:val="24"/>
              </w:rPr>
              <w:t>除尘灰</w:t>
            </w:r>
          </w:p>
          <w:p w14:paraId="12D361BD">
            <w:pPr>
              <w:adjustRightInd w:val="0"/>
              <w:snapToGrid w:val="0"/>
              <w:spacing w:line="520" w:lineRule="exact"/>
              <w:ind w:firstLine="480" w:firstLineChars="200"/>
              <w:rPr>
                <w:sz w:val="24"/>
              </w:rPr>
            </w:pPr>
            <w:r>
              <w:rPr>
                <w:sz w:val="24"/>
              </w:rPr>
              <w:t>本技改工程建成后主要产生原料预处理工序、窑车清理工序以及脱硫剂入仓和出仓产生的袋式除尘器收尘灰及窑炉烟气湿电除尘器收尘灰，</w:t>
            </w:r>
            <w:r>
              <w:rPr>
                <w:color w:val="FF0000"/>
                <w:sz w:val="24"/>
                <w:u w:val="single"/>
              </w:rPr>
              <w:t>经核算，脱硫剂筒仓仓顶除尘器运行过程中除尘灰收集量约为0.108t/a，原料制备及窑车清理袋式除尘器运行过程中除尘灰收集量约为45.0t/a，</w:t>
            </w:r>
            <w:r>
              <w:rPr>
                <w:color w:val="EE0000"/>
                <w:sz w:val="24"/>
                <w:u w:val="single"/>
              </w:rPr>
              <w:t xml:space="preserve">湿电除尘器运行过程中除尘灰收集量约为35.1t/a（由于湿电除尘前端的脱硫塔同样具有除尘效果，湿电除尘收尘量以系统总收尘量的50%计）。 </w:t>
            </w:r>
          </w:p>
          <w:p w14:paraId="0191267D">
            <w:pPr>
              <w:adjustRightInd w:val="0"/>
              <w:snapToGrid w:val="0"/>
              <w:spacing w:line="520" w:lineRule="exact"/>
              <w:ind w:firstLine="480" w:firstLineChars="200"/>
              <w:rPr>
                <w:color w:val="EE0000"/>
                <w:sz w:val="24"/>
              </w:rPr>
            </w:pPr>
            <w:r>
              <w:rPr>
                <w:sz w:val="24"/>
              </w:rPr>
              <w:t>根据《固体废物分类与代码目录》（生态环境部公告 2024 年第 4 号），本项目除尘灰属于一般工业固废，废物种类为 SW59 其他工业固体废物，废物代码为 900-099-S59。石灰仓仓顶除尘器收集到的粉尘做为脱硫剂回用；袋式除尘器收集到的除尘灰采用吨包袋密闭转运至破碎车间，直接送一次搅拌机，作为生产原料回用于生产；湿电除尘器收集到的除尘灰采用水进行冲洗，除尘灰进入冲洗废水中，与冲洗废水一并进入二次搅拌机用于制砖，回用于生产不外排。</w:t>
            </w:r>
          </w:p>
          <w:p w14:paraId="3AA4BA17">
            <w:pPr>
              <w:adjustRightInd w:val="0"/>
              <w:snapToGrid w:val="0"/>
              <w:spacing w:line="520" w:lineRule="exact"/>
              <w:ind w:firstLine="480" w:firstLineChars="200"/>
              <w:rPr>
                <w:sz w:val="24"/>
              </w:rPr>
            </w:pPr>
            <w:r>
              <w:rPr>
                <w:sz w:val="24"/>
              </w:rPr>
              <w:fldChar w:fldCharType="begin"/>
            </w:r>
            <w:r>
              <w:rPr>
                <w:sz w:val="24"/>
              </w:rPr>
              <w:instrText xml:space="preserve"> = 4 \* GB3 </w:instrText>
            </w:r>
            <w:r>
              <w:rPr>
                <w:sz w:val="24"/>
              </w:rPr>
              <w:fldChar w:fldCharType="separate"/>
            </w:r>
            <w:r>
              <w:rPr>
                <w:rFonts w:ascii="Cambria Math" w:hAnsi="Cambria Math" w:cs="Cambria Math"/>
                <w:sz w:val="24"/>
              </w:rPr>
              <w:t>④</w:t>
            </w:r>
            <w:r>
              <w:rPr>
                <w:sz w:val="24"/>
              </w:rPr>
              <w:fldChar w:fldCharType="end"/>
            </w:r>
            <w:r>
              <w:rPr>
                <w:sz w:val="24"/>
              </w:rPr>
              <w:t>脱硫石膏</w:t>
            </w:r>
          </w:p>
          <w:p w14:paraId="5C83E623">
            <w:pPr>
              <w:adjustRightInd w:val="0"/>
              <w:snapToGrid w:val="0"/>
              <w:spacing w:line="520" w:lineRule="exact"/>
              <w:ind w:firstLine="480" w:firstLineChars="200"/>
              <w:rPr>
                <w:sz w:val="24"/>
              </w:rPr>
            </w:pPr>
            <w:r>
              <w:rPr>
                <w:sz w:val="24"/>
              </w:rPr>
              <w:t>本项目脱硫塔采用石灰石-石膏法脱硫，原理为将石灰粉加水制成浆液，放入吸收塔内做吸收剂与烟气充分接触混合，烟气中的二氧化硫、氟化物与石灰以及从塔下部鼓入的空气进行氧化反应生成硫酸钙、氟化钙，</w:t>
            </w:r>
            <w:r>
              <w:rPr>
                <w:color w:val="EE0000"/>
                <w:sz w:val="24"/>
                <w:u w:val="single"/>
              </w:rPr>
              <w:t>另外还含有少量脱硫塔喷淋去除的烟气中的颗粒物，最终通过压滤机压滤得到含水量约10%的脱硫石膏，经计算本项目湿石膏产生量约为3317t/a。</w:t>
            </w:r>
          </w:p>
          <w:p w14:paraId="5DD10984">
            <w:pPr>
              <w:pStyle w:val="21"/>
              <w:spacing w:line="520" w:lineRule="exact"/>
              <w:ind w:left="0" w:right="0" w:firstLine="480" w:firstLineChars="200"/>
              <w:rPr>
                <w:rFonts w:ascii="Times New Roman" w:hAnsi="Times New Roman"/>
              </w:rPr>
            </w:pPr>
            <w:r>
              <w:rPr>
                <w:rFonts w:ascii="Times New Roman" w:hAnsi="Times New Roman"/>
              </w:rPr>
              <w:t>根据《固体废物分类与代码目录》（生态环境部公告 2024 年第 4 号），本项目脱硫石膏属于一般工业固废，废物种类为 SW06脱硫石膏，废物代码为 900-099-S06。本项目脱硫石膏经压滤机压滤后送原料仓库</w:t>
            </w:r>
            <w:r>
              <w:rPr>
                <w:rFonts w:ascii="Times New Roman" w:hAnsi="Times New Roman"/>
                <w:u w:val="single"/>
              </w:rPr>
              <w:t>一般固废暂存区，定期外售，做为石膏类建筑材料、水泥添加剂等综合利用</w:t>
            </w:r>
            <w:r>
              <w:rPr>
                <w:rFonts w:ascii="Times New Roman" w:hAnsi="Times New Roman"/>
              </w:rPr>
              <w:t>。</w:t>
            </w:r>
          </w:p>
          <w:p w14:paraId="0326D813">
            <w:pPr>
              <w:spacing w:line="520" w:lineRule="exact"/>
              <w:ind w:firstLine="480" w:firstLineChars="200"/>
              <w:rPr>
                <w:sz w:val="24"/>
              </w:rPr>
            </w:pPr>
            <w:r>
              <w:rPr>
                <w:sz w:val="24"/>
              </w:rPr>
              <w:fldChar w:fldCharType="begin"/>
            </w:r>
            <w:r>
              <w:rPr>
                <w:sz w:val="24"/>
              </w:rPr>
              <w:instrText xml:space="preserve">= 5 \* GB3</w:instrText>
            </w:r>
            <w:r>
              <w:rPr>
                <w:sz w:val="24"/>
              </w:rPr>
              <w:fldChar w:fldCharType="separate"/>
            </w:r>
            <w:r>
              <w:rPr>
                <w:rFonts w:ascii="Cambria Math" w:hAnsi="Cambria Math" w:cs="Cambria Math"/>
                <w:sz w:val="24"/>
              </w:rPr>
              <w:t>⑤</w:t>
            </w:r>
            <w:r>
              <w:rPr>
                <w:sz w:val="24"/>
              </w:rPr>
              <w:fldChar w:fldCharType="end"/>
            </w:r>
            <w:r>
              <w:rPr>
                <w:sz w:val="24"/>
              </w:rPr>
              <w:t>洗车装置沉淀池底泥</w:t>
            </w:r>
          </w:p>
          <w:p w14:paraId="337FECF2">
            <w:pPr>
              <w:spacing w:line="520" w:lineRule="exact"/>
              <w:ind w:firstLine="480" w:firstLineChars="200"/>
              <w:rPr>
                <w:sz w:val="24"/>
              </w:rPr>
            </w:pPr>
            <w:r>
              <w:rPr>
                <w:sz w:val="24"/>
              </w:rPr>
              <w:t>项目洗车装置沉淀池底泥产生量约1.5t/a，其主要成分为车轮、车身附着的灰尘。</w:t>
            </w:r>
          </w:p>
          <w:p w14:paraId="043C00A3">
            <w:pPr>
              <w:pStyle w:val="21"/>
              <w:spacing w:line="520" w:lineRule="exact"/>
              <w:ind w:left="0" w:right="0" w:firstLine="480" w:firstLineChars="200"/>
              <w:rPr>
                <w:rFonts w:ascii="Times New Roman" w:hAnsi="Times New Roman"/>
              </w:rPr>
            </w:pPr>
            <w:r>
              <w:rPr>
                <w:rFonts w:ascii="Times New Roman" w:hAnsi="Times New Roman"/>
              </w:rPr>
              <w:t>根据《固体废物分类与代码目录》（生态环境部公告 2024 年第 4 号），本项目车辆冲洗装置沉淀池污泥属于一般工业固废，废物种类为 SW07 污泥，废物代码为900-099-S07。收集后送原料仓库一般固废暂存区，掺入原料回用于制砖。</w:t>
            </w:r>
          </w:p>
          <w:p w14:paraId="0CF11562">
            <w:pPr>
              <w:adjustRightInd w:val="0"/>
              <w:snapToGrid w:val="0"/>
              <w:spacing w:line="520" w:lineRule="exact"/>
              <w:ind w:firstLine="480" w:firstLineChars="200"/>
              <w:rPr>
                <w:sz w:val="24"/>
              </w:rPr>
            </w:pPr>
            <w:r>
              <w:rPr>
                <w:sz w:val="24"/>
              </w:rPr>
              <w:t>（2）危险废物</w:t>
            </w:r>
          </w:p>
          <w:p w14:paraId="4EF4CAE2">
            <w:pPr>
              <w:spacing w:line="520" w:lineRule="exact"/>
              <w:ind w:firstLine="480" w:firstLineChars="200"/>
              <w:rPr>
                <w:sz w:val="24"/>
              </w:rPr>
            </w:pPr>
            <w:r>
              <w:rPr>
                <w:sz w:val="24"/>
              </w:rPr>
              <w:fldChar w:fldCharType="begin"/>
            </w:r>
            <w:r>
              <w:rPr>
                <w:sz w:val="24"/>
              </w:rPr>
              <w:instrText xml:space="preserve"> = 1 \* GB3 </w:instrText>
            </w:r>
            <w:r>
              <w:rPr>
                <w:sz w:val="24"/>
              </w:rPr>
              <w:fldChar w:fldCharType="separate"/>
            </w:r>
            <w:r>
              <w:rPr>
                <w:rFonts w:ascii="Cambria Math" w:hAnsi="Cambria Math" w:cs="Cambria Math"/>
                <w:sz w:val="24"/>
              </w:rPr>
              <w:t>①</w:t>
            </w:r>
            <w:r>
              <w:rPr>
                <w:sz w:val="24"/>
              </w:rPr>
              <w:fldChar w:fldCharType="end"/>
            </w:r>
            <w:r>
              <w:rPr>
                <w:sz w:val="24"/>
              </w:rPr>
              <w:t>废机油</w:t>
            </w:r>
          </w:p>
          <w:p w14:paraId="17CE027F">
            <w:pPr>
              <w:spacing w:line="520" w:lineRule="exact"/>
              <w:ind w:firstLine="480" w:firstLineChars="200"/>
              <w:rPr>
                <w:sz w:val="24"/>
              </w:rPr>
            </w:pPr>
            <w:r>
              <w:rPr>
                <w:sz w:val="24"/>
              </w:rPr>
              <w:t>项目机械设备日常维护、检修会产生废机油，项目废机油年产生量为0.5t/a，根据《国家危险废物名录》（2025年版），废机油属于HW08其他废物，危废代码：900-249-08，其他生产、销售、使用过程中产生的废机油，废机油设置专用容器收集后，利用厂区现有1座20m</w:t>
            </w:r>
            <w:r>
              <w:rPr>
                <w:sz w:val="24"/>
                <w:vertAlign w:val="superscript"/>
              </w:rPr>
              <w:t>2</w:t>
            </w:r>
            <w:r>
              <w:rPr>
                <w:sz w:val="24"/>
              </w:rPr>
              <w:t>危废间暂存后定期交由有资质单位处置。</w:t>
            </w:r>
          </w:p>
          <w:p w14:paraId="6608820D">
            <w:pPr>
              <w:spacing w:line="520" w:lineRule="exact"/>
              <w:ind w:firstLine="480" w:firstLineChars="200"/>
              <w:rPr>
                <w:sz w:val="24"/>
              </w:rPr>
            </w:pPr>
            <w:r>
              <w:rPr>
                <w:sz w:val="24"/>
              </w:rPr>
              <w:fldChar w:fldCharType="begin"/>
            </w:r>
            <w:r>
              <w:rPr>
                <w:sz w:val="24"/>
              </w:rPr>
              <w:instrText xml:space="preserve"> = 3 \* GB3 </w:instrText>
            </w:r>
            <w:r>
              <w:rPr>
                <w:sz w:val="24"/>
              </w:rPr>
              <w:fldChar w:fldCharType="separate"/>
            </w:r>
            <w:r>
              <w:rPr>
                <w:rFonts w:ascii="Cambria Math" w:hAnsi="Cambria Math" w:cs="Cambria Math"/>
                <w:sz w:val="24"/>
              </w:rPr>
              <w:t>③</w:t>
            </w:r>
            <w:r>
              <w:rPr>
                <w:sz w:val="24"/>
              </w:rPr>
              <w:fldChar w:fldCharType="end"/>
            </w:r>
            <w:r>
              <w:rPr>
                <w:sz w:val="24"/>
              </w:rPr>
              <w:t>废活性炭</w:t>
            </w:r>
          </w:p>
          <w:p w14:paraId="0B8CE21C">
            <w:pPr>
              <w:pStyle w:val="21"/>
              <w:spacing w:line="500" w:lineRule="exact"/>
              <w:ind w:left="0" w:right="0" w:firstLine="480" w:firstLineChars="200"/>
              <w:rPr>
                <w:rFonts w:ascii="Times New Roman" w:hAnsi="Times New Roman"/>
                <w:bCs/>
                <w:szCs w:val="21"/>
              </w:rPr>
            </w:pPr>
            <w:r>
              <w:rPr>
                <w:rFonts w:ascii="Times New Roman" w:hAnsi="Times New Roman"/>
                <w:bCs/>
                <w:color w:val="FF0000"/>
                <w:szCs w:val="24"/>
                <w:u w:val="single"/>
              </w:rPr>
              <w:t>本项目采用活性炭吸附装置吸附污泥挥发的恶臭气体。本项目活性炭吸附恶臭气体的量为0.203t/a。1kg活性炭可吸附0.3kg恶臭气体，则需要活性炭0.88t/a，</w:t>
            </w:r>
            <w:r>
              <w:rPr>
                <w:rFonts w:ascii="Times New Roman" w:hAnsi="Times New Roman"/>
                <w:bCs/>
                <w:szCs w:val="24"/>
              </w:rPr>
              <w:t>则废活性炭（含恶臭气体）产生量为1.768t/a。评价要求活性炭每三个月更换一次。废活性炭属于《国家危险废物名录》（2025年版）中“HW49其他废物”中“900-039-49烟气、VOCs治理过程产生的废活性炭”。采用密闭收集桶收集后，在厂区危废暂存间进行暂存，定期交有资质单位处置。</w:t>
            </w:r>
          </w:p>
          <w:p w14:paraId="55428BAB">
            <w:pPr>
              <w:spacing w:line="520" w:lineRule="exact"/>
              <w:ind w:firstLine="480" w:firstLineChars="200"/>
              <w:rPr>
                <w:sz w:val="24"/>
              </w:rPr>
            </w:pPr>
            <w:r>
              <w:rPr>
                <w:sz w:val="24"/>
              </w:rPr>
              <w:t>（3）生活垃圾</w:t>
            </w:r>
          </w:p>
          <w:p w14:paraId="74F507A5">
            <w:pPr>
              <w:pStyle w:val="24"/>
              <w:adjustRightInd w:val="0"/>
              <w:snapToGrid w:val="0"/>
              <w:spacing w:after="0" w:line="520" w:lineRule="exact"/>
              <w:ind w:left="0" w:leftChars="0" w:firstLine="480" w:firstLineChars="200"/>
              <w:rPr>
                <w:sz w:val="24"/>
              </w:rPr>
            </w:pPr>
            <w:r>
              <w:rPr>
                <w:sz w:val="24"/>
              </w:rPr>
              <w:t>项目劳动定员60人，职工生活垃圾产生量为60kg/d（19.8t/a），生活垃圾经垃圾桶收集后由环卫部门定期清运。</w:t>
            </w:r>
          </w:p>
          <w:p w14:paraId="77332DB0">
            <w:pPr>
              <w:spacing w:line="520" w:lineRule="exact"/>
              <w:ind w:firstLine="480" w:firstLineChars="200"/>
              <w:rPr>
                <w:sz w:val="24"/>
              </w:rPr>
            </w:pPr>
            <w:r>
              <w:rPr>
                <w:sz w:val="24"/>
              </w:rPr>
              <w:t>固废的产生情况见下表：</w:t>
            </w:r>
          </w:p>
          <w:p w14:paraId="016CB6BF">
            <w:pPr>
              <w:pStyle w:val="36"/>
              <w:spacing w:after="0" w:line="520" w:lineRule="exact"/>
              <w:ind w:left="0" w:leftChars="0" w:firstLine="0" w:firstLineChars="0"/>
              <w:jc w:val="center"/>
              <w:rPr>
                <w:rFonts w:eastAsia="黑体"/>
                <w:bCs/>
                <w:sz w:val="24"/>
              </w:rPr>
            </w:pPr>
            <w:r>
              <w:rPr>
                <w:rFonts w:eastAsia="黑体"/>
                <w:bCs/>
                <w:sz w:val="24"/>
              </w:rPr>
              <w:t>表4-26    项目固体废物产生情况一览表</w:t>
            </w:r>
          </w:p>
          <w:tbl>
            <w:tblPr>
              <w:tblStyle w:val="37"/>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696"/>
              <w:gridCol w:w="1185"/>
              <w:gridCol w:w="1134"/>
              <w:gridCol w:w="2941"/>
            </w:tblGrid>
            <w:tr w14:paraId="63FC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Align w:val="center"/>
                </w:tcPr>
                <w:p w14:paraId="42AB6FF7">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产污环节</w:t>
                  </w:r>
                </w:p>
              </w:tc>
              <w:tc>
                <w:tcPr>
                  <w:tcW w:w="1696" w:type="dxa"/>
                  <w:vAlign w:val="center"/>
                </w:tcPr>
                <w:p w14:paraId="45F32183">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污染物</w:t>
                  </w:r>
                </w:p>
              </w:tc>
              <w:tc>
                <w:tcPr>
                  <w:tcW w:w="1185" w:type="dxa"/>
                  <w:vAlign w:val="center"/>
                </w:tcPr>
                <w:p w14:paraId="1B59682C">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性质</w:t>
                  </w:r>
                </w:p>
              </w:tc>
              <w:tc>
                <w:tcPr>
                  <w:tcW w:w="1134" w:type="dxa"/>
                  <w:vAlign w:val="center"/>
                </w:tcPr>
                <w:p w14:paraId="4FFE21B2">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产生量</w:t>
                  </w:r>
                </w:p>
              </w:tc>
              <w:tc>
                <w:tcPr>
                  <w:tcW w:w="2941" w:type="dxa"/>
                  <w:vAlign w:val="center"/>
                </w:tcPr>
                <w:p w14:paraId="635F8EF7">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处理处置措施</w:t>
                  </w:r>
                </w:p>
              </w:tc>
            </w:tr>
            <w:tr w14:paraId="403B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restart"/>
                  <w:vAlign w:val="center"/>
                </w:tcPr>
                <w:p w14:paraId="6A3D536E">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生产过程</w:t>
                  </w:r>
                </w:p>
              </w:tc>
              <w:tc>
                <w:tcPr>
                  <w:tcW w:w="1696" w:type="dxa"/>
                  <w:vAlign w:val="center"/>
                </w:tcPr>
                <w:p w14:paraId="4DB68424">
                  <w:pPr>
                    <w:jc w:val="center"/>
                    <w:rPr>
                      <w:szCs w:val="21"/>
                    </w:rPr>
                  </w:pPr>
                  <w:r>
                    <w:rPr>
                      <w:szCs w:val="21"/>
                    </w:rPr>
                    <w:t>废湿坯</w:t>
                  </w:r>
                </w:p>
              </w:tc>
              <w:tc>
                <w:tcPr>
                  <w:tcW w:w="1185" w:type="dxa"/>
                  <w:vAlign w:val="center"/>
                </w:tcPr>
                <w:p w14:paraId="6DF84978">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一般固废</w:t>
                  </w:r>
                </w:p>
              </w:tc>
              <w:tc>
                <w:tcPr>
                  <w:tcW w:w="1134" w:type="dxa"/>
                  <w:vAlign w:val="center"/>
                </w:tcPr>
                <w:p w14:paraId="69276C1D">
                  <w:pPr>
                    <w:jc w:val="center"/>
                    <w:rPr>
                      <w:szCs w:val="21"/>
                    </w:rPr>
                  </w:pPr>
                  <w:r>
                    <w:rPr>
                      <w:szCs w:val="21"/>
                    </w:rPr>
                    <w:t>1560t/a</w:t>
                  </w:r>
                </w:p>
              </w:tc>
              <w:tc>
                <w:tcPr>
                  <w:tcW w:w="2941" w:type="dxa"/>
                  <w:vAlign w:val="center"/>
                </w:tcPr>
                <w:p w14:paraId="286B878D">
                  <w:pPr>
                    <w:pStyle w:val="32"/>
                    <w:spacing w:before="0" w:beforeAutospacing="0" w:after="0" w:afterAutospacing="0"/>
                    <w:jc w:val="center"/>
                    <w:rPr>
                      <w:rFonts w:ascii="Times New Roman" w:hAnsi="Times New Roman"/>
                      <w:kern w:val="2"/>
                      <w:sz w:val="21"/>
                      <w:szCs w:val="21"/>
                    </w:rPr>
                  </w:pPr>
                  <w:r>
                    <w:rPr>
                      <w:rFonts w:ascii="Times New Roman" w:hAnsi="Times New Roman"/>
                      <w:sz w:val="21"/>
                      <w:szCs w:val="21"/>
                    </w:rPr>
                    <w:t>经收集后回用于生产</w:t>
                  </w:r>
                </w:p>
              </w:tc>
            </w:tr>
            <w:tr w14:paraId="3B67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continue"/>
                  <w:vAlign w:val="center"/>
                </w:tcPr>
                <w:p w14:paraId="26799E7C">
                  <w:pPr>
                    <w:pStyle w:val="32"/>
                    <w:spacing w:before="0" w:beforeAutospacing="0" w:after="0" w:afterAutospacing="0"/>
                    <w:jc w:val="center"/>
                    <w:rPr>
                      <w:rFonts w:ascii="Times New Roman" w:hAnsi="Times New Roman"/>
                      <w:kern w:val="2"/>
                      <w:sz w:val="21"/>
                      <w:szCs w:val="21"/>
                    </w:rPr>
                  </w:pPr>
                </w:p>
              </w:tc>
              <w:tc>
                <w:tcPr>
                  <w:tcW w:w="1696" w:type="dxa"/>
                  <w:vAlign w:val="center"/>
                </w:tcPr>
                <w:p w14:paraId="22C1C4B4">
                  <w:pPr>
                    <w:jc w:val="center"/>
                    <w:rPr>
                      <w:szCs w:val="21"/>
                    </w:rPr>
                  </w:pPr>
                  <w:r>
                    <w:rPr>
                      <w:szCs w:val="21"/>
                    </w:rPr>
                    <w:t>不合格产品</w:t>
                  </w:r>
                </w:p>
              </w:tc>
              <w:tc>
                <w:tcPr>
                  <w:tcW w:w="1185" w:type="dxa"/>
                  <w:vAlign w:val="center"/>
                </w:tcPr>
                <w:p w14:paraId="7EA3F611">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一般固废</w:t>
                  </w:r>
                </w:p>
              </w:tc>
              <w:tc>
                <w:tcPr>
                  <w:tcW w:w="1134" w:type="dxa"/>
                  <w:vAlign w:val="center"/>
                </w:tcPr>
                <w:p w14:paraId="7323F1B8">
                  <w:pPr>
                    <w:jc w:val="center"/>
                    <w:rPr>
                      <w:szCs w:val="21"/>
                    </w:rPr>
                  </w:pPr>
                  <w:r>
                    <w:rPr>
                      <w:szCs w:val="21"/>
                    </w:rPr>
                    <w:t>3379.5 t/a</w:t>
                  </w:r>
                </w:p>
              </w:tc>
              <w:tc>
                <w:tcPr>
                  <w:tcW w:w="2941" w:type="dxa"/>
                  <w:vAlign w:val="center"/>
                </w:tcPr>
                <w:p w14:paraId="44FD1050">
                  <w:pPr>
                    <w:pStyle w:val="32"/>
                    <w:spacing w:before="0" w:beforeAutospacing="0" w:after="0" w:afterAutospacing="0"/>
                    <w:jc w:val="center"/>
                    <w:rPr>
                      <w:rFonts w:ascii="Times New Roman" w:hAnsi="Times New Roman"/>
                      <w:sz w:val="21"/>
                      <w:szCs w:val="21"/>
                    </w:rPr>
                  </w:pPr>
                  <w:r>
                    <w:rPr>
                      <w:rFonts w:ascii="Times New Roman" w:hAnsi="Times New Roman"/>
                      <w:sz w:val="21"/>
                      <w:szCs w:val="21"/>
                    </w:rPr>
                    <w:t>经收集后回用于生产</w:t>
                  </w:r>
                </w:p>
              </w:tc>
            </w:tr>
            <w:tr w14:paraId="6662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restart"/>
                  <w:vAlign w:val="center"/>
                </w:tcPr>
                <w:p w14:paraId="58B61183">
                  <w:pPr>
                    <w:jc w:val="center"/>
                    <w:rPr>
                      <w:szCs w:val="21"/>
                    </w:rPr>
                  </w:pPr>
                  <w:r>
                    <w:rPr>
                      <w:szCs w:val="21"/>
                    </w:rPr>
                    <w:t>环保设施</w:t>
                  </w:r>
                </w:p>
              </w:tc>
              <w:tc>
                <w:tcPr>
                  <w:tcW w:w="1696" w:type="dxa"/>
                  <w:vAlign w:val="center"/>
                </w:tcPr>
                <w:p w14:paraId="5BCAA79A">
                  <w:pPr>
                    <w:jc w:val="center"/>
                    <w:rPr>
                      <w:color w:val="EE0000"/>
                      <w:szCs w:val="21"/>
                      <w:u w:val="single"/>
                    </w:rPr>
                  </w:pPr>
                  <w:r>
                    <w:rPr>
                      <w:color w:val="EE0000"/>
                      <w:szCs w:val="21"/>
                      <w:u w:val="single"/>
                    </w:rPr>
                    <w:t>脱硫剂筒仓除尘灰</w:t>
                  </w:r>
                </w:p>
              </w:tc>
              <w:tc>
                <w:tcPr>
                  <w:tcW w:w="1185" w:type="dxa"/>
                  <w:vAlign w:val="center"/>
                </w:tcPr>
                <w:p w14:paraId="088CB70F">
                  <w:pPr>
                    <w:jc w:val="center"/>
                    <w:rPr>
                      <w:color w:val="EE0000"/>
                      <w:szCs w:val="21"/>
                      <w:u w:val="single"/>
                    </w:rPr>
                  </w:pPr>
                  <w:r>
                    <w:rPr>
                      <w:color w:val="EE0000"/>
                      <w:szCs w:val="21"/>
                      <w:u w:val="single"/>
                    </w:rPr>
                    <w:t>一般固废</w:t>
                  </w:r>
                </w:p>
              </w:tc>
              <w:tc>
                <w:tcPr>
                  <w:tcW w:w="1134" w:type="dxa"/>
                  <w:vAlign w:val="center"/>
                </w:tcPr>
                <w:p w14:paraId="19577472">
                  <w:pPr>
                    <w:jc w:val="center"/>
                    <w:rPr>
                      <w:color w:val="EE0000"/>
                      <w:szCs w:val="21"/>
                      <w:u w:val="single"/>
                    </w:rPr>
                  </w:pPr>
                  <w:r>
                    <w:rPr>
                      <w:color w:val="EE0000"/>
                      <w:szCs w:val="21"/>
                      <w:u w:val="single"/>
                    </w:rPr>
                    <w:t>0.108t/a</w:t>
                  </w:r>
                </w:p>
              </w:tc>
              <w:tc>
                <w:tcPr>
                  <w:tcW w:w="2941" w:type="dxa"/>
                  <w:vAlign w:val="center"/>
                </w:tcPr>
                <w:p w14:paraId="4B1B0385">
                  <w:pPr>
                    <w:jc w:val="center"/>
                    <w:rPr>
                      <w:szCs w:val="21"/>
                    </w:rPr>
                  </w:pPr>
                  <w:r>
                    <w:rPr>
                      <w:szCs w:val="21"/>
                    </w:rPr>
                    <w:t>经收集后回用作脱硫剂</w:t>
                  </w:r>
                </w:p>
              </w:tc>
            </w:tr>
            <w:tr w14:paraId="23A0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continue"/>
                  <w:vAlign w:val="center"/>
                </w:tcPr>
                <w:p w14:paraId="1D25599A">
                  <w:pPr>
                    <w:jc w:val="center"/>
                    <w:rPr>
                      <w:szCs w:val="21"/>
                    </w:rPr>
                  </w:pPr>
                </w:p>
              </w:tc>
              <w:tc>
                <w:tcPr>
                  <w:tcW w:w="1696" w:type="dxa"/>
                  <w:vAlign w:val="center"/>
                </w:tcPr>
                <w:p w14:paraId="3CEB202B">
                  <w:pPr>
                    <w:jc w:val="center"/>
                    <w:rPr>
                      <w:color w:val="EE0000"/>
                      <w:szCs w:val="21"/>
                      <w:u w:val="single"/>
                    </w:rPr>
                  </w:pPr>
                  <w:r>
                    <w:rPr>
                      <w:color w:val="EE0000"/>
                      <w:szCs w:val="21"/>
                      <w:u w:val="single"/>
                    </w:rPr>
                    <w:t>原料制备及窑车清理除尘灰</w:t>
                  </w:r>
                </w:p>
              </w:tc>
              <w:tc>
                <w:tcPr>
                  <w:tcW w:w="1185" w:type="dxa"/>
                  <w:vAlign w:val="center"/>
                </w:tcPr>
                <w:p w14:paraId="233DE671">
                  <w:pPr>
                    <w:jc w:val="center"/>
                    <w:rPr>
                      <w:color w:val="EE0000"/>
                      <w:szCs w:val="21"/>
                      <w:u w:val="single"/>
                    </w:rPr>
                  </w:pPr>
                  <w:r>
                    <w:rPr>
                      <w:color w:val="EE0000"/>
                      <w:szCs w:val="21"/>
                      <w:u w:val="single"/>
                    </w:rPr>
                    <w:t>一般固废</w:t>
                  </w:r>
                </w:p>
              </w:tc>
              <w:tc>
                <w:tcPr>
                  <w:tcW w:w="1134" w:type="dxa"/>
                  <w:vAlign w:val="center"/>
                </w:tcPr>
                <w:p w14:paraId="18BE4835">
                  <w:pPr>
                    <w:jc w:val="center"/>
                    <w:rPr>
                      <w:color w:val="EE0000"/>
                      <w:szCs w:val="21"/>
                      <w:u w:val="single"/>
                    </w:rPr>
                  </w:pPr>
                  <w:r>
                    <w:rPr>
                      <w:color w:val="EE0000"/>
                      <w:szCs w:val="21"/>
                      <w:u w:val="single"/>
                    </w:rPr>
                    <w:t>45.0t/a</w:t>
                  </w:r>
                </w:p>
              </w:tc>
              <w:tc>
                <w:tcPr>
                  <w:tcW w:w="2941" w:type="dxa"/>
                  <w:vAlign w:val="center"/>
                </w:tcPr>
                <w:p w14:paraId="56E4D3D9">
                  <w:pPr>
                    <w:jc w:val="center"/>
                    <w:rPr>
                      <w:szCs w:val="21"/>
                    </w:rPr>
                  </w:pPr>
                  <w:r>
                    <w:rPr>
                      <w:szCs w:val="21"/>
                    </w:rPr>
                    <w:t>经收集后回用于生产</w:t>
                  </w:r>
                </w:p>
              </w:tc>
            </w:tr>
            <w:tr w14:paraId="6895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continue"/>
                  <w:vAlign w:val="center"/>
                </w:tcPr>
                <w:p w14:paraId="4133D971">
                  <w:pPr>
                    <w:jc w:val="center"/>
                    <w:rPr>
                      <w:szCs w:val="21"/>
                    </w:rPr>
                  </w:pPr>
                </w:p>
              </w:tc>
              <w:tc>
                <w:tcPr>
                  <w:tcW w:w="1696" w:type="dxa"/>
                  <w:vAlign w:val="center"/>
                </w:tcPr>
                <w:p w14:paraId="7D2994D2">
                  <w:pPr>
                    <w:jc w:val="center"/>
                    <w:rPr>
                      <w:color w:val="EE0000"/>
                      <w:szCs w:val="21"/>
                      <w:u w:val="single"/>
                    </w:rPr>
                  </w:pPr>
                  <w:r>
                    <w:rPr>
                      <w:color w:val="EE0000"/>
                      <w:szCs w:val="21"/>
                      <w:u w:val="single"/>
                    </w:rPr>
                    <w:t>窑炉烟气除尘灰</w:t>
                  </w:r>
                </w:p>
              </w:tc>
              <w:tc>
                <w:tcPr>
                  <w:tcW w:w="1185" w:type="dxa"/>
                  <w:vAlign w:val="center"/>
                </w:tcPr>
                <w:p w14:paraId="3F3F3526">
                  <w:pPr>
                    <w:jc w:val="center"/>
                    <w:rPr>
                      <w:color w:val="EE0000"/>
                      <w:szCs w:val="21"/>
                      <w:u w:val="single"/>
                    </w:rPr>
                  </w:pPr>
                  <w:r>
                    <w:rPr>
                      <w:color w:val="EE0000"/>
                      <w:szCs w:val="21"/>
                      <w:u w:val="single"/>
                    </w:rPr>
                    <w:t>一般固废</w:t>
                  </w:r>
                </w:p>
              </w:tc>
              <w:tc>
                <w:tcPr>
                  <w:tcW w:w="1134" w:type="dxa"/>
                  <w:vAlign w:val="center"/>
                </w:tcPr>
                <w:p w14:paraId="76E6CC31">
                  <w:pPr>
                    <w:jc w:val="center"/>
                    <w:rPr>
                      <w:color w:val="EE0000"/>
                      <w:szCs w:val="21"/>
                      <w:u w:val="single"/>
                    </w:rPr>
                  </w:pPr>
                  <w:r>
                    <w:rPr>
                      <w:color w:val="EE0000"/>
                      <w:szCs w:val="21"/>
                      <w:u w:val="single"/>
                    </w:rPr>
                    <w:t>35.1t/a</w:t>
                  </w:r>
                </w:p>
              </w:tc>
              <w:tc>
                <w:tcPr>
                  <w:tcW w:w="2941" w:type="dxa"/>
                  <w:vAlign w:val="center"/>
                </w:tcPr>
                <w:p w14:paraId="0F346864">
                  <w:pPr>
                    <w:jc w:val="center"/>
                    <w:rPr>
                      <w:szCs w:val="21"/>
                    </w:rPr>
                  </w:pPr>
                  <w:r>
                    <w:rPr>
                      <w:szCs w:val="21"/>
                    </w:rPr>
                    <w:t>经收集后回用于生产</w:t>
                  </w:r>
                </w:p>
              </w:tc>
            </w:tr>
            <w:tr w14:paraId="5B56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Merge w:val="continue"/>
                  <w:vAlign w:val="center"/>
                </w:tcPr>
                <w:p w14:paraId="7809CADE">
                  <w:pPr>
                    <w:jc w:val="center"/>
                    <w:rPr>
                      <w:szCs w:val="21"/>
                    </w:rPr>
                  </w:pPr>
                </w:p>
              </w:tc>
              <w:tc>
                <w:tcPr>
                  <w:tcW w:w="1696" w:type="dxa"/>
                  <w:vAlign w:val="center"/>
                </w:tcPr>
                <w:p w14:paraId="2AB8994A">
                  <w:pPr>
                    <w:jc w:val="center"/>
                    <w:rPr>
                      <w:color w:val="EE0000"/>
                      <w:szCs w:val="21"/>
                      <w:u w:val="single"/>
                    </w:rPr>
                  </w:pPr>
                  <w:r>
                    <w:rPr>
                      <w:color w:val="EE0000"/>
                      <w:szCs w:val="21"/>
                      <w:u w:val="single"/>
                    </w:rPr>
                    <w:t>脱硫石膏</w:t>
                  </w:r>
                </w:p>
              </w:tc>
              <w:tc>
                <w:tcPr>
                  <w:tcW w:w="1185" w:type="dxa"/>
                  <w:vAlign w:val="center"/>
                </w:tcPr>
                <w:p w14:paraId="06DD826E">
                  <w:pPr>
                    <w:jc w:val="center"/>
                    <w:rPr>
                      <w:color w:val="EE0000"/>
                      <w:szCs w:val="21"/>
                      <w:u w:val="single"/>
                    </w:rPr>
                  </w:pPr>
                  <w:r>
                    <w:rPr>
                      <w:color w:val="EE0000"/>
                      <w:szCs w:val="21"/>
                      <w:u w:val="single"/>
                    </w:rPr>
                    <w:t>一般固废</w:t>
                  </w:r>
                </w:p>
              </w:tc>
              <w:tc>
                <w:tcPr>
                  <w:tcW w:w="1134" w:type="dxa"/>
                  <w:vAlign w:val="center"/>
                </w:tcPr>
                <w:p w14:paraId="7AE16191">
                  <w:pPr>
                    <w:jc w:val="center"/>
                    <w:rPr>
                      <w:color w:val="EE0000"/>
                      <w:szCs w:val="21"/>
                      <w:u w:val="single"/>
                    </w:rPr>
                  </w:pPr>
                  <w:r>
                    <w:rPr>
                      <w:color w:val="EE0000"/>
                      <w:szCs w:val="21"/>
                      <w:u w:val="single"/>
                    </w:rPr>
                    <w:t>3317t/a</w:t>
                  </w:r>
                </w:p>
              </w:tc>
              <w:tc>
                <w:tcPr>
                  <w:tcW w:w="2941" w:type="dxa"/>
                  <w:vAlign w:val="center"/>
                </w:tcPr>
                <w:p w14:paraId="3368ECF1">
                  <w:pPr>
                    <w:jc w:val="center"/>
                    <w:rPr>
                      <w:szCs w:val="21"/>
                    </w:rPr>
                  </w:pPr>
                  <w:r>
                    <w:rPr>
                      <w:szCs w:val="21"/>
                    </w:rPr>
                    <w:t>经收集暂存后定期外售综合利用</w:t>
                  </w:r>
                </w:p>
              </w:tc>
            </w:tr>
            <w:tr w14:paraId="5CF6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1320" w:type="dxa"/>
                  <w:vMerge w:val="continue"/>
                  <w:vAlign w:val="center"/>
                </w:tcPr>
                <w:p w14:paraId="26821F5F">
                  <w:pPr>
                    <w:jc w:val="center"/>
                    <w:rPr>
                      <w:szCs w:val="21"/>
                    </w:rPr>
                  </w:pPr>
                </w:p>
              </w:tc>
              <w:tc>
                <w:tcPr>
                  <w:tcW w:w="1696" w:type="dxa"/>
                  <w:vAlign w:val="center"/>
                </w:tcPr>
                <w:p w14:paraId="68FA3DED">
                  <w:pPr>
                    <w:jc w:val="center"/>
                    <w:rPr>
                      <w:color w:val="EE0000"/>
                      <w:szCs w:val="21"/>
                      <w:u w:val="single"/>
                    </w:rPr>
                  </w:pPr>
                  <w:r>
                    <w:rPr>
                      <w:color w:val="EE0000"/>
                      <w:szCs w:val="21"/>
                      <w:u w:val="single"/>
                    </w:rPr>
                    <w:t>洗车装置沉淀池底泥</w:t>
                  </w:r>
                </w:p>
              </w:tc>
              <w:tc>
                <w:tcPr>
                  <w:tcW w:w="1185" w:type="dxa"/>
                  <w:vAlign w:val="center"/>
                </w:tcPr>
                <w:p w14:paraId="632692B3">
                  <w:pPr>
                    <w:jc w:val="center"/>
                    <w:rPr>
                      <w:color w:val="EE0000"/>
                      <w:szCs w:val="21"/>
                      <w:u w:val="single"/>
                    </w:rPr>
                  </w:pPr>
                  <w:r>
                    <w:rPr>
                      <w:color w:val="EE0000"/>
                      <w:szCs w:val="21"/>
                      <w:u w:val="single"/>
                    </w:rPr>
                    <w:t>一般固废</w:t>
                  </w:r>
                </w:p>
              </w:tc>
              <w:tc>
                <w:tcPr>
                  <w:tcW w:w="1134" w:type="dxa"/>
                  <w:vAlign w:val="center"/>
                </w:tcPr>
                <w:p w14:paraId="59D6C28E">
                  <w:pPr>
                    <w:jc w:val="center"/>
                    <w:rPr>
                      <w:color w:val="EE0000"/>
                      <w:szCs w:val="21"/>
                      <w:u w:val="single"/>
                    </w:rPr>
                  </w:pPr>
                  <w:r>
                    <w:rPr>
                      <w:color w:val="EE0000"/>
                      <w:szCs w:val="21"/>
                      <w:u w:val="single"/>
                    </w:rPr>
                    <w:t>1.5t/a</w:t>
                  </w:r>
                </w:p>
              </w:tc>
              <w:tc>
                <w:tcPr>
                  <w:tcW w:w="2941" w:type="dxa"/>
                  <w:vAlign w:val="center"/>
                </w:tcPr>
                <w:p w14:paraId="1EF2A026">
                  <w:pPr>
                    <w:jc w:val="center"/>
                    <w:rPr>
                      <w:szCs w:val="21"/>
                    </w:rPr>
                  </w:pPr>
                  <w:r>
                    <w:rPr>
                      <w:szCs w:val="21"/>
                    </w:rPr>
                    <w:t>经收集后做为生产原料回用于生产</w:t>
                  </w:r>
                </w:p>
              </w:tc>
            </w:tr>
            <w:tr w14:paraId="6B30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Align w:val="center"/>
                </w:tcPr>
                <w:p w14:paraId="79B71D90">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设备维护</w:t>
                  </w:r>
                </w:p>
              </w:tc>
              <w:tc>
                <w:tcPr>
                  <w:tcW w:w="1696" w:type="dxa"/>
                  <w:vAlign w:val="center"/>
                </w:tcPr>
                <w:p w14:paraId="00F62982">
                  <w:pPr>
                    <w:widowControl/>
                    <w:jc w:val="center"/>
                    <w:rPr>
                      <w:color w:val="EE0000"/>
                      <w:szCs w:val="21"/>
                      <w:u w:val="single"/>
                    </w:rPr>
                  </w:pPr>
                  <w:r>
                    <w:rPr>
                      <w:color w:val="EE0000"/>
                      <w:kern w:val="0"/>
                      <w:szCs w:val="21"/>
                      <w:u w:val="single"/>
                    </w:rPr>
                    <w:t>废机油</w:t>
                  </w:r>
                </w:p>
              </w:tc>
              <w:tc>
                <w:tcPr>
                  <w:tcW w:w="1185" w:type="dxa"/>
                  <w:vAlign w:val="center"/>
                </w:tcPr>
                <w:p w14:paraId="7EA30E01">
                  <w:pPr>
                    <w:jc w:val="center"/>
                    <w:rPr>
                      <w:color w:val="EE0000"/>
                      <w:szCs w:val="21"/>
                      <w:u w:val="single"/>
                    </w:rPr>
                  </w:pPr>
                  <w:r>
                    <w:rPr>
                      <w:color w:val="EE0000"/>
                      <w:szCs w:val="21"/>
                      <w:u w:val="single"/>
                    </w:rPr>
                    <w:t>危险固废</w:t>
                  </w:r>
                </w:p>
              </w:tc>
              <w:tc>
                <w:tcPr>
                  <w:tcW w:w="1134" w:type="dxa"/>
                  <w:vAlign w:val="center"/>
                </w:tcPr>
                <w:p w14:paraId="505D3BE4">
                  <w:pPr>
                    <w:jc w:val="center"/>
                    <w:rPr>
                      <w:color w:val="EE0000"/>
                      <w:szCs w:val="21"/>
                      <w:u w:val="single"/>
                    </w:rPr>
                  </w:pPr>
                  <w:r>
                    <w:rPr>
                      <w:color w:val="EE0000"/>
                      <w:szCs w:val="21"/>
                      <w:u w:val="single"/>
                    </w:rPr>
                    <w:t>0.5t/a</w:t>
                  </w:r>
                </w:p>
              </w:tc>
              <w:tc>
                <w:tcPr>
                  <w:tcW w:w="2941" w:type="dxa"/>
                  <w:vMerge w:val="restart"/>
                  <w:vAlign w:val="center"/>
                </w:tcPr>
                <w:p w14:paraId="23CF850D">
                  <w:pPr>
                    <w:jc w:val="center"/>
                    <w:rPr>
                      <w:szCs w:val="21"/>
                    </w:rPr>
                  </w:pPr>
                  <w:r>
                    <w:rPr>
                      <w:szCs w:val="21"/>
                    </w:rPr>
                    <w:t>暂存于危废暂存间（20m</w:t>
                  </w:r>
                  <w:r>
                    <w:rPr>
                      <w:szCs w:val="21"/>
                      <w:vertAlign w:val="superscript"/>
                    </w:rPr>
                    <w:t>2</w:t>
                  </w:r>
                  <w:r>
                    <w:rPr>
                      <w:szCs w:val="21"/>
                    </w:rPr>
                    <w:t>），委托有资质单位处置</w:t>
                  </w:r>
                </w:p>
              </w:tc>
            </w:tr>
            <w:tr w14:paraId="6313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Align w:val="center"/>
                </w:tcPr>
                <w:p w14:paraId="625CAEED">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环保设施</w:t>
                  </w:r>
                </w:p>
              </w:tc>
              <w:tc>
                <w:tcPr>
                  <w:tcW w:w="1696" w:type="dxa"/>
                  <w:vAlign w:val="center"/>
                </w:tcPr>
                <w:p w14:paraId="18AF9CA2">
                  <w:pPr>
                    <w:widowControl/>
                    <w:jc w:val="center"/>
                    <w:rPr>
                      <w:color w:val="EE0000"/>
                      <w:kern w:val="0"/>
                      <w:szCs w:val="21"/>
                      <w:u w:val="single"/>
                    </w:rPr>
                  </w:pPr>
                  <w:r>
                    <w:rPr>
                      <w:color w:val="EE0000"/>
                      <w:kern w:val="0"/>
                      <w:szCs w:val="21"/>
                      <w:u w:val="single"/>
                    </w:rPr>
                    <w:t>废活性炭</w:t>
                  </w:r>
                </w:p>
              </w:tc>
              <w:tc>
                <w:tcPr>
                  <w:tcW w:w="1185" w:type="dxa"/>
                  <w:vAlign w:val="center"/>
                </w:tcPr>
                <w:p w14:paraId="2418A0DC">
                  <w:pPr>
                    <w:jc w:val="center"/>
                    <w:rPr>
                      <w:color w:val="EE0000"/>
                      <w:szCs w:val="21"/>
                      <w:u w:val="single"/>
                    </w:rPr>
                  </w:pPr>
                  <w:r>
                    <w:rPr>
                      <w:color w:val="EE0000"/>
                      <w:szCs w:val="21"/>
                      <w:u w:val="single"/>
                    </w:rPr>
                    <w:t>危险固废</w:t>
                  </w:r>
                </w:p>
              </w:tc>
              <w:tc>
                <w:tcPr>
                  <w:tcW w:w="1134" w:type="dxa"/>
                  <w:vAlign w:val="center"/>
                </w:tcPr>
                <w:p w14:paraId="5FDFDFA0">
                  <w:pPr>
                    <w:jc w:val="center"/>
                    <w:rPr>
                      <w:color w:val="EE0000"/>
                      <w:szCs w:val="21"/>
                      <w:u w:val="single"/>
                    </w:rPr>
                  </w:pPr>
                  <w:r>
                    <w:rPr>
                      <w:color w:val="EE0000"/>
                      <w:szCs w:val="21"/>
                      <w:u w:val="single"/>
                    </w:rPr>
                    <w:t>0.88t/a</w:t>
                  </w:r>
                </w:p>
              </w:tc>
              <w:tc>
                <w:tcPr>
                  <w:tcW w:w="2941" w:type="dxa"/>
                  <w:vMerge w:val="continue"/>
                  <w:vAlign w:val="center"/>
                </w:tcPr>
                <w:p w14:paraId="2A92F6CF">
                  <w:pPr>
                    <w:jc w:val="center"/>
                    <w:rPr>
                      <w:szCs w:val="21"/>
                    </w:rPr>
                  </w:pPr>
                </w:p>
              </w:tc>
            </w:tr>
            <w:tr w14:paraId="13FB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0" w:type="dxa"/>
                  <w:vAlign w:val="center"/>
                </w:tcPr>
                <w:p w14:paraId="2F8093C5">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职工生活</w:t>
                  </w:r>
                </w:p>
              </w:tc>
              <w:tc>
                <w:tcPr>
                  <w:tcW w:w="1696" w:type="dxa"/>
                  <w:vAlign w:val="center"/>
                </w:tcPr>
                <w:p w14:paraId="72B1C50E">
                  <w:pPr>
                    <w:pStyle w:val="32"/>
                    <w:spacing w:before="0" w:beforeAutospacing="0" w:after="0" w:afterAutospacing="0"/>
                    <w:jc w:val="center"/>
                    <w:rPr>
                      <w:rFonts w:ascii="Times New Roman" w:hAnsi="Times New Roman"/>
                      <w:sz w:val="21"/>
                      <w:szCs w:val="21"/>
                    </w:rPr>
                  </w:pPr>
                  <w:r>
                    <w:rPr>
                      <w:rFonts w:ascii="Times New Roman" w:hAnsi="Times New Roman"/>
                      <w:kern w:val="2"/>
                      <w:sz w:val="21"/>
                      <w:szCs w:val="21"/>
                    </w:rPr>
                    <w:t>生活垃圾</w:t>
                  </w:r>
                </w:p>
              </w:tc>
              <w:tc>
                <w:tcPr>
                  <w:tcW w:w="1185" w:type="dxa"/>
                  <w:vAlign w:val="center"/>
                </w:tcPr>
                <w:p w14:paraId="28E197C8">
                  <w:pPr>
                    <w:pStyle w:val="32"/>
                    <w:spacing w:before="0" w:beforeAutospacing="0" w:after="0" w:afterAutospacing="0"/>
                    <w:jc w:val="center"/>
                    <w:rPr>
                      <w:rFonts w:ascii="Times New Roman" w:hAnsi="Times New Roman"/>
                      <w:sz w:val="21"/>
                      <w:szCs w:val="21"/>
                    </w:rPr>
                  </w:pPr>
                  <w:r>
                    <w:rPr>
                      <w:rFonts w:ascii="Times New Roman" w:hAnsi="Times New Roman"/>
                      <w:kern w:val="2"/>
                      <w:sz w:val="21"/>
                      <w:szCs w:val="21"/>
                    </w:rPr>
                    <w:t>生活垃圾</w:t>
                  </w:r>
                </w:p>
              </w:tc>
              <w:tc>
                <w:tcPr>
                  <w:tcW w:w="1134" w:type="dxa"/>
                  <w:vAlign w:val="center"/>
                </w:tcPr>
                <w:p w14:paraId="7188AA7F">
                  <w:pPr>
                    <w:jc w:val="center"/>
                    <w:rPr>
                      <w:szCs w:val="21"/>
                    </w:rPr>
                  </w:pPr>
                  <w:r>
                    <w:rPr>
                      <w:szCs w:val="21"/>
                    </w:rPr>
                    <w:t>11.6t/a</w:t>
                  </w:r>
                </w:p>
              </w:tc>
              <w:tc>
                <w:tcPr>
                  <w:tcW w:w="2941" w:type="dxa"/>
                  <w:vAlign w:val="center"/>
                </w:tcPr>
                <w:p w14:paraId="2301B7FC">
                  <w:pPr>
                    <w:pStyle w:val="32"/>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集中收集后交由环卫部门外运</w:t>
                  </w:r>
                </w:p>
              </w:tc>
            </w:tr>
          </w:tbl>
          <w:p w14:paraId="452A0EB6">
            <w:pPr>
              <w:adjustRightInd w:val="0"/>
              <w:snapToGrid w:val="0"/>
              <w:spacing w:line="520" w:lineRule="exact"/>
              <w:jc w:val="center"/>
              <w:rPr>
                <w:rFonts w:eastAsia="黑体"/>
                <w:bCs/>
                <w:sz w:val="24"/>
              </w:rPr>
            </w:pPr>
            <w:r>
              <w:rPr>
                <w:rFonts w:eastAsia="黑体"/>
                <w:bCs/>
                <w:sz w:val="24"/>
              </w:rPr>
              <w:t>表4-27     本项目危险废物汇总表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645"/>
              <w:gridCol w:w="590"/>
              <w:gridCol w:w="982"/>
              <w:gridCol w:w="684"/>
              <w:gridCol w:w="700"/>
              <w:gridCol w:w="430"/>
              <w:gridCol w:w="800"/>
              <w:gridCol w:w="601"/>
              <w:gridCol w:w="649"/>
              <w:gridCol w:w="860"/>
              <w:gridCol w:w="868"/>
            </w:tblGrid>
            <w:tr w14:paraId="3A7E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dxa"/>
                  <w:tcMar>
                    <w:top w:w="15" w:type="dxa"/>
                    <w:left w:w="15" w:type="dxa"/>
                    <w:bottom w:w="15" w:type="dxa"/>
                    <w:right w:w="15" w:type="dxa"/>
                  </w:tcMar>
                  <w:vAlign w:val="center"/>
                </w:tcPr>
                <w:p w14:paraId="79833966">
                  <w:pPr>
                    <w:adjustRightInd w:val="0"/>
                    <w:snapToGrid w:val="0"/>
                    <w:jc w:val="center"/>
                    <w:rPr>
                      <w:bCs/>
                      <w:szCs w:val="21"/>
                    </w:rPr>
                  </w:pPr>
                  <w:r>
                    <w:rPr>
                      <w:bCs/>
                      <w:szCs w:val="21"/>
                    </w:rPr>
                    <w:t>序号</w:t>
                  </w:r>
                </w:p>
              </w:tc>
              <w:tc>
                <w:tcPr>
                  <w:tcW w:w="645" w:type="dxa"/>
                  <w:tcMar>
                    <w:top w:w="15" w:type="dxa"/>
                    <w:left w:w="15" w:type="dxa"/>
                    <w:bottom w:w="15" w:type="dxa"/>
                    <w:right w:w="15" w:type="dxa"/>
                  </w:tcMar>
                  <w:vAlign w:val="center"/>
                </w:tcPr>
                <w:p w14:paraId="3A3E03BA">
                  <w:pPr>
                    <w:adjustRightInd w:val="0"/>
                    <w:snapToGrid w:val="0"/>
                    <w:jc w:val="center"/>
                    <w:rPr>
                      <w:bCs/>
                      <w:szCs w:val="21"/>
                    </w:rPr>
                  </w:pPr>
                  <w:r>
                    <w:rPr>
                      <w:bCs/>
                      <w:szCs w:val="21"/>
                    </w:rPr>
                    <w:t>危险废物名称</w:t>
                  </w:r>
                </w:p>
              </w:tc>
              <w:tc>
                <w:tcPr>
                  <w:tcW w:w="590" w:type="dxa"/>
                  <w:tcMar>
                    <w:top w:w="15" w:type="dxa"/>
                    <w:left w:w="15" w:type="dxa"/>
                    <w:bottom w:w="15" w:type="dxa"/>
                    <w:right w:w="15" w:type="dxa"/>
                  </w:tcMar>
                  <w:vAlign w:val="center"/>
                </w:tcPr>
                <w:p w14:paraId="7821D234">
                  <w:pPr>
                    <w:adjustRightInd w:val="0"/>
                    <w:snapToGrid w:val="0"/>
                    <w:jc w:val="center"/>
                    <w:rPr>
                      <w:bCs/>
                      <w:szCs w:val="21"/>
                    </w:rPr>
                  </w:pPr>
                  <w:r>
                    <w:rPr>
                      <w:bCs/>
                      <w:szCs w:val="21"/>
                    </w:rPr>
                    <w:t>危险废物类别</w:t>
                  </w:r>
                </w:p>
              </w:tc>
              <w:tc>
                <w:tcPr>
                  <w:tcW w:w="982" w:type="dxa"/>
                  <w:tcMar>
                    <w:top w:w="15" w:type="dxa"/>
                    <w:left w:w="15" w:type="dxa"/>
                    <w:bottom w:w="15" w:type="dxa"/>
                    <w:right w:w="15" w:type="dxa"/>
                  </w:tcMar>
                  <w:vAlign w:val="center"/>
                </w:tcPr>
                <w:p w14:paraId="448A1AB6">
                  <w:pPr>
                    <w:adjustRightInd w:val="0"/>
                    <w:snapToGrid w:val="0"/>
                    <w:jc w:val="center"/>
                    <w:rPr>
                      <w:bCs/>
                      <w:szCs w:val="21"/>
                    </w:rPr>
                  </w:pPr>
                  <w:r>
                    <w:rPr>
                      <w:bCs/>
                      <w:szCs w:val="21"/>
                    </w:rPr>
                    <w:t>危险废物代码</w:t>
                  </w:r>
                </w:p>
              </w:tc>
              <w:tc>
                <w:tcPr>
                  <w:tcW w:w="684" w:type="dxa"/>
                  <w:tcMar>
                    <w:top w:w="15" w:type="dxa"/>
                    <w:left w:w="15" w:type="dxa"/>
                    <w:bottom w:w="15" w:type="dxa"/>
                    <w:right w:w="15" w:type="dxa"/>
                  </w:tcMar>
                  <w:vAlign w:val="center"/>
                </w:tcPr>
                <w:p w14:paraId="012FA1D8">
                  <w:pPr>
                    <w:adjustRightInd w:val="0"/>
                    <w:snapToGrid w:val="0"/>
                    <w:jc w:val="center"/>
                    <w:rPr>
                      <w:bCs/>
                      <w:szCs w:val="21"/>
                    </w:rPr>
                  </w:pPr>
                  <w:r>
                    <w:rPr>
                      <w:bCs/>
                      <w:szCs w:val="21"/>
                    </w:rPr>
                    <w:t>产生量（t/a）</w:t>
                  </w:r>
                </w:p>
              </w:tc>
              <w:tc>
                <w:tcPr>
                  <w:tcW w:w="700" w:type="dxa"/>
                  <w:tcMar>
                    <w:top w:w="15" w:type="dxa"/>
                    <w:left w:w="15" w:type="dxa"/>
                    <w:bottom w:w="15" w:type="dxa"/>
                    <w:right w:w="15" w:type="dxa"/>
                  </w:tcMar>
                  <w:vAlign w:val="center"/>
                </w:tcPr>
                <w:p w14:paraId="1B609A43">
                  <w:pPr>
                    <w:adjustRightInd w:val="0"/>
                    <w:snapToGrid w:val="0"/>
                    <w:jc w:val="center"/>
                    <w:rPr>
                      <w:bCs/>
                      <w:szCs w:val="21"/>
                    </w:rPr>
                  </w:pPr>
                  <w:r>
                    <w:rPr>
                      <w:bCs/>
                      <w:szCs w:val="21"/>
                    </w:rPr>
                    <w:t>产生工序及装置</w:t>
                  </w:r>
                </w:p>
              </w:tc>
              <w:tc>
                <w:tcPr>
                  <w:tcW w:w="430" w:type="dxa"/>
                  <w:tcMar>
                    <w:top w:w="15" w:type="dxa"/>
                    <w:left w:w="15" w:type="dxa"/>
                    <w:bottom w:w="15" w:type="dxa"/>
                    <w:right w:w="15" w:type="dxa"/>
                  </w:tcMar>
                  <w:vAlign w:val="center"/>
                </w:tcPr>
                <w:p w14:paraId="640AB80F">
                  <w:pPr>
                    <w:adjustRightInd w:val="0"/>
                    <w:snapToGrid w:val="0"/>
                    <w:jc w:val="center"/>
                    <w:rPr>
                      <w:bCs/>
                      <w:szCs w:val="21"/>
                    </w:rPr>
                  </w:pPr>
                  <w:r>
                    <w:rPr>
                      <w:bCs/>
                      <w:szCs w:val="21"/>
                    </w:rPr>
                    <w:t>形态</w:t>
                  </w:r>
                </w:p>
              </w:tc>
              <w:tc>
                <w:tcPr>
                  <w:tcW w:w="800" w:type="dxa"/>
                  <w:tcMar>
                    <w:top w:w="15" w:type="dxa"/>
                    <w:left w:w="15" w:type="dxa"/>
                    <w:bottom w:w="15" w:type="dxa"/>
                    <w:right w:w="15" w:type="dxa"/>
                  </w:tcMar>
                  <w:vAlign w:val="center"/>
                </w:tcPr>
                <w:p w14:paraId="0A43F3E0">
                  <w:pPr>
                    <w:adjustRightInd w:val="0"/>
                    <w:snapToGrid w:val="0"/>
                    <w:jc w:val="center"/>
                    <w:rPr>
                      <w:bCs/>
                      <w:szCs w:val="21"/>
                    </w:rPr>
                  </w:pPr>
                  <w:r>
                    <w:rPr>
                      <w:bCs/>
                      <w:szCs w:val="21"/>
                    </w:rPr>
                    <w:t>主要成分</w:t>
                  </w:r>
                </w:p>
              </w:tc>
              <w:tc>
                <w:tcPr>
                  <w:tcW w:w="601" w:type="dxa"/>
                  <w:tcMar>
                    <w:top w:w="15" w:type="dxa"/>
                    <w:left w:w="15" w:type="dxa"/>
                    <w:bottom w:w="15" w:type="dxa"/>
                    <w:right w:w="15" w:type="dxa"/>
                  </w:tcMar>
                  <w:vAlign w:val="center"/>
                </w:tcPr>
                <w:p w14:paraId="6BEFA10E">
                  <w:pPr>
                    <w:adjustRightInd w:val="0"/>
                    <w:snapToGrid w:val="0"/>
                    <w:jc w:val="center"/>
                    <w:rPr>
                      <w:bCs/>
                      <w:szCs w:val="21"/>
                    </w:rPr>
                  </w:pPr>
                  <w:r>
                    <w:rPr>
                      <w:bCs/>
                      <w:szCs w:val="21"/>
                    </w:rPr>
                    <w:t>有害成分</w:t>
                  </w:r>
                </w:p>
              </w:tc>
              <w:tc>
                <w:tcPr>
                  <w:tcW w:w="649" w:type="dxa"/>
                  <w:tcMar>
                    <w:top w:w="15" w:type="dxa"/>
                    <w:left w:w="15" w:type="dxa"/>
                    <w:bottom w:w="15" w:type="dxa"/>
                    <w:right w:w="15" w:type="dxa"/>
                  </w:tcMar>
                  <w:vAlign w:val="center"/>
                </w:tcPr>
                <w:p w14:paraId="63027744">
                  <w:pPr>
                    <w:adjustRightInd w:val="0"/>
                    <w:snapToGrid w:val="0"/>
                    <w:jc w:val="center"/>
                    <w:rPr>
                      <w:bCs/>
                      <w:szCs w:val="21"/>
                    </w:rPr>
                  </w:pPr>
                  <w:r>
                    <w:rPr>
                      <w:bCs/>
                      <w:szCs w:val="21"/>
                    </w:rPr>
                    <w:t>产废周期</w:t>
                  </w:r>
                </w:p>
              </w:tc>
              <w:tc>
                <w:tcPr>
                  <w:tcW w:w="860" w:type="dxa"/>
                  <w:tcMar>
                    <w:top w:w="15" w:type="dxa"/>
                    <w:left w:w="15" w:type="dxa"/>
                    <w:bottom w:w="15" w:type="dxa"/>
                    <w:right w:w="15" w:type="dxa"/>
                  </w:tcMar>
                  <w:vAlign w:val="center"/>
                </w:tcPr>
                <w:p w14:paraId="70A65C2B">
                  <w:pPr>
                    <w:adjustRightInd w:val="0"/>
                    <w:snapToGrid w:val="0"/>
                    <w:jc w:val="center"/>
                    <w:rPr>
                      <w:bCs/>
                      <w:szCs w:val="21"/>
                    </w:rPr>
                  </w:pPr>
                  <w:r>
                    <w:rPr>
                      <w:bCs/>
                      <w:szCs w:val="21"/>
                    </w:rPr>
                    <w:t>危险特性</w:t>
                  </w:r>
                </w:p>
              </w:tc>
              <w:tc>
                <w:tcPr>
                  <w:tcW w:w="868" w:type="dxa"/>
                  <w:tcMar>
                    <w:top w:w="15" w:type="dxa"/>
                    <w:left w:w="15" w:type="dxa"/>
                    <w:bottom w:w="15" w:type="dxa"/>
                    <w:right w:w="15" w:type="dxa"/>
                  </w:tcMar>
                  <w:vAlign w:val="center"/>
                </w:tcPr>
                <w:p w14:paraId="392AD01D">
                  <w:pPr>
                    <w:adjustRightInd w:val="0"/>
                    <w:snapToGrid w:val="0"/>
                    <w:jc w:val="center"/>
                    <w:rPr>
                      <w:bCs/>
                      <w:szCs w:val="21"/>
                    </w:rPr>
                  </w:pPr>
                  <w:r>
                    <w:rPr>
                      <w:bCs/>
                      <w:szCs w:val="21"/>
                    </w:rPr>
                    <w:t>污染防治措施</w:t>
                  </w:r>
                </w:p>
              </w:tc>
            </w:tr>
            <w:tr w14:paraId="7390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dxa"/>
                  <w:tcMar>
                    <w:top w:w="15" w:type="dxa"/>
                    <w:left w:w="15" w:type="dxa"/>
                    <w:bottom w:w="15" w:type="dxa"/>
                    <w:right w:w="15" w:type="dxa"/>
                  </w:tcMar>
                  <w:vAlign w:val="center"/>
                </w:tcPr>
                <w:p w14:paraId="2958CC8D">
                  <w:pPr>
                    <w:adjustRightInd w:val="0"/>
                    <w:snapToGrid w:val="0"/>
                    <w:jc w:val="center"/>
                    <w:rPr>
                      <w:bCs/>
                      <w:szCs w:val="21"/>
                    </w:rPr>
                  </w:pPr>
                  <w:r>
                    <w:rPr>
                      <w:bCs/>
                      <w:szCs w:val="21"/>
                    </w:rPr>
                    <w:t>1</w:t>
                  </w:r>
                </w:p>
              </w:tc>
              <w:tc>
                <w:tcPr>
                  <w:tcW w:w="645" w:type="dxa"/>
                  <w:tcMar>
                    <w:top w:w="15" w:type="dxa"/>
                    <w:left w:w="15" w:type="dxa"/>
                    <w:bottom w:w="15" w:type="dxa"/>
                    <w:right w:w="15" w:type="dxa"/>
                  </w:tcMar>
                  <w:vAlign w:val="center"/>
                </w:tcPr>
                <w:p w14:paraId="4EAC139D">
                  <w:pPr>
                    <w:adjustRightInd w:val="0"/>
                    <w:snapToGrid w:val="0"/>
                    <w:jc w:val="center"/>
                    <w:rPr>
                      <w:bCs/>
                      <w:szCs w:val="21"/>
                    </w:rPr>
                  </w:pPr>
                  <w:r>
                    <w:rPr>
                      <w:bCs/>
                      <w:szCs w:val="21"/>
                    </w:rPr>
                    <w:t>废机油</w:t>
                  </w:r>
                </w:p>
              </w:tc>
              <w:tc>
                <w:tcPr>
                  <w:tcW w:w="590" w:type="dxa"/>
                  <w:tcMar>
                    <w:top w:w="15" w:type="dxa"/>
                    <w:left w:w="15" w:type="dxa"/>
                    <w:bottom w:w="15" w:type="dxa"/>
                    <w:right w:w="15" w:type="dxa"/>
                  </w:tcMar>
                  <w:vAlign w:val="center"/>
                </w:tcPr>
                <w:p w14:paraId="3A79586F">
                  <w:pPr>
                    <w:adjustRightInd w:val="0"/>
                    <w:snapToGrid w:val="0"/>
                    <w:jc w:val="center"/>
                    <w:rPr>
                      <w:bCs/>
                      <w:szCs w:val="21"/>
                    </w:rPr>
                  </w:pPr>
                  <w:r>
                    <w:rPr>
                      <w:bCs/>
                      <w:kern w:val="0"/>
                      <w:szCs w:val="21"/>
                    </w:rPr>
                    <w:t>HW08</w:t>
                  </w:r>
                  <w:r>
                    <w:rPr>
                      <w:bCs/>
                      <w:szCs w:val="21"/>
                    </w:rPr>
                    <w:t xml:space="preserve"> </w:t>
                  </w:r>
                </w:p>
              </w:tc>
              <w:tc>
                <w:tcPr>
                  <w:tcW w:w="982" w:type="dxa"/>
                  <w:tcMar>
                    <w:top w:w="15" w:type="dxa"/>
                    <w:left w:w="15" w:type="dxa"/>
                    <w:bottom w:w="15" w:type="dxa"/>
                    <w:right w:w="15" w:type="dxa"/>
                  </w:tcMar>
                  <w:vAlign w:val="center"/>
                </w:tcPr>
                <w:p w14:paraId="5C427177">
                  <w:pPr>
                    <w:adjustRightInd w:val="0"/>
                    <w:snapToGrid w:val="0"/>
                    <w:jc w:val="center"/>
                    <w:rPr>
                      <w:bCs/>
                      <w:szCs w:val="21"/>
                    </w:rPr>
                  </w:pPr>
                  <w:r>
                    <w:rPr>
                      <w:bCs/>
                      <w:kern w:val="0"/>
                      <w:szCs w:val="21"/>
                    </w:rPr>
                    <w:t>900-249-08</w:t>
                  </w:r>
                </w:p>
              </w:tc>
              <w:tc>
                <w:tcPr>
                  <w:tcW w:w="684" w:type="dxa"/>
                  <w:tcMar>
                    <w:top w:w="15" w:type="dxa"/>
                    <w:left w:w="15" w:type="dxa"/>
                    <w:bottom w:w="15" w:type="dxa"/>
                    <w:right w:w="15" w:type="dxa"/>
                  </w:tcMar>
                  <w:vAlign w:val="center"/>
                </w:tcPr>
                <w:p w14:paraId="7C07C595">
                  <w:pPr>
                    <w:adjustRightInd w:val="0"/>
                    <w:snapToGrid w:val="0"/>
                    <w:jc w:val="center"/>
                    <w:rPr>
                      <w:bCs/>
                      <w:szCs w:val="21"/>
                    </w:rPr>
                  </w:pPr>
                  <w:r>
                    <w:rPr>
                      <w:bCs/>
                      <w:szCs w:val="21"/>
                    </w:rPr>
                    <w:t>0.5</w:t>
                  </w:r>
                </w:p>
              </w:tc>
              <w:tc>
                <w:tcPr>
                  <w:tcW w:w="700" w:type="dxa"/>
                  <w:tcMar>
                    <w:top w:w="15" w:type="dxa"/>
                    <w:left w:w="15" w:type="dxa"/>
                    <w:bottom w:w="15" w:type="dxa"/>
                    <w:right w:w="15" w:type="dxa"/>
                  </w:tcMar>
                  <w:vAlign w:val="center"/>
                </w:tcPr>
                <w:p w14:paraId="5133DFC9">
                  <w:pPr>
                    <w:adjustRightInd w:val="0"/>
                    <w:snapToGrid w:val="0"/>
                    <w:jc w:val="center"/>
                    <w:rPr>
                      <w:bCs/>
                      <w:szCs w:val="21"/>
                    </w:rPr>
                  </w:pPr>
                  <w:r>
                    <w:rPr>
                      <w:bCs/>
                      <w:szCs w:val="21"/>
                    </w:rPr>
                    <w:t>机械设备日常维护、检修</w:t>
                  </w:r>
                </w:p>
              </w:tc>
              <w:tc>
                <w:tcPr>
                  <w:tcW w:w="430" w:type="dxa"/>
                  <w:tcMar>
                    <w:top w:w="15" w:type="dxa"/>
                    <w:left w:w="15" w:type="dxa"/>
                    <w:bottom w:w="15" w:type="dxa"/>
                    <w:right w:w="15" w:type="dxa"/>
                  </w:tcMar>
                  <w:vAlign w:val="center"/>
                </w:tcPr>
                <w:p w14:paraId="4E1D0932">
                  <w:pPr>
                    <w:adjustRightInd w:val="0"/>
                    <w:snapToGrid w:val="0"/>
                    <w:jc w:val="center"/>
                    <w:rPr>
                      <w:bCs/>
                      <w:szCs w:val="21"/>
                    </w:rPr>
                  </w:pPr>
                  <w:r>
                    <w:rPr>
                      <w:bCs/>
                      <w:szCs w:val="21"/>
                    </w:rPr>
                    <w:t>液态</w:t>
                  </w:r>
                </w:p>
              </w:tc>
              <w:tc>
                <w:tcPr>
                  <w:tcW w:w="800" w:type="dxa"/>
                  <w:tcMar>
                    <w:top w:w="15" w:type="dxa"/>
                    <w:left w:w="15" w:type="dxa"/>
                    <w:bottom w:w="15" w:type="dxa"/>
                    <w:right w:w="15" w:type="dxa"/>
                  </w:tcMar>
                  <w:vAlign w:val="center"/>
                </w:tcPr>
                <w:p w14:paraId="4AF6A193">
                  <w:pPr>
                    <w:adjustRightInd w:val="0"/>
                    <w:snapToGrid w:val="0"/>
                    <w:jc w:val="center"/>
                    <w:rPr>
                      <w:bCs/>
                      <w:szCs w:val="21"/>
                    </w:rPr>
                  </w:pPr>
                  <w:r>
                    <w:rPr>
                      <w:bCs/>
                      <w:szCs w:val="21"/>
                    </w:rPr>
                    <w:t>废机油</w:t>
                  </w:r>
                </w:p>
              </w:tc>
              <w:tc>
                <w:tcPr>
                  <w:tcW w:w="601" w:type="dxa"/>
                  <w:tcMar>
                    <w:top w:w="15" w:type="dxa"/>
                    <w:left w:w="15" w:type="dxa"/>
                    <w:bottom w:w="15" w:type="dxa"/>
                    <w:right w:w="15" w:type="dxa"/>
                  </w:tcMar>
                  <w:vAlign w:val="center"/>
                </w:tcPr>
                <w:p w14:paraId="72A15925">
                  <w:pPr>
                    <w:adjustRightInd w:val="0"/>
                    <w:snapToGrid w:val="0"/>
                    <w:jc w:val="center"/>
                    <w:rPr>
                      <w:bCs/>
                      <w:szCs w:val="21"/>
                    </w:rPr>
                  </w:pPr>
                  <w:r>
                    <w:rPr>
                      <w:bCs/>
                      <w:szCs w:val="21"/>
                    </w:rPr>
                    <w:t>石油类</w:t>
                  </w:r>
                </w:p>
              </w:tc>
              <w:tc>
                <w:tcPr>
                  <w:tcW w:w="649" w:type="dxa"/>
                  <w:tcMar>
                    <w:top w:w="15" w:type="dxa"/>
                    <w:left w:w="15" w:type="dxa"/>
                    <w:bottom w:w="15" w:type="dxa"/>
                    <w:right w:w="15" w:type="dxa"/>
                  </w:tcMar>
                  <w:vAlign w:val="center"/>
                </w:tcPr>
                <w:p w14:paraId="32E5CAFE">
                  <w:pPr>
                    <w:adjustRightInd w:val="0"/>
                    <w:snapToGrid w:val="0"/>
                    <w:jc w:val="center"/>
                    <w:rPr>
                      <w:bCs/>
                      <w:szCs w:val="21"/>
                    </w:rPr>
                  </w:pPr>
                  <w:r>
                    <w:rPr>
                      <w:bCs/>
                      <w:szCs w:val="21"/>
                    </w:rPr>
                    <w:t>180d</w:t>
                  </w:r>
                </w:p>
              </w:tc>
              <w:tc>
                <w:tcPr>
                  <w:tcW w:w="860" w:type="dxa"/>
                  <w:tcMar>
                    <w:top w:w="15" w:type="dxa"/>
                    <w:left w:w="15" w:type="dxa"/>
                    <w:bottom w:w="15" w:type="dxa"/>
                    <w:right w:w="15" w:type="dxa"/>
                  </w:tcMar>
                  <w:vAlign w:val="center"/>
                </w:tcPr>
                <w:p w14:paraId="34A93124">
                  <w:pPr>
                    <w:adjustRightInd w:val="0"/>
                    <w:snapToGrid w:val="0"/>
                    <w:jc w:val="center"/>
                    <w:rPr>
                      <w:bCs/>
                      <w:szCs w:val="21"/>
                    </w:rPr>
                  </w:pPr>
                  <w:r>
                    <w:rPr>
                      <w:bCs/>
                      <w:szCs w:val="21"/>
                    </w:rPr>
                    <w:t>T，I</w:t>
                  </w:r>
                </w:p>
              </w:tc>
              <w:tc>
                <w:tcPr>
                  <w:tcW w:w="868" w:type="dxa"/>
                  <w:vMerge w:val="restart"/>
                  <w:tcMar>
                    <w:top w:w="15" w:type="dxa"/>
                    <w:left w:w="15" w:type="dxa"/>
                    <w:bottom w:w="15" w:type="dxa"/>
                    <w:right w:w="15" w:type="dxa"/>
                  </w:tcMar>
                  <w:vAlign w:val="center"/>
                </w:tcPr>
                <w:p w14:paraId="59CEF4C3">
                  <w:pPr>
                    <w:adjustRightInd w:val="0"/>
                    <w:snapToGrid w:val="0"/>
                    <w:jc w:val="center"/>
                    <w:rPr>
                      <w:bCs/>
                      <w:szCs w:val="21"/>
                    </w:rPr>
                  </w:pPr>
                  <w:r>
                    <w:rPr>
                      <w:bCs/>
                      <w:szCs w:val="21"/>
                    </w:rPr>
                    <w:t>1座危废暂存间暂存，定期交有资质的单位处理</w:t>
                  </w:r>
                </w:p>
              </w:tc>
            </w:tr>
            <w:tr w14:paraId="13E2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dxa"/>
                  <w:tcMar>
                    <w:top w:w="15" w:type="dxa"/>
                    <w:left w:w="15" w:type="dxa"/>
                    <w:bottom w:w="15" w:type="dxa"/>
                    <w:right w:w="15" w:type="dxa"/>
                  </w:tcMar>
                  <w:vAlign w:val="center"/>
                </w:tcPr>
                <w:p w14:paraId="391FDAC7">
                  <w:pPr>
                    <w:adjustRightInd w:val="0"/>
                    <w:snapToGrid w:val="0"/>
                    <w:jc w:val="center"/>
                    <w:rPr>
                      <w:bCs/>
                      <w:szCs w:val="21"/>
                    </w:rPr>
                  </w:pPr>
                  <w:r>
                    <w:rPr>
                      <w:bCs/>
                      <w:szCs w:val="21"/>
                    </w:rPr>
                    <w:t>2</w:t>
                  </w:r>
                </w:p>
              </w:tc>
              <w:tc>
                <w:tcPr>
                  <w:tcW w:w="645" w:type="dxa"/>
                  <w:tcMar>
                    <w:top w:w="15" w:type="dxa"/>
                    <w:left w:w="15" w:type="dxa"/>
                    <w:bottom w:w="15" w:type="dxa"/>
                    <w:right w:w="15" w:type="dxa"/>
                  </w:tcMar>
                  <w:vAlign w:val="center"/>
                </w:tcPr>
                <w:p w14:paraId="1618D3F2">
                  <w:pPr>
                    <w:adjustRightInd w:val="0"/>
                    <w:snapToGrid w:val="0"/>
                    <w:jc w:val="center"/>
                    <w:rPr>
                      <w:bCs/>
                      <w:szCs w:val="21"/>
                    </w:rPr>
                  </w:pPr>
                  <w:r>
                    <w:rPr>
                      <w:bCs/>
                      <w:szCs w:val="21"/>
                    </w:rPr>
                    <w:t>废活性炭</w:t>
                  </w:r>
                </w:p>
              </w:tc>
              <w:tc>
                <w:tcPr>
                  <w:tcW w:w="590" w:type="dxa"/>
                  <w:tcMar>
                    <w:top w:w="15" w:type="dxa"/>
                    <w:left w:w="15" w:type="dxa"/>
                    <w:bottom w:w="15" w:type="dxa"/>
                    <w:right w:w="15" w:type="dxa"/>
                  </w:tcMar>
                  <w:vAlign w:val="center"/>
                </w:tcPr>
                <w:p w14:paraId="5187A19C">
                  <w:pPr>
                    <w:adjustRightInd w:val="0"/>
                    <w:snapToGrid w:val="0"/>
                    <w:jc w:val="center"/>
                    <w:rPr>
                      <w:bCs/>
                      <w:kern w:val="0"/>
                      <w:szCs w:val="21"/>
                    </w:rPr>
                  </w:pPr>
                  <w:r>
                    <w:rPr>
                      <w:bCs/>
                      <w:kern w:val="0"/>
                      <w:szCs w:val="21"/>
                    </w:rPr>
                    <w:t>HW49</w:t>
                  </w:r>
                </w:p>
              </w:tc>
              <w:tc>
                <w:tcPr>
                  <w:tcW w:w="982" w:type="dxa"/>
                  <w:tcMar>
                    <w:top w:w="15" w:type="dxa"/>
                    <w:left w:w="15" w:type="dxa"/>
                    <w:bottom w:w="15" w:type="dxa"/>
                    <w:right w:w="15" w:type="dxa"/>
                  </w:tcMar>
                  <w:vAlign w:val="center"/>
                </w:tcPr>
                <w:p w14:paraId="5B4FCE70">
                  <w:pPr>
                    <w:adjustRightInd w:val="0"/>
                    <w:snapToGrid w:val="0"/>
                    <w:jc w:val="center"/>
                    <w:rPr>
                      <w:bCs/>
                      <w:kern w:val="0"/>
                      <w:szCs w:val="21"/>
                    </w:rPr>
                  </w:pPr>
                  <w:r>
                    <w:rPr>
                      <w:bCs/>
                      <w:szCs w:val="21"/>
                    </w:rPr>
                    <w:t>900-039-49</w:t>
                  </w:r>
                </w:p>
              </w:tc>
              <w:tc>
                <w:tcPr>
                  <w:tcW w:w="684" w:type="dxa"/>
                  <w:tcMar>
                    <w:top w:w="15" w:type="dxa"/>
                    <w:left w:w="15" w:type="dxa"/>
                    <w:bottom w:w="15" w:type="dxa"/>
                    <w:right w:w="15" w:type="dxa"/>
                  </w:tcMar>
                  <w:vAlign w:val="center"/>
                </w:tcPr>
                <w:p w14:paraId="1FAF86B1">
                  <w:pPr>
                    <w:adjustRightInd w:val="0"/>
                    <w:snapToGrid w:val="0"/>
                    <w:jc w:val="center"/>
                    <w:rPr>
                      <w:bCs/>
                      <w:szCs w:val="21"/>
                    </w:rPr>
                  </w:pPr>
                  <w:r>
                    <w:rPr>
                      <w:bCs/>
                      <w:szCs w:val="21"/>
                    </w:rPr>
                    <w:t>1.36</w:t>
                  </w:r>
                </w:p>
              </w:tc>
              <w:tc>
                <w:tcPr>
                  <w:tcW w:w="700" w:type="dxa"/>
                  <w:tcMar>
                    <w:top w:w="15" w:type="dxa"/>
                    <w:left w:w="15" w:type="dxa"/>
                    <w:bottom w:w="15" w:type="dxa"/>
                    <w:right w:w="15" w:type="dxa"/>
                  </w:tcMar>
                  <w:vAlign w:val="center"/>
                </w:tcPr>
                <w:p w14:paraId="2BCEEC46">
                  <w:pPr>
                    <w:adjustRightInd w:val="0"/>
                    <w:snapToGrid w:val="0"/>
                    <w:jc w:val="center"/>
                    <w:rPr>
                      <w:bCs/>
                      <w:szCs w:val="21"/>
                    </w:rPr>
                  </w:pPr>
                  <w:r>
                    <w:rPr>
                      <w:bCs/>
                      <w:szCs w:val="21"/>
                    </w:rPr>
                    <w:t>活性炭吸附装置</w:t>
                  </w:r>
                </w:p>
              </w:tc>
              <w:tc>
                <w:tcPr>
                  <w:tcW w:w="430" w:type="dxa"/>
                  <w:tcMar>
                    <w:top w:w="15" w:type="dxa"/>
                    <w:left w:w="15" w:type="dxa"/>
                    <w:bottom w:w="15" w:type="dxa"/>
                    <w:right w:w="15" w:type="dxa"/>
                  </w:tcMar>
                  <w:vAlign w:val="center"/>
                </w:tcPr>
                <w:p w14:paraId="3C4B0735">
                  <w:pPr>
                    <w:adjustRightInd w:val="0"/>
                    <w:snapToGrid w:val="0"/>
                    <w:jc w:val="center"/>
                    <w:rPr>
                      <w:bCs/>
                      <w:szCs w:val="21"/>
                    </w:rPr>
                  </w:pPr>
                  <w:r>
                    <w:rPr>
                      <w:bCs/>
                      <w:szCs w:val="21"/>
                    </w:rPr>
                    <w:t>固态</w:t>
                  </w:r>
                </w:p>
              </w:tc>
              <w:tc>
                <w:tcPr>
                  <w:tcW w:w="800" w:type="dxa"/>
                  <w:tcMar>
                    <w:top w:w="15" w:type="dxa"/>
                    <w:left w:w="15" w:type="dxa"/>
                    <w:bottom w:w="15" w:type="dxa"/>
                    <w:right w:w="15" w:type="dxa"/>
                  </w:tcMar>
                  <w:vAlign w:val="center"/>
                </w:tcPr>
                <w:p w14:paraId="25604490">
                  <w:pPr>
                    <w:adjustRightInd w:val="0"/>
                    <w:snapToGrid w:val="0"/>
                    <w:jc w:val="center"/>
                    <w:rPr>
                      <w:bCs/>
                      <w:szCs w:val="21"/>
                    </w:rPr>
                  </w:pPr>
                  <w:r>
                    <w:rPr>
                      <w:bCs/>
                      <w:szCs w:val="21"/>
                      <w:lang w:bidi="ar"/>
                    </w:rPr>
                    <w:t>恶臭气体</w:t>
                  </w:r>
                </w:p>
              </w:tc>
              <w:tc>
                <w:tcPr>
                  <w:tcW w:w="601" w:type="dxa"/>
                  <w:tcMar>
                    <w:top w:w="15" w:type="dxa"/>
                    <w:left w:w="15" w:type="dxa"/>
                    <w:bottom w:w="15" w:type="dxa"/>
                    <w:right w:w="15" w:type="dxa"/>
                  </w:tcMar>
                  <w:vAlign w:val="center"/>
                </w:tcPr>
                <w:p w14:paraId="793306A6">
                  <w:pPr>
                    <w:adjustRightInd w:val="0"/>
                    <w:snapToGrid w:val="0"/>
                    <w:jc w:val="center"/>
                    <w:rPr>
                      <w:bCs/>
                      <w:szCs w:val="21"/>
                    </w:rPr>
                  </w:pPr>
                  <w:r>
                    <w:rPr>
                      <w:bCs/>
                      <w:szCs w:val="21"/>
                      <w:lang w:bidi="ar"/>
                    </w:rPr>
                    <w:t>恶臭气体</w:t>
                  </w:r>
                </w:p>
              </w:tc>
              <w:tc>
                <w:tcPr>
                  <w:tcW w:w="649" w:type="dxa"/>
                  <w:tcMar>
                    <w:top w:w="15" w:type="dxa"/>
                    <w:left w:w="15" w:type="dxa"/>
                    <w:bottom w:w="15" w:type="dxa"/>
                    <w:right w:w="15" w:type="dxa"/>
                  </w:tcMar>
                  <w:vAlign w:val="center"/>
                </w:tcPr>
                <w:p w14:paraId="3593134E">
                  <w:pPr>
                    <w:adjustRightInd w:val="0"/>
                    <w:snapToGrid w:val="0"/>
                    <w:jc w:val="center"/>
                    <w:rPr>
                      <w:bCs/>
                      <w:szCs w:val="21"/>
                    </w:rPr>
                  </w:pPr>
                  <w:r>
                    <w:rPr>
                      <w:bCs/>
                      <w:szCs w:val="21"/>
                    </w:rPr>
                    <w:t>90d</w:t>
                  </w:r>
                </w:p>
              </w:tc>
              <w:tc>
                <w:tcPr>
                  <w:tcW w:w="860" w:type="dxa"/>
                  <w:tcMar>
                    <w:top w:w="15" w:type="dxa"/>
                    <w:left w:w="15" w:type="dxa"/>
                    <w:bottom w:w="15" w:type="dxa"/>
                    <w:right w:w="15" w:type="dxa"/>
                  </w:tcMar>
                  <w:vAlign w:val="center"/>
                </w:tcPr>
                <w:p w14:paraId="66585AB2">
                  <w:pPr>
                    <w:adjustRightInd w:val="0"/>
                    <w:snapToGrid w:val="0"/>
                    <w:jc w:val="center"/>
                    <w:rPr>
                      <w:bCs/>
                      <w:szCs w:val="21"/>
                    </w:rPr>
                  </w:pPr>
                  <w:r>
                    <w:rPr>
                      <w:bCs/>
                      <w:szCs w:val="21"/>
                      <w:lang w:bidi="ar"/>
                    </w:rPr>
                    <w:t>T，I</w:t>
                  </w:r>
                </w:p>
              </w:tc>
              <w:tc>
                <w:tcPr>
                  <w:tcW w:w="868" w:type="dxa"/>
                  <w:vMerge w:val="continue"/>
                  <w:tcMar>
                    <w:top w:w="15" w:type="dxa"/>
                    <w:left w:w="15" w:type="dxa"/>
                    <w:bottom w:w="15" w:type="dxa"/>
                    <w:right w:w="15" w:type="dxa"/>
                  </w:tcMar>
                  <w:vAlign w:val="center"/>
                </w:tcPr>
                <w:p w14:paraId="669C43D1">
                  <w:pPr>
                    <w:adjustRightInd w:val="0"/>
                    <w:snapToGrid w:val="0"/>
                    <w:jc w:val="center"/>
                    <w:rPr>
                      <w:bCs/>
                      <w:szCs w:val="21"/>
                    </w:rPr>
                  </w:pPr>
                </w:p>
              </w:tc>
            </w:tr>
          </w:tbl>
          <w:p w14:paraId="1588972C">
            <w:pPr>
              <w:spacing w:line="520" w:lineRule="exact"/>
              <w:jc w:val="left"/>
              <w:rPr>
                <w:rFonts w:eastAsia="黑体"/>
                <w:bCs/>
                <w:sz w:val="24"/>
              </w:rPr>
            </w:pPr>
            <w:r>
              <w:rPr>
                <w:rFonts w:eastAsia="黑体"/>
                <w:bCs/>
                <w:sz w:val="24"/>
              </w:rPr>
              <w:t>4.2环境管理要求</w:t>
            </w:r>
          </w:p>
          <w:p w14:paraId="341C4089">
            <w:pPr>
              <w:widowControl/>
              <w:spacing w:line="520" w:lineRule="exact"/>
              <w:ind w:firstLine="480" w:firstLineChars="200"/>
              <w:rPr>
                <w:bCs/>
                <w:sz w:val="24"/>
              </w:rPr>
            </w:pPr>
            <w:r>
              <w:rPr>
                <w:bCs/>
                <w:kern w:val="0"/>
                <w:sz w:val="24"/>
              </w:rPr>
              <w:t>（1）一般固废暂存要求</w:t>
            </w:r>
          </w:p>
          <w:p w14:paraId="6B796A02">
            <w:pPr>
              <w:spacing w:line="520" w:lineRule="exact"/>
              <w:ind w:firstLine="480" w:firstLineChars="200"/>
              <w:rPr>
                <w:bCs/>
                <w:sz w:val="24"/>
              </w:rPr>
            </w:pPr>
            <w:r>
              <w:rPr>
                <w:bCs/>
                <w:sz w:val="24"/>
              </w:rPr>
              <w:t>根据现场调查，厂区现状未设置专门的一般固废暂存区，评价建议建设单位按照《一般工业固体废物贮存和填埋污染控制标准》（GB18599-2020）的相关要求在原料仓库内设置专门的固体废物临时堆放场地，固废临时贮存场应满足如下要求：</w:t>
            </w:r>
          </w:p>
          <w:p w14:paraId="0FC53279">
            <w:pPr>
              <w:spacing w:line="520" w:lineRule="exact"/>
              <w:ind w:firstLine="480" w:firstLineChars="200"/>
              <w:rPr>
                <w:bCs/>
                <w:sz w:val="24"/>
              </w:rPr>
            </w:pPr>
            <w:r>
              <w:rPr>
                <w:bCs/>
                <w:sz w:val="24"/>
              </w:rPr>
              <w:fldChar w:fldCharType="begin"/>
            </w:r>
            <w:r>
              <w:rPr>
                <w:bCs/>
                <w:sz w:val="24"/>
              </w:rPr>
              <w:instrText xml:space="preserve"> = 1 \* GB3 </w:instrText>
            </w:r>
            <w:r>
              <w:rPr>
                <w:bCs/>
                <w:sz w:val="24"/>
              </w:rPr>
              <w:fldChar w:fldCharType="separate"/>
            </w:r>
            <w:r>
              <w:rPr>
                <w:rFonts w:ascii="Cambria Math" w:hAnsi="Cambria Math" w:cs="Cambria Math"/>
                <w:bCs/>
                <w:sz w:val="24"/>
              </w:rPr>
              <w:t>①</w:t>
            </w:r>
            <w:r>
              <w:rPr>
                <w:bCs/>
                <w:sz w:val="24"/>
              </w:rPr>
              <w:fldChar w:fldCharType="end"/>
            </w:r>
            <w:r>
              <w:rPr>
                <w:bCs/>
                <w:sz w:val="24"/>
              </w:rPr>
              <w:t>储存场地地面硬化并满足承载力要求，满足防风、防雨、防晒要求。</w:t>
            </w:r>
          </w:p>
          <w:p w14:paraId="1B2DF372">
            <w:pPr>
              <w:spacing w:line="520" w:lineRule="exact"/>
              <w:ind w:firstLine="480" w:firstLineChars="200"/>
              <w:rPr>
                <w:bCs/>
                <w:sz w:val="24"/>
              </w:rPr>
            </w:pPr>
            <w:r>
              <w:rPr>
                <w:bCs/>
                <w:sz w:val="24"/>
              </w:rPr>
              <w:fldChar w:fldCharType="begin"/>
            </w:r>
            <w:r>
              <w:rPr>
                <w:bCs/>
                <w:sz w:val="24"/>
              </w:rPr>
              <w:instrText xml:space="preserve"> = 2 \* GB3 </w:instrText>
            </w:r>
            <w:r>
              <w:rPr>
                <w:bCs/>
                <w:sz w:val="24"/>
              </w:rPr>
              <w:fldChar w:fldCharType="separate"/>
            </w:r>
            <w:r>
              <w:rPr>
                <w:rFonts w:ascii="Cambria Math" w:hAnsi="Cambria Math" w:cs="Cambria Math"/>
                <w:bCs/>
                <w:sz w:val="24"/>
              </w:rPr>
              <w:t>②</w:t>
            </w:r>
            <w:r>
              <w:rPr>
                <w:bCs/>
                <w:sz w:val="24"/>
              </w:rPr>
              <w:fldChar w:fldCharType="end"/>
            </w:r>
            <w:r>
              <w:rPr>
                <w:bCs/>
                <w:sz w:val="24"/>
              </w:rPr>
              <w:t>按《环境保护图形标识—固体废物贮存（处置）场》（GB15562.2）要求设置环境保护图形标志。</w:t>
            </w:r>
          </w:p>
          <w:p w14:paraId="7555DF84">
            <w:pPr>
              <w:spacing w:line="520" w:lineRule="exact"/>
              <w:ind w:firstLine="480" w:firstLineChars="200"/>
              <w:rPr>
                <w:bCs/>
                <w:sz w:val="24"/>
              </w:rPr>
            </w:pPr>
            <w:r>
              <w:rPr>
                <w:bCs/>
                <w:sz w:val="24"/>
              </w:rPr>
              <w:fldChar w:fldCharType="begin"/>
            </w:r>
            <w:r>
              <w:rPr>
                <w:bCs/>
                <w:sz w:val="24"/>
              </w:rPr>
              <w:instrText xml:space="preserve"> = 3 \* GB3 </w:instrText>
            </w:r>
            <w:r>
              <w:rPr>
                <w:bCs/>
                <w:sz w:val="24"/>
              </w:rPr>
              <w:fldChar w:fldCharType="separate"/>
            </w:r>
            <w:r>
              <w:rPr>
                <w:rFonts w:ascii="Cambria Math" w:hAnsi="Cambria Math" w:cs="Cambria Math"/>
                <w:bCs/>
                <w:sz w:val="24"/>
              </w:rPr>
              <w:t>③</w:t>
            </w:r>
            <w:r>
              <w:rPr>
                <w:bCs/>
                <w:sz w:val="24"/>
              </w:rPr>
              <w:fldChar w:fldCharType="end"/>
            </w:r>
            <w:r>
              <w:rPr>
                <w:bCs/>
                <w:sz w:val="24"/>
              </w:rPr>
              <w:t>禁止将生活垃圾、危险废物混入一般工业固体废物贮存区。</w:t>
            </w:r>
          </w:p>
          <w:p w14:paraId="7A6CD052">
            <w:pPr>
              <w:spacing w:line="520" w:lineRule="exact"/>
              <w:ind w:firstLine="480" w:firstLineChars="200"/>
              <w:rPr>
                <w:bCs/>
                <w:sz w:val="24"/>
                <w:highlight w:val="yellow"/>
              </w:rPr>
            </w:pPr>
            <w:r>
              <w:rPr>
                <w:bCs/>
                <w:sz w:val="24"/>
              </w:rPr>
              <w:t>项目废湿坯、除尘灰收集后直接回用于生产，不暂存；不合格品、脱硫石膏、洗车废水沉淀池污泥等需要暂存，评价建议在原料仓库设置</w:t>
            </w:r>
            <w:r>
              <w:rPr>
                <w:bCs/>
                <w:sz w:val="24"/>
                <w:szCs w:val="32"/>
              </w:rPr>
              <w:t>一座100m</w:t>
            </w:r>
            <w:r>
              <w:rPr>
                <w:bCs/>
                <w:sz w:val="24"/>
                <w:szCs w:val="32"/>
                <w:vertAlign w:val="superscript"/>
              </w:rPr>
              <w:t>2</w:t>
            </w:r>
            <w:r>
              <w:rPr>
                <w:bCs/>
                <w:sz w:val="24"/>
                <w:szCs w:val="32"/>
              </w:rPr>
              <w:t>的一般固废暂存区，不合格品、</w:t>
            </w:r>
            <w:r>
              <w:rPr>
                <w:bCs/>
                <w:sz w:val="24"/>
              </w:rPr>
              <w:t>洗车废水沉淀池污泥</w:t>
            </w:r>
            <w:r>
              <w:rPr>
                <w:bCs/>
                <w:sz w:val="24"/>
                <w:szCs w:val="32"/>
              </w:rPr>
              <w:t>经暂存后及时掺入原料，回用于生产，脱硫石膏经收集暂存后定期外售综合利用</w:t>
            </w:r>
            <w:r>
              <w:rPr>
                <w:sz w:val="24"/>
              </w:rPr>
              <w:t>。</w:t>
            </w:r>
          </w:p>
          <w:p w14:paraId="3B80E648">
            <w:pPr>
              <w:widowControl/>
              <w:spacing w:line="520" w:lineRule="exact"/>
              <w:ind w:firstLine="480" w:firstLineChars="200"/>
              <w:rPr>
                <w:bCs/>
                <w:kern w:val="0"/>
                <w:sz w:val="24"/>
              </w:rPr>
            </w:pPr>
            <w:r>
              <w:rPr>
                <w:bCs/>
                <w:kern w:val="0"/>
                <w:sz w:val="24"/>
              </w:rPr>
              <w:t>（2）危险废物管理要求</w:t>
            </w:r>
          </w:p>
          <w:p w14:paraId="0CAE3977">
            <w:pPr>
              <w:adjustRightInd w:val="0"/>
              <w:snapToGrid w:val="0"/>
              <w:spacing w:line="520" w:lineRule="exact"/>
              <w:ind w:firstLine="480" w:firstLineChars="200"/>
              <w:rPr>
                <w:bCs/>
                <w:sz w:val="24"/>
              </w:rPr>
            </w:pPr>
            <w:r>
              <w:rPr>
                <w:bCs/>
                <w:sz w:val="24"/>
              </w:rPr>
              <w:t>项目运营期危险废物为废机油、废活性炭，经高密度聚乙烯桶收集后利用厂区内现有一座20m</w:t>
            </w:r>
            <w:r>
              <w:rPr>
                <w:bCs/>
                <w:sz w:val="24"/>
                <w:vertAlign w:val="superscript"/>
              </w:rPr>
              <w:t>2</w:t>
            </w:r>
            <w:r>
              <w:rPr>
                <w:bCs/>
                <w:sz w:val="24"/>
              </w:rPr>
              <w:t>危险废物暂存间暂存，并定期交由有资质单位进行处理，危险废物贮存场所基本情况表如下。</w:t>
            </w:r>
          </w:p>
          <w:p w14:paraId="20A34AC1">
            <w:pPr>
              <w:adjustRightInd w:val="0"/>
              <w:snapToGrid w:val="0"/>
              <w:spacing w:line="520" w:lineRule="exact"/>
              <w:jc w:val="center"/>
              <w:rPr>
                <w:rFonts w:eastAsia="黑体"/>
                <w:bCs/>
                <w:sz w:val="24"/>
              </w:rPr>
            </w:pPr>
            <w:r>
              <w:rPr>
                <w:rFonts w:eastAsia="黑体"/>
                <w:bCs/>
                <w:sz w:val="24"/>
              </w:rPr>
              <w:t>表4-28      本项目危险废物贮存场所基本情况表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058"/>
              <w:gridCol w:w="1313"/>
              <w:gridCol w:w="640"/>
              <w:gridCol w:w="1137"/>
              <w:gridCol w:w="614"/>
              <w:gridCol w:w="696"/>
              <w:gridCol w:w="814"/>
              <w:gridCol w:w="708"/>
              <w:gridCol w:w="794"/>
            </w:tblGrid>
            <w:tr w14:paraId="2C28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7"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3779718">
                  <w:pPr>
                    <w:adjustRightInd w:val="0"/>
                    <w:snapToGrid w:val="0"/>
                    <w:jc w:val="center"/>
                    <w:rPr>
                      <w:bCs/>
                      <w:szCs w:val="21"/>
                    </w:rPr>
                  </w:pPr>
                  <w:r>
                    <w:rPr>
                      <w:bCs/>
                      <w:szCs w:val="21"/>
                    </w:rPr>
                    <w:t>序号</w:t>
                  </w:r>
                </w:p>
              </w:tc>
              <w:tc>
                <w:tcPr>
                  <w:tcW w:w="105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EC4A6A">
                  <w:pPr>
                    <w:adjustRightInd w:val="0"/>
                    <w:snapToGrid w:val="0"/>
                    <w:jc w:val="center"/>
                    <w:rPr>
                      <w:bCs/>
                      <w:szCs w:val="21"/>
                    </w:rPr>
                  </w:pPr>
                  <w:r>
                    <w:rPr>
                      <w:bCs/>
                      <w:szCs w:val="21"/>
                    </w:rPr>
                    <w:t>贮存场所名称</w:t>
                  </w:r>
                </w:p>
              </w:tc>
              <w:tc>
                <w:tcPr>
                  <w:tcW w:w="1313"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EF7E0E">
                  <w:pPr>
                    <w:adjustRightInd w:val="0"/>
                    <w:snapToGrid w:val="0"/>
                    <w:jc w:val="center"/>
                    <w:rPr>
                      <w:bCs/>
                      <w:szCs w:val="21"/>
                    </w:rPr>
                  </w:pPr>
                  <w:r>
                    <w:rPr>
                      <w:bCs/>
                      <w:szCs w:val="21"/>
                    </w:rPr>
                    <w:t>危险废物名称</w:t>
                  </w:r>
                </w:p>
              </w:tc>
              <w:tc>
                <w:tcPr>
                  <w:tcW w:w="64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AC3A5BE">
                  <w:pPr>
                    <w:adjustRightInd w:val="0"/>
                    <w:snapToGrid w:val="0"/>
                    <w:jc w:val="center"/>
                    <w:rPr>
                      <w:bCs/>
                      <w:szCs w:val="21"/>
                    </w:rPr>
                  </w:pPr>
                  <w:r>
                    <w:rPr>
                      <w:bCs/>
                      <w:szCs w:val="21"/>
                    </w:rPr>
                    <w:t>危险废物类别</w:t>
                  </w:r>
                </w:p>
              </w:tc>
              <w:tc>
                <w:tcPr>
                  <w:tcW w:w="1137"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BA4EE0">
                  <w:pPr>
                    <w:adjustRightInd w:val="0"/>
                    <w:snapToGrid w:val="0"/>
                    <w:jc w:val="center"/>
                    <w:rPr>
                      <w:bCs/>
                      <w:szCs w:val="21"/>
                    </w:rPr>
                  </w:pPr>
                  <w:r>
                    <w:rPr>
                      <w:bCs/>
                      <w:szCs w:val="21"/>
                    </w:rPr>
                    <w:t>危险废物代码</w:t>
                  </w:r>
                </w:p>
              </w:tc>
              <w:tc>
                <w:tcPr>
                  <w:tcW w:w="614"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70D3F2">
                  <w:pPr>
                    <w:adjustRightInd w:val="0"/>
                    <w:snapToGrid w:val="0"/>
                    <w:jc w:val="center"/>
                    <w:rPr>
                      <w:bCs/>
                      <w:szCs w:val="21"/>
                    </w:rPr>
                  </w:pPr>
                  <w:r>
                    <w:rPr>
                      <w:bCs/>
                      <w:szCs w:val="21"/>
                    </w:rPr>
                    <w:t>位置</w:t>
                  </w:r>
                </w:p>
              </w:tc>
              <w:tc>
                <w:tcPr>
                  <w:tcW w:w="69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F7FCC51">
                  <w:pPr>
                    <w:adjustRightInd w:val="0"/>
                    <w:snapToGrid w:val="0"/>
                    <w:jc w:val="center"/>
                    <w:rPr>
                      <w:bCs/>
                      <w:szCs w:val="21"/>
                    </w:rPr>
                  </w:pPr>
                  <w:r>
                    <w:rPr>
                      <w:bCs/>
                      <w:szCs w:val="21"/>
                    </w:rPr>
                    <w:t>占地面积（m</w:t>
                  </w:r>
                  <w:r>
                    <w:rPr>
                      <w:bCs/>
                      <w:szCs w:val="21"/>
                      <w:vertAlign w:val="superscript"/>
                    </w:rPr>
                    <w:t>2</w:t>
                  </w:r>
                  <w:r>
                    <w:rPr>
                      <w:bCs/>
                      <w:szCs w:val="21"/>
                    </w:rPr>
                    <w:t>）</w:t>
                  </w:r>
                </w:p>
              </w:tc>
              <w:tc>
                <w:tcPr>
                  <w:tcW w:w="814"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CE44BA">
                  <w:pPr>
                    <w:adjustRightInd w:val="0"/>
                    <w:snapToGrid w:val="0"/>
                    <w:jc w:val="center"/>
                    <w:rPr>
                      <w:bCs/>
                      <w:szCs w:val="21"/>
                    </w:rPr>
                  </w:pPr>
                  <w:r>
                    <w:rPr>
                      <w:bCs/>
                      <w:szCs w:val="21"/>
                    </w:rPr>
                    <w:t>贮存方式</w:t>
                  </w:r>
                </w:p>
              </w:tc>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2F4C71">
                  <w:pPr>
                    <w:adjustRightInd w:val="0"/>
                    <w:snapToGrid w:val="0"/>
                    <w:jc w:val="center"/>
                    <w:rPr>
                      <w:bCs/>
                      <w:szCs w:val="21"/>
                    </w:rPr>
                  </w:pPr>
                  <w:r>
                    <w:rPr>
                      <w:bCs/>
                      <w:szCs w:val="21"/>
                    </w:rPr>
                    <w:t>贮存能力（t）</w:t>
                  </w:r>
                </w:p>
              </w:tc>
              <w:tc>
                <w:tcPr>
                  <w:tcW w:w="794"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945FB8">
                  <w:pPr>
                    <w:adjustRightInd w:val="0"/>
                    <w:snapToGrid w:val="0"/>
                    <w:jc w:val="center"/>
                    <w:rPr>
                      <w:bCs/>
                      <w:szCs w:val="21"/>
                    </w:rPr>
                  </w:pPr>
                  <w:r>
                    <w:rPr>
                      <w:bCs/>
                      <w:szCs w:val="21"/>
                    </w:rPr>
                    <w:t>贮存周期</w:t>
                  </w:r>
                </w:p>
              </w:tc>
            </w:tr>
            <w:tr w14:paraId="0326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487"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AF58D6F">
                  <w:pPr>
                    <w:adjustRightInd w:val="0"/>
                    <w:snapToGrid w:val="0"/>
                    <w:ind w:firstLine="420" w:firstLineChars="200"/>
                    <w:jc w:val="center"/>
                    <w:rPr>
                      <w:bCs/>
                      <w:szCs w:val="21"/>
                    </w:rPr>
                  </w:pPr>
                </w:p>
              </w:tc>
              <w:tc>
                <w:tcPr>
                  <w:tcW w:w="1058"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93FB60F">
                  <w:pPr>
                    <w:adjustRightInd w:val="0"/>
                    <w:snapToGrid w:val="0"/>
                    <w:ind w:firstLine="420" w:firstLineChars="200"/>
                    <w:jc w:val="center"/>
                    <w:rPr>
                      <w:bCs/>
                      <w:szCs w:val="21"/>
                    </w:rPr>
                  </w:pPr>
                </w:p>
              </w:tc>
              <w:tc>
                <w:tcPr>
                  <w:tcW w:w="131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385C61">
                  <w:pPr>
                    <w:adjustRightInd w:val="0"/>
                    <w:snapToGrid w:val="0"/>
                    <w:ind w:firstLine="420" w:firstLineChars="200"/>
                    <w:jc w:val="center"/>
                    <w:rPr>
                      <w:bCs/>
                      <w:szCs w:val="21"/>
                    </w:rPr>
                  </w:pPr>
                </w:p>
              </w:tc>
              <w:tc>
                <w:tcPr>
                  <w:tcW w:w="640"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93CC3B0">
                  <w:pPr>
                    <w:adjustRightInd w:val="0"/>
                    <w:snapToGrid w:val="0"/>
                    <w:ind w:firstLine="420" w:firstLineChars="200"/>
                    <w:jc w:val="center"/>
                    <w:rPr>
                      <w:bCs/>
                      <w:szCs w:val="21"/>
                    </w:rPr>
                  </w:pPr>
                </w:p>
              </w:tc>
              <w:tc>
                <w:tcPr>
                  <w:tcW w:w="1137"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2C1798">
                  <w:pPr>
                    <w:adjustRightInd w:val="0"/>
                    <w:snapToGrid w:val="0"/>
                    <w:ind w:firstLine="420" w:firstLineChars="200"/>
                    <w:jc w:val="center"/>
                    <w:rPr>
                      <w:bCs/>
                      <w:szCs w:val="21"/>
                    </w:rPr>
                  </w:pPr>
                </w:p>
              </w:tc>
              <w:tc>
                <w:tcPr>
                  <w:tcW w:w="614"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5920833">
                  <w:pPr>
                    <w:adjustRightInd w:val="0"/>
                    <w:snapToGrid w:val="0"/>
                    <w:ind w:firstLine="420" w:firstLineChars="200"/>
                    <w:jc w:val="center"/>
                    <w:rPr>
                      <w:bCs/>
                      <w:szCs w:val="21"/>
                    </w:rPr>
                  </w:pPr>
                </w:p>
              </w:tc>
              <w:tc>
                <w:tcPr>
                  <w:tcW w:w="696"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51483F">
                  <w:pPr>
                    <w:adjustRightInd w:val="0"/>
                    <w:snapToGrid w:val="0"/>
                    <w:ind w:firstLine="420" w:firstLineChars="200"/>
                    <w:jc w:val="center"/>
                    <w:rPr>
                      <w:bCs/>
                      <w:szCs w:val="21"/>
                    </w:rPr>
                  </w:pPr>
                </w:p>
              </w:tc>
              <w:tc>
                <w:tcPr>
                  <w:tcW w:w="814"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F4D69D0">
                  <w:pPr>
                    <w:adjustRightInd w:val="0"/>
                    <w:snapToGrid w:val="0"/>
                    <w:ind w:firstLine="420" w:firstLineChars="200"/>
                    <w:jc w:val="center"/>
                    <w:rPr>
                      <w:bCs/>
                      <w:szCs w:val="21"/>
                    </w:rPr>
                  </w:pPr>
                </w:p>
              </w:tc>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7E10AA2">
                  <w:pPr>
                    <w:adjustRightInd w:val="0"/>
                    <w:snapToGrid w:val="0"/>
                    <w:ind w:firstLine="420" w:firstLineChars="200"/>
                    <w:jc w:val="center"/>
                    <w:rPr>
                      <w:bCs/>
                      <w:szCs w:val="21"/>
                    </w:rPr>
                  </w:pPr>
                </w:p>
              </w:tc>
              <w:tc>
                <w:tcPr>
                  <w:tcW w:w="794"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61B9ED">
                  <w:pPr>
                    <w:adjustRightInd w:val="0"/>
                    <w:snapToGrid w:val="0"/>
                    <w:ind w:firstLine="420" w:firstLineChars="200"/>
                    <w:jc w:val="center"/>
                    <w:rPr>
                      <w:bCs/>
                      <w:szCs w:val="21"/>
                    </w:rPr>
                  </w:pPr>
                </w:p>
              </w:tc>
            </w:tr>
            <w:tr w14:paraId="175D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733B1A3">
                  <w:pPr>
                    <w:adjustRightInd w:val="0"/>
                    <w:snapToGrid w:val="0"/>
                    <w:jc w:val="center"/>
                    <w:rPr>
                      <w:bCs/>
                      <w:szCs w:val="21"/>
                    </w:rPr>
                  </w:pPr>
                  <w:r>
                    <w:rPr>
                      <w:bCs/>
                      <w:szCs w:val="21"/>
                    </w:rPr>
                    <w:t>1</w:t>
                  </w:r>
                </w:p>
              </w:tc>
              <w:tc>
                <w:tcPr>
                  <w:tcW w:w="1058"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1532A957">
                  <w:pPr>
                    <w:adjustRightInd w:val="0"/>
                    <w:snapToGrid w:val="0"/>
                    <w:jc w:val="center"/>
                    <w:rPr>
                      <w:bCs/>
                      <w:szCs w:val="21"/>
                    </w:rPr>
                  </w:pPr>
                  <w:r>
                    <w:rPr>
                      <w:bCs/>
                      <w:szCs w:val="21"/>
                    </w:rPr>
                    <w:t>危废暂存间</w:t>
                  </w:r>
                </w:p>
              </w:tc>
              <w:tc>
                <w:tcPr>
                  <w:tcW w:w="13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972108">
                  <w:pPr>
                    <w:adjustRightInd w:val="0"/>
                    <w:snapToGrid w:val="0"/>
                    <w:jc w:val="center"/>
                    <w:rPr>
                      <w:bCs/>
                      <w:szCs w:val="21"/>
                    </w:rPr>
                  </w:pPr>
                  <w:r>
                    <w:rPr>
                      <w:bCs/>
                      <w:szCs w:val="21"/>
                    </w:rPr>
                    <w:t>废机油</w:t>
                  </w:r>
                </w:p>
              </w:tc>
              <w:tc>
                <w:tcPr>
                  <w:tcW w:w="6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7DB131C">
                  <w:pPr>
                    <w:adjustRightInd w:val="0"/>
                    <w:snapToGrid w:val="0"/>
                    <w:jc w:val="center"/>
                    <w:rPr>
                      <w:bCs/>
                      <w:szCs w:val="21"/>
                    </w:rPr>
                  </w:pPr>
                  <w:r>
                    <w:rPr>
                      <w:bCs/>
                      <w:szCs w:val="21"/>
                    </w:rPr>
                    <w:t>HW49</w:t>
                  </w: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7905E4">
                  <w:pPr>
                    <w:adjustRightInd w:val="0"/>
                    <w:snapToGrid w:val="0"/>
                    <w:jc w:val="center"/>
                    <w:rPr>
                      <w:bCs/>
                      <w:szCs w:val="21"/>
                    </w:rPr>
                  </w:pPr>
                  <w:r>
                    <w:rPr>
                      <w:bCs/>
                      <w:kern w:val="0"/>
                      <w:szCs w:val="21"/>
                    </w:rPr>
                    <w:t>900-249-08</w:t>
                  </w:r>
                </w:p>
              </w:tc>
              <w:tc>
                <w:tcPr>
                  <w:tcW w:w="614"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6FE3EB2B">
                  <w:pPr>
                    <w:adjustRightInd w:val="0"/>
                    <w:snapToGrid w:val="0"/>
                    <w:jc w:val="center"/>
                    <w:rPr>
                      <w:bCs/>
                      <w:szCs w:val="21"/>
                    </w:rPr>
                  </w:pPr>
                  <w:r>
                    <w:rPr>
                      <w:bCs/>
                      <w:szCs w:val="21"/>
                    </w:rPr>
                    <w:t>厂区西部</w:t>
                  </w:r>
                </w:p>
              </w:tc>
              <w:tc>
                <w:tcPr>
                  <w:tcW w:w="696"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15C1CDAE">
                  <w:pPr>
                    <w:adjustRightInd w:val="0"/>
                    <w:snapToGrid w:val="0"/>
                    <w:jc w:val="center"/>
                    <w:rPr>
                      <w:bCs/>
                      <w:szCs w:val="21"/>
                    </w:rPr>
                  </w:pPr>
                  <w:r>
                    <w:rPr>
                      <w:bCs/>
                      <w:szCs w:val="21"/>
                    </w:rPr>
                    <w:t>20</w:t>
                  </w:r>
                </w:p>
              </w:tc>
              <w:tc>
                <w:tcPr>
                  <w:tcW w:w="814"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46FC45D5">
                  <w:pPr>
                    <w:adjustRightInd w:val="0"/>
                    <w:snapToGrid w:val="0"/>
                    <w:jc w:val="center"/>
                    <w:rPr>
                      <w:bCs/>
                      <w:szCs w:val="21"/>
                    </w:rPr>
                  </w:pPr>
                  <w:r>
                    <w:rPr>
                      <w:bCs/>
                      <w:szCs w:val="21"/>
                    </w:rPr>
                    <w:t>密封贮存</w:t>
                  </w:r>
                </w:p>
              </w:tc>
              <w:tc>
                <w:tcPr>
                  <w:tcW w:w="708" w:type="dxa"/>
                  <w:tcMar>
                    <w:top w:w="15" w:type="dxa"/>
                    <w:left w:w="15" w:type="dxa"/>
                    <w:bottom w:w="15" w:type="dxa"/>
                    <w:right w:w="15" w:type="dxa"/>
                  </w:tcMar>
                  <w:vAlign w:val="center"/>
                </w:tcPr>
                <w:p w14:paraId="570FCA01">
                  <w:pPr>
                    <w:adjustRightInd w:val="0"/>
                    <w:snapToGrid w:val="0"/>
                    <w:jc w:val="center"/>
                    <w:rPr>
                      <w:bCs/>
                      <w:szCs w:val="21"/>
                    </w:rPr>
                  </w:pPr>
                  <w:r>
                    <w:rPr>
                      <w:bCs/>
                      <w:szCs w:val="21"/>
                    </w:rPr>
                    <w:t>5t</w:t>
                  </w:r>
                </w:p>
              </w:tc>
              <w:tc>
                <w:tcPr>
                  <w:tcW w:w="79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C56919">
                  <w:pPr>
                    <w:adjustRightInd w:val="0"/>
                    <w:snapToGrid w:val="0"/>
                    <w:jc w:val="center"/>
                    <w:rPr>
                      <w:bCs/>
                      <w:szCs w:val="21"/>
                    </w:rPr>
                  </w:pPr>
                  <w:r>
                    <w:rPr>
                      <w:bCs/>
                      <w:szCs w:val="21"/>
                    </w:rPr>
                    <w:t>1年</w:t>
                  </w:r>
                </w:p>
              </w:tc>
            </w:tr>
          </w:tbl>
          <w:p w14:paraId="74716CB0">
            <w:pPr>
              <w:spacing w:line="520" w:lineRule="exact"/>
              <w:ind w:firstLine="480" w:firstLineChars="200"/>
              <w:rPr>
                <w:sz w:val="24"/>
              </w:rPr>
            </w:pPr>
            <w:r>
              <w:rPr>
                <w:sz w:val="24"/>
              </w:rPr>
              <w:t>项目危险废物的收集、运输、贮存、管理以及转运应严格按照《危险废物转移管理办法》、《危险废物贮存污染控制标准》（GB18597-2023）等相关要求，对危险废物采取防渗透、防泄漏、防中途流失等措施，并落实安全管理责任，避免二次污染。</w:t>
            </w:r>
          </w:p>
          <w:p w14:paraId="4BF84E55">
            <w:pPr>
              <w:spacing w:line="520" w:lineRule="exact"/>
              <w:ind w:firstLine="480" w:firstLineChars="200"/>
              <w:rPr>
                <w:sz w:val="24"/>
              </w:rPr>
            </w:pPr>
            <w:r>
              <w:rPr>
                <w:sz w:val="24"/>
              </w:rPr>
              <w:t>建设单位应当执行危险废物转移联单制度，还应当通过国家危险废物信息管理系统（以下简称信息系统）填写、运行危险废物电子转移联单，并依照国家有关规定公开危险废物转移相关污染环境防治信息。危险废物电子转移联单数据应当在信息系统中至少保存十年。</w:t>
            </w:r>
          </w:p>
          <w:p w14:paraId="7F6919A4">
            <w:pPr>
              <w:spacing w:line="520" w:lineRule="exact"/>
              <w:ind w:firstLine="480" w:firstLineChars="200"/>
              <w:rPr>
                <w:sz w:val="24"/>
              </w:rPr>
            </w:pPr>
            <w:r>
              <w:rPr>
                <w:sz w:val="24"/>
              </w:rPr>
              <w:t>综上，本项目固体废物处理处置符合国家《固体废物污染环境防治法》规定的原则，符合《一般工业固体废物贮存和填埋污染物控制标准》（GB18599-2020），以及《危险废物贮存污染控制标准》（GB18597-2023）的要求。采取上述措施后本项目固体废物可得到妥善的处理，对周围环境造成的影响很小。</w:t>
            </w:r>
          </w:p>
          <w:p w14:paraId="3485B946">
            <w:pPr>
              <w:spacing w:line="520" w:lineRule="exact"/>
              <w:jc w:val="left"/>
              <w:rPr>
                <w:rFonts w:eastAsia="黑体"/>
                <w:bCs/>
                <w:sz w:val="24"/>
              </w:rPr>
            </w:pPr>
            <w:r>
              <w:rPr>
                <w:rFonts w:eastAsia="黑体"/>
                <w:bCs/>
                <w:sz w:val="24"/>
              </w:rPr>
              <w:t>5、地下水、土壤环境影响分析</w:t>
            </w:r>
          </w:p>
          <w:p w14:paraId="09218587">
            <w:pPr>
              <w:spacing w:line="500" w:lineRule="exact"/>
              <w:ind w:firstLine="480" w:firstLineChars="200"/>
              <w:rPr>
                <w:kern w:val="0"/>
                <w:sz w:val="24"/>
              </w:rPr>
            </w:pPr>
            <w:r>
              <w:rPr>
                <w:kern w:val="0"/>
                <w:sz w:val="24"/>
              </w:rPr>
              <w:t>根据项目污染物排放特点，项目运营期对地下水、土壤可能产生影响的主要为大气沉降、废水和固废泄漏。</w:t>
            </w:r>
          </w:p>
          <w:p w14:paraId="660C5060">
            <w:pPr>
              <w:pStyle w:val="24"/>
              <w:adjustRightInd w:val="0"/>
              <w:snapToGrid w:val="0"/>
              <w:spacing w:after="0" w:line="520" w:lineRule="exact"/>
              <w:ind w:left="0" w:leftChars="0" w:firstLine="480" w:firstLineChars="200"/>
              <w:rPr>
                <w:sz w:val="24"/>
              </w:rPr>
            </w:pPr>
            <w:r>
              <w:rPr>
                <w:sz w:val="24"/>
              </w:rPr>
              <w:t>本项目的废气主要以颗粒物、SO</w:t>
            </w:r>
            <w:r>
              <w:rPr>
                <w:sz w:val="24"/>
                <w:vertAlign w:val="subscript"/>
              </w:rPr>
              <w:t>2</w:t>
            </w:r>
            <w:r>
              <w:rPr>
                <w:sz w:val="24"/>
              </w:rPr>
              <w:t>、NO</w:t>
            </w:r>
            <w:r>
              <w:rPr>
                <w:sz w:val="24"/>
                <w:vertAlign w:val="subscript"/>
              </w:rPr>
              <w:t>x</w:t>
            </w:r>
            <w:r>
              <w:rPr>
                <w:sz w:val="24"/>
              </w:rPr>
              <w:t>和氟化物为主，经环保设施净化处理后大部分废气污染物均被去除，污染物达标排放，在大气扩散作用下，沉积到土壤表面的较少，因此通过大气沉降引起的土壤环境影响作用甚微；项目生产废水包括湿电除尘废水、脱硫废水、洗车废水，危险废物为废机油，若不采取污染防治措施，在泄漏事故状态下，废水和危废下渗可能会污染地下水和土壤。原料污泥中含水率较高，若不做好防渗，其暂存过程中可能存在渗滤液下渗。本项目拟采取如下污染防治措施：</w:t>
            </w:r>
          </w:p>
          <w:p w14:paraId="017465E5">
            <w:pPr>
              <w:pStyle w:val="24"/>
              <w:adjustRightInd w:val="0"/>
              <w:snapToGrid w:val="0"/>
              <w:spacing w:after="0" w:line="520" w:lineRule="exact"/>
              <w:ind w:left="0" w:leftChars="0" w:firstLine="480" w:firstLineChars="200"/>
              <w:rPr>
                <w:sz w:val="24"/>
              </w:rPr>
            </w:pPr>
            <w:r>
              <w:rPr>
                <w:sz w:val="24"/>
              </w:rPr>
              <w:fldChar w:fldCharType="begin"/>
            </w:r>
            <w:r>
              <w:rPr>
                <w:sz w:val="24"/>
              </w:rPr>
              <w:instrText xml:space="preserve">= 1 \* GB3</w:instrText>
            </w:r>
            <w:r>
              <w:rPr>
                <w:sz w:val="24"/>
              </w:rPr>
              <w:fldChar w:fldCharType="separate"/>
            </w:r>
            <w:r>
              <w:rPr>
                <w:rFonts w:ascii="Cambria Math" w:hAnsi="Cambria Math" w:cs="Cambria Math"/>
                <w:sz w:val="24"/>
              </w:rPr>
              <w:t>①</w:t>
            </w:r>
            <w:r>
              <w:rPr>
                <w:sz w:val="24"/>
              </w:rPr>
              <w:fldChar w:fldCharType="end"/>
            </w:r>
            <w:r>
              <w:rPr>
                <w:sz w:val="24"/>
              </w:rPr>
              <w:t>源头控制</w:t>
            </w:r>
          </w:p>
          <w:p w14:paraId="6975AEB2">
            <w:pPr>
              <w:spacing w:line="520" w:lineRule="exact"/>
              <w:ind w:firstLine="480" w:firstLineChars="200"/>
              <w:rPr>
                <w:kern w:val="0"/>
                <w:sz w:val="24"/>
              </w:rPr>
            </w:pPr>
            <w:r>
              <w:rPr>
                <w:kern w:val="0"/>
                <w:sz w:val="24"/>
              </w:rPr>
              <w:t>本项目污染源主要为废水、废气、固体废物，企业应加强管理，做好节能减排和清洁生产工作，一方面减少污染物产生量，另一方面降低污染物排放浓度和排放量，源强的降低可在发生泄漏时减轻对土壤的影响。</w:t>
            </w:r>
          </w:p>
          <w:p w14:paraId="62BBDED2">
            <w:pPr>
              <w:pStyle w:val="24"/>
              <w:adjustRightInd w:val="0"/>
              <w:snapToGrid w:val="0"/>
              <w:spacing w:after="0" w:line="520" w:lineRule="exact"/>
              <w:ind w:left="0" w:leftChars="0" w:firstLine="480" w:firstLineChars="200"/>
              <w:rPr>
                <w:kern w:val="0"/>
                <w:sz w:val="24"/>
              </w:rPr>
            </w:pPr>
            <w:r>
              <w:rPr>
                <w:sz w:val="24"/>
              </w:rPr>
              <w:fldChar w:fldCharType="begin"/>
            </w:r>
            <w:r>
              <w:rPr>
                <w:sz w:val="24"/>
              </w:rPr>
              <w:instrText xml:space="preserve">= 2 \* GB3</w:instrText>
            </w:r>
            <w:r>
              <w:rPr>
                <w:sz w:val="24"/>
              </w:rPr>
              <w:fldChar w:fldCharType="separate"/>
            </w:r>
            <w:r>
              <w:rPr>
                <w:rFonts w:ascii="Cambria Math" w:hAnsi="Cambria Math" w:cs="Cambria Math"/>
                <w:sz w:val="24"/>
              </w:rPr>
              <w:t>②</w:t>
            </w:r>
            <w:r>
              <w:rPr>
                <w:sz w:val="24"/>
              </w:rPr>
              <w:fldChar w:fldCharType="end"/>
            </w:r>
            <w:r>
              <w:rPr>
                <w:kern w:val="0"/>
                <w:sz w:val="24"/>
              </w:rPr>
              <w:t>分区防渗措施</w:t>
            </w:r>
          </w:p>
          <w:p w14:paraId="5C6002C4">
            <w:pPr>
              <w:spacing w:line="520" w:lineRule="exact"/>
              <w:ind w:firstLine="480" w:firstLineChars="200"/>
              <w:rPr>
                <w:bCs/>
                <w:sz w:val="24"/>
              </w:rPr>
            </w:pPr>
            <w:r>
              <w:rPr>
                <w:bCs/>
                <w:sz w:val="24"/>
              </w:rPr>
              <w:t>现有工程已按要求落实分区防渗措施，污泥储存池、危废间采取重点防渗，本次技改工程应重点对拟改造的脱硫废水处理池做好防渗工作，按照一般污染防治区要求（</w:t>
            </w:r>
            <w:r>
              <w:rPr>
                <w:sz w:val="24"/>
              </w:rPr>
              <w:t>等效黏土防渗层Mb≥1.5m， K≤1×10</w:t>
            </w:r>
            <w:r>
              <w:rPr>
                <w:sz w:val="24"/>
                <w:vertAlign w:val="superscript"/>
              </w:rPr>
              <w:t>-7</w:t>
            </w:r>
            <w:r>
              <w:rPr>
                <w:sz w:val="24"/>
              </w:rPr>
              <w:t>cm/s</w:t>
            </w:r>
            <w:r>
              <w:rPr>
                <w:bCs/>
                <w:sz w:val="24"/>
              </w:rPr>
              <w:t>）对池体采取防渗措施。</w:t>
            </w:r>
          </w:p>
          <w:p w14:paraId="23D03413">
            <w:pPr>
              <w:spacing w:line="520" w:lineRule="exact"/>
              <w:ind w:firstLine="480" w:firstLineChars="200"/>
              <w:rPr>
                <w:kern w:val="0"/>
                <w:sz w:val="24"/>
              </w:rPr>
            </w:pPr>
            <w:r>
              <w:rPr>
                <w:kern w:val="0"/>
                <w:sz w:val="24"/>
              </w:rPr>
              <w:fldChar w:fldCharType="begin"/>
            </w:r>
            <w:r>
              <w:rPr>
                <w:kern w:val="0"/>
                <w:sz w:val="24"/>
              </w:rPr>
              <w:instrText xml:space="preserve">= 3 \* GB3</w:instrText>
            </w:r>
            <w:r>
              <w:rPr>
                <w:kern w:val="0"/>
                <w:sz w:val="24"/>
              </w:rPr>
              <w:fldChar w:fldCharType="separate"/>
            </w:r>
            <w:r>
              <w:rPr>
                <w:rFonts w:ascii="Cambria Math" w:hAnsi="Cambria Math" w:cs="Cambria Math"/>
                <w:kern w:val="0"/>
                <w:sz w:val="24"/>
              </w:rPr>
              <w:t>③</w:t>
            </w:r>
            <w:r>
              <w:rPr>
                <w:kern w:val="0"/>
                <w:sz w:val="24"/>
              </w:rPr>
              <w:fldChar w:fldCharType="end"/>
            </w:r>
            <w:r>
              <w:rPr>
                <w:kern w:val="0"/>
                <w:sz w:val="24"/>
              </w:rPr>
              <w:t>过程防控措施</w:t>
            </w:r>
          </w:p>
          <w:p w14:paraId="056A8164">
            <w:pPr>
              <w:pStyle w:val="24"/>
              <w:adjustRightInd w:val="0"/>
              <w:snapToGrid w:val="0"/>
              <w:spacing w:after="0" w:line="520" w:lineRule="exact"/>
              <w:ind w:left="0" w:leftChars="0" w:firstLine="480" w:firstLineChars="200"/>
              <w:rPr>
                <w:sz w:val="24"/>
              </w:rPr>
            </w:pPr>
            <w:r>
              <w:rPr>
                <w:sz w:val="24"/>
              </w:rPr>
              <w:t>企业应加强项目废气、废水处理设施运行维护，确保废气处理设施稳定运行，各类污染物达标排放；各类废水经有效处理后回用于生产线；固体废物规范暂存后综合利用或交由有资质单位处理。</w:t>
            </w:r>
            <w:r>
              <w:rPr>
                <w:bCs/>
                <w:sz w:val="24"/>
              </w:rPr>
              <w:t>对废水处理设施、危废暂存间等设置专人定期检查，杜绝“跑、冒、滴、漏”现象的发生。</w:t>
            </w:r>
          </w:p>
          <w:p w14:paraId="61F28D8D">
            <w:pPr>
              <w:adjustRightInd w:val="0"/>
              <w:spacing w:line="520" w:lineRule="exact"/>
              <w:ind w:firstLine="480" w:firstLineChars="200"/>
              <w:rPr>
                <w:bCs/>
                <w:sz w:val="24"/>
              </w:rPr>
            </w:pPr>
            <w:r>
              <w:rPr>
                <w:bCs/>
                <w:sz w:val="24"/>
              </w:rPr>
              <w:t>在按照本评价提出的做好防渗措施、加强管理、定期检查等要求的前提下，项目对地下水、土壤环境影响较小。</w:t>
            </w:r>
          </w:p>
          <w:p w14:paraId="312D4B37">
            <w:pPr>
              <w:spacing w:line="520" w:lineRule="exact"/>
              <w:jc w:val="left"/>
              <w:rPr>
                <w:rFonts w:eastAsia="黑体"/>
                <w:bCs/>
                <w:sz w:val="24"/>
              </w:rPr>
            </w:pPr>
            <w:r>
              <w:rPr>
                <w:rFonts w:eastAsia="黑体"/>
                <w:bCs/>
                <w:sz w:val="24"/>
              </w:rPr>
              <w:t>6、运输道路扬尘和噪声污染影响分析</w:t>
            </w:r>
          </w:p>
          <w:p w14:paraId="31AB5386">
            <w:pPr>
              <w:adjustRightInd w:val="0"/>
              <w:snapToGrid w:val="0"/>
              <w:spacing w:line="520" w:lineRule="exact"/>
              <w:ind w:firstLine="588" w:firstLineChars="245"/>
              <w:rPr>
                <w:bCs/>
                <w:sz w:val="24"/>
              </w:rPr>
            </w:pPr>
            <w:r>
              <w:rPr>
                <w:bCs/>
                <w:sz w:val="24"/>
              </w:rPr>
              <w:t>本项目原料、成品采用大吨位汽车运输，为减小道路扬尘及交通噪声对沿途环境敏感点的影响，评价提出如下控制措施：</w:t>
            </w:r>
          </w:p>
          <w:p w14:paraId="14B00DA7">
            <w:pPr>
              <w:adjustRightInd w:val="0"/>
              <w:snapToGrid w:val="0"/>
              <w:spacing w:line="520" w:lineRule="exact"/>
              <w:ind w:firstLine="480" w:firstLineChars="200"/>
              <w:rPr>
                <w:sz w:val="24"/>
              </w:rPr>
            </w:pPr>
            <w:r>
              <w:rPr>
                <w:sz w:val="24"/>
              </w:rPr>
              <w:t>（1）对装运原料及成品车辆应统一管理，限载限速，进、出场物料使用密闭车辆运输，或运输车辆加盖蓬布防止抛洒碎屑，且装运高度不得超过车厢；</w:t>
            </w:r>
          </w:p>
          <w:p w14:paraId="41088E91">
            <w:pPr>
              <w:adjustRightInd w:val="0"/>
              <w:snapToGrid w:val="0"/>
              <w:spacing w:line="520" w:lineRule="exact"/>
              <w:ind w:firstLine="480" w:firstLineChars="200"/>
              <w:rPr>
                <w:sz w:val="24"/>
              </w:rPr>
            </w:pPr>
            <w:r>
              <w:rPr>
                <w:sz w:val="24"/>
              </w:rPr>
              <w:t>（2）运输车辆经过村庄等环境敏感点时应绕行敏感点外侧道路，不得穿过敏感点内部道路行驶；</w:t>
            </w:r>
          </w:p>
          <w:p w14:paraId="005234C9">
            <w:pPr>
              <w:adjustRightInd w:val="0"/>
              <w:snapToGrid w:val="0"/>
              <w:spacing w:line="520" w:lineRule="exact"/>
              <w:ind w:firstLine="480" w:firstLineChars="200"/>
              <w:rPr>
                <w:sz w:val="24"/>
              </w:rPr>
            </w:pPr>
            <w:r>
              <w:rPr>
                <w:sz w:val="24"/>
              </w:rPr>
              <w:t>（3）车辆出入厂区时对轮胎进行清理，减少运输道路扬尘对周边环境的影响。</w:t>
            </w:r>
          </w:p>
          <w:p w14:paraId="6CBFA9E8">
            <w:pPr>
              <w:adjustRightInd w:val="0"/>
              <w:snapToGrid w:val="0"/>
              <w:spacing w:line="520" w:lineRule="exact"/>
              <w:ind w:firstLine="480" w:firstLineChars="200"/>
              <w:rPr>
                <w:sz w:val="24"/>
              </w:rPr>
            </w:pPr>
            <w:r>
              <w:rPr>
                <w:sz w:val="24"/>
              </w:rPr>
              <w:t>（4）合理安排运输时间，避免夜间运输，限制汽车鸣笛，减少车辆噪声对环境的影响；</w:t>
            </w:r>
          </w:p>
          <w:p w14:paraId="764C0479">
            <w:pPr>
              <w:adjustRightInd w:val="0"/>
              <w:snapToGrid w:val="0"/>
              <w:spacing w:line="520" w:lineRule="exact"/>
              <w:rPr>
                <w:rFonts w:eastAsia="黑体"/>
                <w:bCs/>
                <w:sz w:val="24"/>
              </w:rPr>
            </w:pPr>
            <w:r>
              <w:rPr>
                <w:rFonts w:hint="eastAsia" w:eastAsia="黑体"/>
                <w:bCs/>
                <w:sz w:val="24"/>
              </w:rPr>
              <w:t>5</w:t>
            </w:r>
            <w:r>
              <w:rPr>
                <w:rFonts w:eastAsia="黑体"/>
                <w:bCs/>
                <w:sz w:val="24"/>
              </w:rPr>
              <w:t>、环境风险</w:t>
            </w:r>
          </w:p>
          <w:p w14:paraId="5D548A18">
            <w:pPr>
              <w:adjustRightInd w:val="0"/>
              <w:snapToGrid w:val="0"/>
              <w:spacing w:line="520" w:lineRule="exact"/>
              <w:rPr>
                <w:rFonts w:eastAsia="黑体"/>
                <w:bCs/>
                <w:sz w:val="24"/>
              </w:rPr>
            </w:pPr>
            <w:r>
              <w:rPr>
                <w:rFonts w:hint="eastAsia" w:eastAsia="黑体"/>
                <w:bCs/>
                <w:sz w:val="24"/>
              </w:rPr>
              <w:t>5</w:t>
            </w:r>
            <w:r>
              <w:rPr>
                <w:rFonts w:eastAsia="黑体"/>
                <w:bCs/>
                <w:sz w:val="24"/>
              </w:rPr>
              <w:t>.1环境风险潜势判定</w:t>
            </w:r>
          </w:p>
          <w:p w14:paraId="487FB01D">
            <w:pPr>
              <w:pStyle w:val="24"/>
              <w:adjustRightInd w:val="0"/>
              <w:snapToGrid w:val="0"/>
              <w:spacing w:after="0" w:line="520" w:lineRule="exact"/>
              <w:ind w:left="0" w:leftChars="0" w:firstLine="480" w:firstLineChars="200"/>
              <w:rPr>
                <w:sz w:val="24"/>
              </w:rPr>
            </w:pPr>
            <w:r>
              <w:rPr>
                <w:sz w:val="24"/>
              </w:rPr>
              <w:t>本项目涉及风险的物质主要为液化天然气（甲烷）、危废暂存间内的废机油。其中液化天然气仅在隧道窑点火期间使用，由天然气厂家使用液化天然气罐车运至厂区使用，点火完成后厂区不再储存。项目采用20m</w:t>
            </w:r>
            <w:r>
              <w:rPr>
                <w:sz w:val="24"/>
                <w:vertAlign w:val="superscript"/>
              </w:rPr>
              <w:t>3</w:t>
            </w:r>
            <w:r>
              <w:rPr>
                <w:sz w:val="24"/>
              </w:rPr>
              <w:t>的CNG 罐车，一次最大可装5000m</w:t>
            </w:r>
            <w:r>
              <w:rPr>
                <w:sz w:val="24"/>
                <w:vertAlign w:val="superscript"/>
              </w:rPr>
              <w:t>3</w:t>
            </w:r>
            <w:r>
              <w:rPr>
                <w:sz w:val="24"/>
              </w:rPr>
              <w:t>天然气，天然气密度约为0.72kg/m</w:t>
            </w:r>
            <w:r>
              <w:rPr>
                <w:sz w:val="24"/>
                <w:vertAlign w:val="superscript"/>
              </w:rPr>
              <w:t>3</w:t>
            </w:r>
            <w:r>
              <w:rPr>
                <w:sz w:val="24"/>
              </w:rPr>
              <w:t>，则天然气最大在线量约为 3.6t。</w:t>
            </w:r>
          </w:p>
          <w:p w14:paraId="0B6EDF6A">
            <w:pPr>
              <w:pStyle w:val="24"/>
              <w:adjustRightInd w:val="0"/>
              <w:snapToGrid w:val="0"/>
              <w:spacing w:after="0" w:line="520" w:lineRule="exact"/>
              <w:ind w:left="0" w:leftChars="0" w:firstLine="480" w:firstLineChars="200"/>
              <w:rPr>
                <w:sz w:val="24"/>
              </w:rPr>
            </w:pPr>
            <w:r>
              <w:rPr>
                <w:sz w:val="24"/>
              </w:rPr>
              <w:t>计算所涉及的每种危险物质在厂界内的最大存在总量与其在《建设项目环境风险评价技术导则》（HJ169-2018）中附录B中对应临界量的比值Q。不同厂区的同一种物质，按其在厂界内的最大存在总量计算。</w:t>
            </w:r>
          </w:p>
          <w:p w14:paraId="377D958A">
            <w:pPr>
              <w:pStyle w:val="24"/>
              <w:adjustRightInd w:val="0"/>
              <w:snapToGrid w:val="0"/>
              <w:spacing w:after="0" w:line="520" w:lineRule="exact"/>
              <w:ind w:left="0" w:leftChars="0" w:firstLine="480" w:firstLineChars="200"/>
              <w:rPr>
                <w:sz w:val="24"/>
              </w:rPr>
            </w:pPr>
            <w:r>
              <w:rPr>
                <w:sz w:val="24"/>
              </w:rPr>
              <w:t>当只涉及一种危险物质时，计算该物质的总量与其临界量比值，即为Q；</w:t>
            </w:r>
          </w:p>
          <w:p w14:paraId="67DE932A">
            <w:pPr>
              <w:pStyle w:val="24"/>
              <w:adjustRightInd w:val="0"/>
              <w:snapToGrid w:val="0"/>
              <w:spacing w:after="0" w:line="520" w:lineRule="exact"/>
              <w:ind w:left="0" w:leftChars="0" w:firstLine="480" w:firstLineChars="200"/>
              <w:rPr>
                <w:sz w:val="24"/>
              </w:rPr>
            </w:pPr>
            <w:r>
              <w:rPr>
                <w:sz w:val="24"/>
              </w:rPr>
              <w:t>当存在多种危险物质时，则按下式计算物质总量与其临界量比值（Q）：</w:t>
            </w:r>
          </w:p>
          <w:p w14:paraId="60C0AFC3">
            <w:pPr>
              <w:pStyle w:val="24"/>
              <w:adjustRightInd w:val="0"/>
              <w:snapToGrid w:val="0"/>
              <w:spacing w:after="0" w:line="520" w:lineRule="exact"/>
              <w:ind w:left="0" w:leftChars="0" w:firstLine="480" w:firstLineChars="200"/>
              <w:rPr>
                <w:sz w:val="24"/>
              </w:rPr>
            </w:pPr>
            <w:r>
              <w:rPr>
                <w:sz w:val="24"/>
              </w:rPr>
              <w:t>Q=q</w:t>
            </w:r>
            <w:r>
              <w:rPr>
                <w:sz w:val="24"/>
                <w:vertAlign w:val="subscript"/>
              </w:rPr>
              <w:t>1</w:t>
            </w:r>
            <w:r>
              <w:rPr>
                <w:sz w:val="24"/>
              </w:rPr>
              <w:t>/Q</w:t>
            </w:r>
            <w:r>
              <w:rPr>
                <w:sz w:val="24"/>
                <w:vertAlign w:val="subscript"/>
              </w:rPr>
              <w:t>1</w:t>
            </w:r>
            <w:r>
              <w:rPr>
                <w:sz w:val="24"/>
              </w:rPr>
              <w:t>+q</w:t>
            </w:r>
            <w:r>
              <w:rPr>
                <w:sz w:val="24"/>
                <w:vertAlign w:val="subscript"/>
              </w:rPr>
              <w:t>2</w:t>
            </w:r>
            <w:r>
              <w:rPr>
                <w:sz w:val="24"/>
              </w:rPr>
              <w:t>/Q</w:t>
            </w:r>
            <w:r>
              <w:rPr>
                <w:sz w:val="24"/>
                <w:vertAlign w:val="subscript"/>
              </w:rPr>
              <w:t>2</w:t>
            </w:r>
            <w:r>
              <w:rPr>
                <w:sz w:val="24"/>
              </w:rPr>
              <w:t>……＋q</w:t>
            </w:r>
            <w:r>
              <w:rPr>
                <w:sz w:val="24"/>
                <w:vertAlign w:val="subscript"/>
              </w:rPr>
              <w:t>n</w:t>
            </w:r>
            <w:r>
              <w:rPr>
                <w:sz w:val="24"/>
              </w:rPr>
              <w:t>/Q</w:t>
            </w:r>
            <w:r>
              <w:rPr>
                <w:sz w:val="24"/>
                <w:vertAlign w:val="subscript"/>
              </w:rPr>
              <w:t>n</w:t>
            </w:r>
          </w:p>
          <w:p w14:paraId="5B23AF32">
            <w:pPr>
              <w:pStyle w:val="24"/>
              <w:adjustRightInd w:val="0"/>
              <w:snapToGrid w:val="0"/>
              <w:spacing w:after="0" w:line="520" w:lineRule="exact"/>
              <w:ind w:left="0" w:leftChars="0" w:firstLine="480" w:firstLineChars="200"/>
              <w:rPr>
                <w:sz w:val="24"/>
              </w:rPr>
            </w:pPr>
            <w:r>
              <w:rPr>
                <w:sz w:val="24"/>
              </w:rPr>
              <w:t>式中：q</w:t>
            </w:r>
            <w:r>
              <w:rPr>
                <w:sz w:val="24"/>
                <w:vertAlign w:val="subscript"/>
              </w:rPr>
              <w:t>1</w:t>
            </w:r>
            <w:r>
              <w:rPr>
                <w:sz w:val="24"/>
              </w:rPr>
              <w:t>，q</w:t>
            </w:r>
            <w:r>
              <w:rPr>
                <w:sz w:val="24"/>
                <w:vertAlign w:val="subscript"/>
              </w:rPr>
              <w:t>2</w:t>
            </w:r>
            <w:r>
              <w:rPr>
                <w:sz w:val="24"/>
              </w:rPr>
              <w:t>，…，q</w:t>
            </w:r>
            <w:r>
              <w:rPr>
                <w:sz w:val="24"/>
                <w:vertAlign w:val="subscript"/>
              </w:rPr>
              <w:t>n</w:t>
            </w:r>
            <w:r>
              <w:rPr>
                <w:sz w:val="24"/>
              </w:rPr>
              <w:t>为每种危险物质的最大存在总量，t。</w:t>
            </w:r>
          </w:p>
          <w:p w14:paraId="0304E576">
            <w:pPr>
              <w:pStyle w:val="24"/>
              <w:adjustRightInd w:val="0"/>
              <w:snapToGrid w:val="0"/>
              <w:spacing w:after="0" w:line="520" w:lineRule="exact"/>
              <w:ind w:left="0" w:leftChars="0" w:firstLine="480" w:firstLineChars="200"/>
              <w:rPr>
                <w:sz w:val="24"/>
              </w:rPr>
            </w:pPr>
            <w:r>
              <w:rPr>
                <w:sz w:val="24"/>
              </w:rPr>
              <w:t>Q</w:t>
            </w:r>
            <w:r>
              <w:rPr>
                <w:sz w:val="24"/>
                <w:vertAlign w:val="subscript"/>
              </w:rPr>
              <w:t>1</w:t>
            </w:r>
            <w:r>
              <w:rPr>
                <w:sz w:val="24"/>
              </w:rPr>
              <w:t>，Q</w:t>
            </w:r>
            <w:r>
              <w:rPr>
                <w:sz w:val="24"/>
                <w:vertAlign w:val="subscript"/>
              </w:rPr>
              <w:t>2</w:t>
            </w:r>
            <w:r>
              <w:rPr>
                <w:sz w:val="24"/>
              </w:rPr>
              <w:t>，…Q</w:t>
            </w:r>
            <w:r>
              <w:rPr>
                <w:sz w:val="24"/>
                <w:vertAlign w:val="subscript"/>
              </w:rPr>
              <w:t>n</w:t>
            </w:r>
            <w:r>
              <w:rPr>
                <w:sz w:val="24"/>
              </w:rPr>
              <w:t>为每种危险物质的临界量，t。</w:t>
            </w:r>
          </w:p>
          <w:p w14:paraId="6DE3A09A">
            <w:pPr>
              <w:pStyle w:val="24"/>
              <w:adjustRightInd w:val="0"/>
              <w:snapToGrid w:val="0"/>
              <w:spacing w:after="0" w:line="520" w:lineRule="exact"/>
              <w:ind w:left="0" w:leftChars="0" w:firstLine="480" w:firstLineChars="200"/>
              <w:rPr>
                <w:sz w:val="24"/>
              </w:rPr>
            </w:pPr>
            <w:r>
              <w:rPr>
                <w:sz w:val="24"/>
              </w:rPr>
              <w:t>当Q＜1时，该项目环境风险潜势为Ⅰ。</w:t>
            </w:r>
          </w:p>
          <w:p w14:paraId="509531C0">
            <w:pPr>
              <w:pStyle w:val="24"/>
              <w:adjustRightInd w:val="0"/>
              <w:snapToGrid w:val="0"/>
              <w:spacing w:after="0" w:line="520" w:lineRule="exact"/>
              <w:ind w:left="0" w:leftChars="0" w:firstLine="480" w:firstLineChars="200"/>
              <w:rPr>
                <w:sz w:val="24"/>
              </w:rPr>
            </w:pPr>
            <w:r>
              <w:rPr>
                <w:sz w:val="24"/>
              </w:rPr>
              <w:t>当Q≥1时，将Q值划分为：（1）1≤Q＜10；（2）10≤Q＜100；（3）Q≥100。</w:t>
            </w:r>
          </w:p>
          <w:p w14:paraId="06A2829F">
            <w:pPr>
              <w:pStyle w:val="24"/>
              <w:adjustRightInd w:val="0"/>
              <w:snapToGrid w:val="0"/>
              <w:spacing w:after="0" w:line="520" w:lineRule="exact"/>
              <w:ind w:left="0" w:leftChars="0" w:firstLine="480" w:firstLineChars="200"/>
              <w:rPr>
                <w:sz w:val="24"/>
              </w:rPr>
            </w:pPr>
            <w:r>
              <w:rPr>
                <w:sz w:val="24"/>
              </w:rPr>
              <w:t>本项目Q值计算如下表：</w:t>
            </w:r>
          </w:p>
          <w:p w14:paraId="2379C882">
            <w:pPr>
              <w:adjustRightInd w:val="0"/>
              <w:snapToGrid w:val="0"/>
              <w:spacing w:line="520" w:lineRule="exact"/>
              <w:jc w:val="center"/>
              <w:rPr>
                <w:rFonts w:eastAsia="黑体"/>
                <w:bCs/>
                <w:sz w:val="24"/>
              </w:rPr>
            </w:pPr>
            <w:r>
              <w:rPr>
                <w:rFonts w:eastAsia="黑体"/>
                <w:bCs/>
                <w:sz w:val="24"/>
              </w:rPr>
              <w:t>表4-29      各风险物质存在量与临界量比值一览表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32"/>
              <w:gridCol w:w="2551"/>
              <w:gridCol w:w="1132"/>
              <w:gridCol w:w="940"/>
              <w:gridCol w:w="1149"/>
            </w:tblGrid>
            <w:tr w14:paraId="29FF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vAlign w:val="center"/>
                </w:tcPr>
                <w:p w14:paraId="120DE64A">
                  <w:pPr>
                    <w:pStyle w:val="24"/>
                    <w:adjustRightInd w:val="0"/>
                    <w:snapToGrid w:val="0"/>
                    <w:spacing w:after="0" w:line="360" w:lineRule="exact"/>
                    <w:ind w:left="0" w:leftChars="0"/>
                    <w:jc w:val="center"/>
                    <w:rPr>
                      <w:szCs w:val="21"/>
                    </w:rPr>
                  </w:pPr>
                  <w:r>
                    <w:rPr>
                      <w:szCs w:val="21"/>
                    </w:rPr>
                    <w:t>危险物质</w:t>
                  </w:r>
                </w:p>
              </w:tc>
              <w:tc>
                <w:tcPr>
                  <w:tcW w:w="684" w:type="pct"/>
                  <w:vAlign w:val="center"/>
                </w:tcPr>
                <w:p w14:paraId="3A486E2A">
                  <w:pPr>
                    <w:pStyle w:val="24"/>
                    <w:adjustRightInd w:val="0"/>
                    <w:snapToGrid w:val="0"/>
                    <w:spacing w:after="0" w:line="360" w:lineRule="exact"/>
                    <w:ind w:left="0" w:leftChars="0"/>
                    <w:jc w:val="center"/>
                    <w:rPr>
                      <w:szCs w:val="21"/>
                    </w:rPr>
                  </w:pPr>
                  <w:r>
                    <w:rPr>
                      <w:szCs w:val="21"/>
                    </w:rPr>
                    <w:t>物质名称</w:t>
                  </w:r>
                </w:p>
              </w:tc>
              <w:tc>
                <w:tcPr>
                  <w:tcW w:w="1541" w:type="pct"/>
                  <w:vAlign w:val="center"/>
                </w:tcPr>
                <w:p w14:paraId="07B70D77">
                  <w:pPr>
                    <w:pStyle w:val="24"/>
                    <w:adjustRightInd w:val="0"/>
                    <w:snapToGrid w:val="0"/>
                    <w:spacing w:after="0" w:line="360" w:lineRule="exact"/>
                    <w:ind w:left="0" w:leftChars="0"/>
                    <w:jc w:val="center"/>
                    <w:rPr>
                      <w:szCs w:val="21"/>
                    </w:rPr>
                  </w:pPr>
                  <w:r>
                    <w:rPr>
                      <w:szCs w:val="21"/>
                    </w:rPr>
                    <w:t>贮存设施</w:t>
                  </w:r>
                </w:p>
              </w:tc>
              <w:tc>
                <w:tcPr>
                  <w:tcW w:w="684" w:type="pct"/>
                  <w:vAlign w:val="center"/>
                </w:tcPr>
                <w:p w14:paraId="148C374B">
                  <w:pPr>
                    <w:pStyle w:val="24"/>
                    <w:adjustRightInd w:val="0"/>
                    <w:snapToGrid w:val="0"/>
                    <w:spacing w:after="0" w:line="360" w:lineRule="exact"/>
                    <w:ind w:left="0" w:leftChars="0"/>
                    <w:jc w:val="center"/>
                    <w:rPr>
                      <w:szCs w:val="21"/>
                    </w:rPr>
                  </w:pPr>
                  <w:r>
                    <w:rPr>
                      <w:szCs w:val="21"/>
                    </w:rPr>
                    <w:t>最大存在量（t）</w:t>
                  </w:r>
                </w:p>
              </w:tc>
              <w:tc>
                <w:tcPr>
                  <w:tcW w:w="568" w:type="pct"/>
                  <w:vAlign w:val="center"/>
                </w:tcPr>
                <w:p w14:paraId="62320066">
                  <w:pPr>
                    <w:pStyle w:val="24"/>
                    <w:adjustRightInd w:val="0"/>
                    <w:snapToGrid w:val="0"/>
                    <w:spacing w:after="0" w:line="360" w:lineRule="exact"/>
                    <w:ind w:left="0" w:leftChars="0"/>
                    <w:jc w:val="center"/>
                    <w:rPr>
                      <w:szCs w:val="21"/>
                    </w:rPr>
                  </w:pPr>
                  <w:r>
                    <w:rPr>
                      <w:szCs w:val="21"/>
                    </w:rPr>
                    <w:t>临界量（t）</w:t>
                  </w:r>
                </w:p>
              </w:tc>
              <w:tc>
                <w:tcPr>
                  <w:tcW w:w="694" w:type="pct"/>
                  <w:vAlign w:val="center"/>
                </w:tcPr>
                <w:p w14:paraId="33464630">
                  <w:pPr>
                    <w:pStyle w:val="24"/>
                    <w:adjustRightInd w:val="0"/>
                    <w:snapToGrid w:val="0"/>
                    <w:spacing w:after="0" w:line="360" w:lineRule="exact"/>
                    <w:ind w:left="0" w:leftChars="0"/>
                    <w:jc w:val="center"/>
                    <w:rPr>
                      <w:szCs w:val="21"/>
                    </w:rPr>
                  </w:pPr>
                  <w:r>
                    <w:rPr>
                      <w:szCs w:val="21"/>
                    </w:rPr>
                    <w:t>比值Q</w:t>
                  </w:r>
                </w:p>
              </w:tc>
            </w:tr>
            <w:tr w14:paraId="0A1F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vAlign w:val="center"/>
                </w:tcPr>
                <w:p w14:paraId="4510D62D">
                  <w:pPr>
                    <w:jc w:val="center"/>
                    <w:rPr>
                      <w:szCs w:val="21"/>
                    </w:rPr>
                  </w:pPr>
                  <w:r>
                    <w:rPr>
                      <w:szCs w:val="21"/>
                    </w:rPr>
                    <w:t>液化天然气</w:t>
                  </w:r>
                </w:p>
              </w:tc>
              <w:tc>
                <w:tcPr>
                  <w:tcW w:w="684" w:type="pct"/>
                  <w:vAlign w:val="center"/>
                </w:tcPr>
                <w:p w14:paraId="31F56194">
                  <w:pPr>
                    <w:pStyle w:val="24"/>
                    <w:adjustRightInd w:val="0"/>
                    <w:snapToGrid w:val="0"/>
                    <w:spacing w:after="0" w:line="360" w:lineRule="exact"/>
                    <w:ind w:left="0" w:leftChars="0"/>
                    <w:jc w:val="center"/>
                    <w:rPr>
                      <w:szCs w:val="21"/>
                    </w:rPr>
                  </w:pPr>
                  <w:r>
                    <w:rPr>
                      <w:szCs w:val="21"/>
                    </w:rPr>
                    <w:t>甲烷</w:t>
                  </w:r>
                </w:p>
              </w:tc>
              <w:tc>
                <w:tcPr>
                  <w:tcW w:w="1541" w:type="pct"/>
                  <w:vAlign w:val="center"/>
                </w:tcPr>
                <w:p w14:paraId="2DAD2D74">
                  <w:pPr>
                    <w:pStyle w:val="24"/>
                    <w:adjustRightInd w:val="0"/>
                    <w:snapToGrid w:val="0"/>
                    <w:spacing w:after="0" w:line="360" w:lineRule="exact"/>
                    <w:ind w:left="0" w:leftChars="0"/>
                    <w:jc w:val="center"/>
                    <w:rPr>
                      <w:szCs w:val="21"/>
                    </w:rPr>
                  </w:pPr>
                  <w:r>
                    <w:rPr>
                      <w:szCs w:val="21"/>
                    </w:rPr>
                    <w:t>天然气罐车（点火期间）</w:t>
                  </w:r>
                </w:p>
              </w:tc>
              <w:tc>
                <w:tcPr>
                  <w:tcW w:w="684" w:type="pct"/>
                  <w:vAlign w:val="center"/>
                </w:tcPr>
                <w:p w14:paraId="67B587F1">
                  <w:pPr>
                    <w:pStyle w:val="24"/>
                    <w:adjustRightInd w:val="0"/>
                    <w:snapToGrid w:val="0"/>
                    <w:spacing w:after="0" w:line="360" w:lineRule="exact"/>
                    <w:ind w:left="0" w:leftChars="0"/>
                    <w:jc w:val="center"/>
                    <w:rPr>
                      <w:szCs w:val="21"/>
                    </w:rPr>
                  </w:pPr>
                  <w:r>
                    <w:rPr>
                      <w:bCs/>
                      <w:szCs w:val="21"/>
                    </w:rPr>
                    <w:t>3.6</w:t>
                  </w:r>
                </w:p>
              </w:tc>
              <w:tc>
                <w:tcPr>
                  <w:tcW w:w="568" w:type="pct"/>
                  <w:vAlign w:val="center"/>
                </w:tcPr>
                <w:p w14:paraId="3A2D095C">
                  <w:pPr>
                    <w:pStyle w:val="24"/>
                    <w:adjustRightInd w:val="0"/>
                    <w:snapToGrid w:val="0"/>
                    <w:spacing w:after="0" w:line="360" w:lineRule="exact"/>
                    <w:ind w:left="0" w:leftChars="0"/>
                    <w:jc w:val="center"/>
                    <w:rPr>
                      <w:szCs w:val="21"/>
                    </w:rPr>
                  </w:pPr>
                  <w:r>
                    <w:rPr>
                      <w:szCs w:val="21"/>
                    </w:rPr>
                    <w:t>10</w:t>
                  </w:r>
                </w:p>
              </w:tc>
              <w:tc>
                <w:tcPr>
                  <w:tcW w:w="694" w:type="pct"/>
                  <w:vAlign w:val="center"/>
                </w:tcPr>
                <w:p w14:paraId="6CCCDBF8">
                  <w:pPr>
                    <w:widowControl/>
                    <w:jc w:val="center"/>
                    <w:textAlignment w:val="center"/>
                    <w:rPr>
                      <w:rFonts w:eastAsia="等线"/>
                      <w:kern w:val="0"/>
                      <w:szCs w:val="21"/>
                    </w:rPr>
                  </w:pPr>
                  <w:r>
                    <w:rPr>
                      <w:rFonts w:eastAsia="等线"/>
                      <w:kern w:val="0"/>
                      <w:szCs w:val="21"/>
                    </w:rPr>
                    <w:t>0.36</w:t>
                  </w:r>
                </w:p>
              </w:tc>
            </w:tr>
            <w:tr w14:paraId="2FCB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vAlign w:val="center"/>
                </w:tcPr>
                <w:p w14:paraId="7E118A8F">
                  <w:pPr>
                    <w:jc w:val="center"/>
                    <w:rPr>
                      <w:szCs w:val="21"/>
                    </w:rPr>
                  </w:pPr>
                  <w:r>
                    <w:rPr>
                      <w:szCs w:val="21"/>
                    </w:rPr>
                    <w:t>废机油</w:t>
                  </w:r>
                </w:p>
              </w:tc>
              <w:tc>
                <w:tcPr>
                  <w:tcW w:w="684" w:type="pct"/>
                  <w:vAlign w:val="center"/>
                </w:tcPr>
                <w:p w14:paraId="01FD7B67">
                  <w:pPr>
                    <w:pStyle w:val="24"/>
                    <w:adjustRightInd w:val="0"/>
                    <w:snapToGrid w:val="0"/>
                    <w:spacing w:after="0" w:line="360" w:lineRule="exact"/>
                    <w:ind w:left="0" w:leftChars="0"/>
                    <w:jc w:val="center"/>
                    <w:rPr>
                      <w:szCs w:val="21"/>
                    </w:rPr>
                  </w:pPr>
                  <w:r>
                    <w:rPr>
                      <w:szCs w:val="21"/>
                    </w:rPr>
                    <w:t>油类物质</w:t>
                  </w:r>
                </w:p>
              </w:tc>
              <w:tc>
                <w:tcPr>
                  <w:tcW w:w="1541" w:type="pct"/>
                  <w:vAlign w:val="center"/>
                </w:tcPr>
                <w:p w14:paraId="7473BDCF">
                  <w:pPr>
                    <w:pStyle w:val="24"/>
                    <w:adjustRightInd w:val="0"/>
                    <w:snapToGrid w:val="0"/>
                    <w:spacing w:after="0" w:line="360" w:lineRule="exact"/>
                    <w:ind w:left="0" w:leftChars="0"/>
                    <w:jc w:val="center"/>
                    <w:rPr>
                      <w:szCs w:val="21"/>
                    </w:rPr>
                  </w:pPr>
                  <w:r>
                    <w:rPr>
                      <w:szCs w:val="21"/>
                    </w:rPr>
                    <w:t>100L高密度聚乙烯桶</w:t>
                  </w:r>
                </w:p>
              </w:tc>
              <w:tc>
                <w:tcPr>
                  <w:tcW w:w="684" w:type="pct"/>
                  <w:vAlign w:val="center"/>
                </w:tcPr>
                <w:p w14:paraId="1745B287">
                  <w:pPr>
                    <w:pStyle w:val="24"/>
                    <w:adjustRightInd w:val="0"/>
                    <w:snapToGrid w:val="0"/>
                    <w:spacing w:after="0" w:line="360" w:lineRule="exact"/>
                    <w:ind w:left="0" w:leftChars="0"/>
                    <w:jc w:val="center"/>
                    <w:rPr>
                      <w:szCs w:val="21"/>
                    </w:rPr>
                  </w:pPr>
                  <w:r>
                    <w:rPr>
                      <w:szCs w:val="21"/>
                    </w:rPr>
                    <w:t>0.5</w:t>
                  </w:r>
                </w:p>
              </w:tc>
              <w:tc>
                <w:tcPr>
                  <w:tcW w:w="568" w:type="pct"/>
                  <w:vAlign w:val="center"/>
                </w:tcPr>
                <w:p w14:paraId="67DEA70D">
                  <w:pPr>
                    <w:pStyle w:val="24"/>
                    <w:adjustRightInd w:val="0"/>
                    <w:snapToGrid w:val="0"/>
                    <w:spacing w:after="0" w:line="360" w:lineRule="exact"/>
                    <w:ind w:left="0" w:leftChars="0"/>
                    <w:jc w:val="center"/>
                    <w:rPr>
                      <w:szCs w:val="21"/>
                    </w:rPr>
                  </w:pPr>
                  <w:r>
                    <w:rPr>
                      <w:szCs w:val="21"/>
                    </w:rPr>
                    <w:t>2500</w:t>
                  </w:r>
                </w:p>
              </w:tc>
              <w:tc>
                <w:tcPr>
                  <w:tcW w:w="694" w:type="pct"/>
                  <w:vAlign w:val="center"/>
                </w:tcPr>
                <w:p w14:paraId="63BB9EE6">
                  <w:pPr>
                    <w:widowControl/>
                    <w:jc w:val="center"/>
                    <w:textAlignment w:val="center"/>
                    <w:rPr>
                      <w:kern w:val="0"/>
                      <w:szCs w:val="21"/>
                    </w:rPr>
                  </w:pPr>
                  <w:r>
                    <w:rPr>
                      <w:rFonts w:eastAsia="等线"/>
                      <w:kern w:val="0"/>
                      <w:szCs w:val="21"/>
                    </w:rPr>
                    <w:t>0.0002</w:t>
                  </w:r>
                </w:p>
              </w:tc>
            </w:tr>
            <w:tr w14:paraId="2FB6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6" w:type="pct"/>
                  <w:gridSpan w:val="5"/>
                  <w:vAlign w:val="center"/>
                </w:tcPr>
                <w:p w14:paraId="18979715">
                  <w:pPr>
                    <w:pStyle w:val="24"/>
                    <w:adjustRightInd w:val="0"/>
                    <w:snapToGrid w:val="0"/>
                    <w:spacing w:after="0" w:line="360" w:lineRule="exact"/>
                    <w:ind w:left="0" w:leftChars="0"/>
                    <w:jc w:val="center"/>
                    <w:rPr>
                      <w:szCs w:val="21"/>
                    </w:rPr>
                  </w:pPr>
                  <w:r>
                    <w:rPr>
                      <w:szCs w:val="21"/>
                    </w:rPr>
                    <w:t>合计</w:t>
                  </w:r>
                </w:p>
              </w:tc>
              <w:tc>
                <w:tcPr>
                  <w:tcW w:w="694" w:type="pct"/>
                  <w:vAlign w:val="center"/>
                </w:tcPr>
                <w:p w14:paraId="0A8BC950">
                  <w:pPr>
                    <w:widowControl/>
                    <w:jc w:val="center"/>
                    <w:textAlignment w:val="center"/>
                    <w:rPr>
                      <w:szCs w:val="21"/>
                    </w:rPr>
                  </w:pPr>
                  <w:r>
                    <w:rPr>
                      <w:rFonts w:eastAsia="等线"/>
                      <w:kern w:val="0"/>
                      <w:szCs w:val="21"/>
                    </w:rPr>
                    <w:t>0.3602</w:t>
                  </w:r>
                </w:p>
              </w:tc>
            </w:tr>
          </w:tbl>
          <w:p w14:paraId="1078F422">
            <w:pPr>
              <w:pStyle w:val="24"/>
              <w:adjustRightInd w:val="0"/>
              <w:snapToGrid w:val="0"/>
              <w:spacing w:after="0" w:line="520" w:lineRule="exact"/>
              <w:ind w:left="0" w:leftChars="0" w:firstLine="480" w:firstLineChars="200"/>
              <w:rPr>
                <w:sz w:val="24"/>
              </w:rPr>
            </w:pPr>
            <w:r>
              <w:rPr>
                <w:sz w:val="24"/>
              </w:rPr>
              <w:t>由上表计算可知，本项目危险物质数量与临界量比值Q=0.3602&lt;1，则本项目环境风险潜势为Ⅰ，环境风险评价可开展简单分析。</w:t>
            </w:r>
          </w:p>
          <w:p w14:paraId="0B3A8184">
            <w:pPr>
              <w:adjustRightInd w:val="0"/>
              <w:snapToGrid w:val="0"/>
              <w:spacing w:line="520" w:lineRule="exact"/>
              <w:rPr>
                <w:rFonts w:eastAsia="黑体"/>
                <w:bCs/>
                <w:sz w:val="24"/>
              </w:rPr>
            </w:pPr>
            <w:r>
              <w:rPr>
                <w:rFonts w:hint="eastAsia" w:eastAsia="黑体"/>
                <w:bCs/>
                <w:sz w:val="24"/>
              </w:rPr>
              <w:t>5</w:t>
            </w:r>
            <w:r>
              <w:rPr>
                <w:rFonts w:eastAsia="黑体"/>
                <w:bCs/>
                <w:sz w:val="24"/>
              </w:rPr>
              <w:t>.2 环境风险识别</w:t>
            </w:r>
          </w:p>
          <w:p w14:paraId="5E874B2A">
            <w:pPr>
              <w:pStyle w:val="24"/>
              <w:adjustRightInd w:val="0"/>
              <w:snapToGrid w:val="0"/>
              <w:spacing w:after="0" w:line="520" w:lineRule="exact"/>
              <w:ind w:left="0" w:leftChars="0" w:firstLine="480" w:firstLineChars="200"/>
              <w:rPr>
                <w:sz w:val="24"/>
              </w:rPr>
            </w:pPr>
            <w:r>
              <w:rPr>
                <w:sz w:val="24"/>
              </w:rPr>
              <w:t>（1）风险物质识别</w:t>
            </w:r>
          </w:p>
          <w:p w14:paraId="075B7C87">
            <w:pPr>
              <w:pStyle w:val="24"/>
              <w:adjustRightInd w:val="0"/>
              <w:snapToGrid w:val="0"/>
              <w:spacing w:after="0" w:line="520" w:lineRule="exact"/>
              <w:ind w:left="0" w:leftChars="0" w:firstLine="480" w:firstLineChars="200"/>
              <w:rPr>
                <w:sz w:val="24"/>
              </w:rPr>
            </w:pPr>
            <w:r>
              <w:rPr>
                <w:sz w:val="24"/>
              </w:rPr>
              <w:t>本项目环境风险物质主要为窑炉点火期间厂区临时使用的液化天然气，危废暂存间内的废机油。</w:t>
            </w:r>
          </w:p>
          <w:p w14:paraId="5BC4FA98">
            <w:pPr>
              <w:pStyle w:val="24"/>
              <w:adjustRightInd w:val="0"/>
              <w:snapToGrid w:val="0"/>
              <w:spacing w:after="0" w:line="520" w:lineRule="exact"/>
              <w:ind w:left="0" w:leftChars="0" w:firstLine="480" w:firstLineChars="200"/>
              <w:rPr>
                <w:sz w:val="24"/>
              </w:rPr>
            </w:pPr>
            <w:r>
              <w:rPr>
                <w:sz w:val="24"/>
              </w:rPr>
              <w:t>（2）生产系统危险性识别</w:t>
            </w:r>
          </w:p>
          <w:p w14:paraId="2ECE71DC">
            <w:pPr>
              <w:pStyle w:val="24"/>
              <w:adjustRightInd w:val="0"/>
              <w:snapToGrid w:val="0"/>
              <w:spacing w:after="0" w:line="520" w:lineRule="exact"/>
              <w:ind w:left="0" w:leftChars="0" w:firstLine="480" w:firstLineChars="200"/>
              <w:rPr>
                <w:sz w:val="24"/>
              </w:rPr>
            </w:pPr>
            <w:r>
              <w:rPr>
                <w:sz w:val="24"/>
              </w:rPr>
              <w:t>根据《建设项目环境风险评价技术导则》（HJ 169-2018），生产系统危险性识别包括生产装置、储运设施、公用工程、辅助生产设施以及环保设施等。</w:t>
            </w:r>
          </w:p>
          <w:p w14:paraId="40F2DA31">
            <w:pPr>
              <w:adjustRightInd w:val="0"/>
              <w:snapToGrid w:val="0"/>
              <w:spacing w:line="520" w:lineRule="exact"/>
              <w:jc w:val="center"/>
              <w:rPr>
                <w:rFonts w:eastAsia="黑体"/>
                <w:bCs/>
                <w:sz w:val="24"/>
              </w:rPr>
            </w:pPr>
            <w:r>
              <w:rPr>
                <w:rFonts w:eastAsia="黑体"/>
                <w:bCs/>
                <w:sz w:val="24"/>
              </w:rPr>
              <w:t>表4-30       建设项目环境风险识别表</w:t>
            </w:r>
          </w:p>
          <w:tbl>
            <w:tblPr>
              <w:tblStyle w:val="37"/>
              <w:tblW w:w="827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800"/>
              <w:gridCol w:w="1559"/>
              <w:gridCol w:w="1560"/>
              <w:gridCol w:w="1133"/>
              <w:gridCol w:w="1534"/>
            </w:tblGrid>
            <w:tr w14:paraId="5A5E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3FA95867">
                  <w:pPr>
                    <w:pStyle w:val="24"/>
                    <w:adjustRightInd w:val="0"/>
                    <w:snapToGrid w:val="0"/>
                    <w:spacing w:after="0" w:line="320" w:lineRule="exact"/>
                    <w:ind w:left="0" w:leftChars="0"/>
                    <w:jc w:val="center"/>
                    <w:rPr>
                      <w:szCs w:val="21"/>
                    </w:rPr>
                  </w:pPr>
                  <w:r>
                    <w:rPr>
                      <w:szCs w:val="21"/>
                    </w:rPr>
                    <w:t>序号</w:t>
                  </w:r>
                </w:p>
              </w:tc>
              <w:tc>
                <w:tcPr>
                  <w:tcW w:w="1088" w:type="pct"/>
                  <w:vAlign w:val="center"/>
                </w:tcPr>
                <w:p w14:paraId="5EB12FA6">
                  <w:pPr>
                    <w:pStyle w:val="24"/>
                    <w:adjustRightInd w:val="0"/>
                    <w:snapToGrid w:val="0"/>
                    <w:spacing w:after="0" w:line="320" w:lineRule="exact"/>
                    <w:ind w:left="0" w:leftChars="0"/>
                    <w:jc w:val="center"/>
                    <w:rPr>
                      <w:szCs w:val="21"/>
                    </w:rPr>
                  </w:pPr>
                  <w:r>
                    <w:rPr>
                      <w:szCs w:val="21"/>
                    </w:rPr>
                    <w:t>危险单元/风险源</w:t>
                  </w:r>
                </w:p>
              </w:tc>
              <w:tc>
                <w:tcPr>
                  <w:tcW w:w="942" w:type="pct"/>
                  <w:vAlign w:val="center"/>
                </w:tcPr>
                <w:p w14:paraId="4E7DD10A">
                  <w:pPr>
                    <w:pStyle w:val="24"/>
                    <w:adjustRightInd w:val="0"/>
                    <w:snapToGrid w:val="0"/>
                    <w:spacing w:after="0" w:line="320" w:lineRule="exact"/>
                    <w:ind w:left="0" w:leftChars="0"/>
                    <w:jc w:val="center"/>
                    <w:rPr>
                      <w:szCs w:val="21"/>
                    </w:rPr>
                  </w:pPr>
                  <w:r>
                    <w:rPr>
                      <w:szCs w:val="21"/>
                    </w:rPr>
                    <w:t>主要危险物质</w:t>
                  </w:r>
                </w:p>
              </w:tc>
              <w:tc>
                <w:tcPr>
                  <w:tcW w:w="943" w:type="pct"/>
                  <w:vAlign w:val="center"/>
                </w:tcPr>
                <w:p w14:paraId="4BC94F63">
                  <w:pPr>
                    <w:pStyle w:val="24"/>
                    <w:adjustRightInd w:val="0"/>
                    <w:snapToGrid w:val="0"/>
                    <w:spacing w:after="0" w:line="320" w:lineRule="exact"/>
                    <w:ind w:left="0" w:leftChars="0"/>
                    <w:jc w:val="center"/>
                    <w:rPr>
                      <w:szCs w:val="21"/>
                    </w:rPr>
                  </w:pPr>
                  <w:r>
                    <w:rPr>
                      <w:szCs w:val="21"/>
                    </w:rPr>
                    <w:t>环境风险类型</w:t>
                  </w:r>
                </w:p>
              </w:tc>
              <w:tc>
                <w:tcPr>
                  <w:tcW w:w="685" w:type="pct"/>
                  <w:vAlign w:val="center"/>
                </w:tcPr>
                <w:p w14:paraId="04F7723E">
                  <w:pPr>
                    <w:pStyle w:val="24"/>
                    <w:adjustRightInd w:val="0"/>
                    <w:snapToGrid w:val="0"/>
                    <w:spacing w:after="0" w:line="320" w:lineRule="exact"/>
                    <w:ind w:left="0" w:leftChars="0"/>
                    <w:jc w:val="center"/>
                    <w:rPr>
                      <w:szCs w:val="21"/>
                    </w:rPr>
                  </w:pPr>
                  <w:r>
                    <w:rPr>
                      <w:szCs w:val="21"/>
                    </w:rPr>
                    <w:t>环境影响途径</w:t>
                  </w:r>
                </w:p>
              </w:tc>
              <w:tc>
                <w:tcPr>
                  <w:tcW w:w="927" w:type="pct"/>
                  <w:vAlign w:val="center"/>
                </w:tcPr>
                <w:p w14:paraId="23E66FDE">
                  <w:pPr>
                    <w:pStyle w:val="24"/>
                    <w:adjustRightInd w:val="0"/>
                    <w:snapToGrid w:val="0"/>
                    <w:spacing w:after="0" w:line="320" w:lineRule="exact"/>
                    <w:ind w:left="0" w:leftChars="0"/>
                    <w:jc w:val="center"/>
                    <w:rPr>
                      <w:szCs w:val="21"/>
                    </w:rPr>
                  </w:pPr>
                  <w:r>
                    <w:rPr>
                      <w:szCs w:val="21"/>
                    </w:rPr>
                    <w:t>可能受影响的环境敏感目标</w:t>
                  </w:r>
                </w:p>
              </w:tc>
            </w:tr>
            <w:tr w14:paraId="166D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15" w:type="pct"/>
                  <w:vAlign w:val="center"/>
                </w:tcPr>
                <w:p w14:paraId="7365A364">
                  <w:pPr>
                    <w:pStyle w:val="24"/>
                    <w:adjustRightInd w:val="0"/>
                    <w:snapToGrid w:val="0"/>
                    <w:spacing w:after="0" w:line="320" w:lineRule="exact"/>
                    <w:ind w:left="0" w:leftChars="0"/>
                    <w:jc w:val="center"/>
                    <w:rPr>
                      <w:szCs w:val="21"/>
                    </w:rPr>
                  </w:pPr>
                  <w:r>
                    <w:rPr>
                      <w:szCs w:val="21"/>
                    </w:rPr>
                    <w:t>1</w:t>
                  </w:r>
                </w:p>
              </w:tc>
              <w:tc>
                <w:tcPr>
                  <w:tcW w:w="1088" w:type="pct"/>
                  <w:vAlign w:val="center"/>
                </w:tcPr>
                <w:p w14:paraId="1D3A28E5">
                  <w:pPr>
                    <w:pStyle w:val="24"/>
                    <w:adjustRightInd w:val="0"/>
                    <w:snapToGrid w:val="0"/>
                    <w:spacing w:after="0" w:line="320" w:lineRule="exact"/>
                    <w:ind w:left="0" w:leftChars="0"/>
                    <w:jc w:val="center"/>
                    <w:rPr>
                      <w:szCs w:val="21"/>
                    </w:rPr>
                  </w:pPr>
                  <w:r>
                    <w:rPr>
                      <w:szCs w:val="21"/>
                    </w:rPr>
                    <w:t>液化天然气罐车</w:t>
                  </w:r>
                </w:p>
              </w:tc>
              <w:tc>
                <w:tcPr>
                  <w:tcW w:w="942" w:type="pct"/>
                  <w:vAlign w:val="center"/>
                </w:tcPr>
                <w:p w14:paraId="5B3F8C84">
                  <w:pPr>
                    <w:pStyle w:val="24"/>
                    <w:adjustRightInd w:val="0"/>
                    <w:snapToGrid w:val="0"/>
                    <w:spacing w:after="0" w:line="320" w:lineRule="exact"/>
                    <w:ind w:left="0" w:leftChars="0"/>
                    <w:jc w:val="center"/>
                    <w:rPr>
                      <w:szCs w:val="21"/>
                    </w:rPr>
                  </w:pPr>
                  <w:r>
                    <w:rPr>
                      <w:szCs w:val="21"/>
                    </w:rPr>
                    <w:t>液化天然气</w:t>
                  </w:r>
                </w:p>
              </w:tc>
              <w:tc>
                <w:tcPr>
                  <w:tcW w:w="943" w:type="pct"/>
                  <w:vAlign w:val="center"/>
                </w:tcPr>
                <w:p w14:paraId="2FFE8E0E">
                  <w:pPr>
                    <w:pStyle w:val="24"/>
                    <w:adjustRightInd w:val="0"/>
                    <w:snapToGrid w:val="0"/>
                    <w:spacing w:after="0" w:line="320" w:lineRule="exact"/>
                    <w:ind w:left="0" w:leftChars="0"/>
                    <w:jc w:val="center"/>
                    <w:rPr>
                      <w:szCs w:val="21"/>
                    </w:rPr>
                  </w:pPr>
                  <w:r>
                    <w:rPr>
                      <w:szCs w:val="21"/>
                    </w:rPr>
                    <w:t>泄漏、火灾、爆炸产生的次生污染</w:t>
                  </w:r>
                </w:p>
              </w:tc>
              <w:tc>
                <w:tcPr>
                  <w:tcW w:w="685" w:type="pct"/>
                  <w:vAlign w:val="center"/>
                </w:tcPr>
                <w:p w14:paraId="539C6A5A">
                  <w:pPr>
                    <w:pStyle w:val="24"/>
                    <w:adjustRightInd w:val="0"/>
                    <w:snapToGrid w:val="0"/>
                    <w:spacing w:after="0" w:line="320" w:lineRule="exact"/>
                    <w:ind w:left="0" w:leftChars="0"/>
                    <w:jc w:val="center"/>
                    <w:rPr>
                      <w:szCs w:val="21"/>
                    </w:rPr>
                  </w:pPr>
                  <w:r>
                    <w:rPr>
                      <w:szCs w:val="21"/>
                    </w:rPr>
                    <w:t>大气扩散、漫流</w:t>
                  </w:r>
                </w:p>
              </w:tc>
              <w:tc>
                <w:tcPr>
                  <w:tcW w:w="927" w:type="pct"/>
                  <w:vAlign w:val="center"/>
                </w:tcPr>
                <w:p w14:paraId="32A8F289">
                  <w:pPr>
                    <w:pStyle w:val="24"/>
                    <w:adjustRightInd w:val="0"/>
                    <w:snapToGrid w:val="0"/>
                    <w:spacing w:after="0" w:line="320" w:lineRule="exact"/>
                    <w:ind w:left="0" w:leftChars="0"/>
                    <w:jc w:val="center"/>
                    <w:rPr>
                      <w:szCs w:val="21"/>
                    </w:rPr>
                  </w:pPr>
                  <w:r>
                    <w:rPr>
                      <w:szCs w:val="21"/>
                    </w:rPr>
                    <w:t>周边大气环境、水环境</w:t>
                  </w:r>
                </w:p>
              </w:tc>
            </w:tr>
            <w:tr w14:paraId="2C1B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78EC3D7F">
                  <w:pPr>
                    <w:pStyle w:val="24"/>
                    <w:adjustRightInd w:val="0"/>
                    <w:snapToGrid w:val="0"/>
                    <w:spacing w:after="0" w:line="320" w:lineRule="exact"/>
                    <w:ind w:left="0" w:leftChars="0"/>
                    <w:jc w:val="center"/>
                    <w:rPr>
                      <w:szCs w:val="21"/>
                    </w:rPr>
                  </w:pPr>
                  <w:r>
                    <w:rPr>
                      <w:szCs w:val="21"/>
                    </w:rPr>
                    <w:t>2</w:t>
                  </w:r>
                </w:p>
              </w:tc>
              <w:tc>
                <w:tcPr>
                  <w:tcW w:w="1088" w:type="pct"/>
                  <w:vAlign w:val="center"/>
                </w:tcPr>
                <w:p w14:paraId="1A0034A3">
                  <w:pPr>
                    <w:pStyle w:val="24"/>
                    <w:adjustRightInd w:val="0"/>
                    <w:snapToGrid w:val="0"/>
                    <w:spacing w:after="0" w:line="320" w:lineRule="exact"/>
                    <w:ind w:left="0" w:leftChars="0"/>
                    <w:jc w:val="center"/>
                    <w:rPr>
                      <w:szCs w:val="21"/>
                    </w:rPr>
                  </w:pPr>
                  <w:r>
                    <w:rPr>
                      <w:szCs w:val="21"/>
                    </w:rPr>
                    <w:t>危废暂存间</w:t>
                  </w:r>
                </w:p>
              </w:tc>
              <w:tc>
                <w:tcPr>
                  <w:tcW w:w="942" w:type="pct"/>
                  <w:vAlign w:val="center"/>
                </w:tcPr>
                <w:p w14:paraId="14F022AA">
                  <w:pPr>
                    <w:pStyle w:val="24"/>
                    <w:adjustRightInd w:val="0"/>
                    <w:snapToGrid w:val="0"/>
                    <w:spacing w:after="0" w:line="320" w:lineRule="exact"/>
                    <w:ind w:left="0" w:leftChars="0"/>
                    <w:jc w:val="center"/>
                    <w:rPr>
                      <w:szCs w:val="21"/>
                    </w:rPr>
                  </w:pPr>
                  <w:r>
                    <w:rPr>
                      <w:szCs w:val="21"/>
                    </w:rPr>
                    <w:t>废机油</w:t>
                  </w:r>
                </w:p>
              </w:tc>
              <w:tc>
                <w:tcPr>
                  <w:tcW w:w="943" w:type="pct"/>
                  <w:vAlign w:val="center"/>
                </w:tcPr>
                <w:p w14:paraId="5B6E983E">
                  <w:pPr>
                    <w:pStyle w:val="24"/>
                    <w:adjustRightInd w:val="0"/>
                    <w:snapToGrid w:val="0"/>
                    <w:spacing w:after="0" w:line="320" w:lineRule="exact"/>
                    <w:ind w:left="0" w:leftChars="0"/>
                    <w:jc w:val="center"/>
                    <w:rPr>
                      <w:szCs w:val="21"/>
                    </w:rPr>
                  </w:pPr>
                  <w:r>
                    <w:rPr>
                      <w:szCs w:val="21"/>
                    </w:rPr>
                    <w:t>泄漏</w:t>
                  </w:r>
                </w:p>
              </w:tc>
              <w:tc>
                <w:tcPr>
                  <w:tcW w:w="685" w:type="pct"/>
                  <w:vAlign w:val="center"/>
                </w:tcPr>
                <w:p w14:paraId="3CD35D1D">
                  <w:pPr>
                    <w:pStyle w:val="24"/>
                    <w:adjustRightInd w:val="0"/>
                    <w:snapToGrid w:val="0"/>
                    <w:spacing w:after="0" w:line="320" w:lineRule="exact"/>
                    <w:ind w:left="0" w:leftChars="0"/>
                    <w:jc w:val="center"/>
                    <w:rPr>
                      <w:szCs w:val="21"/>
                    </w:rPr>
                  </w:pPr>
                  <w:r>
                    <w:rPr>
                      <w:szCs w:val="21"/>
                    </w:rPr>
                    <w:t>漫流、下渗</w:t>
                  </w:r>
                </w:p>
              </w:tc>
              <w:tc>
                <w:tcPr>
                  <w:tcW w:w="927" w:type="pct"/>
                  <w:vAlign w:val="center"/>
                </w:tcPr>
                <w:p w14:paraId="13A7EC2B">
                  <w:pPr>
                    <w:pStyle w:val="24"/>
                    <w:adjustRightInd w:val="0"/>
                    <w:snapToGrid w:val="0"/>
                    <w:spacing w:after="0" w:line="320" w:lineRule="exact"/>
                    <w:ind w:left="0" w:leftChars="0"/>
                    <w:jc w:val="center"/>
                    <w:rPr>
                      <w:szCs w:val="21"/>
                    </w:rPr>
                  </w:pPr>
                  <w:r>
                    <w:rPr>
                      <w:szCs w:val="21"/>
                    </w:rPr>
                    <w:t>厂区地下水、土壤</w:t>
                  </w:r>
                </w:p>
              </w:tc>
            </w:tr>
            <w:tr w14:paraId="5E2E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4A39EE0B">
                  <w:pPr>
                    <w:pStyle w:val="24"/>
                    <w:adjustRightInd w:val="0"/>
                    <w:snapToGrid w:val="0"/>
                    <w:spacing w:after="0" w:line="320" w:lineRule="exact"/>
                    <w:ind w:left="0" w:leftChars="0"/>
                    <w:jc w:val="center"/>
                    <w:rPr>
                      <w:szCs w:val="21"/>
                    </w:rPr>
                  </w:pPr>
                  <w:r>
                    <w:rPr>
                      <w:szCs w:val="21"/>
                    </w:rPr>
                    <w:t>3</w:t>
                  </w:r>
                </w:p>
              </w:tc>
              <w:tc>
                <w:tcPr>
                  <w:tcW w:w="1088" w:type="pct"/>
                  <w:vAlign w:val="center"/>
                </w:tcPr>
                <w:p w14:paraId="2B6DF0F7">
                  <w:pPr>
                    <w:pStyle w:val="24"/>
                    <w:adjustRightInd w:val="0"/>
                    <w:snapToGrid w:val="0"/>
                    <w:spacing w:after="0" w:line="320" w:lineRule="exact"/>
                    <w:ind w:left="0" w:leftChars="0"/>
                    <w:jc w:val="center"/>
                    <w:rPr>
                      <w:szCs w:val="21"/>
                    </w:rPr>
                  </w:pPr>
                  <w:r>
                    <w:rPr>
                      <w:szCs w:val="21"/>
                    </w:rPr>
                    <w:t>废气处理系统</w:t>
                  </w:r>
                </w:p>
              </w:tc>
              <w:tc>
                <w:tcPr>
                  <w:tcW w:w="942" w:type="pct"/>
                  <w:vAlign w:val="center"/>
                </w:tcPr>
                <w:p w14:paraId="33C20CD2">
                  <w:pPr>
                    <w:pStyle w:val="24"/>
                    <w:adjustRightInd w:val="0"/>
                    <w:snapToGrid w:val="0"/>
                    <w:spacing w:after="0" w:line="320" w:lineRule="exact"/>
                    <w:ind w:left="0" w:leftChars="0"/>
                    <w:jc w:val="center"/>
                    <w:rPr>
                      <w:szCs w:val="21"/>
                    </w:rPr>
                  </w:pPr>
                  <w:r>
                    <w:rPr>
                      <w:szCs w:val="21"/>
                    </w:rPr>
                    <w:t>颗粒物、二氧化硫、氮氧化物、氟化物</w:t>
                  </w:r>
                </w:p>
              </w:tc>
              <w:tc>
                <w:tcPr>
                  <w:tcW w:w="943" w:type="pct"/>
                  <w:vAlign w:val="center"/>
                </w:tcPr>
                <w:p w14:paraId="3672AD01">
                  <w:pPr>
                    <w:pStyle w:val="24"/>
                    <w:adjustRightInd w:val="0"/>
                    <w:snapToGrid w:val="0"/>
                    <w:spacing w:after="0" w:line="320" w:lineRule="exact"/>
                    <w:ind w:left="0" w:leftChars="0"/>
                    <w:jc w:val="center"/>
                    <w:rPr>
                      <w:szCs w:val="21"/>
                    </w:rPr>
                  </w:pPr>
                  <w:r>
                    <w:rPr>
                      <w:szCs w:val="21"/>
                    </w:rPr>
                    <w:t>废气处理系统故障引起的事故排放</w:t>
                  </w:r>
                </w:p>
              </w:tc>
              <w:tc>
                <w:tcPr>
                  <w:tcW w:w="685" w:type="pct"/>
                  <w:vAlign w:val="center"/>
                </w:tcPr>
                <w:p w14:paraId="6863DB99">
                  <w:pPr>
                    <w:pStyle w:val="24"/>
                    <w:adjustRightInd w:val="0"/>
                    <w:snapToGrid w:val="0"/>
                    <w:spacing w:after="0" w:line="320" w:lineRule="exact"/>
                    <w:ind w:left="0" w:leftChars="0"/>
                    <w:jc w:val="center"/>
                    <w:rPr>
                      <w:szCs w:val="21"/>
                    </w:rPr>
                  </w:pPr>
                  <w:r>
                    <w:rPr>
                      <w:szCs w:val="21"/>
                    </w:rPr>
                    <w:t>大气扩散</w:t>
                  </w:r>
                </w:p>
              </w:tc>
              <w:tc>
                <w:tcPr>
                  <w:tcW w:w="927" w:type="pct"/>
                  <w:vAlign w:val="center"/>
                </w:tcPr>
                <w:p w14:paraId="59EC6D6C">
                  <w:pPr>
                    <w:pStyle w:val="24"/>
                    <w:adjustRightInd w:val="0"/>
                    <w:snapToGrid w:val="0"/>
                    <w:spacing w:after="0" w:line="320" w:lineRule="exact"/>
                    <w:ind w:left="0" w:leftChars="0"/>
                    <w:jc w:val="center"/>
                    <w:rPr>
                      <w:szCs w:val="21"/>
                    </w:rPr>
                  </w:pPr>
                  <w:r>
                    <w:rPr>
                      <w:szCs w:val="21"/>
                    </w:rPr>
                    <w:t>周边大气环境</w:t>
                  </w:r>
                </w:p>
              </w:tc>
            </w:tr>
            <w:tr w14:paraId="4224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4137201B">
                  <w:pPr>
                    <w:pStyle w:val="24"/>
                    <w:adjustRightInd w:val="0"/>
                    <w:snapToGrid w:val="0"/>
                    <w:spacing w:after="0" w:line="320" w:lineRule="exact"/>
                    <w:ind w:left="0" w:leftChars="0"/>
                    <w:jc w:val="center"/>
                    <w:rPr>
                      <w:szCs w:val="21"/>
                    </w:rPr>
                  </w:pPr>
                  <w:r>
                    <w:rPr>
                      <w:szCs w:val="21"/>
                    </w:rPr>
                    <w:t>4</w:t>
                  </w:r>
                </w:p>
              </w:tc>
              <w:tc>
                <w:tcPr>
                  <w:tcW w:w="1088" w:type="pct"/>
                  <w:vAlign w:val="center"/>
                </w:tcPr>
                <w:p w14:paraId="7AD779F5">
                  <w:pPr>
                    <w:pStyle w:val="24"/>
                    <w:adjustRightInd w:val="0"/>
                    <w:snapToGrid w:val="0"/>
                    <w:spacing w:after="0" w:line="320" w:lineRule="exact"/>
                    <w:ind w:left="0" w:leftChars="0"/>
                    <w:jc w:val="center"/>
                    <w:rPr>
                      <w:szCs w:val="21"/>
                    </w:rPr>
                  </w:pPr>
                  <w:r>
                    <w:rPr>
                      <w:szCs w:val="21"/>
                    </w:rPr>
                    <w:t>废水处理系统</w:t>
                  </w:r>
                </w:p>
              </w:tc>
              <w:tc>
                <w:tcPr>
                  <w:tcW w:w="942" w:type="pct"/>
                  <w:vAlign w:val="center"/>
                </w:tcPr>
                <w:p w14:paraId="376E9727">
                  <w:pPr>
                    <w:pStyle w:val="24"/>
                    <w:adjustRightInd w:val="0"/>
                    <w:snapToGrid w:val="0"/>
                    <w:spacing w:after="0" w:line="320" w:lineRule="exact"/>
                    <w:ind w:left="0" w:leftChars="0"/>
                    <w:jc w:val="center"/>
                    <w:rPr>
                      <w:szCs w:val="21"/>
                    </w:rPr>
                  </w:pPr>
                  <w:r>
                    <w:rPr>
                      <w:szCs w:val="21"/>
                    </w:rPr>
                    <w:t>pH、SS</w:t>
                  </w:r>
                </w:p>
              </w:tc>
              <w:tc>
                <w:tcPr>
                  <w:tcW w:w="943" w:type="pct"/>
                  <w:vAlign w:val="center"/>
                </w:tcPr>
                <w:p w14:paraId="28A9836B">
                  <w:pPr>
                    <w:pStyle w:val="24"/>
                    <w:adjustRightInd w:val="0"/>
                    <w:snapToGrid w:val="0"/>
                    <w:spacing w:after="0" w:line="320" w:lineRule="exact"/>
                    <w:ind w:left="0" w:leftChars="0"/>
                    <w:jc w:val="center"/>
                    <w:rPr>
                      <w:szCs w:val="21"/>
                    </w:rPr>
                  </w:pPr>
                  <w:r>
                    <w:rPr>
                      <w:szCs w:val="21"/>
                    </w:rPr>
                    <w:t>废水处理系统故障引起的事故排放</w:t>
                  </w:r>
                </w:p>
              </w:tc>
              <w:tc>
                <w:tcPr>
                  <w:tcW w:w="685" w:type="pct"/>
                  <w:vAlign w:val="center"/>
                </w:tcPr>
                <w:p w14:paraId="0A2367F5">
                  <w:pPr>
                    <w:pStyle w:val="24"/>
                    <w:adjustRightInd w:val="0"/>
                    <w:snapToGrid w:val="0"/>
                    <w:spacing w:after="0" w:line="320" w:lineRule="exact"/>
                    <w:ind w:left="0" w:leftChars="0"/>
                    <w:jc w:val="center"/>
                    <w:rPr>
                      <w:szCs w:val="21"/>
                    </w:rPr>
                  </w:pPr>
                  <w:r>
                    <w:rPr>
                      <w:szCs w:val="21"/>
                    </w:rPr>
                    <w:t>漫流、下渗</w:t>
                  </w:r>
                </w:p>
              </w:tc>
              <w:tc>
                <w:tcPr>
                  <w:tcW w:w="927" w:type="pct"/>
                  <w:vAlign w:val="center"/>
                </w:tcPr>
                <w:p w14:paraId="0B57CB71">
                  <w:pPr>
                    <w:pStyle w:val="24"/>
                    <w:adjustRightInd w:val="0"/>
                    <w:snapToGrid w:val="0"/>
                    <w:spacing w:after="0" w:line="320" w:lineRule="exact"/>
                    <w:ind w:left="0" w:leftChars="0"/>
                    <w:jc w:val="center"/>
                    <w:rPr>
                      <w:szCs w:val="21"/>
                    </w:rPr>
                  </w:pPr>
                  <w:r>
                    <w:rPr>
                      <w:szCs w:val="21"/>
                    </w:rPr>
                    <w:t>厂区及周边地下水、土壤</w:t>
                  </w:r>
                </w:p>
              </w:tc>
            </w:tr>
          </w:tbl>
          <w:p w14:paraId="0B508C1A">
            <w:pPr>
              <w:adjustRightInd w:val="0"/>
              <w:snapToGrid w:val="0"/>
              <w:spacing w:line="520" w:lineRule="exact"/>
              <w:rPr>
                <w:rFonts w:eastAsia="黑体"/>
                <w:bCs/>
                <w:sz w:val="24"/>
              </w:rPr>
            </w:pPr>
            <w:r>
              <w:rPr>
                <w:rFonts w:hint="eastAsia" w:eastAsia="黑体"/>
                <w:bCs/>
                <w:sz w:val="24"/>
              </w:rPr>
              <w:t>5</w:t>
            </w:r>
            <w:r>
              <w:rPr>
                <w:rFonts w:eastAsia="黑体"/>
                <w:bCs/>
                <w:sz w:val="24"/>
              </w:rPr>
              <w:t>.3 环境风险分析</w:t>
            </w:r>
          </w:p>
          <w:p w14:paraId="2C1B83D5">
            <w:pPr>
              <w:pStyle w:val="24"/>
              <w:adjustRightInd w:val="0"/>
              <w:snapToGrid w:val="0"/>
              <w:spacing w:after="0" w:line="520" w:lineRule="exact"/>
              <w:ind w:left="0" w:leftChars="0" w:firstLine="480" w:firstLineChars="200"/>
              <w:rPr>
                <w:bCs/>
                <w:sz w:val="24"/>
              </w:rPr>
            </w:pPr>
            <w:r>
              <w:rPr>
                <w:bCs/>
                <w:sz w:val="24"/>
              </w:rPr>
              <w:t>本项目主要风险物质为液化天然气，仅在窑炉点火期间临时使用，点火后不在厂区储存，且项目点火液化天然气用量较低，泄漏、火灾、爆炸等环境风险事件发生概率较小；</w:t>
            </w:r>
          </w:p>
          <w:p w14:paraId="369D59AC">
            <w:pPr>
              <w:pStyle w:val="24"/>
              <w:adjustRightInd w:val="0"/>
              <w:snapToGrid w:val="0"/>
              <w:spacing w:after="0" w:line="520" w:lineRule="exact"/>
              <w:ind w:left="0" w:leftChars="0" w:firstLine="480" w:firstLineChars="200"/>
              <w:rPr>
                <w:bCs/>
                <w:sz w:val="24"/>
              </w:rPr>
            </w:pPr>
            <w:r>
              <w:rPr>
                <w:bCs/>
                <w:sz w:val="24"/>
              </w:rPr>
              <w:t>危废暂存间废机油暂存过程发生泄漏、漫流，可能污染水环境和土壤环境，项目废机油存储量不大，只要加强管理，发生泄漏概率极小；</w:t>
            </w:r>
          </w:p>
          <w:p w14:paraId="4D85E66A">
            <w:pPr>
              <w:pStyle w:val="24"/>
              <w:adjustRightInd w:val="0"/>
              <w:snapToGrid w:val="0"/>
              <w:spacing w:after="0" w:line="520" w:lineRule="exact"/>
              <w:ind w:left="0" w:leftChars="0" w:firstLine="480" w:firstLineChars="200"/>
              <w:rPr>
                <w:sz w:val="24"/>
              </w:rPr>
            </w:pPr>
            <w:r>
              <w:rPr>
                <w:bCs/>
                <w:sz w:val="24"/>
              </w:rPr>
              <w:t>废气处理系统和废水处理系统故障，会引发废气和废水事故排放，对大气环境、水环境和土壤环境造成影响。</w:t>
            </w:r>
          </w:p>
          <w:p w14:paraId="24E53C90">
            <w:pPr>
              <w:adjustRightInd w:val="0"/>
              <w:snapToGrid w:val="0"/>
              <w:spacing w:line="520" w:lineRule="exact"/>
              <w:rPr>
                <w:rFonts w:eastAsia="黑体"/>
                <w:bCs/>
                <w:sz w:val="24"/>
              </w:rPr>
            </w:pPr>
            <w:r>
              <w:rPr>
                <w:rFonts w:hint="eastAsia" w:eastAsia="黑体"/>
                <w:bCs/>
                <w:sz w:val="24"/>
              </w:rPr>
              <w:t>5</w:t>
            </w:r>
            <w:r>
              <w:rPr>
                <w:rFonts w:eastAsia="黑体"/>
                <w:bCs/>
                <w:sz w:val="24"/>
              </w:rPr>
              <w:t>.4环境风险防范措施</w:t>
            </w:r>
          </w:p>
          <w:p w14:paraId="095121CE">
            <w:pPr>
              <w:pStyle w:val="24"/>
              <w:adjustRightInd w:val="0"/>
              <w:snapToGrid w:val="0"/>
              <w:spacing w:after="0" w:line="520" w:lineRule="exact"/>
              <w:ind w:left="0" w:leftChars="0" w:firstLine="480" w:firstLineChars="200"/>
              <w:rPr>
                <w:sz w:val="24"/>
              </w:rPr>
            </w:pPr>
            <w:r>
              <w:rPr>
                <w:sz w:val="24"/>
              </w:rPr>
              <w:t>（1）</w:t>
            </w:r>
            <w:r>
              <w:rPr>
                <w:bCs/>
                <w:sz w:val="24"/>
              </w:rPr>
              <w:t>窑炉点火严格按照点火规程和液化天然气使用相关规范，由专业人员完成天然气卸车和点火操作，</w:t>
            </w:r>
            <w:r>
              <w:rPr>
                <w:sz w:val="24"/>
              </w:rPr>
              <w:t>天然气使用期间附近严禁设置明火源、高热源等，厂区内配备消防设施和器材，当发生火灾事故时，使用消防砂对场地内泄漏物进行拦截和围挡，通过封堵雨水井等措施防止泄漏物外泄至外环境。</w:t>
            </w:r>
          </w:p>
          <w:p w14:paraId="088A85E0">
            <w:pPr>
              <w:adjustRightInd w:val="0"/>
              <w:spacing w:line="520" w:lineRule="exact"/>
              <w:ind w:firstLine="480" w:firstLineChars="200"/>
              <w:rPr>
                <w:bCs/>
                <w:sz w:val="24"/>
              </w:rPr>
            </w:pPr>
            <w:r>
              <w:rPr>
                <w:sz w:val="24"/>
              </w:rPr>
              <w:t>（2）遵循“源头控制，分区防渗”的原则，做好危险废物暂存间的防渗措施，满足相应标准要求，加强对废机油贮存过程的管理，使用符合要求盛装容器，规范操作，降低事故发生的概率。若发生容器破损，少量泄露，可先设置围挡，然后采用虹吸等方法将油类物质转移到其它容器中。</w:t>
            </w:r>
          </w:p>
          <w:p w14:paraId="453E9208">
            <w:pPr>
              <w:pStyle w:val="24"/>
              <w:adjustRightInd w:val="0"/>
              <w:snapToGrid w:val="0"/>
              <w:spacing w:after="0" w:line="520" w:lineRule="exact"/>
              <w:ind w:left="0" w:leftChars="0" w:firstLine="480" w:firstLineChars="200"/>
              <w:rPr>
                <w:sz w:val="24"/>
              </w:rPr>
            </w:pPr>
            <w:r>
              <w:rPr>
                <w:sz w:val="24"/>
              </w:rPr>
              <w:t>（3）为避免出现废气、废水事故排放，建设单位应</w:t>
            </w:r>
            <w:bookmarkStart w:id="42" w:name="_Hlk219453358"/>
            <w:r>
              <w:rPr>
                <w:sz w:val="24"/>
              </w:rPr>
              <w:t>建立健全环保管理机制和各项环保规章制度，落实岗位环保责任制，</w:t>
            </w:r>
            <w:bookmarkEnd w:id="42"/>
            <w:r>
              <w:rPr>
                <w:sz w:val="24"/>
              </w:rPr>
              <w:t>加强环境风险防范工作，防止事故排放导致环境问题。认真做好废气、废水处理设施的维护保养、计划检修。加强巡回检查力度，加强防范，一旦废气、废水处理设施出现异常，立刻关闭相应的配套设备，停止生产运行。检查故障产生的原因，并及时维修，防止造成环境污染。</w:t>
            </w:r>
          </w:p>
          <w:p w14:paraId="0C750477">
            <w:pPr>
              <w:pStyle w:val="24"/>
              <w:adjustRightInd w:val="0"/>
              <w:snapToGrid w:val="0"/>
              <w:spacing w:after="0" w:line="520" w:lineRule="exact"/>
              <w:ind w:left="0" w:leftChars="0" w:firstLine="480" w:firstLineChars="200"/>
              <w:jc w:val="left"/>
              <w:rPr>
                <w:sz w:val="24"/>
              </w:rPr>
            </w:pPr>
            <w:r>
              <w:rPr>
                <w:sz w:val="24"/>
              </w:rPr>
              <w:t>（4）厂区配备足够二氧化碳灭火器等消防设备，建筑物内设置手提灭火器作为扑救初起火灾的重要消防器材，手提式灭火器设置在灭火器箱内，并定期检查，设置禁烟火标示牌，消防通道需畅通。</w:t>
            </w:r>
          </w:p>
          <w:p w14:paraId="00390E9E">
            <w:pPr>
              <w:pStyle w:val="24"/>
              <w:adjustRightInd w:val="0"/>
              <w:snapToGrid w:val="0"/>
              <w:spacing w:after="0" w:line="520" w:lineRule="exact"/>
              <w:ind w:left="0" w:leftChars="0" w:firstLine="480" w:firstLineChars="200"/>
              <w:jc w:val="left"/>
              <w:rPr>
                <w:sz w:val="24"/>
              </w:rPr>
            </w:pPr>
            <w:r>
              <w:rPr>
                <w:sz w:val="24"/>
              </w:rPr>
              <w:t>（5）</w:t>
            </w:r>
            <w:r>
              <w:rPr>
                <w:kern w:val="0"/>
                <w:sz w:val="24"/>
              </w:rPr>
              <w:t>加强职工的安全教育，提高安全防范风险的意识，规范职工操作。对易发生泄漏、火灾的部位实行定期的巡检制度，及时发现问题，尽快解决；</w:t>
            </w:r>
          </w:p>
          <w:p w14:paraId="27F27E85">
            <w:pPr>
              <w:adjustRightInd w:val="0"/>
              <w:snapToGrid w:val="0"/>
              <w:spacing w:line="520" w:lineRule="exact"/>
              <w:rPr>
                <w:rFonts w:eastAsia="黑体"/>
                <w:bCs/>
                <w:sz w:val="24"/>
              </w:rPr>
            </w:pPr>
            <w:r>
              <w:rPr>
                <w:rFonts w:hint="eastAsia" w:eastAsia="黑体"/>
                <w:bCs/>
                <w:sz w:val="24"/>
              </w:rPr>
              <w:t>5</w:t>
            </w:r>
            <w:r>
              <w:rPr>
                <w:rFonts w:eastAsia="黑体"/>
                <w:bCs/>
                <w:sz w:val="24"/>
              </w:rPr>
              <w:t>.5风险分析结论</w:t>
            </w:r>
          </w:p>
          <w:p w14:paraId="1CEC73DC">
            <w:pPr>
              <w:adjustRightInd w:val="0"/>
              <w:snapToGrid w:val="0"/>
              <w:spacing w:line="520" w:lineRule="exact"/>
              <w:ind w:firstLine="480" w:firstLineChars="200"/>
              <w:rPr>
                <w:sz w:val="24"/>
              </w:rPr>
            </w:pPr>
            <w:r>
              <w:rPr>
                <w:sz w:val="24"/>
              </w:rPr>
              <w:t>综上所述，本项目危险物质数量与临界量比值Q&lt;1，环境风险潜势为Ⅰ。建设单位在采取以上环境风险防范措施前提下，可将项目环境风险概率降到最低，环境风险可控。</w:t>
            </w:r>
          </w:p>
          <w:p w14:paraId="6B81973B">
            <w:pPr>
              <w:adjustRightInd w:val="0"/>
              <w:snapToGrid w:val="0"/>
              <w:spacing w:line="520" w:lineRule="exact"/>
              <w:rPr>
                <w:rFonts w:eastAsia="黑体"/>
                <w:bCs/>
                <w:sz w:val="24"/>
              </w:rPr>
            </w:pPr>
            <w:bookmarkStart w:id="43" w:name="_Hlk219842190"/>
            <w:r>
              <w:rPr>
                <w:rFonts w:hint="eastAsia" w:eastAsia="黑体"/>
                <w:bCs/>
                <w:sz w:val="24"/>
              </w:rPr>
              <w:t>6、改建前后主要污染物产排情况</w:t>
            </w:r>
          </w:p>
          <w:p w14:paraId="65939291">
            <w:pPr>
              <w:adjustRightInd w:val="0"/>
              <w:snapToGrid w:val="0"/>
              <w:spacing w:line="520" w:lineRule="exact"/>
              <w:ind w:firstLine="480" w:firstLineChars="200"/>
              <w:rPr>
                <w:sz w:val="24"/>
              </w:rPr>
            </w:pPr>
            <w:r>
              <w:rPr>
                <w:rFonts w:hint="eastAsia"/>
                <w:sz w:val="24"/>
              </w:rPr>
              <w:t>本项目改建前后主要污染物排放“三本帐”汇总见表4-22。</w:t>
            </w:r>
          </w:p>
          <w:p w14:paraId="696AA050">
            <w:pPr>
              <w:adjustRightInd w:val="0"/>
              <w:snapToGrid w:val="0"/>
              <w:spacing w:line="520" w:lineRule="exact"/>
              <w:jc w:val="center"/>
              <w:rPr>
                <w:rFonts w:hint="eastAsia" w:hAnsi="黑体" w:eastAsia="黑体"/>
                <w:bCs/>
                <w:sz w:val="24"/>
                <w:u w:val="single"/>
              </w:rPr>
            </w:pPr>
            <w:r>
              <w:rPr>
                <w:rFonts w:hAnsi="黑体" w:eastAsia="黑体"/>
                <w:bCs/>
                <w:sz w:val="24"/>
                <w:u w:val="single"/>
              </w:rPr>
              <w:t>表4-</w:t>
            </w:r>
            <w:r>
              <w:rPr>
                <w:rFonts w:hint="eastAsia" w:hAnsi="黑体" w:eastAsia="黑体"/>
                <w:bCs/>
                <w:sz w:val="24"/>
                <w:u w:val="single"/>
              </w:rPr>
              <w:t>31     本项目技改前后主要污染物排放“三本帐”    单位：t/a</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75"/>
              <w:gridCol w:w="1547"/>
              <w:gridCol w:w="1264"/>
              <w:gridCol w:w="1004"/>
              <w:gridCol w:w="1633"/>
              <w:gridCol w:w="1227"/>
            </w:tblGrid>
            <w:tr w14:paraId="38C7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4" w:type="pct"/>
                  <w:gridSpan w:val="2"/>
                  <w:vAlign w:val="center"/>
                </w:tcPr>
                <w:p w14:paraId="10E9DD82">
                  <w:pPr>
                    <w:widowControl/>
                    <w:jc w:val="center"/>
                    <w:rPr>
                      <w:rFonts w:hint="eastAsia" w:ascii="宋体" w:hAnsi="宋体" w:cs="宋体"/>
                      <w:color w:val="000000"/>
                      <w:kern w:val="0"/>
                      <w:szCs w:val="21"/>
                    </w:rPr>
                  </w:pPr>
                  <w:r>
                    <w:rPr>
                      <w:snapToGrid w:val="0"/>
                      <w:spacing w:val="-6"/>
                      <w:kern w:val="21"/>
                      <w:szCs w:val="21"/>
                      <w:u w:val="single"/>
                    </w:rPr>
                    <w:t>污染物</w:t>
                  </w:r>
                </w:p>
              </w:tc>
              <w:tc>
                <w:tcPr>
                  <w:tcW w:w="936" w:type="pct"/>
                  <w:shd w:val="clear" w:color="auto" w:fill="auto"/>
                  <w:vAlign w:val="center"/>
                </w:tcPr>
                <w:p w14:paraId="76E37933">
                  <w:pPr>
                    <w:widowControl/>
                    <w:jc w:val="center"/>
                    <w:rPr>
                      <w:rFonts w:eastAsia="等线"/>
                      <w:color w:val="000000"/>
                      <w:kern w:val="0"/>
                      <w:szCs w:val="21"/>
                    </w:rPr>
                  </w:pPr>
                  <w:r>
                    <w:rPr>
                      <w:snapToGrid w:val="0"/>
                      <w:spacing w:val="-6"/>
                      <w:kern w:val="21"/>
                      <w:szCs w:val="21"/>
                      <w:u w:val="single"/>
                    </w:rPr>
                    <w:t>现有工程排放量（固体废物产生量）</w:t>
                  </w:r>
                </w:p>
              </w:tc>
              <w:tc>
                <w:tcPr>
                  <w:tcW w:w="765" w:type="pct"/>
                  <w:shd w:val="clear" w:color="auto" w:fill="auto"/>
                  <w:vAlign w:val="center"/>
                </w:tcPr>
                <w:p w14:paraId="0FAD837B">
                  <w:pPr>
                    <w:widowControl/>
                    <w:jc w:val="center"/>
                    <w:rPr>
                      <w:rFonts w:eastAsia="等线"/>
                      <w:color w:val="EE0000"/>
                      <w:kern w:val="0"/>
                      <w:szCs w:val="21"/>
                      <w:u w:val="single"/>
                    </w:rPr>
                  </w:pPr>
                  <w:r>
                    <w:rPr>
                      <w:snapToGrid w:val="0"/>
                      <w:spacing w:val="-6"/>
                      <w:kern w:val="21"/>
                      <w:szCs w:val="21"/>
                      <w:u w:val="single"/>
                    </w:rPr>
                    <w:t>本项目排放量（固体废物产生量）</w:t>
                  </w:r>
                </w:p>
              </w:tc>
              <w:tc>
                <w:tcPr>
                  <w:tcW w:w="606" w:type="pct"/>
                  <w:shd w:val="clear" w:color="auto" w:fill="auto"/>
                  <w:vAlign w:val="center"/>
                </w:tcPr>
                <w:p w14:paraId="0E99B32B">
                  <w:pPr>
                    <w:widowControl/>
                    <w:jc w:val="center"/>
                    <w:rPr>
                      <w:rFonts w:eastAsia="等线"/>
                      <w:color w:val="EE0000"/>
                      <w:kern w:val="0"/>
                      <w:szCs w:val="21"/>
                      <w:u w:val="single"/>
                    </w:rPr>
                  </w:pPr>
                  <w:r>
                    <w:rPr>
                      <w:snapToGrid w:val="0"/>
                      <w:spacing w:val="-16"/>
                      <w:kern w:val="21"/>
                      <w:szCs w:val="21"/>
                      <w:u w:val="single"/>
                    </w:rPr>
                    <w:t>以新带老削减量</w:t>
                  </w:r>
                </w:p>
              </w:tc>
              <w:tc>
                <w:tcPr>
                  <w:tcW w:w="988" w:type="pct"/>
                  <w:shd w:val="clear" w:color="auto" w:fill="auto"/>
                  <w:vAlign w:val="center"/>
                </w:tcPr>
                <w:p w14:paraId="397B35EA">
                  <w:pPr>
                    <w:widowControl/>
                    <w:jc w:val="center"/>
                    <w:rPr>
                      <w:rFonts w:eastAsia="等线"/>
                      <w:color w:val="EE0000"/>
                      <w:kern w:val="0"/>
                      <w:szCs w:val="21"/>
                      <w:u w:val="single"/>
                    </w:rPr>
                  </w:pPr>
                  <w:r>
                    <w:rPr>
                      <w:snapToGrid w:val="0"/>
                      <w:spacing w:val="-16"/>
                      <w:kern w:val="21"/>
                      <w:szCs w:val="21"/>
                      <w:u w:val="single"/>
                    </w:rPr>
                    <w:t>本项目建成后全厂排放量（固体废物产生量）</w:t>
                  </w:r>
                </w:p>
              </w:tc>
              <w:tc>
                <w:tcPr>
                  <w:tcW w:w="741" w:type="pct"/>
                  <w:shd w:val="clear" w:color="auto" w:fill="auto"/>
                  <w:vAlign w:val="center"/>
                </w:tcPr>
                <w:p w14:paraId="46D01BD0">
                  <w:pPr>
                    <w:widowControl/>
                    <w:jc w:val="center"/>
                    <w:rPr>
                      <w:rFonts w:eastAsia="等线"/>
                      <w:color w:val="EE0000"/>
                      <w:kern w:val="0"/>
                      <w:szCs w:val="21"/>
                      <w:u w:val="single"/>
                    </w:rPr>
                  </w:pPr>
                  <w:r>
                    <w:rPr>
                      <w:snapToGrid w:val="0"/>
                      <w:spacing w:val="-6"/>
                      <w:kern w:val="21"/>
                      <w:szCs w:val="21"/>
                      <w:u w:val="single"/>
                    </w:rPr>
                    <w:t>变化量</w:t>
                  </w:r>
                </w:p>
              </w:tc>
            </w:tr>
            <w:tr w14:paraId="4A75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restart"/>
                  <w:vAlign w:val="center"/>
                </w:tcPr>
                <w:p w14:paraId="7DBF3AE4">
                  <w:pPr>
                    <w:widowControl/>
                    <w:jc w:val="center"/>
                    <w:rPr>
                      <w:rFonts w:hint="eastAsia" w:ascii="宋体" w:hAnsi="宋体" w:cs="宋体"/>
                      <w:color w:val="000000"/>
                      <w:kern w:val="0"/>
                      <w:szCs w:val="21"/>
                    </w:rPr>
                  </w:pPr>
                  <w:r>
                    <w:rPr>
                      <w:rFonts w:hint="eastAsia" w:ascii="宋体" w:hAnsi="宋体" w:cs="宋体"/>
                      <w:color w:val="000000"/>
                      <w:kern w:val="0"/>
                      <w:szCs w:val="21"/>
                    </w:rPr>
                    <w:t>废气</w:t>
                  </w:r>
                </w:p>
              </w:tc>
              <w:tc>
                <w:tcPr>
                  <w:tcW w:w="711" w:type="pct"/>
                  <w:shd w:val="clear" w:color="auto" w:fill="auto"/>
                  <w:vAlign w:val="center"/>
                </w:tcPr>
                <w:p w14:paraId="01A0E323">
                  <w:pPr>
                    <w:widowControl/>
                    <w:jc w:val="center"/>
                    <w:rPr>
                      <w:rFonts w:hint="eastAsia" w:ascii="宋体" w:hAnsi="宋体" w:cs="宋体"/>
                      <w:color w:val="000000"/>
                      <w:kern w:val="0"/>
                      <w:szCs w:val="21"/>
                    </w:rPr>
                  </w:pPr>
                  <w:r>
                    <w:rPr>
                      <w:rFonts w:hint="eastAsia" w:ascii="宋体" w:hAnsi="宋体" w:cs="宋体"/>
                      <w:color w:val="000000"/>
                      <w:kern w:val="0"/>
                      <w:szCs w:val="21"/>
                    </w:rPr>
                    <w:t>颗粒物</w:t>
                  </w:r>
                </w:p>
              </w:tc>
              <w:tc>
                <w:tcPr>
                  <w:tcW w:w="936" w:type="pct"/>
                  <w:shd w:val="clear" w:color="auto" w:fill="auto"/>
                  <w:vAlign w:val="center"/>
                </w:tcPr>
                <w:p w14:paraId="143659FC">
                  <w:pPr>
                    <w:widowControl/>
                    <w:jc w:val="center"/>
                    <w:rPr>
                      <w:rFonts w:eastAsia="等线"/>
                      <w:color w:val="000000"/>
                      <w:kern w:val="0"/>
                      <w:szCs w:val="21"/>
                    </w:rPr>
                  </w:pPr>
                  <w:r>
                    <w:rPr>
                      <w:rFonts w:eastAsia="等线"/>
                      <w:color w:val="000000"/>
                      <w:kern w:val="0"/>
                      <w:szCs w:val="21"/>
                    </w:rPr>
                    <w:t>18.1062</w:t>
                  </w:r>
                </w:p>
              </w:tc>
              <w:tc>
                <w:tcPr>
                  <w:tcW w:w="765" w:type="pct"/>
                  <w:shd w:val="clear" w:color="auto" w:fill="auto"/>
                  <w:vAlign w:val="center"/>
                </w:tcPr>
                <w:p w14:paraId="0426C8BB">
                  <w:pPr>
                    <w:widowControl/>
                    <w:jc w:val="center"/>
                    <w:rPr>
                      <w:rFonts w:eastAsia="等线"/>
                      <w:color w:val="EE0000"/>
                      <w:kern w:val="0"/>
                      <w:szCs w:val="21"/>
                      <w:u w:val="single"/>
                    </w:rPr>
                  </w:pPr>
                  <w:r>
                    <w:rPr>
                      <w:rFonts w:eastAsia="等线"/>
                      <w:color w:val="EE0000"/>
                      <w:kern w:val="0"/>
                      <w:szCs w:val="21"/>
                      <w:u w:val="single"/>
                    </w:rPr>
                    <w:t>11.03</w:t>
                  </w:r>
                </w:p>
              </w:tc>
              <w:tc>
                <w:tcPr>
                  <w:tcW w:w="606" w:type="pct"/>
                  <w:shd w:val="clear" w:color="auto" w:fill="auto"/>
                  <w:vAlign w:val="center"/>
                </w:tcPr>
                <w:p w14:paraId="5EEF650B">
                  <w:pPr>
                    <w:widowControl/>
                    <w:jc w:val="center"/>
                    <w:rPr>
                      <w:rFonts w:eastAsia="等线"/>
                      <w:color w:val="EE0000"/>
                      <w:kern w:val="0"/>
                      <w:szCs w:val="21"/>
                      <w:u w:val="single"/>
                    </w:rPr>
                  </w:pPr>
                  <w:r>
                    <w:rPr>
                      <w:rFonts w:eastAsia="等线"/>
                      <w:color w:val="EE0000"/>
                      <w:kern w:val="0"/>
                      <w:szCs w:val="21"/>
                      <w:u w:val="single"/>
                    </w:rPr>
                    <w:t>18.1062</w:t>
                  </w:r>
                </w:p>
              </w:tc>
              <w:tc>
                <w:tcPr>
                  <w:tcW w:w="988" w:type="pct"/>
                  <w:shd w:val="clear" w:color="auto" w:fill="auto"/>
                  <w:vAlign w:val="center"/>
                </w:tcPr>
                <w:p w14:paraId="2104348C">
                  <w:pPr>
                    <w:widowControl/>
                    <w:jc w:val="center"/>
                    <w:rPr>
                      <w:rFonts w:eastAsia="等线"/>
                      <w:color w:val="EE0000"/>
                      <w:kern w:val="0"/>
                      <w:szCs w:val="21"/>
                      <w:u w:val="single"/>
                    </w:rPr>
                  </w:pPr>
                  <w:r>
                    <w:rPr>
                      <w:rFonts w:eastAsia="等线"/>
                      <w:color w:val="EE0000"/>
                      <w:kern w:val="0"/>
                      <w:szCs w:val="21"/>
                      <w:u w:val="single"/>
                    </w:rPr>
                    <w:t>11.03</w:t>
                  </w:r>
                </w:p>
              </w:tc>
              <w:tc>
                <w:tcPr>
                  <w:tcW w:w="741" w:type="pct"/>
                  <w:shd w:val="clear" w:color="auto" w:fill="auto"/>
                  <w:vAlign w:val="center"/>
                </w:tcPr>
                <w:p w14:paraId="39609D0D">
                  <w:pPr>
                    <w:widowControl/>
                    <w:jc w:val="center"/>
                    <w:rPr>
                      <w:rFonts w:eastAsia="等线"/>
                      <w:color w:val="EE0000"/>
                      <w:kern w:val="0"/>
                      <w:szCs w:val="21"/>
                      <w:u w:val="single"/>
                    </w:rPr>
                  </w:pPr>
                  <w:r>
                    <w:rPr>
                      <w:rFonts w:eastAsia="等线"/>
                      <w:color w:val="EE0000"/>
                      <w:kern w:val="0"/>
                      <w:szCs w:val="21"/>
                      <w:u w:val="single"/>
                    </w:rPr>
                    <w:t>-7.0762</w:t>
                  </w:r>
                </w:p>
              </w:tc>
            </w:tr>
            <w:tr w14:paraId="6509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28F3DFF7">
                  <w:pPr>
                    <w:widowControl/>
                    <w:jc w:val="center"/>
                    <w:rPr>
                      <w:rFonts w:hint="eastAsia" w:ascii="宋体" w:hAnsi="宋体" w:cs="宋体"/>
                      <w:color w:val="000000"/>
                      <w:kern w:val="0"/>
                      <w:szCs w:val="21"/>
                    </w:rPr>
                  </w:pPr>
                </w:p>
              </w:tc>
              <w:tc>
                <w:tcPr>
                  <w:tcW w:w="711" w:type="pct"/>
                  <w:shd w:val="clear" w:color="auto" w:fill="auto"/>
                  <w:vAlign w:val="center"/>
                </w:tcPr>
                <w:p w14:paraId="243016C4">
                  <w:pPr>
                    <w:widowControl/>
                    <w:jc w:val="center"/>
                    <w:rPr>
                      <w:rFonts w:hint="eastAsia" w:ascii="宋体" w:hAnsi="宋体" w:cs="宋体"/>
                      <w:color w:val="000000"/>
                      <w:kern w:val="0"/>
                      <w:szCs w:val="21"/>
                    </w:rPr>
                  </w:pPr>
                  <w:r>
                    <w:rPr>
                      <w:rFonts w:hint="eastAsia" w:ascii="宋体" w:hAnsi="宋体" w:cs="宋体"/>
                      <w:color w:val="000000"/>
                      <w:kern w:val="0"/>
                      <w:szCs w:val="21"/>
                    </w:rPr>
                    <w:t>二氧化硫</w:t>
                  </w:r>
                </w:p>
              </w:tc>
              <w:tc>
                <w:tcPr>
                  <w:tcW w:w="936" w:type="pct"/>
                  <w:shd w:val="clear" w:color="auto" w:fill="auto"/>
                  <w:vAlign w:val="center"/>
                </w:tcPr>
                <w:p w14:paraId="63E61446">
                  <w:pPr>
                    <w:widowControl/>
                    <w:jc w:val="center"/>
                    <w:rPr>
                      <w:rFonts w:eastAsia="等线"/>
                      <w:color w:val="000000"/>
                      <w:kern w:val="0"/>
                      <w:szCs w:val="21"/>
                    </w:rPr>
                  </w:pPr>
                  <w:r>
                    <w:rPr>
                      <w:rFonts w:eastAsia="等线"/>
                      <w:color w:val="000000"/>
                      <w:kern w:val="0"/>
                      <w:szCs w:val="21"/>
                    </w:rPr>
                    <w:t>109.3544</w:t>
                  </w:r>
                </w:p>
              </w:tc>
              <w:tc>
                <w:tcPr>
                  <w:tcW w:w="765" w:type="pct"/>
                  <w:shd w:val="clear" w:color="auto" w:fill="auto"/>
                  <w:vAlign w:val="center"/>
                </w:tcPr>
                <w:p w14:paraId="0CA4AEAE">
                  <w:pPr>
                    <w:widowControl/>
                    <w:jc w:val="center"/>
                    <w:rPr>
                      <w:rFonts w:eastAsia="等线"/>
                      <w:color w:val="EE0000"/>
                      <w:kern w:val="0"/>
                      <w:szCs w:val="21"/>
                      <w:u w:val="single"/>
                    </w:rPr>
                  </w:pPr>
                  <w:r>
                    <w:rPr>
                      <w:rFonts w:eastAsia="等线"/>
                      <w:color w:val="EE0000"/>
                      <w:kern w:val="0"/>
                      <w:szCs w:val="21"/>
                      <w:u w:val="single"/>
                    </w:rPr>
                    <w:t>57.75</w:t>
                  </w:r>
                </w:p>
              </w:tc>
              <w:tc>
                <w:tcPr>
                  <w:tcW w:w="606" w:type="pct"/>
                  <w:shd w:val="clear" w:color="auto" w:fill="auto"/>
                  <w:vAlign w:val="center"/>
                </w:tcPr>
                <w:p w14:paraId="24CDF63F">
                  <w:pPr>
                    <w:widowControl/>
                    <w:jc w:val="center"/>
                    <w:rPr>
                      <w:rFonts w:eastAsia="等线"/>
                      <w:color w:val="EE0000"/>
                      <w:kern w:val="0"/>
                      <w:szCs w:val="21"/>
                      <w:u w:val="single"/>
                    </w:rPr>
                  </w:pPr>
                  <w:r>
                    <w:rPr>
                      <w:rFonts w:eastAsia="等线"/>
                      <w:color w:val="EE0000"/>
                      <w:kern w:val="0"/>
                      <w:szCs w:val="21"/>
                      <w:u w:val="single"/>
                    </w:rPr>
                    <w:t>109.3544</w:t>
                  </w:r>
                </w:p>
              </w:tc>
              <w:tc>
                <w:tcPr>
                  <w:tcW w:w="988" w:type="pct"/>
                  <w:shd w:val="clear" w:color="auto" w:fill="auto"/>
                  <w:vAlign w:val="center"/>
                </w:tcPr>
                <w:p w14:paraId="0C6C88BC">
                  <w:pPr>
                    <w:widowControl/>
                    <w:jc w:val="center"/>
                    <w:rPr>
                      <w:rFonts w:eastAsia="等线"/>
                      <w:color w:val="EE0000"/>
                      <w:kern w:val="0"/>
                      <w:szCs w:val="21"/>
                      <w:u w:val="single"/>
                    </w:rPr>
                  </w:pPr>
                  <w:r>
                    <w:rPr>
                      <w:rFonts w:eastAsia="等线"/>
                      <w:color w:val="EE0000"/>
                      <w:kern w:val="0"/>
                      <w:szCs w:val="21"/>
                      <w:u w:val="single"/>
                    </w:rPr>
                    <w:t>57.75</w:t>
                  </w:r>
                </w:p>
              </w:tc>
              <w:tc>
                <w:tcPr>
                  <w:tcW w:w="741" w:type="pct"/>
                  <w:shd w:val="clear" w:color="auto" w:fill="auto"/>
                  <w:vAlign w:val="center"/>
                </w:tcPr>
                <w:p w14:paraId="3AC65077">
                  <w:pPr>
                    <w:widowControl/>
                    <w:jc w:val="center"/>
                    <w:rPr>
                      <w:rFonts w:eastAsia="等线"/>
                      <w:color w:val="EE0000"/>
                      <w:kern w:val="0"/>
                      <w:szCs w:val="21"/>
                      <w:u w:val="single"/>
                    </w:rPr>
                  </w:pPr>
                  <w:r>
                    <w:rPr>
                      <w:rFonts w:eastAsia="等线"/>
                      <w:color w:val="EE0000"/>
                      <w:kern w:val="0"/>
                      <w:szCs w:val="21"/>
                      <w:u w:val="single"/>
                    </w:rPr>
                    <w:t>-51.6044</w:t>
                  </w:r>
                </w:p>
              </w:tc>
            </w:tr>
            <w:tr w14:paraId="293B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744853F2">
                  <w:pPr>
                    <w:widowControl/>
                    <w:jc w:val="center"/>
                    <w:rPr>
                      <w:rFonts w:hint="eastAsia" w:ascii="宋体" w:hAnsi="宋体" w:cs="宋体"/>
                      <w:color w:val="000000"/>
                      <w:kern w:val="0"/>
                      <w:szCs w:val="21"/>
                    </w:rPr>
                  </w:pPr>
                </w:p>
              </w:tc>
              <w:tc>
                <w:tcPr>
                  <w:tcW w:w="711" w:type="pct"/>
                  <w:shd w:val="clear" w:color="auto" w:fill="auto"/>
                  <w:vAlign w:val="center"/>
                </w:tcPr>
                <w:p w14:paraId="412210A7">
                  <w:pPr>
                    <w:widowControl/>
                    <w:jc w:val="center"/>
                    <w:rPr>
                      <w:rFonts w:hint="eastAsia" w:ascii="宋体" w:hAnsi="宋体" w:cs="宋体"/>
                      <w:color w:val="000000"/>
                      <w:kern w:val="0"/>
                      <w:szCs w:val="21"/>
                    </w:rPr>
                  </w:pPr>
                  <w:r>
                    <w:rPr>
                      <w:rFonts w:hint="eastAsia" w:ascii="宋体" w:hAnsi="宋体" w:cs="宋体"/>
                      <w:color w:val="000000"/>
                      <w:kern w:val="0"/>
                      <w:szCs w:val="21"/>
                    </w:rPr>
                    <w:t>氮氧化物</w:t>
                  </w:r>
                </w:p>
              </w:tc>
              <w:tc>
                <w:tcPr>
                  <w:tcW w:w="936" w:type="pct"/>
                  <w:shd w:val="clear" w:color="auto" w:fill="auto"/>
                  <w:vAlign w:val="center"/>
                </w:tcPr>
                <w:p w14:paraId="52E5A9FD">
                  <w:pPr>
                    <w:widowControl/>
                    <w:jc w:val="center"/>
                    <w:rPr>
                      <w:rFonts w:eastAsia="等线"/>
                      <w:color w:val="000000"/>
                      <w:kern w:val="0"/>
                      <w:szCs w:val="21"/>
                    </w:rPr>
                  </w:pPr>
                  <w:r>
                    <w:rPr>
                      <w:rFonts w:eastAsia="等线"/>
                      <w:color w:val="000000"/>
                      <w:kern w:val="0"/>
                      <w:szCs w:val="21"/>
                    </w:rPr>
                    <w:t>51.54</w:t>
                  </w:r>
                </w:p>
              </w:tc>
              <w:tc>
                <w:tcPr>
                  <w:tcW w:w="765" w:type="pct"/>
                  <w:shd w:val="clear" w:color="auto" w:fill="auto"/>
                  <w:vAlign w:val="center"/>
                </w:tcPr>
                <w:p w14:paraId="4FB72826">
                  <w:pPr>
                    <w:widowControl/>
                    <w:jc w:val="center"/>
                    <w:rPr>
                      <w:rFonts w:eastAsia="等线"/>
                      <w:color w:val="EE0000"/>
                      <w:kern w:val="0"/>
                      <w:szCs w:val="21"/>
                      <w:u w:val="single"/>
                    </w:rPr>
                  </w:pPr>
                  <w:r>
                    <w:rPr>
                      <w:rFonts w:eastAsia="等线"/>
                      <w:color w:val="EE0000"/>
                      <w:kern w:val="0"/>
                      <w:szCs w:val="21"/>
                      <w:u w:val="single"/>
                    </w:rPr>
                    <w:t>44.06</w:t>
                  </w:r>
                </w:p>
              </w:tc>
              <w:tc>
                <w:tcPr>
                  <w:tcW w:w="606" w:type="pct"/>
                  <w:shd w:val="clear" w:color="auto" w:fill="auto"/>
                  <w:vAlign w:val="center"/>
                </w:tcPr>
                <w:p w14:paraId="408C2075">
                  <w:pPr>
                    <w:widowControl/>
                    <w:jc w:val="center"/>
                    <w:rPr>
                      <w:rFonts w:eastAsia="等线"/>
                      <w:color w:val="EE0000"/>
                      <w:kern w:val="0"/>
                      <w:szCs w:val="21"/>
                      <w:u w:val="single"/>
                    </w:rPr>
                  </w:pPr>
                  <w:r>
                    <w:rPr>
                      <w:rFonts w:eastAsia="等线"/>
                      <w:color w:val="EE0000"/>
                      <w:kern w:val="0"/>
                      <w:szCs w:val="21"/>
                      <w:u w:val="single"/>
                    </w:rPr>
                    <w:t>51.54</w:t>
                  </w:r>
                </w:p>
              </w:tc>
              <w:tc>
                <w:tcPr>
                  <w:tcW w:w="988" w:type="pct"/>
                  <w:shd w:val="clear" w:color="auto" w:fill="auto"/>
                  <w:vAlign w:val="center"/>
                </w:tcPr>
                <w:p w14:paraId="5AC5FC7F">
                  <w:pPr>
                    <w:widowControl/>
                    <w:jc w:val="center"/>
                    <w:rPr>
                      <w:rFonts w:eastAsia="等线"/>
                      <w:color w:val="EE0000"/>
                      <w:kern w:val="0"/>
                      <w:szCs w:val="21"/>
                      <w:u w:val="single"/>
                    </w:rPr>
                  </w:pPr>
                  <w:r>
                    <w:rPr>
                      <w:rFonts w:eastAsia="等线"/>
                      <w:color w:val="EE0000"/>
                      <w:kern w:val="0"/>
                      <w:szCs w:val="21"/>
                      <w:u w:val="single"/>
                    </w:rPr>
                    <w:t>44.06</w:t>
                  </w:r>
                </w:p>
              </w:tc>
              <w:tc>
                <w:tcPr>
                  <w:tcW w:w="741" w:type="pct"/>
                  <w:shd w:val="clear" w:color="auto" w:fill="auto"/>
                  <w:vAlign w:val="center"/>
                </w:tcPr>
                <w:p w14:paraId="787485BA">
                  <w:pPr>
                    <w:widowControl/>
                    <w:jc w:val="center"/>
                    <w:rPr>
                      <w:rFonts w:eastAsia="等线"/>
                      <w:color w:val="EE0000"/>
                      <w:kern w:val="0"/>
                      <w:szCs w:val="21"/>
                      <w:u w:val="single"/>
                    </w:rPr>
                  </w:pPr>
                  <w:r>
                    <w:rPr>
                      <w:rFonts w:eastAsia="等线"/>
                      <w:color w:val="EE0000"/>
                      <w:kern w:val="0"/>
                      <w:szCs w:val="21"/>
                      <w:u w:val="single"/>
                    </w:rPr>
                    <w:t>-7.48</w:t>
                  </w:r>
                </w:p>
              </w:tc>
            </w:tr>
            <w:tr w14:paraId="1416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68CC2A57">
                  <w:pPr>
                    <w:widowControl/>
                    <w:jc w:val="center"/>
                    <w:rPr>
                      <w:rFonts w:hint="eastAsia" w:ascii="宋体" w:hAnsi="宋体" w:cs="宋体"/>
                      <w:color w:val="000000"/>
                      <w:kern w:val="0"/>
                      <w:szCs w:val="21"/>
                    </w:rPr>
                  </w:pPr>
                </w:p>
              </w:tc>
              <w:tc>
                <w:tcPr>
                  <w:tcW w:w="711" w:type="pct"/>
                  <w:shd w:val="clear" w:color="auto" w:fill="auto"/>
                  <w:vAlign w:val="center"/>
                </w:tcPr>
                <w:p w14:paraId="5B279794">
                  <w:pPr>
                    <w:widowControl/>
                    <w:jc w:val="center"/>
                    <w:rPr>
                      <w:rFonts w:hint="eastAsia" w:ascii="宋体" w:hAnsi="宋体" w:cs="宋体"/>
                      <w:color w:val="000000"/>
                      <w:kern w:val="0"/>
                      <w:szCs w:val="21"/>
                    </w:rPr>
                  </w:pPr>
                  <w:r>
                    <w:rPr>
                      <w:rFonts w:hint="eastAsia" w:ascii="宋体" w:hAnsi="宋体" w:cs="宋体"/>
                      <w:color w:val="000000"/>
                      <w:kern w:val="0"/>
                      <w:szCs w:val="21"/>
                    </w:rPr>
                    <w:t>氟化物</w:t>
                  </w:r>
                </w:p>
              </w:tc>
              <w:tc>
                <w:tcPr>
                  <w:tcW w:w="936" w:type="pct"/>
                  <w:shd w:val="clear" w:color="auto" w:fill="auto"/>
                  <w:vAlign w:val="center"/>
                </w:tcPr>
                <w:p w14:paraId="18EEE1A2">
                  <w:pPr>
                    <w:widowControl/>
                    <w:jc w:val="center"/>
                    <w:rPr>
                      <w:rFonts w:eastAsia="等线"/>
                      <w:color w:val="000000"/>
                      <w:kern w:val="0"/>
                      <w:szCs w:val="21"/>
                    </w:rPr>
                  </w:pPr>
                  <w:r>
                    <w:rPr>
                      <w:rFonts w:eastAsia="等线"/>
                      <w:color w:val="000000"/>
                      <w:kern w:val="0"/>
                      <w:szCs w:val="21"/>
                    </w:rPr>
                    <w:t>1.3763</w:t>
                  </w:r>
                </w:p>
              </w:tc>
              <w:tc>
                <w:tcPr>
                  <w:tcW w:w="765" w:type="pct"/>
                  <w:shd w:val="clear" w:color="auto" w:fill="auto"/>
                  <w:vAlign w:val="center"/>
                </w:tcPr>
                <w:p w14:paraId="1F52C7AA">
                  <w:pPr>
                    <w:widowControl/>
                    <w:jc w:val="center"/>
                    <w:rPr>
                      <w:rFonts w:eastAsia="等线"/>
                      <w:color w:val="EE0000"/>
                      <w:kern w:val="0"/>
                      <w:szCs w:val="21"/>
                      <w:u w:val="single"/>
                    </w:rPr>
                  </w:pPr>
                  <w:r>
                    <w:rPr>
                      <w:rFonts w:eastAsia="等线"/>
                      <w:color w:val="EE0000"/>
                      <w:kern w:val="0"/>
                      <w:szCs w:val="21"/>
                      <w:u w:val="single"/>
                    </w:rPr>
                    <w:t>0.67</w:t>
                  </w:r>
                </w:p>
              </w:tc>
              <w:tc>
                <w:tcPr>
                  <w:tcW w:w="606" w:type="pct"/>
                  <w:shd w:val="clear" w:color="auto" w:fill="auto"/>
                  <w:vAlign w:val="center"/>
                </w:tcPr>
                <w:p w14:paraId="45C286FF">
                  <w:pPr>
                    <w:widowControl/>
                    <w:jc w:val="center"/>
                    <w:rPr>
                      <w:rFonts w:eastAsia="等线"/>
                      <w:color w:val="EE0000"/>
                      <w:kern w:val="0"/>
                      <w:szCs w:val="21"/>
                      <w:u w:val="single"/>
                    </w:rPr>
                  </w:pPr>
                  <w:r>
                    <w:rPr>
                      <w:rFonts w:eastAsia="等线"/>
                      <w:color w:val="EE0000"/>
                      <w:kern w:val="0"/>
                      <w:szCs w:val="21"/>
                      <w:u w:val="single"/>
                    </w:rPr>
                    <w:t>1.3763</w:t>
                  </w:r>
                </w:p>
              </w:tc>
              <w:tc>
                <w:tcPr>
                  <w:tcW w:w="988" w:type="pct"/>
                  <w:shd w:val="clear" w:color="auto" w:fill="auto"/>
                  <w:vAlign w:val="center"/>
                </w:tcPr>
                <w:p w14:paraId="52C1ADFE">
                  <w:pPr>
                    <w:widowControl/>
                    <w:jc w:val="center"/>
                    <w:rPr>
                      <w:rFonts w:eastAsia="等线"/>
                      <w:color w:val="EE0000"/>
                      <w:kern w:val="0"/>
                      <w:szCs w:val="21"/>
                      <w:u w:val="single"/>
                    </w:rPr>
                  </w:pPr>
                  <w:r>
                    <w:rPr>
                      <w:rFonts w:eastAsia="等线"/>
                      <w:color w:val="EE0000"/>
                      <w:kern w:val="0"/>
                      <w:szCs w:val="21"/>
                      <w:u w:val="single"/>
                    </w:rPr>
                    <w:t>0.67</w:t>
                  </w:r>
                </w:p>
              </w:tc>
              <w:tc>
                <w:tcPr>
                  <w:tcW w:w="741" w:type="pct"/>
                  <w:shd w:val="clear" w:color="auto" w:fill="auto"/>
                  <w:vAlign w:val="center"/>
                </w:tcPr>
                <w:p w14:paraId="6B3CBC71">
                  <w:pPr>
                    <w:widowControl/>
                    <w:jc w:val="center"/>
                    <w:rPr>
                      <w:rFonts w:eastAsia="等线"/>
                      <w:color w:val="EE0000"/>
                      <w:kern w:val="0"/>
                      <w:szCs w:val="21"/>
                      <w:u w:val="single"/>
                    </w:rPr>
                  </w:pPr>
                  <w:r>
                    <w:rPr>
                      <w:rFonts w:eastAsia="等线"/>
                      <w:color w:val="EE0000"/>
                      <w:kern w:val="0"/>
                      <w:szCs w:val="21"/>
                      <w:u w:val="single"/>
                    </w:rPr>
                    <w:t>-0.7063</w:t>
                  </w:r>
                </w:p>
              </w:tc>
            </w:tr>
            <w:tr w14:paraId="020C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25D0E937">
                  <w:pPr>
                    <w:widowControl/>
                    <w:jc w:val="center"/>
                    <w:rPr>
                      <w:rFonts w:eastAsia="等线"/>
                      <w:color w:val="000000"/>
                      <w:kern w:val="0"/>
                      <w:szCs w:val="21"/>
                    </w:rPr>
                  </w:pPr>
                </w:p>
              </w:tc>
              <w:tc>
                <w:tcPr>
                  <w:tcW w:w="711" w:type="pct"/>
                  <w:shd w:val="clear" w:color="auto" w:fill="auto"/>
                  <w:vAlign w:val="center"/>
                </w:tcPr>
                <w:p w14:paraId="31BE5773">
                  <w:pPr>
                    <w:widowControl/>
                    <w:jc w:val="center"/>
                    <w:rPr>
                      <w:rFonts w:eastAsia="等线"/>
                      <w:color w:val="000000"/>
                      <w:kern w:val="0"/>
                      <w:szCs w:val="21"/>
                    </w:rPr>
                  </w:pPr>
                  <w:r>
                    <w:rPr>
                      <w:rFonts w:eastAsia="等线"/>
                      <w:color w:val="000000"/>
                      <w:kern w:val="0"/>
                      <w:szCs w:val="21"/>
                    </w:rPr>
                    <w:t>HCL</w:t>
                  </w:r>
                </w:p>
              </w:tc>
              <w:tc>
                <w:tcPr>
                  <w:tcW w:w="936" w:type="pct"/>
                  <w:shd w:val="clear" w:color="auto" w:fill="auto"/>
                  <w:vAlign w:val="center"/>
                </w:tcPr>
                <w:p w14:paraId="6E2DB0FD">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69EBCE6C">
                  <w:pPr>
                    <w:widowControl/>
                    <w:jc w:val="center"/>
                    <w:rPr>
                      <w:rFonts w:eastAsia="等线"/>
                      <w:color w:val="EE0000"/>
                      <w:kern w:val="0"/>
                      <w:szCs w:val="21"/>
                      <w:u w:val="single"/>
                    </w:rPr>
                  </w:pPr>
                  <w:r>
                    <w:rPr>
                      <w:rFonts w:eastAsia="等线"/>
                      <w:color w:val="EE0000"/>
                      <w:kern w:val="0"/>
                      <w:szCs w:val="21"/>
                      <w:u w:val="single"/>
                    </w:rPr>
                    <w:t>1.38</w:t>
                  </w:r>
                </w:p>
              </w:tc>
              <w:tc>
                <w:tcPr>
                  <w:tcW w:w="606" w:type="pct"/>
                  <w:shd w:val="clear" w:color="auto" w:fill="auto"/>
                  <w:vAlign w:val="center"/>
                </w:tcPr>
                <w:p w14:paraId="165AF076">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39C78F92">
                  <w:pPr>
                    <w:widowControl/>
                    <w:jc w:val="center"/>
                    <w:rPr>
                      <w:rFonts w:eastAsia="等线"/>
                      <w:color w:val="EE0000"/>
                      <w:kern w:val="0"/>
                      <w:szCs w:val="21"/>
                      <w:u w:val="single"/>
                    </w:rPr>
                  </w:pPr>
                  <w:r>
                    <w:rPr>
                      <w:rFonts w:eastAsia="等线"/>
                      <w:color w:val="EE0000"/>
                      <w:kern w:val="0"/>
                      <w:szCs w:val="21"/>
                      <w:u w:val="single"/>
                    </w:rPr>
                    <w:t>1.38</w:t>
                  </w:r>
                </w:p>
              </w:tc>
              <w:tc>
                <w:tcPr>
                  <w:tcW w:w="741" w:type="pct"/>
                  <w:shd w:val="clear" w:color="auto" w:fill="auto"/>
                  <w:vAlign w:val="center"/>
                </w:tcPr>
                <w:p w14:paraId="37DBB06D">
                  <w:pPr>
                    <w:widowControl/>
                    <w:jc w:val="center"/>
                    <w:rPr>
                      <w:rFonts w:eastAsia="等线"/>
                      <w:color w:val="EE0000"/>
                      <w:kern w:val="0"/>
                      <w:szCs w:val="21"/>
                      <w:u w:val="single"/>
                    </w:rPr>
                  </w:pPr>
                  <w:r>
                    <w:rPr>
                      <w:rFonts w:eastAsia="等线"/>
                      <w:color w:val="EE0000"/>
                      <w:kern w:val="0"/>
                      <w:szCs w:val="21"/>
                      <w:u w:val="single"/>
                    </w:rPr>
                    <w:t>1.38</w:t>
                  </w:r>
                </w:p>
              </w:tc>
            </w:tr>
            <w:tr w14:paraId="4B5A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5534EE04">
                  <w:pPr>
                    <w:widowControl/>
                    <w:jc w:val="center"/>
                    <w:rPr>
                      <w:rFonts w:hint="eastAsia" w:ascii="宋体" w:hAnsi="宋体" w:cs="宋体"/>
                      <w:color w:val="000000"/>
                      <w:kern w:val="0"/>
                      <w:szCs w:val="21"/>
                    </w:rPr>
                  </w:pPr>
                </w:p>
              </w:tc>
              <w:tc>
                <w:tcPr>
                  <w:tcW w:w="711" w:type="pct"/>
                  <w:shd w:val="clear" w:color="auto" w:fill="auto"/>
                  <w:vAlign w:val="center"/>
                </w:tcPr>
                <w:p w14:paraId="25E83FD2">
                  <w:pPr>
                    <w:widowControl/>
                    <w:jc w:val="center"/>
                    <w:rPr>
                      <w:rFonts w:hint="eastAsia" w:ascii="宋体" w:hAnsi="宋体" w:cs="宋体"/>
                      <w:color w:val="000000"/>
                      <w:kern w:val="0"/>
                      <w:szCs w:val="21"/>
                    </w:rPr>
                  </w:pPr>
                  <w:r>
                    <w:rPr>
                      <w:rFonts w:hint="eastAsia" w:ascii="宋体" w:hAnsi="宋体" w:cs="宋体"/>
                      <w:color w:val="000000"/>
                      <w:kern w:val="0"/>
                      <w:szCs w:val="21"/>
                    </w:rPr>
                    <w:t>汞</w:t>
                  </w:r>
                </w:p>
              </w:tc>
              <w:tc>
                <w:tcPr>
                  <w:tcW w:w="936" w:type="pct"/>
                  <w:shd w:val="clear" w:color="auto" w:fill="auto"/>
                  <w:vAlign w:val="center"/>
                </w:tcPr>
                <w:p w14:paraId="59E50FE4">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439F7BF0">
                  <w:pPr>
                    <w:widowControl/>
                    <w:jc w:val="center"/>
                    <w:rPr>
                      <w:rFonts w:eastAsia="等线"/>
                      <w:color w:val="EE0000"/>
                      <w:kern w:val="0"/>
                      <w:szCs w:val="21"/>
                      <w:u w:val="single"/>
                    </w:rPr>
                  </w:pPr>
                  <w:r>
                    <w:rPr>
                      <w:rFonts w:eastAsia="等线"/>
                      <w:color w:val="EE0000"/>
                      <w:kern w:val="0"/>
                      <w:szCs w:val="21"/>
                      <w:u w:val="single"/>
                    </w:rPr>
                    <w:t>0.0001</w:t>
                  </w:r>
                </w:p>
              </w:tc>
              <w:tc>
                <w:tcPr>
                  <w:tcW w:w="606" w:type="pct"/>
                  <w:shd w:val="clear" w:color="auto" w:fill="auto"/>
                  <w:vAlign w:val="center"/>
                </w:tcPr>
                <w:p w14:paraId="5862856C">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56A554E7">
                  <w:pPr>
                    <w:widowControl/>
                    <w:jc w:val="center"/>
                    <w:rPr>
                      <w:rFonts w:eastAsia="等线"/>
                      <w:color w:val="EE0000"/>
                      <w:kern w:val="0"/>
                      <w:szCs w:val="21"/>
                      <w:u w:val="single"/>
                    </w:rPr>
                  </w:pPr>
                  <w:r>
                    <w:rPr>
                      <w:rFonts w:eastAsia="等线"/>
                      <w:color w:val="EE0000"/>
                      <w:kern w:val="0"/>
                      <w:szCs w:val="21"/>
                      <w:u w:val="single"/>
                    </w:rPr>
                    <w:t>0.0001</w:t>
                  </w:r>
                </w:p>
              </w:tc>
              <w:tc>
                <w:tcPr>
                  <w:tcW w:w="741" w:type="pct"/>
                  <w:shd w:val="clear" w:color="auto" w:fill="auto"/>
                  <w:vAlign w:val="center"/>
                </w:tcPr>
                <w:p w14:paraId="1FB70580">
                  <w:pPr>
                    <w:widowControl/>
                    <w:jc w:val="center"/>
                    <w:rPr>
                      <w:rFonts w:eastAsia="等线"/>
                      <w:color w:val="EE0000"/>
                      <w:kern w:val="0"/>
                      <w:szCs w:val="21"/>
                      <w:u w:val="single"/>
                    </w:rPr>
                  </w:pPr>
                  <w:r>
                    <w:rPr>
                      <w:rFonts w:eastAsia="等线"/>
                      <w:color w:val="EE0000"/>
                      <w:kern w:val="0"/>
                      <w:szCs w:val="21"/>
                      <w:u w:val="single"/>
                    </w:rPr>
                    <w:t>0.0001</w:t>
                  </w:r>
                </w:p>
              </w:tc>
            </w:tr>
            <w:tr w14:paraId="356B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7A23B5FC">
                  <w:pPr>
                    <w:widowControl/>
                    <w:jc w:val="center"/>
                    <w:rPr>
                      <w:rFonts w:hint="eastAsia" w:ascii="宋体" w:hAnsi="宋体" w:cs="宋体"/>
                      <w:color w:val="000000"/>
                      <w:kern w:val="0"/>
                      <w:szCs w:val="21"/>
                    </w:rPr>
                  </w:pPr>
                </w:p>
              </w:tc>
              <w:tc>
                <w:tcPr>
                  <w:tcW w:w="711" w:type="pct"/>
                  <w:shd w:val="clear" w:color="auto" w:fill="auto"/>
                  <w:vAlign w:val="center"/>
                </w:tcPr>
                <w:p w14:paraId="73DE37FA">
                  <w:pPr>
                    <w:widowControl/>
                    <w:jc w:val="center"/>
                    <w:rPr>
                      <w:rFonts w:hint="eastAsia" w:ascii="宋体" w:hAnsi="宋体" w:cs="宋体"/>
                      <w:color w:val="000000"/>
                      <w:kern w:val="0"/>
                      <w:szCs w:val="21"/>
                    </w:rPr>
                  </w:pPr>
                  <w:r>
                    <w:rPr>
                      <w:rFonts w:hint="eastAsia" w:ascii="宋体" w:hAnsi="宋体" w:cs="宋体"/>
                      <w:color w:val="000000"/>
                      <w:kern w:val="0"/>
                      <w:szCs w:val="21"/>
                    </w:rPr>
                    <w:t>铅</w:t>
                  </w:r>
                </w:p>
              </w:tc>
              <w:tc>
                <w:tcPr>
                  <w:tcW w:w="936" w:type="pct"/>
                  <w:shd w:val="clear" w:color="auto" w:fill="auto"/>
                  <w:vAlign w:val="center"/>
                </w:tcPr>
                <w:p w14:paraId="2F1670C0">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0AF04434">
                  <w:pPr>
                    <w:widowControl/>
                    <w:jc w:val="center"/>
                    <w:rPr>
                      <w:rFonts w:eastAsia="等线"/>
                      <w:color w:val="EE0000"/>
                      <w:kern w:val="0"/>
                      <w:szCs w:val="21"/>
                      <w:u w:val="single"/>
                    </w:rPr>
                  </w:pPr>
                  <w:r>
                    <w:rPr>
                      <w:rFonts w:eastAsia="等线"/>
                      <w:color w:val="EE0000"/>
                      <w:kern w:val="0"/>
                      <w:szCs w:val="21"/>
                      <w:u w:val="single"/>
                    </w:rPr>
                    <w:t>0.0012</w:t>
                  </w:r>
                </w:p>
              </w:tc>
              <w:tc>
                <w:tcPr>
                  <w:tcW w:w="606" w:type="pct"/>
                  <w:shd w:val="clear" w:color="auto" w:fill="auto"/>
                  <w:vAlign w:val="center"/>
                </w:tcPr>
                <w:p w14:paraId="3E75392F">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321FA60E">
                  <w:pPr>
                    <w:widowControl/>
                    <w:jc w:val="center"/>
                    <w:rPr>
                      <w:rFonts w:eastAsia="等线"/>
                      <w:color w:val="EE0000"/>
                      <w:kern w:val="0"/>
                      <w:szCs w:val="21"/>
                      <w:u w:val="single"/>
                    </w:rPr>
                  </w:pPr>
                  <w:r>
                    <w:rPr>
                      <w:rFonts w:eastAsia="等线"/>
                      <w:color w:val="EE0000"/>
                      <w:kern w:val="0"/>
                      <w:szCs w:val="21"/>
                      <w:u w:val="single"/>
                    </w:rPr>
                    <w:t>0.0012</w:t>
                  </w:r>
                </w:p>
              </w:tc>
              <w:tc>
                <w:tcPr>
                  <w:tcW w:w="741" w:type="pct"/>
                  <w:shd w:val="clear" w:color="auto" w:fill="auto"/>
                  <w:vAlign w:val="center"/>
                </w:tcPr>
                <w:p w14:paraId="033222BC">
                  <w:pPr>
                    <w:widowControl/>
                    <w:jc w:val="center"/>
                    <w:rPr>
                      <w:rFonts w:eastAsia="等线"/>
                      <w:color w:val="EE0000"/>
                      <w:kern w:val="0"/>
                      <w:szCs w:val="21"/>
                      <w:u w:val="single"/>
                    </w:rPr>
                  </w:pPr>
                  <w:r>
                    <w:rPr>
                      <w:rFonts w:eastAsia="等线"/>
                      <w:color w:val="EE0000"/>
                      <w:kern w:val="0"/>
                      <w:szCs w:val="21"/>
                      <w:u w:val="single"/>
                    </w:rPr>
                    <w:t>0.0012</w:t>
                  </w:r>
                </w:p>
              </w:tc>
            </w:tr>
            <w:tr w14:paraId="1537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51875EE5">
                  <w:pPr>
                    <w:widowControl/>
                    <w:jc w:val="center"/>
                    <w:rPr>
                      <w:rFonts w:hint="eastAsia" w:ascii="宋体" w:hAnsi="宋体" w:cs="宋体"/>
                      <w:color w:val="000000"/>
                      <w:kern w:val="0"/>
                      <w:szCs w:val="21"/>
                    </w:rPr>
                  </w:pPr>
                </w:p>
              </w:tc>
              <w:tc>
                <w:tcPr>
                  <w:tcW w:w="711" w:type="pct"/>
                  <w:shd w:val="clear" w:color="auto" w:fill="auto"/>
                  <w:vAlign w:val="center"/>
                </w:tcPr>
                <w:p w14:paraId="6B32CE05">
                  <w:pPr>
                    <w:widowControl/>
                    <w:jc w:val="center"/>
                    <w:rPr>
                      <w:rFonts w:hint="eastAsia" w:ascii="宋体" w:hAnsi="宋体" w:cs="宋体"/>
                      <w:color w:val="000000"/>
                      <w:kern w:val="0"/>
                      <w:szCs w:val="21"/>
                    </w:rPr>
                  </w:pPr>
                  <w:r>
                    <w:rPr>
                      <w:rFonts w:hint="eastAsia" w:ascii="宋体" w:hAnsi="宋体" w:cs="宋体"/>
                      <w:color w:val="000000"/>
                      <w:kern w:val="0"/>
                      <w:szCs w:val="21"/>
                    </w:rPr>
                    <w:t>铬</w:t>
                  </w:r>
                </w:p>
              </w:tc>
              <w:tc>
                <w:tcPr>
                  <w:tcW w:w="936" w:type="pct"/>
                  <w:shd w:val="clear" w:color="auto" w:fill="auto"/>
                  <w:vAlign w:val="center"/>
                </w:tcPr>
                <w:p w14:paraId="17167D85">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54DA19C7">
                  <w:pPr>
                    <w:widowControl/>
                    <w:jc w:val="center"/>
                    <w:rPr>
                      <w:rFonts w:eastAsia="等线"/>
                      <w:color w:val="EE0000"/>
                      <w:kern w:val="0"/>
                      <w:szCs w:val="21"/>
                      <w:u w:val="single"/>
                    </w:rPr>
                  </w:pPr>
                  <w:r>
                    <w:rPr>
                      <w:rFonts w:eastAsia="等线"/>
                      <w:color w:val="EE0000"/>
                      <w:kern w:val="0"/>
                      <w:szCs w:val="21"/>
                      <w:u w:val="single"/>
                    </w:rPr>
                    <w:t>0.0004</w:t>
                  </w:r>
                </w:p>
              </w:tc>
              <w:tc>
                <w:tcPr>
                  <w:tcW w:w="606" w:type="pct"/>
                  <w:shd w:val="clear" w:color="auto" w:fill="auto"/>
                  <w:vAlign w:val="center"/>
                </w:tcPr>
                <w:p w14:paraId="4E1BC58D">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1A769F65">
                  <w:pPr>
                    <w:widowControl/>
                    <w:jc w:val="center"/>
                    <w:rPr>
                      <w:rFonts w:eastAsia="等线"/>
                      <w:color w:val="EE0000"/>
                      <w:kern w:val="0"/>
                      <w:szCs w:val="21"/>
                      <w:u w:val="single"/>
                    </w:rPr>
                  </w:pPr>
                  <w:r>
                    <w:rPr>
                      <w:rFonts w:eastAsia="等线"/>
                      <w:color w:val="EE0000"/>
                      <w:kern w:val="0"/>
                      <w:szCs w:val="21"/>
                      <w:u w:val="single"/>
                    </w:rPr>
                    <w:t>0.0004</w:t>
                  </w:r>
                </w:p>
              </w:tc>
              <w:tc>
                <w:tcPr>
                  <w:tcW w:w="741" w:type="pct"/>
                  <w:shd w:val="clear" w:color="auto" w:fill="auto"/>
                  <w:vAlign w:val="center"/>
                </w:tcPr>
                <w:p w14:paraId="53CDB21E">
                  <w:pPr>
                    <w:widowControl/>
                    <w:jc w:val="center"/>
                    <w:rPr>
                      <w:rFonts w:eastAsia="等线"/>
                      <w:color w:val="EE0000"/>
                      <w:kern w:val="0"/>
                      <w:szCs w:val="21"/>
                      <w:u w:val="single"/>
                    </w:rPr>
                  </w:pPr>
                  <w:r>
                    <w:rPr>
                      <w:rFonts w:eastAsia="等线"/>
                      <w:color w:val="EE0000"/>
                      <w:kern w:val="0"/>
                      <w:szCs w:val="21"/>
                      <w:u w:val="single"/>
                    </w:rPr>
                    <w:t>0.0004</w:t>
                  </w:r>
                </w:p>
              </w:tc>
            </w:tr>
            <w:tr w14:paraId="47FF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12E23ED4">
                  <w:pPr>
                    <w:widowControl/>
                    <w:jc w:val="center"/>
                    <w:rPr>
                      <w:rFonts w:hint="eastAsia" w:ascii="宋体" w:hAnsi="宋体" w:cs="宋体"/>
                      <w:color w:val="000000"/>
                      <w:kern w:val="0"/>
                      <w:szCs w:val="21"/>
                    </w:rPr>
                  </w:pPr>
                </w:p>
              </w:tc>
              <w:tc>
                <w:tcPr>
                  <w:tcW w:w="711" w:type="pct"/>
                  <w:shd w:val="clear" w:color="auto" w:fill="auto"/>
                  <w:vAlign w:val="center"/>
                </w:tcPr>
                <w:p w14:paraId="7C034C39">
                  <w:pPr>
                    <w:widowControl/>
                    <w:jc w:val="center"/>
                    <w:rPr>
                      <w:rFonts w:hint="eastAsia" w:ascii="宋体" w:hAnsi="宋体" w:cs="宋体"/>
                      <w:color w:val="000000"/>
                      <w:kern w:val="0"/>
                      <w:szCs w:val="21"/>
                    </w:rPr>
                  </w:pPr>
                  <w:r>
                    <w:rPr>
                      <w:rFonts w:hint="eastAsia" w:ascii="宋体" w:hAnsi="宋体" w:cs="宋体"/>
                      <w:color w:val="000000"/>
                      <w:kern w:val="0"/>
                      <w:szCs w:val="21"/>
                    </w:rPr>
                    <w:t>砷</w:t>
                  </w:r>
                </w:p>
              </w:tc>
              <w:tc>
                <w:tcPr>
                  <w:tcW w:w="936" w:type="pct"/>
                  <w:shd w:val="clear" w:color="auto" w:fill="auto"/>
                  <w:vAlign w:val="center"/>
                </w:tcPr>
                <w:p w14:paraId="259024F7">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25E6CDC1">
                  <w:pPr>
                    <w:widowControl/>
                    <w:jc w:val="center"/>
                    <w:rPr>
                      <w:rFonts w:eastAsia="等线"/>
                      <w:color w:val="EE0000"/>
                      <w:kern w:val="0"/>
                      <w:szCs w:val="21"/>
                      <w:u w:val="single"/>
                    </w:rPr>
                  </w:pPr>
                  <w:r>
                    <w:rPr>
                      <w:rFonts w:eastAsia="等线"/>
                      <w:color w:val="EE0000"/>
                      <w:kern w:val="0"/>
                      <w:szCs w:val="21"/>
                      <w:u w:val="single"/>
                    </w:rPr>
                    <w:t>0.0002</w:t>
                  </w:r>
                </w:p>
              </w:tc>
              <w:tc>
                <w:tcPr>
                  <w:tcW w:w="606" w:type="pct"/>
                  <w:shd w:val="clear" w:color="auto" w:fill="auto"/>
                  <w:vAlign w:val="center"/>
                </w:tcPr>
                <w:p w14:paraId="22703D88">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46F54AC5">
                  <w:pPr>
                    <w:widowControl/>
                    <w:jc w:val="center"/>
                    <w:rPr>
                      <w:rFonts w:eastAsia="等线"/>
                      <w:color w:val="EE0000"/>
                      <w:kern w:val="0"/>
                      <w:szCs w:val="21"/>
                      <w:u w:val="single"/>
                    </w:rPr>
                  </w:pPr>
                  <w:r>
                    <w:rPr>
                      <w:rFonts w:eastAsia="等线"/>
                      <w:color w:val="EE0000"/>
                      <w:kern w:val="0"/>
                      <w:szCs w:val="21"/>
                      <w:u w:val="single"/>
                    </w:rPr>
                    <w:t>0.0002</w:t>
                  </w:r>
                </w:p>
              </w:tc>
              <w:tc>
                <w:tcPr>
                  <w:tcW w:w="741" w:type="pct"/>
                  <w:shd w:val="clear" w:color="auto" w:fill="auto"/>
                  <w:vAlign w:val="center"/>
                </w:tcPr>
                <w:p w14:paraId="4B424287">
                  <w:pPr>
                    <w:widowControl/>
                    <w:jc w:val="center"/>
                    <w:rPr>
                      <w:rFonts w:eastAsia="等线"/>
                      <w:color w:val="EE0000"/>
                      <w:kern w:val="0"/>
                      <w:szCs w:val="21"/>
                      <w:u w:val="single"/>
                    </w:rPr>
                  </w:pPr>
                  <w:r>
                    <w:rPr>
                      <w:rFonts w:eastAsia="等线"/>
                      <w:color w:val="EE0000"/>
                      <w:kern w:val="0"/>
                      <w:szCs w:val="21"/>
                      <w:u w:val="single"/>
                    </w:rPr>
                    <w:t>0.0002</w:t>
                  </w:r>
                </w:p>
              </w:tc>
            </w:tr>
            <w:tr w14:paraId="6C7F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33DE7E29">
                  <w:pPr>
                    <w:widowControl/>
                    <w:jc w:val="center"/>
                    <w:rPr>
                      <w:rFonts w:hint="eastAsia" w:ascii="宋体" w:hAnsi="宋体" w:cs="宋体"/>
                      <w:color w:val="000000"/>
                      <w:kern w:val="0"/>
                      <w:szCs w:val="21"/>
                    </w:rPr>
                  </w:pPr>
                </w:p>
              </w:tc>
              <w:tc>
                <w:tcPr>
                  <w:tcW w:w="711" w:type="pct"/>
                  <w:shd w:val="clear" w:color="auto" w:fill="auto"/>
                  <w:vAlign w:val="center"/>
                </w:tcPr>
                <w:p w14:paraId="21DBE3E4">
                  <w:pPr>
                    <w:widowControl/>
                    <w:jc w:val="center"/>
                    <w:rPr>
                      <w:rFonts w:hint="eastAsia" w:ascii="宋体" w:hAnsi="宋体" w:cs="宋体"/>
                      <w:color w:val="000000"/>
                      <w:kern w:val="0"/>
                      <w:szCs w:val="21"/>
                    </w:rPr>
                  </w:pPr>
                  <w:r>
                    <w:rPr>
                      <w:rFonts w:hint="eastAsia" w:ascii="宋体" w:hAnsi="宋体" w:cs="宋体"/>
                      <w:color w:val="000000"/>
                      <w:kern w:val="0"/>
                      <w:szCs w:val="21"/>
                    </w:rPr>
                    <w:t>锌</w:t>
                  </w:r>
                </w:p>
              </w:tc>
              <w:tc>
                <w:tcPr>
                  <w:tcW w:w="936" w:type="pct"/>
                  <w:shd w:val="clear" w:color="auto" w:fill="auto"/>
                  <w:vAlign w:val="center"/>
                </w:tcPr>
                <w:p w14:paraId="0BC275AD">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3E292B24">
                  <w:pPr>
                    <w:widowControl/>
                    <w:jc w:val="center"/>
                    <w:rPr>
                      <w:rFonts w:eastAsia="等线"/>
                      <w:color w:val="EE0000"/>
                      <w:kern w:val="0"/>
                      <w:szCs w:val="21"/>
                      <w:u w:val="single"/>
                    </w:rPr>
                  </w:pPr>
                  <w:r>
                    <w:rPr>
                      <w:rFonts w:eastAsia="等线"/>
                      <w:color w:val="EE0000"/>
                      <w:kern w:val="0"/>
                      <w:szCs w:val="21"/>
                      <w:u w:val="single"/>
                    </w:rPr>
                    <w:t>0.0407</w:t>
                  </w:r>
                </w:p>
              </w:tc>
              <w:tc>
                <w:tcPr>
                  <w:tcW w:w="606" w:type="pct"/>
                  <w:shd w:val="clear" w:color="auto" w:fill="auto"/>
                  <w:vAlign w:val="center"/>
                </w:tcPr>
                <w:p w14:paraId="4C68CDE2">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6BAF2DB7">
                  <w:pPr>
                    <w:widowControl/>
                    <w:jc w:val="center"/>
                    <w:rPr>
                      <w:rFonts w:eastAsia="等线"/>
                      <w:color w:val="EE0000"/>
                      <w:kern w:val="0"/>
                      <w:szCs w:val="21"/>
                      <w:u w:val="single"/>
                    </w:rPr>
                  </w:pPr>
                  <w:r>
                    <w:rPr>
                      <w:rFonts w:eastAsia="等线"/>
                      <w:color w:val="EE0000"/>
                      <w:kern w:val="0"/>
                      <w:szCs w:val="21"/>
                      <w:u w:val="single"/>
                    </w:rPr>
                    <w:t>0.0407</w:t>
                  </w:r>
                </w:p>
              </w:tc>
              <w:tc>
                <w:tcPr>
                  <w:tcW w:w="741" w:type="pct"/>
                  <w:shd w:val="clear" w:color="auto" w:fill="auto"/>
                  <w:vAlign w:val="center"/>
                </w:tcPr>
                <w:p w14:paraId="3A79C4C9">
                  <w:pPr>
                    <w:widowControl/>
                    <w:jc w:val="center"/>
                    <w:rPr>
                      <w:rFonts w:eastAsia="等线"/>
                      <w:color w:val="EE0000"/>
                      <w:kern w:val="0"/>
                      <w:szCs w:val="21"/>
                      <w:u w:val="single"/>
                    </w:rPr>
                  </w:pPr>
                  <w:r>
                    <w:rPr>
                      <w:rFonts w:eastAsia="等线"/>
                      <w:color w:val="EE0000"/>
                      <w:kern w:val="0"/>
                      <w:szCs w:val="21"/>
                      <w:u w:val="single"/>
                    </w:rPr>
                    <w:t>0.0407</w:t>
                  </w:r>
                </w:p>
              </w:tc>
            </w:tr>
            <w:tr w14:paraId="15C4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3D94BED8">
                  <w:pPr>
                    <w:widowControl/>
                    <w:jc w:val="center"/>
                    <w:rPr>
                      <w:rFonts w:hint="eastAsia" w:ascii="宋体" w:hAnsi="宋体" w:cs="宋体"/>
                      <w:color w:val="000000"/>
                      <w:kern w:val="0"/>
                      <w:szCs w:val="21"/>
                    </w:rPr>
                  </w:pPr>
                </w:p>
              </w:tc>
              <w:tc>
                <w:tcPr>
                  <w:tcW w:w="711" w:type="pct"/>
                  <w:shd w:val="clear" w:color="auto" w:fill="auto"/>
                  <w:vAlign w:val="center"/>
                </w:tcPr>
                <w:p w14:paraId="63A9DF75">
                  <w:pPr>
                    <w:widowControl/>
                    <w:jc w:val="center"/>
                    <w:rPr>
                      <w:rFonts w:hint="eastAsia" w:ascii="宋体" w:hAnsi="宋体" w:cs="宋体"/>
                      <w:color w:val="000000"/>
                      <w:kern w:val="0"/>
                      <w:szCs w:val="21"/>
                    </w:rPr>
                  </w:pPr>
                  <w:r>
                    <w:rPr>
                      <w:rFonts w:hint="eastAsia" w:ascii="宋体" w:hAnsi="宋体" w:cs="宋体"/>
                      <w:color w:val="000000"/>
                      <w:kern w:val="0"/>
                      <w:szCs w:val="21"/>
                    </w:rPr>
                    <w:t>铜</w:t>
                  </w:r>
                </w:p>
              </w:tc>
              <w:tc>
                <w:tcPr>
                  <w:tcW w:w="936" w:type="pct"/>
                  <w:shd w:val="clear" w:color="auto" w:fill="auto"/>
                  <w:vAlign w:val="center"/>
                </w:tcPr>
                <w:p w14:paraId="06EE77A1">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05701317">
                  <w:pPr>
                    <w:widowControl/>
                    <w:jc w:val="center"/>
                    <w:rPr>
                      <w:rFonts w:eastAsia="等线"/>
                      <w:color w:val="EE0000"/>
                      <w:kern w:val="0"/>
                      <w:szCs w:val="21"/>
                      <w:u w:val="single"/>
                    </w:rPr>
                  </w:pPr>
                  <w:r>
                    <w:rPr>
                      <w:rFonts w:eastAsia="等线"/>
                      <w:color w:val="EE0000"/>
                      <w:kern w:val="0"/>
                      <w:szCs w:val="21"/>
                      <w:u w:val="single"/>
                    </w:rPr>
                    <w:t>0.0047</w:t>
                  </w:r>
                </w:p>
              </w:tc>
              <w:tc>
                <w:tcPr>
                  <w:tcW w:w="606" w:type="pct"/>
                  <w:shd w:val="clear" w:color="auto" w:fill="auto"/>
                  <w:vAlign w:val="center"/>
                </w:tcPr>
                <w:p w14:paraId="3799044A">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044667CC">
                  <w:pPr>
                    <w:widowControl/>
                    <w:jc w:val="center"/>
                    <w:rPr>
                      <w:rFonts w:eastAsia="等线"/>
                      <w:color w:val="EE0000"/>
                      <w:kern w:val="0"/>
                      <w:szCs w:val="21"/>
                      <w:u w:val="single"/>
                    </w:rPr>
                  </w:pPr>
                  <w:r>
                    <w:rPr>
                      <w:rFonts w:eastAsia="等线"/>
                      <w:color w:val="EE0000"/>
                      <w:kern w:val="0"/>
                      <w:szCs w:val="21"/>
                      <w:u w:val="single"/>
                    </w:rPr>
                    <w:t>0.0047</w:t>
                  </w:r>
                </w:p>
              </w:tc>
              <w:tc>
                <w:tcPr>
                  <w:tcW w:w="741" w:type="pct"/>
                  <w:shd w:val="clear" w:color="auto" w:fill="auto"/>
                  <w:vAlign w:val="center"/>
                </w:tcPr>
                <w:p w14:paraId="1C08B994">
                  <w:pPr>
                    <w:widowControl/>
                    <w:jc w:val="center"/>
                    <w:rPr>
                      <w:rFonts w:eastAsia="等线"/>
                      <w:color w:val="EE0000"/>
                      <w:kern w:val="0"/>
                      <w:szCs w:val="21"/>
                      <w:u w:val="single"/>
                    </w:rPr>
                  </w:pPr>
                  <w:r>
                    <w:rPr>
                      <w:rFonts w:eastAsia="等线"/>
                      <w:color w:val="EE0000"/>
                      <w:kern w:val="0"/>
                      <w:szCs w:val="21"/>
                      <w:u w:val="single"/>
                    </w:rPr>
                    <w:t>0.0047</w:t>
                  </w:r>
                </w:p>
              </w:tc>
            </w:tr>
            <w:tr w14:paraId="5E32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3" w:type="pct"/>
                  <w:vMerge w:val="continue"/>
                  <w:vAlign w:val="center"/>
                </w:tcPr>
                <w:p w14:paraId="1E6C1CC9">
                  <w:pPr>
                    <w:widowControl/>
                    <w:jc w:val="center"/>
                    <w:rPr>
                      <w:rFonts w:hint="eastAsia" w:ascii="宋体" w:hAnsi="宋体" w:cs="宋体"/>
                      <w:color w:val="000000"/>
                      <w:kern w:val="0"/>
                      <w:szCs w:val="21"/>
                    </w:rPr>
                  </w:pPr>
                </w:p>
              </w:tc>
              <w:tc>
                <w:tcPr>
                  <w:tcW w:w="711" w:type="pct"/>
                  <w:shd w:val="clear" w:color="auto" w:fill="auto"/>
                  <w:vAlign w:val="center"/>
                </w:tcPr>
                <w:p w14:paraId="21F19387">
                  <w:pPr>
                    <w:widowControl/>
                    <w:jc w:val="center"/>
                    <w:rPr>
                      <w:rFonts w:hint="eastAsia" w:ascii="宋体" w:hAnsi="宋体" w:cs="宋体"/>
                      <w:color w:val="000000"/>
                      <w:kern w:val="0"/>
                      <w:szCs w:val="21"/>
                    </w:rPr>
                  </w:pPr>
                  <w:r>
                    <w:rPr>
                      <w:rFonts w:hint="eastAsia" w:ascii="宋体" w:hAnsi="宋体" w:cs="宋体"/>
                      <w:color w:val="000000"/>
                      <w:kern w:val="0"/>
                      <w:szCs w:val="21"/>
                    </w:rPr>
                    <w:t>二噁英类</w:t>
                  </w:r>
                </w:p>
              </w:tc>
              <w:tc>
                <w:tcPr>
                  <w:tcW w:w="936" w:type="pct"/>
                  <w:shd w:val="clear" w:color="auto" w:fill="auto"/>
                  <w:vAlign w:val="center"/>
                </w:tcPr>
                <w:p w14:paraId="4BB576DD">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0B9DC771">
                  <w:pPr>
                    <w:widowControl/>
                    <w:jc w:val="center"/>
                    <w:rPr>
                      <w:rFonts w:eastAsia="等线"/>
                      <w:color w:val="EE0000"/>
                      <w:kern w:val="0"/>
                      <w:szCs w:val="21"/>
                      <w:u w:val="single"/>
                    </w:rPr>
                  </w:pPr>
                  <w:r>
                    <w:rPr>
                      <w:rFonts w:eastAsia="等线"/>
                      <w:color w:val="EE0000"/>
                      <w:kern w:val="0"/>
                      <w:szCs w:val="21"/>
                      <w:u w:val="single"/>
                    </w:rPr>
                    <w:t>0.675mg/a</w:t>
                  </w:r>
                </w:p>
              </w:tc>
              <w:tc>
                <w:tcPr>
                  <w:tcW w:w="606" w:type="pct"/>
                  <w:shd w:val="clear" w:color="auto" w:fill="auto"/>
                  <w:vAlign w:val="center"/>
                </w:tcPr>
                <w:p w14:paraId="3EF8F4A5">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6FCE396D">
                  <w:pPr>
                    <w:widowControl/>
                    <w:jc w:val="center"/>
                    <w:rPr>
                      <w:rFonts w:eastAsia="等线"/>
                      <w:color w:val="EE0000"/>
                      <w:kern w:val="0"/>
                      <w:szCs w:val="21"/>
                      <w:u w:val="single"/>
                    </w:rPr>
                  </w:pPr>
                  <w:r>
                    <w:rPr>
                      <w:rFonts w:eastAsia="等线"/>
                      <w:color w:val="EE0000"/>
                      <w:kern w:val="0"/>
                      <w:szCs w:val="21"/>
                      <w:u w:val="single"/>
                    </w:rPr>
                    <w:t>0.675mg/a</w:t>
                  </w:r>
                </w:p>
              </w:tc>
              <w:tc>
                <w:tcPr>
                  <w:tcW w:w="741" w:type="pct"/>
                  <w:shd w:val="clear" w:color="auto" w:fill="auto"/>
                  <w:vAlign w:val="center"/>
                </w:tcPr>
                <w:p w14:paraId="557E027B">
                  <w:pPr>
                    <w:widowControl/>
                    <w:jc w:val="center"/>
                    <w:rPr>
                      <w:rFonts w:eastAsia="等线"/>
                      <w:color w:val="EE0000"/>
                      <w:kern w:val="0"/>
                      <w:szCs w:val="21"/>
                      <w:u w:val="single"/>
                    </w:rPr>
                  </w:pPr>
                  <w:r>
                    <w:rPr>
                      <w:rFonts w:eastAsia="等线"/>
                      <w:color w:val="EE0000"/>
                      <w:kern w:val="0"/>
                      <w:szCs w:val="21"/>
                      <w:u w:val="single"/>
                    </w:rPr>
                    <w:t>+0.675mg/a</w:t>
                  </w:r>
                </w:p>
              </w:tc>
            </w:tr>
            <w:tr w14:paraId="0F69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6E95C6B8">
                  <w:pPr>
                    <w:widowControl/>
                    <w:jc w:val="center"/>
                    <w:rPr>
                      <w:rFonts w:hint="eastAsia" w:ascii="宋体" w:hAnsi="宋体" w:cs="宋体"/>
                      <w:color w:val="000000"/>
                      <w:kern w:val="0"/>
                      <w:szCs w:val="21"/>
                    </w:rPr>
                  </w:pPr>
                </w:p>
              </w:tc>
              <w:tc>
                <w:tcPr>
                  <w:tcW w:w="711" w:type="pct"/>
                  <w:shd w:val="clear" w:color="auto" w:fill="auto"/>
                  <w:vAlign w:val="center"/>
                </w:tcPr>
                <w:p w14:paraId="432F76F8">
                  <w:pPr>
                    <w:widowControl/>
                    <w:jc w:val="center"/>
                    <w:rPr>
                      <w:rFonts w:hint="eastAsia" w:ascii="宋体" w:hAnsi="宋体" w:cs="宋体"/>
                      <w:color w:val="000000"/>
                      <w:kern w:val="0"/>
                      <w:szCs w:val="21"/>
                    </w:rPr>
                  </w:pPr>
                  <w:r>
                    <w:rPr>
                      <w:rFonts w:hint="eastAsia" w:ascii="宋体" w:hAnsi="宋体" w:cs="宋体"/>
                      <w:color w:val="000000"/>
                      <w:kern w:val="0"/>
                      <w:szCs w:val="21"/>
                    </w:rPr>
                    <w:t>氨气</w:t>
                  </w:r>
                </w:p>
              </w:tc>
              <w:tc>
                <w:tcPr>
                  <w:tcW w:w="936" w:type="pct"/>
                  <w:shd w:val="clear" w:color="auto" w:fill="auto"/>
                  <w:vAlign w:val="center"/>
                </w:tcPr>
                <w:p w14:paraId="0EF3D31A">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3AF6391A">
                  <w:pPr>
                    <w:widowControl/>
                    <w:jc w:val="center"/>
                    <w:rPr>
                      <w:rFonts w:eastAsia="等线"/>
                      <w:color w:val="EE0000"/>
                      <w:kern w:val="0"/>
                      <w:szCs w:val="21"/>
                      <w:u w:val="single"/>
                    </w:rPr>
                  </w:pPr>
                  <w:r>
                    <w:rPr>
                      <w:rFonts w:eastAsia="等线"/>
                      <w:color w:val="EE0000"/>
                      <w:kern w:val="0"/>
                      <w:szCs w:val="21"/>
                      <w:u w:val="single"/>
                    </w:rPr>
                    <w:t>6.081</w:t>
                  </w:r>
                </w:p>
              </w:tc>
              <w:tc>
                <w:tcPr>
                  <w:tcW w:w="606" w:type="pct"/>
                  <w:shd w:val="clear" w:color="auto" w:fill="auto"/>
                  <w:vAlign w:val="center"/>
                </w:tcPr>
                <w:p w14:paraId="12F97E2E">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086A5520">
                  <w:pPr>
                    <w:widowControl/>
                    <w:jc w:val="center"/>
                    <w:rPr>
                      <w:rFonts w:eastAsia="等线"/>
                      <w:color w:val="EE0000"/>
                      <w:kern w:val="0"/>
                      <w:szCs w:val="21"/>
                      <w:u w:val="single"/>
                    </w:rPr>
                  </w:pPr>
                  <w:r>
                    <w:rPr>
                      <w:rFonts w:eastAsia="等线"/>
                      <w:color w:val="EE0000"/>
                      <w:kern w:val="0"/>
                      <w:szCs w:val="21"/>
                      <w:u w:val="single"/>
                    </w:rPr>
                    <w:t>6.081</w:t>
                  </w:r>
                </w:p>
              </w:tc>
              <w:tc>
                <w:tcPr>
                  <w:tcW w:w="741" w:type="pct"/>
                  <w:shd w:val="clear" w:color="auto" w:fill="auto"/>
                  <w:vAlign w:val="center"/>
                </w:tcPr>
                <w:p w14:paraId="725058C1">
                  <w:pPr>
                    <w:widowControl/>
                    <w:jc w:val="center"/>
                    <w:rPr>
                      <w:rFonts w:eastAsia="等线"/>
                      <w:color w:val="EE0000"/>
                      <w:kern w:val="0"/>
                      <w:szCs w:val="21"/>
                      <w:u w:val="single"/>
                    </w:rPr>
                  </w:pPr>
                  <w:r>
                    <w:rPr>
                      <w:rFonts w:eastAsia="等线"/>
                      <w:color w:val="EE0000"/>
                      <w:kern w:val="0"/>
                      <w:szCs w:val="21"/>
                      <w:u w:val="single"/>
                    </w:rPr>
                    <w:t>6.081</w:t>
                  </w:r>
                </w:p>
              </w:tc>
            </w:tr>
            <w:tr w14:paraId="6C6B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1A7F337F">
                  <w:pPr>
                    <w:widowControl/>
                    <w:jc w:val="center"/>
                    <w:rPr>
                      <w:rFonts w:hint="eastAsia" w:ascii="宋体" w:hAnsi="宋体" w:cs="宋体"/>
                      <w:color w:val="000000"/>
                      <w:kern w:val="0"/>
                      <w:szCs w:val="21"/>
                    </w:rPr>
                  </w:pPr>
                </w:p>
              </w:tc>
              <w:tc>
                <w:tcPr>
                  <w:tcW w:w="711" w:type="pct"/>
                  <w:shd w:val="clear" w:color="auto" w:fill="auto"/>
                  <w:vAlign w:val="center"/>
                </w:tcPr>
                <w:p w14:paraId="6C54AA00">
                  <w:pPr>
                    <w:widowControl/>
                    <w:jc w:val="center"/>
                    <w:rPr>
                      <w:rFonts w:hint="eastAsia" w:ascii="宋体" w:hAnsi="宋体" w:cs="宋体"/>
                      <w:color w:val="000000"/>
                      <w:kern w:val="0"/>
                      <w:szCs w:val="21"/>
                    </w:rPr>
                  </w:pPr>
                  <w:r>
                    <w:rPr>
                      <w:rFonts w:hint="eastAsia" w:ascii="宋体" w:hAnsi="宋体" w:cs="宋体"/>
                      <w:color w:val="000000"/>
                      <w:kern w:val="0"/>
                      <w:szCs w:val="21"/>
                    </w:rPr>
                    <w:t>硫化氢</w:t>
                  </w:r>
                </w:p>
              </w:tc>
              <w:tc>
                <w:tcPr>
                  <w:tcW w:w="936" w:type="pct"/>
                  <w:shd w:val="clear" w:color="auto" w:fill="auto"/>
                  <w:vAlign w:val="center"/>
                </w:tcPr>
                <w:p w14:paraId="070AB83E">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414AC7EA">
                  <w:pPr>
                    <w:widowControl/>
                    <w:jc w:val="center"/>
                    <w:rPr>
                      <w:rFonts w:eastAsia="等线"/>
                      <w:color w:val="EE0000"/>
                      <w:kern w:val="0"/>
                      <w:szCs w:val="21"/>
                      <w:u w:val="single"/>
                    </w:rPr>
                  </w:pPr>
                  <w:r>
                    <w:rPr>
                      <w:rFonts w:eastAsia="等线"/>
                      <w:color w:val="EE0000"/>
                      <w:kern w:val="0"/>
                      <w:szCs w:val="21"/>
                      <w:u w:val="single"/>
                    </w:rPr>
                    <w:t>0.0046</w:t>
                  </w:r>
                </w:p>
              </w:tc>
              <w:tc>
                <w:tcPr>
                  <w:tcW w:w="606" w:type="pct"/>
                  <w:shd w:val="clear" w:color="auto" w:fill="auto"/>
                  <w:vAlign w:val="center"/>
                </w:tcPr>
                <w:p w14:paraId="6CE427FC">
                  <w:pPr>
                    <w:widowControl/>
                    <w:jc w:val="center"/>
                    <w:rPr>
                      <w:rFonts w:eastAsia="等线"/>
                      <w:color w:val="EE0000"/>
                      <w:kern w:val="0"/>
                      <w:szCs w:val="21"/>
                      <w:u w:val="single"/>
                    </w:rPr>
                  </w:pPr>
                  <w:r>
                    <w:rPr>
                      <w:rFonts w:eastAsia="等线"/>
                      <w:color w:val="EE0000"/>
                      <w:kern w:val="0"/>
                      <w:szCs w:val="21"/>
                      <w:u w:val="single"/>
                    </w:rPr>
                    <w:t>0</w:t>
                  </w:r>
                </w:p>
              </w:tc>
              <w:tc>
                <w:tcPr>
                  <w:tcW w:w="988" w:type="pct"/>
                  <w:shd w:val="clear" w:color="auto" w:fill="auto"/>
                  <w:vAlign w:val="center"/>
                </w:tcPr>
                <w:p w14:paraId="07DECF6F">
                  <w:pPr>
                    <w:widowControl/>
                    <w:jc w:val="center"/>
                    <w:rPr>
                      <w:rFonts w:eastAsia="等线"/>
                      <w:color w:val="EE0000"/>
                      <w:kern w:val="0"/>
                      <w:szCs w:val="21"/>
                      <w:u w:val="single"/>
                    </w:rPr>
                  </w:pPr>
                  <w:r>
                    <w:rPr>
                      <w:rFonts w:eastAsia="等线"/>
                      <w:color w:val="EE0000"/>
                      <w:kern w:val="0"/>
                      <w:szCs w:val="21"/>
                      <w:u w:val="single"/>
                    </w:rPr>
                    <w:t>0.0046</w:t>
                  </w:r>
                </w:p>
              </w:tc>
              <w:tc>
                <w:tcPr>
                  <w:tcW w:w="741" w:type="pct"/>
                  <w:shd w:val="clear" w:color="auto" w:fill="auto"/>
                  <w:vAlign w:val="center"/>
                </w:tcPr>
                <w:p w14:paraId="09C8838F">
                  <w:pPr>
                    <w:widowControl/>
                    <w:jc w:val="center"/>
                    <w:rPr>
                      <w:rFonts w:eastAsia="等线"/>
                      <w:color w:val="EE0000"/>
                      <w:kern w:val="0"/>
                      <w:szCs w:val="21"/>
                      <w:u w:val="single"/>
                    </w:rPr>
                  </w:pPr>
                  <w:r>
                    <w:rPr>
                      <w:rFonts w:eastAsia="等线"/>
                      <w:color w:val="EE0000"/>
                      <w:kern w:val="0"/>
                      <w:szCs w:val="21"/>
                      <w:u w:val="single"/>
                    </w:rPr>
                    <w:t>0.0046</w:t>
                  </w:r>
                </w:p>
              </w:tc>
            </w:tr>
            <w:tr w14:paraId="507B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restart"/>
                  <w:vAlign w:val="center"/>
                </w:tcPr>
                <w:p w14:paraId="6EFC0952">
                  <w:pPr>
                    <w:widowControl/>
                    <w:jc w:val="center"/>
                    <w:rPr>
                      <w:rFonts w:eastAsia="等线"/>
                      <w:color w:val="000000"/>
                      <w:kern w:val="0"/>
                      <w:szCs w:val="21"/>
                    </w:rPr>
                  </w:pPr>
                  <w:r>
                    <w:rPr>
                      <w:rFonts w:hint="eastAsia" w:ascii="宋体" w:hAnsi="宋体" w:cs="宋体"/>
                      <w:color w:val="000000"/>
                      <w:kern w:val="0"/>
                      <w:szCs w:val="21"/>
                    </w:rPr>
                    <w:t>废水</w:t>
                  </w:r>
                </w:p>
              </w:tc>
              <w:tc>
                <w:tcPr>
                  <w:tcW w:w="711" w:type="pct"/>
                  <w:shd w:val="clear" w:color="auto" w:fill="auto"/>
                  <w:vAlign w:val="center"/>
                </w:tcPr>
                <w:p w14:paraId="7BF95A7B">
                  <w:pPr>
                    <w:widowControl/>
                    <w:jc w:val="center"/>
                    <w:rPr>
                      <w:rFonts w:eastAsia="等线"/>
                      <w:color w:val="000000"/>
                      <w:kern w:val="0"/>
                      <w:szCs w:val="21"/>
                    </w:rPr>
                  </w:pPr>
                  <w:r>
                    <w:rPr>
                      <w:rFonts w:eastAsia="等线"/>
                      <w:color w:val="000000"/>
                      <w:kern w:val="0"/>
                      <w:szCs w:val="21"/>
                    </w:rPr>
                    <w:t>COD</w:t>
                  </w:r>
                </w:p>
              </w:tc>
              <w:tc>
                <w:tcPr>
                  <w:tcW w:w="936" w:type="pct"/>
                  <w:shd w:val="clear" w:color="auto" w:fill="auto"/>
                  <w:vAlign w:val="center"/>
                </w:tcPr>
                <w:p w14:paraId="2811217D">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343E752E">
                  <w:pPr>
                    <w:widowControl/>
                    <w:jc w:val="center"/>
                    <w:rPr>
                      <w:rFonts w:eastAsia="等线"/>
                      <w:color w:val="000000"/>
                      <w:kern w:val="0"/>
                      <w:szCs w:val="21"/>
                    </w:rPr>
                  </w:pPr>
                  <w:r>
                    <w:rPr>
                      <w:rFonts w:eastAsia="等线"/>
                      <w:color w:val="000000"/>
                      <w:kern w:val="0"/>
                      <w:szCs w:val="21"/>
                    </w:rPr>
                    <w:t>0</w:t>
                  </w:r>
                </w:p>
              </w:tc>
              <w:tc>
                <w:tcPr>
                  <w:tcW w:w="606" w:type="pct"/>
                  <w:shd w:val="clear" w:color="auto" w:fill="auto"/>
                  <w:vAlign w:val="center"/>
                </w:tcPr>
                <w:p w14:paraId="5B222519">
                  <w:pPr>
                    <w:widowControl/>
                    <w:jc w:val="center"/>
                    <w:rPr>
                      <w:rFonts w:eastAsia="等线"/>
                      <w:color w:val="000000"/>
                      <w:kern w:val="0"/>
                      <w:szCs w:val="21"/>
                    </w:rPr>
                  </w:pPr>
                  <w:r>
                    <w:rPr>
                      <w:rFonts w:eastAsia="等线"/>
                      <w:color w:val="000000"/>
                      <w:kern w:val="0"/>
                      <w:szCs w:val="21"/>
                    </w:rPr>
                    <w:t>0</w:t>
                  </w:r>
                </w:p>
              </w:tc>
              <w:tc>
                <w:tcPr>
                  <w:tcW w:w="988" w:type="pct"/>
                  <w:shd w:val="clear" w:color="auto" w:fill="auto"/>
                  <w:vAlign w:val="center"/>
                </w:tcPr>
                <w:p w14:paraId="47F6238C">
                  <w:pPr>
                    <w:widowControl/>
                    <w:jc w:val="center"/>
                    <w:rPr>
                      <w:rFonts w:eastAsia="等线"/>
                      <w:color w:val="000000"/>
                      <w:kern w:val="0"/>
                      <w:szCs w:val="21"/>
                    </w:rPr>
                  </w:pPr>
                  <w:r>
                    <w:rPr>
                      <w:rFonts w:eastAsia="等线"/>
                      <w:color w:val="000000"/>
                      <w:kern w:val="0"/>
                      <w:szCs w:val="21"/>
                    </w:rPr>
                    <w:t>0</w:t>
                  </w:r>
                </w:p>
              </w:tc>
              <w:tc>
                <w:tcPr>
                  <w:tcW w:w="741" w:type="pct"/>
                  <w:shd w:val="clear" w:color="auto" w:fill="auto"/>
                  <w:vAlign w:val="center"/>
                </w:tcPr>
                <w:p w14:paraId="48BE882D">
                  <w:pPr>
                    <w:widowControl/>
                    <w:jc w:val="center"/>
                    <w:rPr>
                      <w:rFonts w:eastAsia="等线"/>
                      <w:color w:val="000000"/>
                      <w:kern w:val="0"/>
                      <w:szCs w:val="21"/>
                    </w:rPr>
                  </w:pPr>
                  <w:r>
                    <w:rPr>
                      <w:rFonts w:eastAsia="等线"/>
                      <w:color w:val="000000"/>
                      <w:kern w:val="0"/>
                      <w:szCs w:val="21"/>
                    </w:rPr>
                    <w:t>0</w:t>
                  </w:r>
                </w:p>
              </w:tc>
            </w:tr>
            <w:tr w14:paraId="38EC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1E791DC9">
                  <w:pPr>
                    <w:widowControl/>
                    <w:jc w:val="center"/>
                    <w:rPr>
                      <w:rFonts w:hint="eastAsia" w:ascii="宋体" w:hAnsi="宋体" w:cs="宋体"/>
                      <w:color w:val="000000"/>
                      <w:kern w:val="0"/>
                      <w:szCs w:val="21"/>
                    </w:rPr>
                  </w:pPr>
                </w:p>
              </w:tc>
              <w:tc>
                <w:tcPr>
                  <w:tcW w:w="711" w:type="pct"/>
                  <w:shd w:val="clear" w:color="auto" w:fill="auto"/>
                  <w:vAlign w:val="center"/>
                </w:tcPr>
                <w:p w14:paraId="1B32F28F">
                  <w:pPr>
                    <w:widowControl/>
                    <w:jc w:val="center"/>
                    <w:rPr>
                      <w:rFonts w:hint="eastAsia" w:ascii="宋体" w:hAnsi="宋体" w:cs="宋体"/>
                      <w:color w:val="000000"/>
                      <w:kern w:val="0"/>
                      <w:szCs w:val="21"/>
                    </w:rPr>
                  </w:pPr>
                  <w:r>
                    <w:rPr>
                      <w:rFonts w:hint="eastAsia" w:ascii="宋体" w:hAnsi="宋体" w:cs="宋体"/>
                      <w:color w:val="000000"/>
                      <w:kern w:val="0"/>
                      <w:szCs w:val="21"/>
                    </w:rPr>
                    <w:t>氨氮</w:t>
                  </w:r>
                </w:p>
              </w:tc>
              <w:tc>
                <w:tcPr>
                  <w:tcW w:w="936" w:type="pct"/>
                  <w:shd w:val="clear" w:color="auto" w:fill="auto"/>
                  <w:vAlign w:val="center"/>
                </w:tcPr>
                <w:p w14:paraId="0C901492">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0E71D67F">
                  <w:pPr>
                    <w:widowControl/>
                    <w:jc w:val="center"/>
                    <w:rPr>
                      <w:rFonts w:eastAsia="等线"/>
                      <w:color w:val="000000"/>
                      <w:kern w:val="0"/>
                      <w:szCs w:val="21"/>
                    </w:rPr>
                  </w:pPr>
                  <w:r>
                    <w:rPr>
                      <w:rFonts w:eastAsia="等线"/>
                      <w:color w:val="000000"/>
                      <w:kern w:val="0"/>
                      <w:szCs w:val="21"/>
                    </w:rPr>
                    <w:t>0</w:t>
                  </w:r>
                </w:p>
              </w:tc>
              <w:tc>
                <w:tcPr>
                  <w:tcW w:w="606" w:type="pct"/>
                  <w:shd w:val="clear" w:color="auto" w:fill="auto"/>
                  <w:vAlign w:val="center"/>
                </w:tcPr>
                <w:p w14:paraId="403E751E">
                  <w:pPr>
                    <w:widowControl/>
                    <w:jc w:val="center"/>
                    <w:rPr>
                      <w:rFonts w:eastAsia="等线"/>
                      <w:color w:val="000000"/>
                      <w:kern w:val="0"/>
                      <w:szCs w:val="21"/>
                    </w:rPr>
                  </w:pPr>
                  <w:r>
                    <w:rPr>
                      <w:rFonts w:eastAsia="等线"/>
                      <w:color w:val="000000"/>
                      <w:kern w:val="0"/>
                      <w:szCs w:val="21"/>
                    </w:rPr>
                    <w:t>0</w:t>
                  </w:r>
                </w:p>
              </w:tc>
              <w:tc>
                <w:tcPr>
                  <w:tcW w:w="988" w:type="pct"/>
                  <w:shd w:val="clear" w:color="auto" w:fill="auto"/>
                  <w:vAlign w:val="center"/>
                </w:tcPr>
                <w:p w14:paraId="371FD578">
                  <w:pPr>
                    <w:widowControl/>
                    <w:jc w:val="center"/>
                    <w:rPr>
                      <w:rFonts w:eastAsia="等线"/>
                      <w:color w:val="000000"/>
                      <w:kern w:val="0"/>
                      <w:szCs w:val="21"/>
                    </w:rPr>
                  </w:pPr>
                  <w:r>
                    <w:rPr>
                      <w:rFonts w:eastAsia="等线"/>
                      <w:color w:val="000000"/>
                      <w:kern w:val="0"/>
                      <w:szCs w:val="21"/>
                    </w:rPr>
                    <w:t>0</w:t>
                  </w:r>
                </w:p>
              </w:tc>
              <w:tc>
                <w:tcPr>
                  <w:tcW w:w="741" w:type="pct"/>
                  <w:shd w:val="clear" w:color="auto" w:fill="auto"/>
                  <w:vAlign w:val="center"/>
                </w:tcPr>
                <w:p w14:paraId="5B4D20B4">
                  <w:pPr>
                    <w:widowControl/>
                    <w:jc w:val="center"/>
                    <w:rPr>
                      <w:rFonts w:eastAsia="等线"/>
                      <w:color w:val="000000"/>
                      <w:kern w:val="0"/>
                      <w:szCs w:val="21"/>
                    </w:rPr>
                  </w:pPr>
                  <w:r>
                    <w:rPr>
                      <w:rFonts w:eastAsia="等线"/>
                      <w:color w:val="000000"/>
                      <w:kern w:val="0"/>
                      <w:szCs w:val="21"/>
                    </w:rPr>
                    <w:t>0</w:t>
                  </w:r>
                </w:p>
              </w:tc>
            </w:tr>
            <w:bookmarkEnd w:id="43"/>
            <w:tr w14:paraId="43E2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restart"/>
                  <w:vAlign w:val="center"/>
                </w:tcPr>
                <w:p w14:paraId="5271653E">
                  <w:pPr>
                    <w:widowControl/>
                    <w:jc w:val="center"/>
                    <w:rPr>
                      <w:rFonts w:hint="eastAsia" w:ascii="宋体" w:hAnsi="宋体" w:cs="宋体"/>
                      <w:color w:val="000000"/>
                      <w:kern w:val="0"/>
                      <w:szCs w:val="21"/>
                    </w:rPr>
                  </w:pPr>
                  <w:r>
                    <w:rPr>
                      <w:rFonts w:hint="eastAsia" w:ascii="宋体" w:hAnsi="宋体" w:cs="宋体"/>
                      <w:color w:val="000000"/>
                      <w:kern w:val="0"/>
                      <w:szCs w:val="21"/>
                    </w:rPr>
                    <w:t>固体废物</w:t>
                  </w:r>
                </w:p>
              </w:tc>
              <w:tc>
                <w:tcPr>
                  <w:tcW w:w="711" w:type="pct"/>
                  <w:shd w:val="clear" w:color="auto" w:fill="auto"/>
                  <w:vAlign w:val="center"/>
                </w:tcPr>
                <w:p w14:paraId="62B148BB">
                  <w:pPr>
                    <w:widowControl/>
                    <w:jc w:val="center"/>
                    <w:rPr>
                      <w:rFonts w:hint="eastAsia" w:ascii="宋体" w:hAnsi="宋体" w:cs="宋体"/>
                      <w:color w:val="000000"/>
                      <w:kern w:val="0"/>
                      <w:szCs w:val="21"/>
                    </w:rPr>
                  </w:pPr>
                  <w:r>
                    <w:rPr>
                      <w:rFonts w:hint="eastAsia" w:ascii="宋体" w:hAnsi="宋体" w:cs="宋体"/>
                      <w:color w:val="000000"/>
                      <w:kern w:val="0"/>
                      <w:szCs w:val="21"/>
                    </w:rPr>
                    <w:t>废湿坯</w:t>
                  </w:r>
                </w:p>
              </w:tc>
              <w:tc>
                <w:tcPr>
                  <w:tcW w:w="936" w:type="pct"/>
                  <w:shd w:val="clear" w:color="auto" w:fill="auto"/>
                  <w:vAlign w:val="center"/>
                </w:tcPr>
                <w:p w14:paraId="464028F7">
                  <w:pPr>
                    <w:widowControl/>
                    <w:jc w:val="center"/>
                    <w:rPr>
                      <w:rFonts w:eastAsia="等线"/>
                      <w:color w:val="000000"/>
                      <w:kern w:val="0"/>
                      <w:szCs w:val="21"/>
                    </w:rPr>
                  </w:pPr>
                  <w:r>
                    <w:rPr>
                      <w:rFonts w:eastAsia="等线"/>
                      <w:color w:val="000000"/>
                      <w:kern w:val="0"/>
                      <w:szCs w:val="21"/>
                    </w:rPr>
                    <w:t>1560</w:t>
                  </w:r>
                </w:p>
              </w:tc>
              <w:tc>
                <w:tcPr>
                  <w:tcW w:w="765" w:type="pct"/>
                  <w:shd w:val="clear" w:color="auto" w:fill="auto"/>
                  <w:vAlign w:val="center"/>
                </w:tcPr>
                <w:p w14:paraId="26706F50">
                  <w:pPr>
                    <w:widowControl/>
                    <w:jc w:val="center"/>
                    <w:rPr>
                      <w:rFonts w:eastAsia="等线"/>
                      <w:color w:val="000000"/>
                      <w:kern w:val="0"/>
                      <w:szCs w:val="21"/>
                    </w:rPr>
                  </w:pPr>
                  <w:r>
                    <w:rPr>
                      <w:rFonts w:eastAsia="等线"/>
                      <w:color w:val="000000"/>
                      <w:kern w:val="0"/>
                      <w:szCs w:val="21"/>
                    </w:rPr>
                    <w:t>1560</w:t>
                  </w:r>
                </w:p>
              </w:tc>
              <w:tc>
                <w:tcPr>
                  <w:tcW w:w="606" w:type="pct"/>
                  <w:shd w:val="clear" w:color="auto" w:fill="auto"/>
                  <w:vAlign w:val="center"/>
                </w:tcPr>
                <w:p w14:paraId="426B12E6">
                  <w:pPr>
                    <w:widowControl/>
                    <w:jc w:val="center"/>
                    <w:rPr>
                      <w:rFonts w:eastAsia="等线"/>
                      <w:color w:val="000000"/>
                      <w:kern w:val="0"/>
                      <w:szCs w:val="21"/>
                    </w:rPr>
                  </w:pPr>
                  <w:r>
                    <w:rPr>
                      <w:rFonts w:eastAsia="等线"/>
                      <w:color w:val="000000"/>
                      <w:kern w:val="0"/>
                      <w:szCs w:val="21"/>
                    </w:rPr>
                    <w:t>1560</w:t>
                  </w:r>
                </w:p>
              </w:tc>
              <w:tc>
                <w:tcPr>
                  <w:tcW w:w="988" w:type="pct"/>
                  <w:shd w:val="clear" w:color="auto" w:fill="auto"/>
                  <w:vAlign w:val="center"/>
                </w:tcPr>
                <w:p w14:paraId="20C0DC4C">
                  <w:pPr>
                    <w:widowControl/>
                    <w:jc w:val="center"/>
                    <w:rPr>
                      <w:rFonts w:eastAsia="等线"/>
                      <w:color w:val="000000"/>
                      <w:kern w:val="0"/>
                      <w:szCs w:val="21"/>
                    </w:rPr>
                  </w:pPr>
                  <w:r>
                    <w:rPr>
                      <w:rFonts w:eastAsia="等线"/>
                      <w:color w:val="000000"/>
                      <w:kern w:val="0"/>
                      <w:szCs w:val="21"/>
                    </w:rPr>
                    <w:t>1560</w:t>
                  </w:r>
                </w:p>
              </w:tc>
              <w:tc>
                <w:tcPr>
                  <w:tcW w:w="741" w:type="pct"/>
                  <w:shd w:val="clear" w:color="auto" w:fill="auto"/>
                  <w:vAlign w:val="center"/>
                </w:tcPr>
                <w:p w14:paraId="21D001D0">
                  <w:pPr>
                    <w:widowControl/>
                    <w:jc w:val="center"/>
                    <w:rPr>
                      <w:rFonts w:eastAsia="等线"/>
                      <w:color w:val="000000"/>
                      <w:kern w:val="0"/>
                      <w:szCs w:val="21"/>
                    </w:rPr>
                  </w:pPr>
                  <w:r>
                    <w:rPr>
                      <w:rFonts w:eastAsia="等线"/>
                      <w:color w:val="000000"/>
                      <w:kern w:val="0"/>
                      <w:szCs w:val="21"/>
                    </w:rPr>
                    <w:t>0</w:t>
                  </w:r>
                </w:p>
              </w:tc>
            </w:tr>
            <w:tr w14:paraId="4138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 w:type="pct"/>
                  <w:vMerge w:val="continue"/>
                  <w:vAlign w:val="center"/>
                </w:tcPr>
                <w:p w14:paraId="0BA964D8">
                  <w:pPr>
                    <w:widowControl/>
                    <w:jc w:val="center"/>
                    <w:rPr>
                      <w:rFonts w:hint="eastAsia" w:ascii="宋体" w:hAnsi="宋体" w:cs="宋体"/>
                      <w:color w:val="000000"/>
                      <w:kern w:val="0"/>
                      <w:szCs w:val="21"/>
                    </w:rPr>
                  </w:pPr>
                </w:p>
              </w:tc>
              <w:tc>
                <w:tcPr>
                  <w:tcW w:w="711" w:type="pct"/>
                  <w:shd w:val="clear" w:color="auto" w:fill="auto"/>
                  <w:vAlign w:val="center"/>
                </w:tcPr>
                <w:p w14:paraId="5D2B2F01">
                  <w:pPr>
                    <w:widowControl/>
                    <w:jc w:val="center"/>
                    <w:rPr>
                      <w:rFonts w:hint="eastAsia" w:ascii="宋体" w:hAnsi="宋体" w:cs="宋体"/>
                      <w:color w:val="000000"/>
                      <w:kern w:val="0"/>
                      <w:szCs w:val="21"/>
                    </w:rPr>
                  </w:pPr>
                  <w:r>
                    <w:rPr>
                      <w:rFonts w:hint="eastAsia" w:ascii="宋体" w:hAnsi="宋体" w:cs="宋体"/>
                      <w:color w:val="000000"/>
                      <w:kern w:val="0"/>
                      <w:szCs w:val="21"/>
                    </w:rPr>
                    <w:t>不合格产品</w:t>
                  </w:r>
                </w:p>
              </w:tc>
              <w:tc>
                <w:tcPr>
                  <w:tcW w:w="936" w:type="pct"/>
                  <w:shd w:val="clear" w:color="auto" w:fill="auto"/>
                  <w:vAlign w:val="center"/>
                </w:tcPr>
                <w:p w14:paraId="5CB72795">
                  <w:pPr>
                    <w:widowControl/>
                    <w:jc w:val="center"/>
                    <w:rPr>
                      <w:rFonts w:eastAsia="等线"/>
                      <w:color w:val="000000"/>
                      <w:kern w:val="0"/>
                      <w:szCs w:val="21"/>
                    </w:rPr>
                  </w:pPr>
                  <w:r>
                    <w:rPr>
                      <w:rFonts w:eastAsia="等线"/>
                      <w:color w:val="000000"/>
                      <w:kern w:val="0"/>
                      <w:szCs w:val="21"/>
                    </w:rPr>
                    <w:t>3379.5</w:t>
                  </w:r>
                </w:p>
              </w:tc>
              <w:tc>
                <w:tcPr>
                  <w:tcW w:w="765" w:type="pct"/>
                  <w:shd w:val="clear" w:color="auto" w:fill="auto"/>
                  <w:vAlign w:val="center"/>
                </w:tcPr>
                <w:p w14:paraId="79766062">
                  <w:pPr>
                    <w:widowControl/>
                    <w:jc w:val="center"/>
                    <w:rPr>
                      <w:rFonts w:eastAsia="等线"/>
                      <w:color w:val="000000"/>
                      <w:kern w:val="0"/>
                      <w:szCs w:val="21"/>
                    </w:rPr>
                  </w:pPr>
                  <w:r>
                    <w:rPr>
                      <w:rFonts w:eastAsia="等线"/>
                      <w:color w:val="000000"/>
                      <w:kern w:val="0"/>
                      <w:szCs w:val="21"/>
                    </w:rPr>
                    <w:t>3379.5</w:t>
                  </w:r>
                </w:p>
              </w:tc>
              <w:tc>
                <w:tcPr>
                  <w:tcW w:w="606" w:type="pct"/>
                  <w:shd w:val="clear" w:color="auto" w:fill="auto"/>
                  <w:vAlign w:val="center"/>
                </w:tcPr>
                <w:p w14:paraId="4D5C86F6">
                  <w:pPr>
                    <w:widowControl/>
                    <w:jc w:val="center"/>
                    <w:rPr>
                      <w:rFonts w:eastAsia="等线"/>
                      <w:color w:val="000000"/>
                      <w:kern w:val="0"/>
                      <w:szCs w:val="21"/>
                    </w:rPr>
                  </w:pPr>
                  <w:r>
                    <w:rPr>
                      <w:rFonts w:eastAsia="等线"/>
                      <w:color w:val="000000"/>
                      <w:kern w:val="0"/>
                      <w:szCs w:val="21"/>
                    </w:rPr>
                    <w:t>3379.5</w:t>
                  </w:r>
                </w:p>
              </w:tc>
              <w:tc>
                <w:tcPr>
                  <w:tcW w:w="988" w:type="pct"/>
                  <w:shd w:val="clear" w:color="auto" w:fill="auto"/>
                  <w:vAlign w:val="center"/>
                </w:tcPr>
                <w:p w14:paraId="71B272D7">
                  <w:pPr>
                    <w:widowControl/>
                    <w:jc w:val="center"/>
                    <w:rPr>
                      <w:rFonts w:eastAsia="等线"/>
                      <w:color w:val="000000"/>
                      <w:kern w:val="0"/>
                      <w:szCs w:val="21"/>
                    </w:rPr>
                  </w:pPr>
                  <w:r>
                    <w:rPr>
                      <w:rFonts w:eastAsia="等线"/>
                      <w:color w:val="000000"/>
                      <w:kern w:val="0"/>
                      <w:szCs w:val="21"/>
                    </w:rPr>
                    <w:t>3379.5</w:t>
                  </w:r>
                </w:p>
              </w:tc>
              <w:tc>
                <w:tcPr>
                  <w:tcW w:w="741" w:type="pct"/>
                  <w:shd w:val="clear" w:color="auto" w:fill="auto"/>
                  <w:vAlign w:val="center"/>
                </w:tcPr>
                <w:p w14:paraId="65EC9C63">
                  <w:pPr>
                    <w:widowControl/>
                    <w:jc w:val="center"/>
                    <w:rPr>
                      <w:rFonts w:eastAsia="等线"/>
                      <w:color w:val="000000"/>
                      <w:kern w:val="0"/>
                      <w:szCs w:val="21"/>
                    </w:rPr>
                  </w:pPr>
                  <w:r>
                    <w:rPr>
                      <w:rFonts w:eastAsia="等线"/>
                      <w:color w:val="000000"/>
                      <w:kern w:val="0"/>
                      <w:szCs w:val="21"/>
                    </w:rPr>
                    <w:t>0</w:t>
                  </w:r>
                </w:p>
              </w:tc>
            </w:tr>
            <w:tr w14:paraId="2A9B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 w:type="pct"/>
                  <w:vMerge w:val="continue"/>
                  <w:vAlign w:val="center"/>
                </w:tcPr>
                <w:p w14:paraId="0025CCDB">
                  <w:pPr>
                    <w:widowControl/>
                    <w:jc w:val="center"/>
                    <w:rPr>
                      <w:rFonts w:hint="eastAsia" w:ascii="宋体" w:hAnsi="宋体" w:cs="宋体"/>
                      <w:color w:val="000000"/>
                      <w:kern w:val="0"/>
                      <w:szCs w:val="21"/>
                    </w:rPr>
                  </w:pPr>
                </w:p>
              </w:tc>
              <w:tc>
                <w:tcPr>
                  <w:tcW w:w="711" w:type="pct"/>
                  <w:shd w:val="clear" w:color="auto" w:fill="auto"/>
                  <w:vAlign w:val="center"/>
                </w:tcPr>
                <w:p w14:paraId="2CAAA28A">
                  <w:pPr>
                    <w:widowControl/>
                    <w:jc w:val="center"/>
                    <w:rPr>
                      <w:rFonts w:hint="eastAsia" w:ascii="宋体" w:hAnsi="宋体" w:cs="宋体"/>
                      <w:color w:val="000000"/>
                      <w:kern w:val="0"/>
                      <w:szCs w:val="21"/>
                    </w:rPr>
                  </w:pPr>
                  <w:r>
                    <w:rPr>
                      <w:rFonts w:hint="eastAsia" w:ascii="宋体" w:hAnsi="宋体" w:cs="宋体"/>
                      <w:color w:val="000000"/>
                      <w:kern w:val="0"/>
                      <w:szCs w:val="21"/>
                    </w:rPr>
                    <w:t>脱硫剂筒仓除尘灰</w:t>
                  </w:r>
                </w:p>
              </w:tc>
              <w:tc>
                <w:tcPr>
                  <w:tcW w:w="936" w:type="pct"/>
                  <w:shd w:val="clear" w:color="auto" w:fill="auto"/>
                  <w:vAlign w:val="center"/>
                </w:tcPr>
                <w:p w14:paraId="292A5F20">
                  <w:pPr>
                    <w:widowControl/>
                    <w:jc w:val="center"/>
                    <w:rPr>
                      <w:rFonts w:eastAsia="等线"/>
                      <w:color w:val="000000"/>
                      <w:kern w:val="0"/>
                      <w:szCs w:val="21"/>
                    </w:rPr>
                  </w:pPr>
                  <w:r>
                    <w:rPr>
                      <w:rFonts w:eastAsia="等线"/>
                      <w:color w:val="000000"/>
                      <w:kern w:val="0"/>
                      <w:szCs w:val="21"/>
                    </w:rPr>
                    <w:t>0.055</w:t>
                  </w:r>
                </w:p>
              </w:tc>
              <w:tc>
                <w:tcPr>
                  <w:tcW w:w="765" w:type="pct"/>
                  <w:shd w:val="clear" w:color="auto" w:fill="auto"/>
                  <w:vAlign w:val="center"/>
                </w:tcPr>
                <w:p w14:paraId="5990240B">
                  <w:pPr>
                    <w:widowControl/>
                    <w:jc w:val="center"/>
                    <w:rPr>
                      <w:rFonts w:eastAsia="等线"/>
                      <w:color w:val="EE0000"/>
                      <w:kern w:val="0"/>
                      <w:szCs w:val="21"/>
                      <w:u w:val="single"/>
                    </w:rPr>
                  </w:pPr>
                  <w:r>
                    <w:rPr>
                      <w:rFonts w:eastAsia="等线"/>
                      <w:color w:val="EE0000"/>
                      <w:kern w:val="0"/>
                      <w:szCs w:val="21"/>
                      <w:u w:val="single"/>
                    </w:rPr>
                    <w:t>0.108</w:t>
                  </w:r>
                </w:p>
              </w:tc>
              <w:tc>
                <w:tcPr>
                  <w:tcW w:w="606" w:type="pct"/>
                  <w:shd w:val="clear" w:color="auto" w:fill="auto"/>
                  <w:vAlign w:val="center"/>
                </w:tcPr>
                <w:p w14:paraId="09C39689">
                  <w:pPr>
                    <w:widowControl/>
                    <w:jc w:val="center"/>
                    <w:rPr>
                      <w:rFonts w:eastAsia="等线"/>
                      <w:color w:val="000000"/>
                      <w:kern w:val="0"/>
                      <w:szCs w:val="21"/>
                    </w:rPr>
                  </w:pPr>
                  <w:r>
                    <w:rPr>
                      <w:rFonts w:eastAsia="等线"/>
                      <w:color w:val="000000"/>
                      <w:kern w:val="0"/>
                      <w:szCs w:val="21"/>
                    </w:rPr>
                    <w:t>0.055</w:t>
                  </w:r>
                </w:p>
              </w:tc>
              <w:tc>
                <w:tcPr>
                  <w:tcW w:w="988" w:type="pct"/>
                  <w:shd w:val="clear" w:color="auto" w:fill="auto"/>
                  <w:vAlign w:val="center"/>
                </w:tcPr>
                <w:p w14:paraId="2F72C5C2">
                  <w:pPr>
                    <w:widowControl/>
                    <w:jc w:val="center"/>
                    <w:rPr>
                      <w:rFonts w:eastAsia="等线"/>
                      <w:color w:val="EE0000"/>
                      <w:kern w:val="0"/>
                      <w:szCs w:val="21"/>
                      <w:u w:val="single"/>
                    </w:rPr>
                  </w:pPr>
                  <w:r>
                    <w:rPr>
                      <w:rFonts w:eastAsia="等线"/>
                      <w:color w:val="EE0000"/>
                      <w:kern w:val="0"/>
                      <w:szCs w:val="21"/>
                      <w:u w:val="single"/>
                    </w:rPr>
                    <w:t>0.108</w:t>
                  </w:r>
                </w:p>
              </w:tc>
              <w:tc>
                <w:tcPr>
                  <w:tcW w:w="741" w:type="pct"/>
                  <w:shd w:val="clear" w:color="auto" w:fill="auto"/>
                  <w:vAlign w:val="center"/>
                </w:tcPr>
                <w:p w14:paraId="611981F6">
                  <w:pPr>
                    <w:widowControl/>
                    <w:jc w:val="center"/>
                    <w:rPr>
                      <w:rFonts w:eastAsia="等线"/>
                      <w:color w:val="000000"/>
                      <w:kern w:val="0"/>
                      <w:szCs w:val="21"/>
                    </w:rPr>
                  </w:pPr>
                  <w:r>
                    <w:rPr>
                      <w:rFonts w:eastAsia="等线"/>
                      <w:color w:val="000000"/>
                      <w:kern w:val="0"/>
                      <w:szCs w:val="21"/>
                    </w:rPr>
                    <w:t>0.053</w:t>
                  </w:r>
                </w:p>
              </w:tc>
            </w:tr>
            <w:tr w14:paraId="4777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3" w:type="pct"/>
                  <w:vMerge w:val="continue"/>
                  <w:vAlign w:val="center"/>
                </w:tcPr>
                <w:p w14:paraId="7365818C">
                  <w:pPr>
                    <w:widowControl/>
                    <w:jc w:val="center"/>
                    <w:rPr>
                      <w:rFonts w:hint="eastAsia" w:ascii="宋体" w:hAnsi="宋体" w:cs="宋体"/>
                      <w:color w:val="000000"/>
                      <w:kern w:val="0"/>
                      <w:szCs w:val="21"/>
                    </w:rPr>
                  </w:pPr>
                </w:p>
              </w:tc>
              <w:tc>
                <w:tcPr>
                  <w:tcW w:w="711" w:type="pct"/>
                  <w:shd w:val="clear" w:color="auto" w:fill="auto"/>
                  <w:vAlign w:val="center"/>
                </w:tcPr>
                <w:p w14:paraId="2DD963B2">
                  <w:pPr>
                    <w:widowControl/>
                    <w:jc w:val="center"/>
                    <w:rPr>
                      <w:rFonts w:hint="eastAsia" w:ascii="宋体" w:hAnsi="宋体" w:cs="宋体"/>
                      <w:color w:val="000000"/>
                      <w:kern w:val="0"/>
                      <w:szCs w:val="21"/>
                    </w:rPr>
                  </w:pPr>
                  <w:r>
                    <w:rPr>
                      <w:rFonts w:hint="eastAsia" w:ascii="宋体" w:hAnsi="宋体" w:cs="宋体"/>
                      <w:color w:val="000000"/>
                      <w:kern w:val="0"/>
                      <w:szCs w:val="21"/>
                    </w:rPr>
                    <w:t>原料制备及窑车清理除尘灰</w:t>
                  </w:r>
                </w:p>
              </w:tc>
              <w:tc>
                <w:tcPr>
                  <w:tcW w:w="936" w:type="pct"/>
                  <w:shd w:val="clear" w:color="auto" w:fill="auto"/>
                  <w:vAlign w:val="center"/>
                </w:tcPr>
                <w:p w14:paraId="07D262C2">
                  <w:pPr>
                    <w:widowControl/>
                    <w:jc w:val="center"/>
                    <w:rPr>
                      <w:rFonts w:eastAsia="等线"/>
                      <w:color w:val="000000"/>
                      <w:kern w:val="0"/>
                      <w:szCs w:val="21"/>
                    </w:rPr>
                  </w:pPr>
                  <w:r>
                    <w:rPr>
                      <w:rFonts w:eastAsia="等线"/>
                      <w:color w:val="000000"/>
                      <w:kern w:val="0"/>
                      <w:szCs w:val="21"/>
                    </w:rPr>
                    <w:t>45</w:t>
                  </w:r>
                </w:p>
              </w:tc>
              <w:tc>
                <w:tcPr>
                  <w:tcW w:w="765" w:type="pct"/>
                  <w:shd w:val="clear" w:color="auto" w:fill="auto"/>
                  <w:vAlign w:val="center"/>
                </w:tcPr>
                <w:p w14:paraId="2D235DB5">
                  <w:pPr>
                    <w:widowControl/>
                    <w:jc w:val="center"/>
                    <w:rPr>
                      <w:rFonts w:eastAsia="等线"/>
                      <w:color w:val="EE0000"/>
                      <w:kern w:val="0"/>
                      <w:szCs w:val="21"/>
                      <w:u w:val="single"/>
                    </w:rPr>
                  </w:pPr>
                  <w:r>
                    <w:rPr>
                      <w:rFonts w:eastAsia="等线"/>
                      <w:color w:val="EE0000"/>
                      <w:kern w:val="0"/>
                      <w:szCs w:val="21"/>
                      <w:u w:val="single"/>
                    </w:rPr>
                    <w:t>45</w:t>
                  </w:r>
                </w:p>
              </w:tc>
              <w:tc>
                <w:tcPr>
                  <w:tcW w:w="606" w:type="pct"/>
                  <w:shd w:val="clear" w:color="auto" w:fill="auto"/>
                  <w:vAlign w:val="center"/>
                </w:tcPr>
                <w:p w14:paraId="40CEA931">
                  <w:pPr>
                    <w:widowControl/>
                    <w:jc w:val="center"/>
                    <w:rPr>
                      <w:rFonts w:eastAsia="等线"/>
                      <w:color w:val="000000"/>
                      <w:kern w:val="0"/>
                      <w:szCs w:val="21"/>
                    </w:rPr>
                  </w:pPr>
                  <w:r>
                    <w:rPr>
                      <w:rFonts w:eastAsia="等线"/>
                      <w:color w:val="000000"/>
                      <w:kern w:val="0"/>
                      <w:szCs w:val="21"/>
                    </w:rPr>
                    <w:t>45</w:t>
                  </w:r>
                </w:p>
              </w:tc>
              <w:tc>
                <w:tcPr>
                  <w:tcW w:w="988" w:type="pct"/>
                  <w:shd w:val="clear" w:color="auto" w:fill="auto"/>
                  <w:vAlign w:val="center"/>
                </w:tcPr>
                <w:p w14:paraId="533D9EBB">
                  <w:pPr>
                    <w:widowControl/>
                    <w:jc w:val="center"/>
                    <w:rPr>
                      <w:rFonts w:eastAsia="等线"/>
                      <w:color w:val="EE0000"/>
                      <w:kern w:val="0"/>
                      <w:szCs w:val="21"/>
                      <w:u w:val="single"/>
                    </w:rPr>
                  </w:pPr>
                  <w:r>
                    <w:rPr>
                      <w:rFonts w:eastAsia="等线"/>
                      <w:color w:val="EE0000"/>
                      <w:kern w:val="0"/>
                      <w:szCs w:val="21"/>
                      <w:u w:val="single"/>
                    </w:rPr>
                    <w:t>45</w:t>
                  </w:r>
                </w:p>
              </w:tc>
              <w:tc>
                <w:tcPr>
                  <w:tcW w:w="741" w:type="pct"/>
                  <w:shd w:val="clear" w:color="auto" w:fill="auto"/>
                  <w:vAlign w:val="center"/>
                </w:tcPr>
                <w:p w14:paraId="7DFF5548">
                  <w:pPr>
                    <w:widowControl/>
                    <w:jc w:val="center"/>
                    <w:rPr>
                      <w:rFonts w:eastAsia="等线"/>
                      <w:color w:val="000000"/>
                      <w:kern w:val="0"/>
                      <w:szCs w:val="21"/>
                    </w:rPr>
                  </w:pPr>
                  <w:r>
                    <w:rPr>
                      <w:rFonts w:eastAsia="等线"/>
                      <w:color w:val="000000"/>
                      <w:kern w:val="0"/>
                      <w:szCs w:val="21"/>
                    </w:rPr>
                    <w:t>0</w:t>
                  </w:r>
                </w:p>
              </w:tc>
            </w:tr>
            <w:tr w14:paraId="787D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 w:type="pct"/>
                  <w:vMerge w:val="continue"/>
                  <w:vAlign w:val="center"/>
                </w:tcPr>
                <w:p w14:paraId="497C47DF">
                  <w:pPr>
                    <w:widowControl/>
                    <w:jc w:val="center"/>
                    <w:rPr>
                      <w:rFonts w:hint="eastAsia" w:ascii="宋体" w:hAnsi="宋体" w:cs="宋体"/>
                      <w:color w:val="000000"/>
                      <w:kern w:val="0"/>
                      <w:szCs w:val="21"/>
                    </w:rPr>
                  </w:pPr>
                </w:p>
              </w:tc>
              <w:tc>
                <w:tcPr>
                  <w:tcW w:w="711" w:type="pct"/>
                  <w:shd w:val="clear" w:color="auto" w:fill="auto"/>
                  <w:vAlign w:val="center"/>
                </w:tcPr>
                <w:p w14:paraId="516F22C7">
                  <w:pPr>
                    <w:widowControl/>
                    <w:jc w:val="center"/>
                    <w:rPr>
                      <w:rFonts w:hint="eastAsia" w:ascii="宋体" w:hAnsi="宋体" w:cs="宋体"/>
                      <w:color w:val="000000"/>
                      <w:kern w:val="0"/>
                      <w:szCs w:val="21"/>
                    </w:rPr>
                  </w:pPr>
                  <w:r>
                    <w:rPr>
                      <w:rFonts w:hint="eastAsia" w:ascii="宋体" w:hAnsi="宋体" w:cs="宋体"/>
                      <w:color w:val="000000"/>
                      <w:kern w:val="0"/>
                      <w:szCs w:val="21"/>
                    </w:rPr>
                    <w:t>窑炉烟气除尘灰</w:t>
                  </w:r>
                </w:p>
              </w:tc>
              <w:tc>
                <w:tcPr>
                  <w:tcW w:w="936" w:type="pct"/>
                  <w:shd w:val="clear" w:color="auto" w:fill="auto"/>
                  <w:vAlign w:val="center"/>
                </w:tcPr>
                <w:p w14:paraId="2F960250">
                  <w:pPr>
                    <w:widowControl/>
                    <w:jc w:val="center"/>
                    <w:rPr>
                      <w:rFonts w:eastAsia="等线"/>
                      <w:color w:val="000000"/>
                      <w:kern w:val="0"/>
                      <w:szCs w:val="21"/>
                    </w:rPr>
                  </w:pPr>
                  <w:r>
                    <w:rPr>
                      <w:rFonts w:eastAsia="等线"/>
                      <w:color w:val="000000"/>
                      <w:kern w:val="0"/>
                      <w:szCs w:val="21"/>
                    </w:rPr>
                    <w:t>35.1</w:t>
                  </w:r>
                </w:p>
              </w:tc>
              <w:tc>
                <w:tcPr>
                  <w:tcW w:w="765" w:type="pct"/>
                  <w:shd w:val="clear" w:color="auto" w:fill="auto"/>
                  <w:vAlign w:val="center"/>
                </w:tcPr>
                <w:p w14:paraId="28E37E9F">
                  <w:pPr>
                    <w:widowControl/>
                    <w:jc w:val="center"/>
                    <w:rPr>
                      <w:rFonts w:eastAsia="等线"/>
                      <w:color w:val="EE0000"/>
                      <w:kern w:val="0"/>
                      <w:szCs w:val="21"/>
                      <w:u w:val="single"/>
                    </w:rPr>
                  </w:pPr>
                  <w:r>
                    <w:rPr>
                      <w:rFonts w:eastAsia="等线"/>
                      <w:color w:val="EE0000"/>
                      <w:kern w:val="0"/>
                      <w:szCs w:val="21"/>
                      <w:u w:val="single"/>
                    </w:rPr>
                    <w:t>35.1</w:t>
                  </w:r>
                </w:p>
              </w:tc>
              <w:tc>
                <w:tcPr>
                  <w:tcW w:w="606" w:type="pct"/>
                  <w:shd w:val="clear" w:color="auto" w:fill="auto"/>
                  <w:vAlign w:val="center"/>
                </w:tcPr>
                <w:p w14:paraId="3A7D5F25">
                  <w:pPr>
                    <w:widowControl/>
                    <w:jc w:val="center"/>
                    <w:rPr>
                      <w:rFonts w:eastAsia="等线"/>
                      <w:color w:val="000000"/>
                      <w:kern w:val="0"/>
                      <w:szCs w:val="21"/>
                    </w:rPr>
                  </w:pPr>
                  <w:r>
                    <w:rPr>
                      <w:rFonts w:eastAsia="等线"/>
                      <w:color w:val="000000"/>
                      <w:kern w:val="0"/>
                      <w:szCs w:val="21"/>
                    </w:rPr>
                    <w:t>35.1</w:t>
                  </w:r>
                </w:p>
              </w:tc>
              <w:tc>
                <w:tcPr>
                  <w:tcW w:w="988" w:type="pct"/>
                  <w:shd w:val="clear" w:color="auto" w:fill="auto"/>
                  <w:vAlign w:val="center"/>
                </w:tcPr>
                <w:p w14:paraId="76B7EFEC">
                  <w:pPr>
                    <w:widowControl/>
                    <w:jc w:val="center"/>
                    <w:rPr>
                      <w:rFonts w:eastAsia="等线"/>
                      <w:color w:val="EE0000"/>
                      <w:kern w:val="0"/>
                      <w:szCs w:val="21"/>
                      <w:u w:val="single"/>
                    </w:rPr>
                  </w:pPr>
                  <w:r>
                    <w:rPr>
                      <w:rFonts w:eastAsia="等线"/>
                      <w:color w:val="EE0000"/>
                      <w:kern w:val="0"/>
                      <w:szCs w:val="21"/>
                      <w:u w:val="single"/>
                    </w:rPr>
                    <w:t>35.1</w:t>
                  </w:r>
                </w:p>
              </w:tc>
              <w:tc>
                <w:tcPr>
                  <w:tcW w:w="741" w:type="pct"/>
                  <w:shd w:val="clear" w:color="auto" w:fill="auto"/>
                  <w:vAlign w:val="center"/>
                </w:tcPr>
                <w:p w14:paraId="097C16A4">
                  <w:pPr>
                    <w:widowControl/>
                    <w:jc w:val="center"/>
                    <w:rPr>
                      <w:rFonts w:eastAsia="等线"/>
                      <w:color w:val="000000"/>
                      <w:kern w:val="0"/>
                      <w:szCs w:val="21"/>
                    </w:rPr>
                  </w:pPr>
                  <w:r>
                    <w:rPr>
                      <w:rFonts w:eastAsia="等线"/>
                      <w:color w:val="000000"/>
                      <w:kern w:val="0"/>
                      <w:szCs w:val="21"/>
                    </w:rPr>
                    <w:t>0</w:t>
                  </w:r>
                </w:p>
              </w:tc>
            </w:tr>
            <w:tr w14:paraId="71EE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472C77AF">
                  <w:pPr>
                    <w:widowControl/>
                    <w:jc w:val="center"/>
                    <w:rPr>
                      <w:rFonts w:hint="eastAsia" w:ascii="宋体" w:hAnsi="宋体" w:cs="宋体"/>
                      <w:color w:val="000000"/>
                      <w:kern w:val="0"/>
                      <w:szCs w:val="21"/>
                    </w:rPr>
                  </w:pPr>
                </w:p>
              </w:tc>
              <w:tc>
                <w:tcPr>
                  <w:tcW w:w="711" w:type="pct"/>
                  <w:shd w:val="clear" w:color="auto" w:fill="auto"/>
                  <w:vAlign w:val="center"/>
                </w:tcPr>
                <w:p w14:paraId="78FCF9AF">
                  <w:pPr>
                    <w:widowControl/>
                    <w:jc w:val="center"/>
                    <w:rPr>
                      <w:rFonts w:hint="eastAsia" w:ascii="宋体" w:hAnsi="宋体" w:cs="宋体"/>
                      <w:color w:val="000000"/>
                      <w:kern w:val="0"/>
                      <w:szCs w:val="21"/>
                    </w:rPr>
                  </w:pPr>
                  <w:r>
                    <w:rPr>
                      <w:rFonts w:hint="eastAsia" w:ascii="宋体" w:hAnsi="宋体" w:cs="宋体"/>
                      <w:color w:val="000000"/>
                      <w:kern w:val="0"/>
                      <w:szCs w:val="21"/>
                    </w:rPr>
                    <w:t>脱硫石膏</w:t>
                  </w:r>
                </w:p>
              </w:tc>
              <w:tc>
                <w:tcPr>
                  <w:tcW w:w="936" w:type="pct"/>
                  <w:shd w:val="clear" w:color="auto" w:fill="auto"/>
                  <w:vAlign w:val="center"/>
                </w:tcPr>
                <w:p w14:paraId="1C03B945">
                  <w:pPr>
                    <w:widowControl/>
                    <w:jc w:val="center"/>
                    <w:rPr>
                      <w:rFonts w:eastAsia="等线"/>
                      <w:color w:val="000000"/>
                      <w:kern w:val="0"/>
                      <w:szCs w:val="21"/>
                    </w:rPr>
                  </w:pPr>
                  <w:r>
                    <w:rPr>
                      <w:rFonts w:eastAsia="等线"/>
                      <w:color w:val="000000"/>
                      <w:kern w:val="0"/>
                      <w:szCs w:val="21"/>
                    </w:rPr>
                    <w:t>2211</w:t>
                  </w:r>
                </w:p>
              </w:tc>
              <w:tc>
                <w:tcPr>
                  <w:tcW w:w="765" w:type="pct"/>
                  <w:shd w:val="clear" w:color="auto" w:fill="auto"/>
                  <w:vAlign w:val="center"/>
                </w:tcPr>
                <w:p w14:paraId="55E747EF">
                  <w:pPr>
                    <w:widowControl/>
                    <w:jc w:val="center"/>
                    <w:rPr>
                      <w:rFonts w:eastAsia="等线"/>
                      <w:color w:val="EE0000"/>
                      <w:kern w:val="0"/>
                      <w:szCs w:val="21"/>
                      <w:u w:val="single"/>
                    </w:rPr>
                  </w:pPr>
                  <w:r>
                    <w:rPr>
                      <w:rFonts w:eastAsia="等线"/>
                      <w:color w:val="EE0000"/>
                      <w:kern w:val="0"/>
                      <w:szCs w:val="21"/>
                      <w:u w:val="single"/>
                    </w:rPr>
                    <w:t>3317</w:t>
                  </w:r>
                </w:p>
              </w:tc>
              <w:tc>
                <w:tcPr>
                  <w:tcW w:w="606" w:type="pct"/>
                  <w:shd w:val="clear" w:color="auto" w:fill="auto"/>
                  <w:vAlign w:val="center"/>
                </w:tcPr>
                <w:p w14:paraId="24BF7AAF">
                  <w:pPr>
                    <w:widowControl/>
                    <w:jc w:val="center"/>
                    <w:rPr>
                      <w:rFonts w:eastAsia="等线"/>
                      <w:color w:val="000000"/>
                      <w:kern w:val="0"/>
                      <w:szCs w:val="21"/>
                    </w:rPr>
                  </w:pPr>
                  <w:r>
                    <w:rPr>
                      <w:rFonts w:eastAsia="等线"/>
                      <w:color w:val="000000"/>
                      <w:kern w:val="0"/>
                      <w:szCs w:val="21"/>
                    </w:rPr>
                    <w:t>2211</w:t>
                  </w:r>
                </w:p>
              </w:tc>
              <w:tc>
                <w:tcPr>
                  <w:tcW w:w="988" w:type="pct"/>
                  <w:shd w:val="clear" w:color="auto" w:fill="auto"/>
                  <w:vAlign w:val="center"/>
                </w:tcPr>
                <w:p w14:paraId="60D263C3">
                  <w:pPr>
                    <w:widowControl/>
                    <w:jc w:val="center"/>
                    <w:rPr>
                      <w:rFonts w:eastAsia="等线"/>
                      <w:color w:val="EE0000"/>
                      <w:kern w:val="0"/>
                      <w:szCs w:val="21"/>
                      <w:u w:val="single"/>
                    </w:rPr>
                  </w:pPr>
                  <w:r>
                    <w:rPr>
                      <w:rFonts w:eastAsia="等线"/>
                      <w:color w:val="EE0000"/>
                      <w:kern w:val="0"/>
                      <w:szCs w:val="21"/>
                      <w:u w:val="single"/>
                    </w:rPr>
                    <w:t>3317</w:t>
                  </w:r>
                </w:p>
              </w:tc>
              <w:tc>
                <w:tcPr>
                  <w:tcW w:w="741" w:type="pct"/>
                  <w:shd w:val="clear" w:color="auto" w:fill="auto"/>
                  <w:vAlign w:val="center"/>
                </w:tcPr>
                <w:p w14:paraId="024A2807">
                  <w:pPr>
                    <w:widowControl/>
                    <w:jc w:val="center"/>
                    <w:rPr>
                      <w:rFonts w:eastAsia="等线"/>
                      <w:color w:val="000000"/>
                      <w:kern w:val="0"/>
                      <w:szCs w:val="21"/>
                    </w:rPr>
                  </w:pPr>
                  <w:r>
                    <w:rPr>
                      <w:rFonts w:eastAsia="等线"/>
                      <w:color w:val="000000"/>
                      <w:kern w:val="0"/>
                      <w:szCs w:val="21"/>
                    </w:rPr>
                    <w:t>1106</w:t>
                  </w:r>
                </w:p>
              </w:tc>
            </w:tr>
            <w:tr w14:paraId="6C43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3" w:type="pct"/>
                  <w:vMerge w:val="continue"/>
                  <w:vAlign w:val="center"/>
                </w:tcPr>
                <w:p w14:paraId="435270C7">
                  <w:pPr>
                    <w:widowControl/>
                    <w:jc w:val="center"/>
                    <w:rPr>
                      <w:rFonts w:hint="eastAsia" w:ascii="宋体" w:hAnsi="宋体" w:cs="宋体"/>
                      <w:color w:val="000000"/>
                      <w:kern w:val="0"/>
                      <w:szCs w:val="21"/>
                    </w:rPr>
                  </w:pPr>
                </w:p>
              </w:tc>
              <w:tc>
                <w:tcPr>
                  <w:tcW w:w="711" w:type="pct"/>
                  <w:shd w:val="clear" w:color="auto" w:fill="auto"/>
                  <w:vAlign w:val="center"/>
                </w:tcPr>
                <w:p w14:paraId="5F532236">
                  <w:pPr>
                    <w:widowControl/>
                    <w:jc w:val="center"/>
                    <w:rPr>
                      <w:rFonts w:hint="eastAsia" w:ascii="宋体" w:hAnsi="宋体" w:cs="宋体"/>
                      <w:color w:val="000000"/>
                      <w:kern w:val="0"/>
                      <w:szCs w:val="21"/>
                    </w:rPr>
                  </w:pPr>
                  <w:r>
                    <w:rPr>
                      <w:rFonts w:hint="eastAsia" w:ascii="宋体" w:hAnsi="宋体" w:cs="宋体"/>
                      <w:color w:val="000000"/>
                      <w:kern w:val="0"/>
                      <w:szCs w:val="21"/>
                    </w:rPr>
                    <w:t>洗车装置沉淀池底泥</w:t>
                  </w:r>
                </w:p>
              </w:tc>
              <w:tc>
                <w:tcPr>
                  <w:tcW w:w="936" w:type="pct"/>
                  <w:shd w:val="clear" w:color="auto" w:fill="auto"/>
                  <w:vAlign w:val="center"/>
                </w:tcPr>
                <w:p w14:paraId="13545533">
                  <w:pPr>
                    <w:widowControl/>
                    <w:jc w:val="center"/>
                    <w:rPr>
                      <w:rFonts w:eastAsia="等线"/>
                      <w:color w:val="000000"/>
                      <w:kern w:val="0"/>
                      <w:szCs w:val="21"/>
                    </w:rPr>
                  </w:pPr>
                  <w:r>
                    <w:rPr>
                      <w:rFonts w:eastAsia="等线"/>
                      <w:color w:val="000000"/>
                      <w:kern w:val="0"/>
                      <w:szCs w:val="21"/>
                    </w:rPr>
                    <w:t>1.5</w:t>
                  </w:r>
                </w:p>
              </w:tc>
              <w:tc>
                <w:tcPr>
                  <w:tcW w:w="765" w:type="pct"/>
                  <w:shd w:val="clear" w:color="auto" w:fill="auto"/>
                  <w:vAlign w:val="center"/>
                </w:tcPr>
                <w:p w14:paraId="2555485E">
                  <w:pPr>
                    <w:widowControl/>
                    <w:jc w:val="center"/>
                    <w:rPr>
                      <w:rFonts w:eastAsia="等线"/>
                      <w:color w:val="EE0000"/>
                      <w:kern w:val="0"/>
                      <w:szCs w:val="21"/>
                      <w:u w:val="single"/>
                    </w:rPr>
                  </w:pPr>
                  <w:r>
                    <w:rPr>
                      <w:rFonts w:eastAsia="等线"/>
                      <w:color w:val="EE0000"/>
                      <w:kern w:val="0"/>
                      <w:szCs w:val="21"/>
                      <w:u w:val="single"/>
                    </w:rPr>
                    <w:t>1.5</w:t>
                  </w:r>
                </w:p>
              </w:tc>
              <w:tc>
                <w:tcPr>
                  <w:tcW w:w="606" w:type="pct"/>
                  <w:shd w:val="clear" w:color="auto" w:fill="auto"/>
                  <w:vAlign w:val="center"/>
                </w:tcPr>
                <w:p w14:paraId="53C5F286">
                  <w:pPr>
                    <w:widowControl/>
                    <w:jc w:val="center"/>
                    <w:rPr>
                      <w:rFonts w:eastAsia="等线"/>
                      <w:color w:val="000000"/>
                      <w:kern w:val="0"/>
                      <w:szCs w:val="21"/>
                    </w:rPr>
                  </w:pPr>
                  <w:r>
                    <w:rPr>
                      <w:rFonts w:eastAsia="等线"/>
                      <w:color w:val="000000"/>
                      <w:kern w:val="0"/>
                      <w:szCs w:val="21"/>
                    </w:rPr>
                    <w:t>1.5</w:t>
                  </w:r>
                </w:p>
              </w:tc>
              <w:tc>
                <w:tcPr>
                  <w:tcW w:w="988" w:type="pct"/>
                  <w:shd w:val="clear" w:color="auto" w:fill="auto"/>
                  <w:vAlign w:val="center"/>
                </w:tcPr>
                <w:p w14:paraId="6BF5D73E">
                  <w:pPr>
                    <w:widowControl/>
                    <w:jc w:val="center"/>
                    <w:rPr>
                      <w:rFonts w:eastAsia="等线"/>
                      <w:color w:val="EE0000"/>
                      <w:kern w:val="0"/>
                      <w:szCs w:val="21"/>
                      <w:u w:val="single"/>
                    </w:rPr>
                  </w:pPr>
                  <w:r>
                    <w:rPr>
                      <w:rFonts w:eastAsia="等线"/>
                      <w:color w:val="EE0000"/>
                      <w:kern w:val="0"/>
                      <w:szCs w:val="21"/>
                      <w:u w:val="single"/>
                    </w:rPr>
                    <w:t>1.5</w:t>
                  </w:r>
                </w:p>
              </w:tc>
              <w:tc>
                <w:tcPr>
                  <w:tcW w:w="741" w:type="pct"/>
                  <w:shd w:val="clear" w:color="auto" w:fill="auto"/>
                  <w:vAlign w:val="center"/>
                </w:tcPr>
                <w:p w14:paraId="514F5A30">
                  <w:pPr>
                    <w:widowControl/>
                    <w:jc w:val="center"/>
                    <w:rPr>
                      <w:rFonts w:eastAsia="等线"/>
                      <w:color w:val="000000"/>
                      <w:kern w:val="0"/>
                      <w:szCs w:val="21"/>
                    </w:rPr>
                  </w:pPr>
                  <w:r>
                    <w:rPr>
                      <w:rFonts w:eastAsia="等线"/>
                      <w:color w:val="000000"/>
                      <w:kern w:val="0"/>
                      <w:szCs w:val="21"/>
                    </w:rPr>
                    <w:t>0</w:t>
                  </w:r>
                </w:p>
              </w:tc>
            </w:tr>
            <w:tr w14:paraId="0DD9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14739955">
                  <w:pPr>
                    <w:widowControl/>
                    <w:jc w:val="center"/>
                    <w:rPr>
                      <w:rFonts w:hint="eastAsia" w:ascii="宋体" w:hAnsi="宋体" w:cs="宋体"/>
                      <w:color w:val="000000"/>
                      <w:kern w:val="0"/>
                      <w:szCs w:val="21"/>
                    </w:rPr>
                  </w:pPr>
                </w:p>
              </w:tc>
              <w:tc>
                <w:tcPr>
                  <w:tcW w:w="711" w:type="pct"/>
                  <w:shd w:val="clear" w:color="auto" w:fill="auto"/>
                  <w:vAlign w:val="center"/>
                </w:tcPr>
                <w:p w14:paraId="7CB2EA9E">
                  <w:pPr>
                    <w:widowControl/>
                    <w:jc w:val="center"/>
                    <w:rPr>
                      <w:rFonts w:hint="eastAsia" w:ascii="宋体" w:hAnsi="宋体" w:cs="宋体"/>
                      <w:color w:val="000000"/>
                      <w:kern w:val="0"/>
                      <w:szCs w:val="21"/>
                    </w:rPr>
                  </w:pPr>
                  <w:r>
                    <w:rPr>
                      <w:rFonts w:hint="eastAsia" w:ascii="宋体" w:hAnsi="宋体" w:cs="宋体"/>
                      <w:color w:val="000000"/>
                      <w:kern w:val="0"/>
                      <w:szCs w:val="21"/>
                    </w:rPr>
                    <w:t>废机油</w:t>
                  </w:r>
                </w:p>
              </w:tc>
              <w:tc>
                <w:tcPr>
                  <w:tcW w:w="936" w:type="pct"/>
                  <w:shd w:val="clear" w:color="auto" w:fill="auto"/>
                  <w:vAlign w:val="center"/>
                </w:tcPr>
                <w:p w14:paraId="76DFB2E5">
                  <w:pPr>
                    <w:widowControl/>
                    <w:jc w:val="center"/>
                    <w:rPr>
                      <w:rFonts w:eastAsia="等线"/>
                      <w:color w:val="000000"/>
                      <w:kern w:val="0"/>
                      <w:szCs w:val="21"/>
                    </w:rPr>
                  </w:pPr>
                  <w:r>
                    <w:rPr>
                      <w:rFonts w:eastAsia="等线"/>
                      <w:color w:val="000000"/>
                      <w:kern w:val="0"/>
                      <w:szCs w:val="21"/>
                    </w:rPr>
                    <w:t>0.5</w:t>
                  </w:r>
                </w:p>
              </w:tc>
              <w:tc>
                <w:tcPr>
                  <w:tcW w:w="765" w:type="pct"/>
                  <w:shd w:val="clear" w:color="auto" w:fill="auto"/>
                  <w:vAlign w:val="center"/>
                </w:tcPr>
                <w:p w14:paraId="7EDEF300">
                  <w:pPr>
                    <w:widowControl/>
                    <w:jc w:val="center"/>
                    <w:rPr>
                      <w:rFonts w:eastAsia="等线"/>
                      <w:color w:val="EE0000"/>
                      <w:kern w:val="0"/>
                      <w:szCs w:val="21"/>
                      <w:u w:val="single"/>
                    </w:rPr>
                  </w:pPr>
                  <w:r>
                    <w:rPr>
                      <w:rFonts w:eastAsia="等线"/>
                      <w:color w:val="EE0000"/>
                      <w:kern w:val="0"/>
                      <w:szCs w:val="21"/>
                      <w:u w:val="single"/>
                    </w:rPr>
                    <w:t>0.5</w:t>
                  </w:r>
                </w:p>
              </w:tc>
              <w:tc>
                <w:tcPr>
                  <w:tcW w:w="606" w:type="pct"/>
                  <w:shd w:val="clear" w:color="auto" w:fill="auto"/>
                  <w:vAlign w:val="center"/>
                </w:tcPr>
                <w:p w14:paraId="4A1D31EC">
                  <w:pPr>
                    <w:widowControl/>
                    <w:jc w:val="center"/>
                    <w:rPr>
                      <w:rFonts w:eastAsia="等线"/>
                      <w:color w:val="000000"/>
                      <w:kern w:val="0"/>
                      <w:szCs w:val="21"/>
                    </w:rPr>
                  </w:pPr>
                  <w:r>
                    <w:rPr>
                      <w:rFonts w:eastAsia="等线"/>
                      <w:color w:val="000000"/>
                      <w:kern w:val="0"/>
                      <w:szCs w:val="21"/>
                    </w:rPr>
                    <w:t>0.5</w:t>
                  </w:r>
                </w:p>
              </w:tc>
              <w:tc>
                <w:tcPr>
                  <w:tcW w:w="988" w:type="pct"/>
                  <w:shd w:val="clear" w:color="auto" w:fill="auto"/>
                  <w:vAlign w:val="center"/>
                </w:tcPr>
                <w:p w14:paraId="5D110C5D">
                  <w:pPr>
                    <w:widowControl/>
                    <w:jc w:val="center"/>
                    <w:rPr>
                      <w:rFonts w:eastAsia="等线"/>
                      <w:color w:val="EE0000"/>
                      <w:kern w:val="0"/>
                      <w:szCs w:val="21"/>
                      <w:u w:val="single"/>
                    </w:rPr>
                  </w:pPr>
                  <w:r>
                    <w:rPr>
                      <w:rFonts w:eastAsia="等线"/>
                      <w:color w:val="EE0000"/>
                      <w:kern w:val="0"/>
                      <w:szCs w:val="21"/>
                      <w:u w:val="single"/>
                    </w:rPr>
                    <w:t>0.5</w:t>
                  </w:r>
                </w:p>
              </w:tc>
              <w:tc>
                <w:tcPr>
                  <w:tcW w:w="741" w:type="pct"/>
                  <w:shd w:val="clear" w:color="auto" w:fill="auto"/>
                  <w:vAlign w:val="center"/>
                </w:tcPr>
                <w:p w14:paraId="72143F9F">
                  <w:pPr>
                    <w:widowControl/>
                    <w:jc w:val="center"/>
                    <w:rPr>
                      <w:rFonts w:eastAsia="等线"/>
                      <w:color w:val="000000"/>
                      <w:kern w:val="0"/>
                      <w:szCs w:val="21"/>
                    </w:rPr>
                  </w:pPr>
                  <w:r>
                    <w:rPr>
                      <w:rFonts w:eastAsia="等线"/>
                      <w:color w:val="000000"/>
                      <w:kern w:val="0"/>
                      <w:szCs w:val="21"/>
                    </w:rPr>
                    <w:t>0</w:t>
                  </w:r>
                </w:p>
              </w:tc>
            </w:tr>
            <w:tr w14:paraId="2215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3" w:type="pct"/>
                  <w:vMerge w:val="continue"/>
                  <w:vAlign w:val="center"/>
                </w:tcPr>
                <w:p w14:paraId="497F10E9">
                  <w:pPr>
                    <w:widowControl/>
                    <w:jc w:val="center"/>
                    <w:rPr>
                      <w:rFonts w:hint="eastAsia" w:ascii="宋体" w:hAnsi="宋体" w:cs="宋体"/>
                      <w:color w:val="000000"/>
                      <w:kern w:val="0"/>
                      <w:szCs w:val="21"/>
                    </w:rPr>
                  </w:pPr>
                </w:p>
              </w:tc>
              <w:tc>
                <w:tcPr>
                  <w:tcW w:w="711" w:type="pct"/>
                  <w:shd w:val="clear" w:color="auto" w:fill="auto"/>
                  <w:vAlign w:val="center"/>
                </w:tcPr>
                <w:p w14:paraId="733EBFA2">
                  <w:pPr>
                    <w:widowControl/>
                    <w:jc w:val="center"/>
                    <w:rPr>
                      <w:rFonts w:hint="eastAsia" w:ascii="宋体" w:hAnsi="宋体" w:cs="宋体"/>
                      <w:color w:val="000000"/>
                      <w:kern w:val="0"/>
                      <w:szCs w:val="21"/>
                    </w:rPr>
                  </w:pPr>
                  <w:r>
                    <w:rPr>
                      <w:rFonts w:hint="eastAsia" w:ascii="宋体" w:hAnsi="宋体" w:cs="宋体"/>
                      <w:color w:val="000000"/>
                      <w:kern w:val="0"/>
                      <w:szCs w:val="21"/>
                    </w:rPr>
                    <w:t>废活性炭</w:t>
                  </w:r>
                </w:p>
              </w:tc>
              <w:tc>
                <w:tcPr>
                  <w:tcW w:w="936" w:type="pct"/>
                  <w:shd w:val="clear" w:color="auto" w:fill="auto"/>
                  <w:vAlign w:val="center"/>
                </w:tcPr>
                <w:p w14:paraId="494A8DF5">
                  <w:pPr>
                    <w:widowControl/>
                    <w:jc w:val="center"/>
                    <w:rPr>
                      <w:rFonts w:eastAsia="等线"/>
                      <w:color w:val="000000"/>
                      <w:kern w:val="0"/>
                      <w:szCs w:val="21"/>
                    </w:rPr>
                  </w:pPr>
                  <w:r>
                    <w:rPr>
                      <w:rFonts w:eastAsia="等线"/>
                      <w:color w:val="000000"/>
                      <w:kern w:val="0"/>
                      <w:szCs w:val="21"/>
                    </w:rPr>
                    <w:t>0</w:t>
                  </w:r>
                </w:p>
              </w:tc>
              <w:tc>
                <w:tcPr>
                  <w:tcW w:w="765" w:type="pct"/>
                  <w:shd w:val="clear" w:color="auto" w:fill="auto"/>
                  <w:vAlign w:val="center"/>
                </w:tcPr>
                <w:p w14:paraId="4C34BD41">
                  <w:pPr>
                    <w:widowControl/>
                    <w:jc w:val="center"/>
                    <w:rPr>
                      <w:rFonts w:eastAsia="等线"/>
                      <w:color w:val="EE0000"/>
                      <w:kern w:val="0"/>
                      <w:szCs w:val="21"/>
                      <w:u w:val="single"/>
                    </w:rPr>
                  </w:pPr>
                  <w:r>
                    <w:rPr>
                      <w:rFonts w:eastAsia="等线"/>
                      <w:color w:val="EE0000"/>
                      <w:kern w:val="0"/>
                      <w:szCs w:val="21"/>
                      <w:u w:val="single"/>
                    </w:rPr>
                    <w:t>0.88</w:t>
                  </w:r>
                </w:p>
              </w:tc>
              <w:tc>
                <w:tcPr>
                  <w:tcW w:w="606" w:type="pct"/>
                  <w:shd w:val="clear" w:color="auto" w:fill="auto"/>
                  <w:vAlign w:val="center"/>
                </w:tcPr>
                <w:p w14:paraId="1E4D4ADF">
                  <w:pPr>
                    <w:widowControl/>
                    <w:jc w:val="center"/>
                    <w:rPr>
                      <w:rFonts w:eastAsia="等线"/>
                      <w:color w:val="000000"/>
                      <w:kern w:val="0"/>
                      <w:szCs w:val="21"/>
                    </w:rPr>
                  </w:pPr>
                  <w:r>
                    <w:rPr>
                      <w:rFonts w:eastAsia="等线"/>
                      <w:color w:val="000000"/>
                      <w:kern w:val="0"/>
                      <w:szCs w:val="21"/>
                    </w:rPr>
                    <w:t>0</w:t>
                  </w:r>
                </w:p>
              </w:tc>
              <w:tc>
                <w:tcPr>
                  <w:tcW w:w="988" w:type="pct"/>
                  <w:shd w:val="clear" w:color="auto" w:fill="auto"/>
                  <w:vAlign w:val="center"/>
                </w:tcPr>
                <w:p w14:paraId="163E01D7">
                  <w:pPr>
                    <w:widowControl/>
                    <w:jc w:val="center"/>
                    <w:rPr>
                      <w:rFonts w:eastAsia="等线"/>
                      <w:color w:val="EE0000"/>
                      <w:kern w:val="0"/>
                      <w:szCs w:val="21"/>
                      <w:u w:val="single"/>
                    </w:rPr>
                  </w:pPr>
                  <w:r>
                    <w:rPr>
                      <w:rFonts w:eastAsia="等线"/>
                      <w:color w:val="EE0000"/>
                      <w:kern w:val="0"/>
                      <w:szCs w:val="21"/>
                      <w:u w:val="single"/>
                    </w:rPr>
                    <w:t>0.88</w:t>
                  </w:r>
                </w:p>
              </w:tc>
              <w:tc>
                <w:tcPr>
                  <w:tcW w:w="741" w:type="pct"/>
                  <w:shd w:val="clear" w:color="auto" w:fill="auto"/>
                  <w:vAlign w:val="center"/>
                </w:tcPr>
                <w:p w14:paraId="63D94AC1">
                  <w:pPr>
                    <w:widowControl/>
                    <w:jc w:val="center"/>
                    <w:rPr>
                      <w:rFonts w:eastAsia="等线"/>
                      <w:color w:val="000000"/>
                      <w:kern w:val="0"/>
                      <w:szCs w:val="21"/>
                    </w:rPr>
                  </w:pPr>
                  <w:r>
                    <w:rPr>
                      <w:rFonts w:eastAsia="等线"/>
                      <w:color w:val="000000"/>
                      <w:kern w:val="0"/>
                      <w:szCs w:val="21"/>
                    </w:rPr>
                    <w:t>0.88</w:t>
                  </w:r>
                </w:p>
              </w:tc>
            </w:tr>
          </w:tbl>
          <w:p w14:paraId="362581FC">
            <w:pPr>
              <w:adjustRightInd w:val="0"/>
              <w:snapToGrid w:val="0"/>
              <w:spacing w:line="520" w:lineRule="exact"/>
              <w:rPr>
                <w:rFonts w:eastAsia="黑体"/>
                <w:bCs/>
                <w:sz w:val="24"/>
              </w:rPr>
            </w:pPr>
            <w:r>
              <w:rPr>
                <w:rFonts w:hint="eastAsia" w:eastAsia="黑体"/>
                <w:bCs/>
                <w:sz w:val="24"/>
              </w:rPr>
              <w:t>7</w:t>
            </w:r>
            <w:r>
              <w:rPr>
                <w:rFonts w:eastAsia="黑体"/>
                <w:bCs/>
                <w:sz w:val="24"/>
              </w:rPr>
              <w:t>、环保投资及验收</w:t>
            </w:r>
          </w:p>
          <w:p w14:paraId="57F869D3">
            <w:pPr>
              <w:pStyle w:val="17"/>
              <w:widowControl w:val="0"/>
              <w:snapToGrid/>
              <w:spacing w:before="0" w:after="0" w:line="520" w:lineRule="exact"/>
              <w:ind w:right="0" w:firstLine="482"/>
              <w:rPr>
                <w:b/>
                <w:bCs/>
                <w:color w:val="EE0000"/>
                <w:sz w:val="24"/>
              </w:rPr>
            </w:pPr>
            <w:r>
              <w:rPr>
                <w:sz w:val="24"/>
                <w:szCs w:val="24"/>
              </w:rPr>
              <w:t>本项目总投资3600万元，其中环保投资为</w:t>
            </w:r>
            <w:r>
              <w:rPr>
                <w:rFonts w:hint="eastAsia"/>
                <w:sz w:val="24"/>
                <w:szCs w:val="24"/>
              </w:rPr>
              <w:t>235</w:t>
            </w:r>
            <w:r>
              <w:rPr>
                <w:sz w:val="24"/>
                <w:szCs w:val="24"/>
              </w:rPr>
              <w:t>万元，环保投资占总投资的</w:t>
            </w:r>
            <w:r>
              <w:rPr>
                <w:rFonts w:hint="eastAsia"/>
                <w:sz w:val="24"/>
                <w:szCs w:val="24"/>
              </w:rPr>
              <w:t>6.53</w:t>
            </w:r>
            <w:r>
              <w:rPr>
                <w:rFonts w:eastAsia="Times New Roman"/>
                <w:sz w:val="24"/>
                <w:szCs w:val="24"/>
              </w:rPr>
              <w:t>%</w:t>
            </w:r>
            <w:r>
              <w:rPr>
                <w:sz w:val="24"/>
                <w:szCs w:val="24"/>
              </w:rPr>
              <w:t>。环保投资估算及“三同时”验收一览表见下表。</w:t>
            </w:r>
          </w:p>
          <w:p w14:paraId="2C07FE97">
            <w:pPr>
              <w:adjustRightInd w:val="0"/>
              <w:snapToGrid w:val="0"/>
              <w:spacing w:line="520" w:lineRule="exact"/>
              <w:jc w:val="center"/>
              <w:rPr>
                <w:rFonts w:eastAsia="黑体"/>
                <w:bCs/>
                <w:sz w:val="24"/>
              </w:rPr>
            </w:pPr>
          </w:p>
          <w:p w14:paraId="7000B637">
            <w:pPr>
              <w:adjustRightInd w:val="0"/>
              <w:snapToGrid w:val="0"/>
              <w:spacing w:line="520" w:lineRule="exact"/>
              <w:jc w:val="center"/>
              <w:rPr>
                <w:rFonts w:eastAsia="黑体"/>
                <w:bCs/>
                <w:sz w:val="24"/>
              </w:rPr>
            </w:pPr>
            <w:r>
              <w:rPr>
                <w:rFonts w:eastAsia="黑体"/>
                <w:bCs/>
                <w:sz w:val="24"/>
              </w:rPr>
              <w:t>表4-</w:t>
            </w:r>
            <w:r>
              <w:rPr>
                <w:rFonts w:hint="eastAsia" w:eastAsia="黑体"/>
                <w:bCs/>
                <w:sz w:val="24"/>
              </w:rPr>
              <w:t>32</w:t>
            </w:r>
            <w:r>
              <w:rPr>
                <w:rFonts w:eastAsia="黑体"/>
                <w:bCs/>
                <w:sz w:val="24"/>
              </w:rPr>
              <w:t xml:space="preserve">      环保投资及自主验收一览表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26"/>
              <w:gridCol w:w="1081"/>
              <w:gridCol w:w="3241"/>
              <w:gridCol w:w="1536"/>
              <w:gridCol w:w="698"/>
              <w:gridCol w:w="1294"/>
            </w:tblGrid>
            <w:tr w14:paraId="7F11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20" w:hRule="atLeast"/>
              </w:trPr>
              <w:tc>
                <w:tcPr>
                  <w:tcW w:w="910" w:type="pct"/>
                  <w:gridSpan w:val="2"/>
                  <w:tcMar>
                    <w:top w:w="57" w:type="dxa"/>
                    <w:bottom w:w="57" w:type="dxa"/>
                  </w:tcMar>
                  <w:vAlign w:val="center"/>
                </w:tcPr>
                <w:p w14:paraId="665B51C4">
                  <w:pPr>
                    <w:adjustRightInd w:val="0"/>
                    <w:snapToGrid w:val="0"/>
                    <w:jc w:val="center"/>
                    <w:rPr>
                      <w:szCs w:val="21"/>
                    </w:rPr>
                  </w:pPr>
                  <w:r>
                    <w:rPr>
                      <w:szCs w:val="21"/>
                    </w:rPr>
                    <w:t>产污环节</w:t>
                  </w:r>
                </w:p>
              </w:tc>
              <w:tc>
                <w:tcPr>
                  <w:tcW w:w="1958" w:type="pct"/>
                  <w:tcMar>
                    <w:top w:w="57" w:type="dxa"/>
                    <w:bottom w:w="57" w:type="dxa"/>
                  </w:tcMar>
                  <w:vAlign w:val="center"/>
                </w:tcPr>
                <w:p w14:paraId="585CBAB9">
                  <w:pPr>
                    <w:adjustRightInd w:val="0"/>
                    <w:snapToGrid w:val="0"/>
                    <w:jc w:val="center"/>
                    <w:rPr>
                      <w:szCs w:val="21"/>
                    </w:rPr>
                  </w:pPr>
                  <w:r>
                    <w:rPr>
                      <w:szCs w:val="21"/>
                    </w:rPr>
                    <w:t>环保工程内容</w:t>
                  </w:r>
                </w:p>
              </w:tc>
              <w:tc>
                <w:tcPr>
                  <w:tcW w:w="928" w:type="pct"/>
                  <w:tcMar>
                    <w:top w:w="57" w:type="dxa"/>
                    <w:bottom w:w="57" w:type="dxa"/>
                  </w:tcMar>
                  <w:vAlign w:val="center"/>
                </w:tcPr>
                <w:p w14:paraId="787421F9">
                  <w:pPr>
                    <w:adjustRightInd w:val="0"/>
                    <w:snapToGrid w:val="0"/>
                    <w:jc w:val="center"/>
                    <w:rPr>
                      <w:szCs w:val="21"/>
                    </w:rPr>
                  </w:pPr>
                  <w:r>
                    <w:rPr>
                      <w:szCs w:val="21"/>
                    </w:rPr>
                    <w:t>验收指标</w:t>
                  </w:r>
                </w:p>
              </w:tc>
              <w:tc>
                <w:tcPr>
                  <w:tcW w:w="422" w:type="pct"/>
                  <w:tcMar>
                    <w:top w:w="57" w:type="dxa"/>
                    <w:bottom w:w="57" w:type="dxa"/>
                  </w:tcMar>
                  <w:vAlign w:val="center"/>
                </w:tcPr>
                <w:p w14:paraId="1A483456">
                  <w:pPr>
                    <w:adjustRightInd w:val="0"/>
                    <w:snapToGrid w:val="0"/>
                    <w:jc w:val="center"/>
                    <w:rPr>
                      <w:szCs w:val="21"/>
                    </w:rPr>
                  </w:pPr>
                  <w:r>
                    <w:rPr>
                      <w:szCs w:val="21"/>
                    </w:rPr>
                    <w:t>投资（万元）</w:t>
                  </w:r>
                </w:p>
              </w:tc>
              <w:tc>
                <w:tcPr>
                  <w:tcW w:w="782" w:type="pct"/>
                  <w:vAlign w:val="center"/>
                </w:tcPr>
                <w:p w14:paraId="5F0C89DA">
                  <w:pPr>
                    <w:adjustRightInd w:val="0"/>
                    <w:snapToGrid w:val="0"/>
                    <w:jc w:val="center"/>
                    <w:rPr>
                      <w:szCs w:val="21"/>
                    </w:rPr>
                  </w:pPr>
                  <w:r>
                    <w:rPr>
                      <w:szCs w:val="21"/>
                    </w:rPr>
                    <w:t>备注</w:t>
                  </w:r>
                </w:p>
              </w:tc>
            </w:tr>
            <w:tr w14:paraId="1E61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4" w:hRule="atLeast"/>
              </w:trPr>
              <w:tc>
                <w:tcPr>
                  <w:tcW w:w="257" w:type="pct"/>
                  <w:vMerge w:val="restart"/>
                  <w:tcMar>
                    <w:top w:w="57" w:type="dxa"/>
                    <w:bottom w:w="57" w:type="dxa"/>
                  </w:tcMar>
                  <w:vAlign w:val="center"/>
                </w:tcPr>
                <w:p w14:paraId="58124D41">
                  <w:pPr>
                    <w:adjustRightInd w:val="0"/>
                    <w:snapToGrid w:val="0"/>
                    <w:jc w:val="center"/>
                    <w:rPr>
                      <w:szCs w:val="21"/>
                    </w:rPr>
                  </w:pPr>
                  <w:r>
                    <w:rPr>
                      <w:szCs w:val="21"/>
                    </w:rPr>
                    <w:t>废气</w:t>
                  </w:r>
                </w:p>
              </w:tc>
              <w:tc>
                <w:tcPr>
                  <w:tcW w:w="652" w:type="pct"/>
                  <w:vMerge w:val="restart"/>
                  <w:tcMar>
                    <w:top w:w="57" w:type="dxa"/>
                    <w:bottom w:w="57" w:type="dxa"/>
                  </w:tcMar>
                  <w:vAlign w:val="center"/>
                </w:tcPr>
                <w:p w14:paraId="512AAA3A">
                  <w:pPr>
                    <w:jc w:val="center"/>
                    <w:rPr>
                      <w:szCs w:val="21"/>
                    </w:rPr>
                  </w:pPr>
                  <w:bookmarkStart w:id="44" w:name="_Hlk219454146"/>
                  <w:r>
                    <w:rPr>
                      <w:kern w:val="0"/>
                      <w:szCs w:val="21"/>
                    </w:rPr>
                    <w:t>原料制备粉尘</w:t>
                  </w:r>
                  <w:bookmarkEnd w:id="44"/>
                </w:p>
              </w:tc>
              <w:tc>
                <w:tcPr>
                  <w:tcW w:w="1958" w:type="pct"/>
                  <w:tcMar>
                    <w:top w:w="57" w:type="dxa"/>
                    <w:bottom w:w="57" w:type="dxa"/>
                  </w:tcMar>
                  <w:vAlign w:val="center"/>
                </w:tcPr>
                <w:p w14:paraId="6CD15752">
                  <w:pPr>
                    <w:adjustRightInd w:val="0"/>
                    <w:snapToGrid w:val="0"/>
                    <w:jc w:val="center"/>
                    <w:rPr>
                      <w:szCs w:val="21"/>
                    </w:rPr>
                  </w:pPr>
                  <w:r>
                    <w:rPr>
                      <w:szCs w:val="21"/>
                    </w:rPr>
                    <w:t>喂料口三面封闭集气，破碎设备二次封闭集气，废气经1台袋式除尘器处理后共同经1根15m高排气筒DA002排放</w:t>
                  </w:r>
                </w:p>
              </w:tc>
              <w:tc>
                <w:tcPr>
                  <w:tcW w:w="928" w:type="pct"/>
                  <w:vMerge w:val="restart"/>
                  <w:tcMar>
                    <w:top w:w="57" w:type="dxa"/>
                    <w:bottom w:w="57" w:type="dxa"/>
                  </w:tcMar>
                  <w:vAlign w:val="center"/>
                </w:tcPr>
                <w:p w14:paraId="360FE657">
                  <w:pPr>
                    <w:adjustRightInd w:val="0"/>
                    <w:snapToGrid w:val="0"/>
                    <w:jc w:val="center"/>
                    <w:rPr>
                      <w:szCs w:val="21"/>
                    </w:rPr>
                  </w:pPr>
                  <w:r>
                    <w:rPr>
                      <w:szCs w:val="21"/>
                    </w:rPr>
                    <w:t>《砖瓦工业大气污染物排放标准》（DB41/2234-2022）、《城镇污水处理污泥处置 单独焚烧用泥质》(GB/T26402-2009)表3标准限值、《重污染天气重点行业应急减排措施制定技术指南(2020年修订版)》中</w:t>
                  </w:r>
                  <w:r>
                    <w:rPr>
                      <w:bCs/>
                      <w:szCs w:val="21"/>
                    </w:rPr>
                    <w:t>烧结砖瓦制品企业绩效分级</w:t>
                  </w:r>
                  <w:r>
                    <w:rPr>
                      <w:szCs w:val="21"/>
                    </w:rPr>
                    <w:t>A 级</w:t>
                  </w:r>
                  <w:r>
                    <w:rPr>
                      <w:bCs/>
                      <w:szCs w:val="21"/>
                    </w:rPr>
                    <w:t>指标</w:t>
                  </w:r>
                </w:p>
              </w:tc>
              <w:tc>
                <w:tcPr>
                  <w:tcW w:w="422" w:type="pct"/>
                  <w:tcMar>
                    <w:top w:w="57" w:type="dxa"/>
                    <w:bottom w:w="57" w:type="dxa"/>
                  </w:tcMar>
                  <w:vAlign w:val="center"/>
                </w:tcPr>
                <w:p w14:paraId="1B0473B2">
                  <w:pPr>
                    <w:adjustRightInd w:val="0"/>
                    <w:snapToGrid w:val="0"/>
                    <w:jc w:val="center"/>
                    <w:rPr>
                      <w:szCs w:val="21"/>
                    </w:rPr>
                  </w:pPr>
                  <w:r>
                    <w:rPr>
                      <w:rFonts w:hint="eastAsia"/>
                      <w:szCs w:val="21"/>
                    </w:rPr>
                    <w:t>10</w:t>
                  </w:r>
                </w:p>
              </w:tc>
              <w:tc>
                <w:tcPr>
                  <w:tcW w:w="782" w:type="pct"/>
                  <w:vAlign w:val="center"/>
                </w:tcPr>
                <w:p w14:paraId="14D73036">
                  <w:pPr>
                    <w:adjustRightInd w:val="0"/>
                    <w:snapToGrid w:val="0"/>
                    <w:jc w:val="center"/>
                    <w:rPr>
                      <w:szCs w:val="21"/>
                    </w:rPr>
                  </w:pPr>
                  <w:r>
                    <w:rPr>
                      <w:rFonts w:hint="eastAsia"/>
                      <w:szCs w:val="21"/>
                    </w:rPr>
                    <w:t>新增</w:t>
                  </w:r>
                </w:p>
              </w:tc>
            </w:tr>
            <w:tr w14:paraId="4CC4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8" w:hRule="atLeast"/>
              </w:trPr>
              <w:tc>
                <w:tcPr>
                  <w:tcW w:w="257" w:type="pct"/>
                  <w:vMerge w:val="continue"/>
                  <w:tcMar>
                    <w:top w:w="57" w:type="dxa"/>
                    <w:bottom w:w="57" w:type="dxa"/>
                  </w:tcMar>
                  <w:vAlign w:val="center"/>
                </w:tcPr>
                <w:p w14:paraId="29ED254C">
                  <w:pPr>
                    <w:adjustRightInd w:val="0"/>
                    <w:snapToGrid w:val="0"/>
                    <w:jc w:val="center"/>
                    <w:rPr>
                      <w:szCs w:val="21"/>
                    </w:rPr>
                  </w:pPr>
                </w:p>
              </w:tc>
              <w:tc>
                <w:tcPr>
                  <w:tcW w:w="652" w:type="pct"/>
                  <w:vMerge w:val="continue"/>
                  <w:tcMar>
                    <w:top w:w="57" w:type="dxa"/>
                    <w:bottom w:w="57" w:type="dxa"/>
                  </w:tcMar>
                  <w:vAlign w:val="center"/>
                </w:tcPr>
                <w:p w14:paraId="09BCA6A9">
                  <w:pPr>
                    <w:jc w:val="center"/>
                    <w:rPr>
                      <w:kern w:val="0"/>
                      <w:szCs w:val="21"/>
                    </w:rPr>
                  </w:pPr>
                </w:p>
              </w:tc>
              <w:tc>
                <w:tcPr>
                  <w:tcW w:w="1958" w:type="pct"/>
                  <w:tcMar>
                    <w:top w:w="57" w:type="dxa"/>
                    <w:bottom w:w="57" w:type="dxa"/>
                  </w:tcMar>
                  <w:vAlign w:val="center"/>
                </w:tcPr>
                <w:p w14:paraId="255250E7">
                  <w:pPr>
                    <w:adjustRightInd w:val="0"/>
                    <w:snapToGrid w:val="0"/>
                    <w:jc w:val="center"/>
                    <w:rPr>
                      <w:szCs w:val="21"/>
                    </w:rPr>
                  </w:pPr>
                  <w:r>
                    <w:rPr>
                      <w:szCs w:val="21"/>
                    </w:rPr>
                    <w:t>筛分、搅拌设备二次封闭集气，废气经1台袋式除尘器处理后共同经1根15m高排气筒DA001排放</w:t>
                  </w:r>
                </w:p>
              </w:tc>
              <w:tc>
                <w:tcPr>
                  <w:tcW w:w="928" w:type="pct"/>
                  <w:vMerge w:val="continue"/>
                  <w:tcMar>
                    <w:top w:w="57" w:type="dxa"/>
                    <w:bottom w:w="57" w:type="dxa"/>
                  </w:tcMar>
                  <w:vAlign w:val="center"/>
                </w:tcPr>
                <w:p w14:paraId="61F66789">
                  <w:pPr>
                    <w:adjustRightInd w:val="0"/>
                    <w:snapToGrid w:val="0"/>
                    <w:jc w:val="center"/>
                    <w:rPr>
                      <w:szCs w:val="21"/>
                    </w:rPr>
                  </w:pPr>
                </w:p>
              </w:tc>
              <w:tc>
                <w:tcPr>
                  <w:tcW w:w="422" w:type="pct"/>
                  <w:tcMar>
                    <w:top w:w="57" w:type="dxa"/>
                    <w:bottom w:w="57" w:type="dxa"/>
                  </w:tcMar>
                  <w:vAlign w:val="center"/>
                </w:tcPr>
                <w:p w14:paraId="44EEE6C2">
                  <w:pPr>
                    <w:adjustRightInd w:val="0"/>
                    <w:snapToGrid w:val="0"/>
                    <w:jc w:val="center"/>
                    <w:rPr>
                      <w:szCs w:val="21"/>
                    </w:rPr>
                  </w:pPr>
                  <w:r>
                    <w:rPr>
                      <w:rFonts w:hint="eastAsia"/>
                      <w:szCs w:val="21"/>
                    </w:rPr>
                    <w:t>10</w:t>
                  </w:r>
                </w:p>
              </w:tc>
              <w:tc>
                <w:tcPr>
                  <w:tcW w:w="782" w:type="pct"/>
                  <w:vAlign w:val="center"/>
                </w:tcPr>
                <w:p w14:paraId="1C178136">
                  <w:pPr>
                    <w:adjustRightInd w:val="0"/>
                    <w:snapToGrid w:val="0"/>
                    <w:jc w:val="center"/>
                    <w:rPr>
                      <w:szCs w:val="21"/>
                    </w:rPr>
                  </w:pPr>
                  <w:r>
                    <w:rPr>
                      <w:rFonts w:hint="eastAsia"/>
                      <w:szCs w:val="21"/>
                    </w:rPr>
                    <w:t>新增</w:t>
                  </w:r>
                </w:p>
              </w:tc>
            </w:tr>
            <w:tr w14:paraId="2115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4" w:hRule="atLeast"/>
              </w:trPr>
              <w:tc>
                <w:tcPr>
                  <w:tcW w:w="257" w:type="pct"/>
                  <w:vMerge w:val="continue"/>
                  <w:tcMar>
                    <w:top w:w="57" w:type="dxa"/>
                    <w:bottom w:w="57" w:type="dxa"/>
                  </w:tcMar>
                  <w:vAlign w:val="center"/>
                </w:tcPr>
                <w:p w14:paraId="65AD08FC">
                  <w:pPr>
                    <w:adjustRightInd w:val="0"/>
                    <w:snapToGrid w:val="0"/>
                    <w:jc w:val="center"/>
                    <w:rPr>
                      <w:szCs w:val="21"/>
                    </w:rPr>
                  </w:pPr>
                </w:p>
              </w:tc>
              <w:tc>
                <w:tcPr>
                  <w:tcW w:w="652" w:type="pct"/>
                  <w:tcMar>
                    <w:top w:w="57" w:type="dxa"/>
                    <w:bottom w:w="57" w:type="dxa"/>
                  </w:tcMar>
                  <w:vAlign w:val="center"/>
                </w:tcPr>
                <w:p w14:paraId="3A3E85B0">
                  <w:pPr>
                    <w:jc w:val="center"/>
                    <w:rPr>
                      <w:kern w:val="0"/>
                      <w:szCs w:val="21"/>
                    </w:rPr>
                  </w:pPr>
                  <w:r>
                    <w:rPr>
                      <w:kern w:val="0"/>
                      <w:szCs w:val="21"/>
                    </w:rPr>
                    <w:t>窑车清理粉尘</w:t>
                  </w:r>
                </w:p>
              </w:tc>
              <w:tc>
                <w:tcPr>
                  <w:tcW w:w="1958" w:type="pct"/>
                  <w:tcMar>
                    <w:top w:w="57" w:type="dxa"/>
                    <w:bottom w:w="57" w:type="dxa"/>
                  </w:tcMar>
                  <w:vAlign w:val="center"/>
                </w:tcPr>
                <w:p w14:paraId="0B9B781F">
                  <w:pPr>
                    <w:adjustRightInd w:val="0"/>
                    <w:snapToGrid w:val="0"/>
                    <w:jc w:val="center"/>
                    <w:rPr>
                      <w:szCs w:val="21"/>
                    </w:rPr>
                  </w:pPr>
                  <w:r>
                    <w:rPr>
                      <w:szCs w:val="21"/>
                    </w:rPr>
                    <w:t>经集气罩收集后经1台袋式除尘器处理，处理后的废气引入排气筒DA004排放</w:t>
                  </w:r>
                </w:p>
              </w:tc>
              <w:tc>
                <w:tcPr>
                  <w:tcW w:w="928" w:type="pct"/>
                  <w:vMerge w:val="continue"/>
                  <w:tcMar>
                    <w:top w:w="57" w:type="dxa"/>
                    <w:bottom w:w="57" w:type="dxa"/>
                  </w:tcMar>
                  <w:vAlign w:val="center"/>
                </w:tcPr>
                <w:p w14:paraId="665C062A">
                  <w:pPr>
                    <w:adjustRightInd w:val="0"/>
                    <w:snapToGrid w:val="0"/>
                    <w:jc w:val="center"/>
                    <w:rPr>
                      <w:szCs w:val="21"/>
                    </w:rPr>
                  </w:pPr>
                </w:p>
              </w:tc>
              <w:tc>
                <w:tcPr>
                  <w:tcW w:w="422" w:type="pct"/>
                  <w:tcMar>
                    <w:top w:w="57" w:type="dxa"/>
                    <w:bottom w:w="57" w:type="dxa"/>
                  </w:tcMar>
                  <w:vAlign w:val="center"/>
                </w:tcPr>
                <w:p w14:paraId="73656F58">
                  <w:pPr>
                    <w:adjustRightInd w:val="0"/>
                    <w:snapToGrid w:val="0"/>
                    <w:jc w:val="center"/>
                    <w:rPr>
                      <w:szCs w:val="21"/>
                    </w:rPr>
                  </w:pPr>
                  <w:r>
                    <w:rPr>
                      <w:szCs w:val="21"/>
                    </w:rPr>
                    <w:t>/</w:t>
                  </w:r>
                </w:p>
              </w:tc>
              <w:tc>
                <w:tcPr>
                  <w:tcW w:w="782" w:type="pct"/>
                  <w:vAlign w:val="center"/>
                </w:tcPr>
                <w:p w14:paraId="156D6700">
                  <w:pPr>
                    <w:adjustRightInd w:val="0"/>
                    <w:snapToGrid w:val="0"/>
                    <w:jc w:val="center"/>
                    <w:rPr>
                      <w:szCs w:val="21"/>
                    </w:rPr>
                  </w:pPr>
                  <w:r>
                    <w:rPr>
                      <w:szCs w:val="21"/>
                    </w:rPr>
                    <w:t>利用现有</w:t>
                  </w:r>
                </w:p>
              </w:tc>
            </w:tr>
            <w:tr w14:paraId="3C71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4" w:hRule="atLeast"/>
              </w:trPr>
              <w:tc>
                <w:tcPr>
                  <w:tcW w:w="257" w:type="pct"/>
                  <w:vMerge w:val="continue"/>
                  <w:tcMar>
                    <w:top w:w="57" w:type="dxa"/>
                    <w:bottom w:w="57" w:type="dxa"/>
                  </w:tcMar>
                  <w:vAlign w:val="center"/>
                </w:tcPr>
                <w:p w14:paraId="4635837D">
                  <w:pPr>
                    <w:adjustRightInd w:val="0"/>
                    <w:snapToGrid w:val="0"/>
                    <w:jc w:val="center"/>
                    <w:rPr>
                      <w:szCs w:val="21"/>
                    </w:rPr>
                  </w:pPr>
                </w:p>
              </w:tc>
              <w:tc>
                <w:tcPr>
                  <w:tcW w:w="652" w:type="pct"/>
                  <w:tcMar>
                    <w:top w:w="57" w:type="dxa"/>
                    <w:bottom w:w="57" w:type="dxa"/>
                  </w:tcMar>
                  <w:vAlign w:val="center"/>
                </w:tcPr>
                <w:p w14:paraId="0E023D56">
                  <w:pPr>
                    <w:jc w:val="center"/>
                    <w:rPr>
                      <w:kern w:val="0"/>
                      <w:szCs w:val="21"/>
                    </w:rPr>
                  </w:pPr>
                  <w:r>
                    <w:rPr>
                      <w:spacing w:val="-4"/>
                      <w:szCs w:val="21"/>
                    </w:rPr>
                    <w:t>窑炉烟气</w:t>
                  </w:r>
                </w:p>
              </w:tc>
              <w:tc>
                <w:tcPr>
                  <w:tcW w:w="1958" w:type="pct"/>
                  <w:tcMar>
                    <w:top w:w="57" w:type="dxa"/>
                    <w:bottom w:w="57" w:type="dxa"/>
                  </w:tcMar>
                  <w:vAlign w:val="center"/>
                </w:tcPr>
                <w:p w14:paraId="06F7C770">
                  <w:pPr>
                    <w:adjustRightInd w:val="0"/>
                    <w:snapToGrid w:val="0"/>
                    <w:jc w:val="center"/>
                    <w:rPr>
                      <w:szCs w:val="21"/>
                    </w:rPr>
                  </w:pPr>
                  <w:r>
                    <w:rPr>
                      <w:kern w:val="0"/>
                      <w:szCs w:val="21"/>
                    </w:rPr>
                    <w:t>经1套“SNCR脱硝＋石灰-石膏湿法脱硫塔＋湿电除尘器（2台）”处理后经1根18m 高排气筒DA003排放</w:t>
                  </w:r>
                  <w:r>
                    <w:rPr>
                      <w:bCs/>
                      <w:szCs w:val="21"/>
                    </w:rPr>
                    <w:t xml:space="preserve"> </w:t>
                  </w:r>
                </w:p>
              </w:tc>
              <w:tc>
                <w:tcPr>
                  <w:tcW w:w="928" w:type="pct"/>
                  <w:vMerge w:val="continue"/>
                  <w:tcMar>
                    <w:top w:w="57" w:type="dxa"/>
                    <w:bottom w:w="57" w:type="dxa"/>
                  </w:tcMar>
                  <w:vAlign w:val="center"/>
                </w:tcPr>
                <w:p w14:paraId="6AAADA31">
                  <w:pPr>
                    <w:adjustRightInd w:val="0"/>
                    <w:snapToGrid w:val="0"/>
                    <w:jc w:val="center"/>
                    <w:rPr>
                      <w:szCs w:val="21"/>
                    </w:rPr>
                  </w:pPr>
                </w:p>
              </w:tc>
              <w:tc>
                <w:tcPr>
                  <w:tcW w:w="422" w:type="pct"/>
                  <w:tcMar>
                    <w:top w:w="57" w:type="dxa"/>
                    <w:bottom w:w="57" w:type="dxa"/>
                  </w:tcMar>
                  <w:vAlign w:val="center"/>
                </w:tcPr>
                <w:p w14:paraId="37818715">
                  <w:pPr>
                    <w:adjustRightInd w:val="0"/>
                    <w:snapToGrid w:val="0"/>
                    <w:jc w:val="center"/>
                    <w:rPr>
                      <w:szCs w:val="21"/>
                    </w:rPr>
                  </w:pPr>
                  <w:r>
                    <w:rPr>
                      <w:szCs w:val="21"/>
                    </w:rPr>
                    <w:t>150</w:t>
                  </w:r>
                </w:p>
              </w:tc>
              <w:tc>
                <w:tcPr>
                  <w:tcW w:w="782" w:type="pct"/>
                  <w:vAlign w:val="center"/>
                </w:tcPr>
                <w:p w14:paraId="7F27FF13">
                  <w:pPr>
                    <w:adjustRightInd w:val="0"/>
                    <w:snapToGrid w:val="0"/>
                    <w:jc w:val="center"/>
                    <w:rPr>
                      <w:szCs w:val="21"/>
                    </w:rPr>
                  </w:pPr>
                  <w:r>
                    <w:rPr>
                      <w:szCs w:val="21"/>
                    </w:rPr>
                    <w:t>湿电除尘器利用现有1台，新增1台，脱硫、脱硝设施新增</w:t>
                  </w:r>
                </w:p>
              </w:tc>
            </w:tr>
            <w:tr w14:paraId="770B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4" w:hRule="atLeast"/>
              </w:trPr>
              <w:tc>
                <w:tcPr>
                  <w:tcW w:w="257" w:type="pct"/>
                  <w:vMerge w:val="continue"/>
                  <w:tcMar>
                    <w:top w:w="57" w:type="dxa"/>
                    <w:bottom w:w="57" w:type="dxa"/>
                  </w:tcMar>
                  <w:vAlign w:val="center"/>
                </w:tcPr>
                <w:p w14:paraId="2C519F15">
                  <w:pPr>
                    <w:adjustRightInd w:val="0"/>
                    <w:snapToGrid w:val="0"/>
                    <w:jc w:val="center"/>
                    <w:rPr>
                      <w:szCs w:val="21"/>
                    </w:rPr>
                  </w:pPr>
                </w:p>
              </w:tc>
              <w:tc>
                <w:tcPr>
                  <w:tcW w:w="652" w:type="pct"/>
                  <w:tcMar>
                    <w:top w:w="57" w:type="dxa"/>
                    <w:bottom w:w="57" w:type="dxa"/>
                  </w:tcMar>
                  <w:vAlign w:val="center"/>
                </w:tcPr>
                <w:p w14:paraId="5250A6BF">
                  <w:pPr>
                    <w:jc w:val="center"/>
                    <w:rPr>
                      <w:spacing w:val="-4"/>
                      <w:szCs w:val="21"/>
                    </w:rPr>
                  </w:pPr>
                  <w:r>
                    <w:rPr>
                      <w:spacing w:val="-4"/>
                      <w:szCs w:val="21"/>
                    </w:rPr>
                    <w:t>污泥储存恶臭</w:t>
                  </w:r>
                </w:p>
              </w:tc>
              <w:tc>
                <w:tcPr>
                  <w:tcW w:w="1958" w:type="pct"/>
                  <w:tcMar>
                    <w:top w:w="57" w:type="dxa"/>
                    <w:bottom w:w="57" w:type="dxa"/>
                  </w:tcMar>
                  <w:vAlign w:val="center"/>
                </w:tcPr>
                <w:p w14:paraId="7B19C29D">
                  <w:pPr>
                    <w:adjustRightInd w:val="0"/>
                    <w:snapToGrid w:val="0"/>
                    <w:jc w:val="center"/>
                    <w:rPr>
                      <w:kern w:val="0"/>
                      <w:szCs w:val="21"/>
                    </w:rPr>
                  </w:pPr>
                  <w:r>
                    <w:rPr>
                      <w:szCs w:val="21"/>
                    </w:rPr>
                    <w:t>经1套“活性炭吸附装置”</w:t>
                  </w:r>
                  <w:r>
                    <w:rPr>
                      <w:kern w:val="0"/>
                      <w:szCs w:val="21"/>
                    </w:rPr>
                    <w:t>处理后经1根15m 高排气筒DA005排放</w:t>
                  </w:r>
                </w:p>
              </w:tc>
              <w:tc>
                <w:tcPr>
                  <w:tcW w:w="928" w:type="pct"/>
                  <w:vMerge w:val="continue"/>
                  <w:tcMar>
                    <w:top w:w="57" w:type="dxa"/>
                    <w:bottom w:w="57" w:type="dxa"/>
                  </w:tcMar>
                  <w:vAlign w:val="center"/>
                </w:tcPr>
                <w:p w14:paraId="264C05A9">
                  <w:pPr>
                    <w:adjustRightInd w:val="0"/>
                    <w:snapToGrid w:val="0"/>
                    <w:jc w:val="center"/>
                    <w:rPr>
                      <w:szCs w:val="21"/>
                    </w:rPr>
                  </w:pPr>
                </w:p>
              </w:tc>
              <w:tc>
                <w:tcPr>
                  <w:tcW w:w="422" w:type="pct"/>
                  <w:tcMar>
                    <w:top w:w="57" w:type="dxa"/>
                    <w:bottom w:w="57" w:type="dxa"/>
                  </w:tcMar>
                  <w:vAlign w:val="center"/>
                </w:tcPr>
                <w:p w14:paraId="4D81EB5A">
                  <w:pPr>
                    <w:adjustRightInd w:val="0"/>
                    <w:snapToGrid w:val="0"/>
                    <w:jc w:val="center"/>
                    <w:rPr>
                      <w:szCs w:val="21"/>
                    </w:rPr>
                  </w:pPr>
                  <w:r>
                    <w:rPr>
                      <w:szCs w:val="21"/>
                    </w:rPr>
                    <w:t>10</w:t>
                  </w:r>
                </w:p>
              </w:tc>
              <w:tc>
                <w:tcPr>
                  <w:tcW w:w="782" w:type="pct"/>
                  <w:vAlign w:val="center"/>
                </w:tcPr>
                <w:p w14:paraId="0C2EB610">
                  <w:pPr>
                    <w:adjustRightInd w:val="0"/>
                    <w:snapToGrid w:val="0"/>
                    <w:jc w:val="center"/>
                    <w:rPr>
                      <w:szCs w:val="21"/>
                    </w:rPr>
                  </w:pPr>
                  <w:r>
                    <w:rPr>
                      <w:szCs w:val="21"/>
                    </w:rPr>
                    <w:t>新增</w:t>
                  </w:r>
                </w:p>
              </w:tc>
            </w:tr>
            <w:tr w14:paraId="5CB5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4" w:hRule="atLeast"/>
              </w:trPr>
              <w:tc>
                <w:tcPr>
                  <w:tcW w:w="257" w:type="pct"/>
                  <w:vMerge w:val="continue"/>
                  <w:tcMar>
                    <w:top w:w="57" w:type="dxa"/>
                    <w:bottom w:w="57" w:type="dxa"/>
                  </w:tcMar>
                  <w:vAlign w:val="center"/>
                </w:tcPr>
                <w:p w14:paraId="05D3C3FF">
                  <w:pPr>
                    <w:adjustRightInd w:val="0"/>
                    <w:snapToGrid w:val="0"/>
                    <w:jc w:val="center"/>
                    <w:rPr>
                      <w:szCs w:val="21"/>
                    </w:rPr>
                  </w:pPr>
                </w:p>
              </w:tc>
              <w:tc>
                <w:tcPr>
                  <w:tcW w:w="652" w:type="pct"/>
                  <w:tcMar>
                    <w:top w:w="57" w:type="dxa"/>
                    <w:bottom w:w="57" w:type="dxa"/>
                  </w:tcMar>
                  <w:vAlign w:val="center"/>
                </w:tcPr>
                <w:p w14:paraId="2812C4B6">
                  <w:pPr>
                    <w:jc w:val="center"/>
                    <w:rPr>
                      <w:szCs w:val="21"/>
                    </w:rPr>
                  </w:pPr>
                  <w:r>
                    <w:rPr>
                      <w:szCs w:val="21"/>
                    </w:rPr>
                    <w:t>石灰粉出入仓粉尘</w:t>
                  </w:r>
                </w:p>
              </w:tc>
              <w:tc>
                <w:tcPr>
                  <w:tcW w:w="1958" w:type="pct"/>
                  <w:tcMar>
                    <w:top w:w="57" w:type="dxa"/>
                    <w:bottom w:w="57" w:type="dxa"/>
                  </w:tcMar>
                  <w:vAlign w:val="center"/>
                </w:tcPr>
                <w:p w14:paraId="731140FF">
                  <w:pPr>
                    <w:adjustRightInd w:val="0"/>
                    <w:snapToGrid w:val="0"/>
                    <w:jc w:val="center"/>
                    <w:rPr>
                      <w:szCs w:val="21"/>
                    </w:rPr>
                  </w:pPr>
                  <w:r>
                    <w:rPr>
                      <w:szCs w:val="21"/>
                    </w:rPr>
                    <w:t>经1台仓顶除尘器处理后，通过不低于15m高排气筒DA006排放</w:t>
                  </w:r>
                </w:p>
              </w:tc>
              <w:tc>
                <w:tcPr>
                  <w:tcW w:w="928" w:type="pct"/>
                  <w:vMerge w:val="continue"/>
                  <w:tcMar>
                    <w:top w:w="57" w:type="dxa"/>
                    <w:bottom w:w="57" w:type="dxa"/>
                  </w:tcMar>
                  <w:vAlign w:val="center"/>
                </w:tcPr>
                <w:p w14:paraId="77F77064">
                  <w:pPr>
                    <w:adjustRightInd w:val="0"/>
                    <w:snapToGrid w:val="0"/>
                    <w:jc w:val="center"/>
                    <w:rPr>
                      <w:szCs w:val="21"/>
                    </w:rPr>
                  </w:pPr>
                </w:p>
              </w:tc>
              <w:tc>
                <w:tcPr>
                  <w:tcW w:w="422" w:type="pct"/>
                  <w:tcMar>
                    <w:top w:w="57" w:type="dxa"/>
                    <w:bottom w:w="57" w:type="dxa"/>
                  </w:tcMar>
                  <w:vAlign w:val="center"/>
                </w:tcPr>
                <w:p w14:paraId="6A9FB2F9">
                  <w:pPr>
                    <w:adjustRightInd w:val="0"/>
                    <w:snapToGrid w:val="0"/>
                    <w:jc w:val="center"/>
                    <w:rPr>
                      <w:szCs w:val="21"/>
                    </w:rPr>
                  </w:pPr>
                  <w:r>
                    <w:rPr>
                      <w:szCs w:val="21"/>
                    </w:rPr>
                    <w:t>1</w:t>
                  </w:r>
                </w:p>
              </w:tc>
              <w:tc>
                <w:tcPr>
                  <w:tcW w:w="782" w:type="pct"/>
                  <w:vAlign w:val="center"/>
                </w:tcPr>
                <w:p w14:paraId="0BA1E409">
                  <w:pPr>
                    <w:adjustRightInd w:val="0"/>
                    <w:snapToGrid w:val="0"/>
                    <w:jc w:val="center"/>
                    <w:rPr>
                      <w:szCs w:val="21"/>
                    </w:rPr>
                  </w:pPr>
                  <w:r>
                    <w:rPr>
                      <w:szCs w:val="21"/>
                    </w:rPr>
                    <w:t>利用现有除尘器，新增15m高排气筒</w:t>
                  </w:r>
                </w:p>
              </w:tc>
            </w:tr>
            <w:tr w14:paraId="319B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8" w:hRule="atLeast"/>
              </w:trPr>
              <w:tc>
                <w:tcPr>
                  <w:tcW w:w="257" w:type="pct"/>
                  <w:vMerge w:val="continue"/>
                  <w:tcMar>
                    <w:top w:w="57" w:type="dxa"/>
                    <w:bottom w:w="57" w:type="dxa"/>
                  </w:tcMar>
                  <w:vAlign w:val="center"/>
                </w:tcPr>
                <w:p w14:paraId="1AD976C8">
                  <w:pPr>
                    <w:adjustRightInd w:val="0"/>
                    <w:snapToGrid w:val="0"/>
                    <w:jc w:val="center"/>
                    <w:rPr>
                      <w:color w:val="EE0000"/>
                      <w:szCs w:val="21"/>
                    </w:rPr>
                  </w:pPr>
                </w:p>
              </w:tc>
              <w:tc>
                <w:tcPr>
                  <w:tcW w:w="652" w:type="pct"/>
                  <w:tcBorders>
                    <w:top w:val="single" w:color="auto" w:sz="4" w:space="0"/>
                  </w:tcBorders>
                  <w:tcMar>
                    <w:top w:w="57" w:type="dxa"/>
                    <w:bottom w:w="57" w:type="dxa"/>
                  </w:tcMar>
                  <w:vAlign w:val="center"/>
                </w:tcPr>
                <w:p w14:paraId="23AE9659">
                  <w:pPr>
                    <w:adjustRightInd w:val="0"/>
                    <w:snapToGrid w:val="0"/>
                    <w:jc w:val="center"/>
                    <w:rPr>
                      <w:kern w:val="0"/>
                      <w:szCs w:val="21"/>
                    </w:rPr>
                  </w:pPr>
                  <w:r>
                    <w:rPr>
                      <w:kern w:val="0"/>
                      <w:szCs w:val="21"/>
                    </w:rPr>
                    <w:t>物料装卸粉尘</w:t>
                  </w:r>
                </w:p>
              </w:tc>
              <w:tc>
                <w:tcPr>
                  <w:tcW w:w="1958" w:type="pct"/>
                  <w:tcBorders>
                    <w:top w:val="single" w:color="auto" w:sz="4" w:space="0"/>
                  </w:tcBorders>
                  <w:tcMar>
                    <w:top w:w="57" w:type="dxa"/>
                    <w:bottom w:w="57" w:type="dxa"/>
                  </w:tcMar>
                  <w:vAlign w:val="center"/>
                </w:tcPr>
                <w:p w14:paraId="7BCA96F1">
                  <w:pPr>
                    <w:adjustRightInd w:val="0"/>
                    <w:snapToGrid w:val="0"/>
                    <w:jc w:val="center"/>
                    <w:rPr>
                      <w:szCs w:val="21"/>
                    </w:rPr>
                  </w:pPr>
                  <w:r>
                    <w:rPr>
                      <w:szCs w:val="21"/>
                    </w:rPr>
                    <w:fldChar w:fldCharType="begin"/>
                  </w:r>
                  <w:r>
                    <w:rPr>
                      <w:szCs w:val="21"/>
                    </w:rPr>
                    <w:instrText xml:space="preserve">= 1 \* GB3</w:instrText>
                  </w:r>
                  <w:r>
                    <w:rPr>
                      <w:szCs w:val="21"/>
                    </w:rPr>
                    <w:fldChar w:fldCharType="separate"/>
                  </w:r>
                  <w:r>
                    <w:rPr>
                      <w:rFonts w:ascii="Cambria Math" w:hAnsi="Cambria Math" w:cs="Cambria Math"/>
                      <w:szCs w:val="21"/>
                    </w:rPr>
                    <w:t>①</w:t>
                  </w:r>
                  <w:r>
                    <w:rPr>
                      <w:szCs w:val="21"/>
                    </w:rPr>
                    <w:fldChar w:fldCharType="end"/>
                  </w:r>
                  <w:r>
                    <w:rPr>
                      <w:szCs w:val="21"/>
                    </w:rPr>
                    <w:t>原料库、陈化库全密闭，安装硬质卷帘门；</w:t>
                  </w:r>
                  <w:r>
                    <w:rPr>
                      <w:rFonts w:ascii="Cambria Math" w:hAnsi="Cambria Math" w:cs="Cambria Math"/>
                      <w:szCs w:val="21"/>
                    </w:rPr>
                    <w:t>②</w:t>
                  </w:r>
                  <w:r>
                    <w:rPr>
                      <w:szCs w:val="21"/>
                    </w:rPr>
                    <w:t>原料库、陈化库、卸车棚安装雾化喷淋设施；</w:t>
                  </w:r>
                </w:p>
              </w:tc>
              <w:tc>
                <w:tcPr>
                  <w:tcW w:w="928" w:type="pct"/>
                  <w:vMerge w:val="continue"/>
                  <w:tcMar>
                    <w:top w:w="57" w:type="dxa"/>
                    <w:bottom w:w="57" w:type="dxa"/>
                  </w:tcMar>
                  <w:vAlign w:val="center"/>
                </w:tcPr>
                <w:p w14:paraId="260D87C0">
                  <w:pPr>
                    <w:adjustRightInd w:val="0"/>
                    <w:snapToGrid w:val="0"/>
                    <w:jc w:val="center"/>
                    <w:rPr>
                      <w:szCs w:val="21"/>
                    </w:rPr>
                  </w:pPr>
                </w:p>
              </w:tc>
              <w:tc>
                <w:tcPr>
                  <w:tcW w:w="422" w:type="pct"/>
                  <w:tcBorders>
                    <w:top w:val="single" w:color="000000" w:sz="6" w:space="0"/>
                  </w:tcBorders>
                  <w:tcMar>
                    <w:top w:w="57" w:type="dxa"/>
                    <w:bottom w:w="57" w:type="dxa"/>
                  </w:tcMar>
                  <w:vAlign w:val="center"/>
                </w:tcPr>
                <w:p w14:paraId="701D8F50">
                  <w:pPr>
                    <w:adjustRightInd w:val="0"/>
                    <w:snapToGrid w:val="0"/>
                    <w:jc w:val="center"/>
                    <w:rPr>
                      <w:szCs w:val="21"/>
                    </w:rPr>
                  </w:pPr>
                  <w:r>
                    <w:rPr>
                      <w:szCs w:val="21"/>
                    </w:rPr>
                    <w:t>/</w:t>
                  </w:r>
                </w:p>
              </w:tc>
              <w:tc>
                <w:tcPr>
                  <w:tcW w:w="782" w:type="pct"/>
                  <w:tcBorders>
                    <w:top w:val="single" w:color="000000" w:sz="6" w:space="0"/>
                  </w:tcBorders>
                  <w:vAlign w:val="center"/>
                </w:tcPr>
                <w:p w14:paraId="390FE39A">
                  <w:pPr>
                    <w:adjustRightInd w:val="0"/>
                    <w:snapToGrid w:val="0"/>
                    <w:jc w:val="center"/>
                    <w:rPr>
                      <w:szCs w:val="21"/>
                    </w:rPr>
                  </w:pPr>
                  <w:r>
                    <w:rPr>
                      <w:szCs w:val="21"/>
                    </w:rPr>
                    <w:t>利用现有</w:t>
                  </w:r>
                </w:p>
              </w:tc>
            </w:tr>
            <w:tr w14:paraId="0839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7" w:hRule="atLeast"/>
              </w:trPr>
              <w:tc>
                <w:tcPr>
                  <w:tcW w:w="257" w:type="pct"/>
                  <w:vMerge w:val="continue"/>
                  <w:tcMar>
                    <w:top w:w="57" w:type="dxa"/>
                    <w:bottom w:w="57" w:type="dxa"/>
                  </w:tcMar>
                  <w:vAlign w:val="center"/>
                </w:tcPr>
                <w:p w14:paraId="32003E7C">
                  <w:pPr>
                    <w:adjustRightInd w:val="0"/>
                    <w:snapToGrid w:val="0"/>
                    <w:jc w:val="center"/>
                    <w:rPr>
                      <w:color w:val="EE0000"/>
                      <w:szCs w:val="21"/>
                    </w:rPr>
                  </w:pPr>
                </w:p>
              </w:tc>
              <w:tc>
                <w:tcPr>
                  <w:tcW w:w="652" w:type="pct"/>
                  <w:tcBorders>
                    <w:top w:val="single" w:color="auto" w:sz="4" w:space="0"/>
                  </w:tcBorders>
                  <w:tcMar>
                    <w:top w:w="57" w:type="dxa"/>
                    <w:bottom w:w="57" w:type="dxa"/>
                  </w:tcMar>
                  <w:vAlign w:val="center"/>
                </w:tcPr>
                <w:p w14:paraId="4E69EE71">
                  <w:pPr>
                    <w:adjustRightInd w:val="0"/>
                    <w:snapToGrid w:val="0"/>
                    <w:jc w:val="center"/>
                    <w:rPr>
                      <w:kern w:val="0"/>
                      <w:szCs w:val="21"/>
                    </w:rPr>
                  </w:pPr>
                  <w:r>
                    <w:rPr>
                      <w:kern w:val="0"/>
                      <w:szCs w:val="21"/>
                    </w:rPr>
                    <w:t>车辆运输粉尘</w:t>
                  </w:r>
                </w:p>
              </w:tc>
              <w:tc>
                <w:tcPr>
                  <w:tcW w:w="1958" w:type="pct"/>
                  <w:tcBorders>
                    <w:top w:val="single" w:color="auto" w:sz="4" w:space="0"/>
                  </w:tcBorders>
                  <w:tcMar>
                    <w:top w:w="57" w:type="dxa"/>
                    <w:bottom w:w="57" w:type="dxa"/>
                  </w:tcMar>
                  <w:vAlign w:val="center"/>
                </w:tcPr>
                <w:p w14:paraId="50ED4542">
                  <w:pPr>
                    <w:adjustRightInd w:val="0"/>
                    <w:snapToGrid w:val="0"/>
                    <w:jc w:val="center"/>
                    <w:rPr>
                      <w:szCs w:val="21"/>
                    </w:rPr>
                  </w:pPr>
                  <w:r>
                    <w:rPr>
                      <w:szCs w:val="21"/>
                    </w:rPr>
                    <w:t>车辆冲洗装置1套＋厂区道路洒水降尘</w:t>
                  </w:r>
                </w:p>
              </w:tc>
              <w:tc>
                <w:tcPr>
                  <w:tcW w:w="928" w:type="pct"/>
                  <w:vMerge w:val="continue"/>
                  <w:tcMar>
                    <w:top w:w="57" w:type="dxa"/>
                    <w:bottom w:w="57" w:type="dxa"/>
                  </w:tcMar>
                  <w:vAlign w:val="center"/>
                </w:tcPr>
                <w:p w14:paraId="3986D782">
                  <w:pPr>
                    <w:adjustRightInd w:val="0"/>
                    <w:snapToGrid w:val="0"/>
                    <w:jc w:val="center"/>
                    <w:rPr>
                      <w:szCs w:val="21"/>
                    </w:rPr>
                  </w:pPr>
                </w:p>
              </w:tc>
              <w:tc>
                <w:tcPr>
                  <w:tcW w:w="422" w:type="pct"/>
                  <w:tcBorders>
                    <w:top w:val="single" w:color="000000" w:sz="6" w:space="0"/>
                  </w:tcBorders>
                  <w:tcMar>
                    <w:top w:w="57" w:type="dxa"/>
                    <w:bottom w:w="57" w:type="dxa"/>
                  </w:tcMar>
                  <w:vAlign w:val="center"/>
                </w:tcPr>
                <w:p w14:paraId="05066A9A">
                  <w:pPr>
                    <w:adjustRightInd w:val="0"/>
                    <w:snapToGrid w:val="0"/>
                    <w:jc w:val="center"/>
                    <w:rPr>
                      <w:szCs w:val="21"/>
                    </w:rPr>
                  </w:pPr>
                  <w:r>
                    <w:rPr>
                      <w:szCs w:val="21"/>
                    </w:rPr>
                    <w:t>/</w:t>
                  </w:r>
                </w:p>
              </w:tc>
              <w:tc>
                <w:tcPr>
                  <w:tcW w:w="782" w:type="pct"/>
                  <w:tcBorders>
                    <w:top w:val="single" w:color="000000" w:sz="6" w:space="0"/>
                  </w:tcBorders>
                  <w:vAlign w:val="center"/>
                </w:tcPr>
                <w:p w14:paraId="62343749">
                  <w:pPr>
                    <w:adjustRightInd w:val="0"/>
                    <w:snapToGrid w:val="0"/>
                    <w:jc w:val="center"/>
                    <w:rPr>
                      <w:szCs w:val="21"/>
                    </w:rPr>
                  </w:pPr>
                  <w:r>
                    <w:rPr>
                      <w:szCs w:val="21"/>
                    </w:rPr>
                    <w:t>利用现有</w:t>
                  </w:r>
                </w:p>
              </w:tc>
            </w:tr>
            <w:tr w14:paraId="619A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trPr>
              <w:tc>
                <w:tcPr>
                  <w:tcW w:w="257" w:type="pct"/>
                  <w:vMerge w:val="restart"/>
                  <w:tcMar>
                    <w:top w:w="57" w:type="dxa"/>
                    <w:bottom w:w="57" w:type="dxa"/>
                  </w:tcMar>
                  <w:vAlign w:val="center"/>
                </w:tcPr>
                <w:p w14:paraId="301AD522">
                  <w:pPr>
                    <w:adjustRightInd w:val="0"/>
                    <w:snapToGrid w:val="0"/>
                    <w:jc w:val="center"/>
                    <w:rPr>
                      <w:szCs w:val="21"/>
                    </w:rPr>
                  </w:pPr>
                  <w:r>
                    <w:rPr>
                      <w:szCs w:val="21"/>
                    </w:rPr>
                    <w:t>废水</w:t>
                  </w:r>
                </w:p>
              </w:tc>
              <w:tc>
                <w:tcPr>
                  <w:tcW w:w="652" w:type="pct"/>
                  <w:tcMar>
                    <w:top w:w="57" w:type="dxa"/>
                    <w:bottom w:w="57" w:type="dxa"/>
                  </w:tcMar>
                  <w:vAlign w:val="center"/>
                </w:tcPr>
                <w:p w14:paraId="106F39A5">
                  <w:pPr>
                    <w:adjustRightInd w:val="0"/>
                    <w:snapToGrid w:val="0"/>
                    <w:jc w:val="center"/>
                    <w:rPr>
                      <w:szCs w:val="21"/>
                    </w:rPr>
                  </w:pPr>
                  <w:r>
                    <w:rPr>
                      <w:szCs w:val="21"/>
                    </w:rPr>
                    <w:t>脱硫废水</w:t>
                  </w:r>
                </w:p>
              </w:tc>
              <w:tc>
                <w:tcPr>
                  <w:tcW w:w="1958" w:type="pct"/>
                  <w:tcMar>
                    <w:top w:w="57" w:type="dxa"/>
                    <w:bottom w:w="57" w:type="dxa"/>
                  </w:tcMar>
                  <w:vAlign w:val="center"/>
                </w:tcPr>
                <w:p w14:paraId="16031C93">
                  <w:pPr>
                    <w:adjustRightInd w:val="0"/>
                    <w:snapToGrid w:val="0"/>
                    <w:jc w:val="center"/>
                    <w:rPr>
                      <w:szCs w:val="21"/>
                    </w:rPr>
                  </w:pPr>
                  <w:r>
                    <w:rPr>
                      <w:szCs w:val="21"/>
                    </w:rPr>
                    <w:t>经1座</w:t>
                  </w:r>
                  <w:r>
                    <w:rPr>
                      <w:bCs/>
                      <w:szCs w:val="21"/>
                    </w:rPr>
                    <w:t>1200m</w:t>
                  </w:r>
                  <w:r>
                    <w:rPr>
                      <w:bCs/>
                      <w:szCs w:val="21"/>
                      <w:vertAlign w:val="superscript"/>
                    </w:rPr>
                    <w:t>3</w:t>
                  </w:r>
                  <w:r>
                    <w:rPr>
                      <w:bCs/>
                      <w:szCs w:val="21"/>
                    </w:rPr>
                    <w:t>/h“旋流分离+混凝反应+中和+沉淀”工艺脱硫废水处理系统处理后循环利用</w:t>
                  </w:r>
                </w:p>
              </w:tc>
              <w:tc>
                <w:tcPr>
                  <w:tcW w:w="928" w:type="pct"/>
                  <w:vMerge w:val="restart"/>
                  <w:tcMar>
                    <w:top w:w="57" w:type="dxa"/>
                    <w:bottom w:w="57" w:type="dxa"/>
                  </w:tcMar>
                  <w:vAlign w:val="center"/>
                </w:tcPr>
                <w:p w14:paraId="106BFEA2">
                  <w:pPr>
                    <w:adjustRightInd w:val="0"/>
                    <w:snapToGrid w:val="0"/>
                    <w:jc w:val="center"/>
                    <w:rPr>
                      <w:szCs w:val="21"/>
                    </w:rPr>
                  </w:pPr>
                  <w:r>
                    <w:rPr>
                      <w:szCs w:val="21"/>
                    </w:rPr>
                    <w:t>不外排</w:t>
                  </w:r>
                </w:p>
              </w:tc>
              <w:tc>
                <w:tcPr>
                  <w:tcW w:w="422" w:type="pct"/>
                  <w:tcMar>
                    <w:top w:w="57" w:type="dxa"/>
                    <w:bottom w:w="57" w:type="dxa"/>
                  </w:tcMar>
                  <w:vAlign w:val="center"/>
                </w:tcPr>
                <w:p w14:paraId="1A144E6B">
                  <w:pPr>
                    <w:adjustRightInd w:val="0"/>
                    <w:snapToGrid w:val="0"/>
                    <w:jc w:val="center"/>
                    <w:rPr>
                      <w:szCs w:val="21"/>
                    </w:rPr>
                  </w:pPr>
                  <w:r>
                    <w:rPr>
                      <w:szCs w:val="21"/>
                    </w:rPr>
                    <w:t>50</w:t>
                  </w:r>
                </w:p>
              </w:tc>
              <w:tc>
                <w:tcPr>
                  <w:tcW w:w="782" w:type="pct"/>
                  <w:vAlign w:val="center"/>
                </w:tcPr>
                <w:p w14:paraId="18110FE1">
                  <w:pPr>
                    <w:adjustRightInd w:val="0"/>
                    <w:snapToGrid w:val="0"/>
                    <w:jc w:val="center"/>
                    <w:rPr>
                      <w:szCs w:val="21"/>
                    </w:rPr>
                  </w:pPr>
                  <w:r>
                    <w:rPr>
                      <w:szCs w:val="21"/>
                    </w:rPr>
                    <w:t>新增</w:t>
                  </w:r>
                </w:p>
              </w:tc>
            </w:tr>
            <w:tr w14:paraId="7C39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2" w:hRule="atLeast"/>
              </w:trPr>
              <w:tc>
                <w:tcPr>
                  <w:tcW w:w="257" w:type="pct"/>
                  <w:vMerge w:val="continue"/>
                  <w:tcMar>
                    <w:top w:w="57" w:type="dxa"/>
                    <w:bottom w:w="57" w:type="dxa"/>
                  </w:tcMar>
                  <w:vAlign w:val="center"/>
                </w:tcPr>
                <w:p w14:paraId="0C1B035D">
                  <w:pPr>
                    <w:adjustRightInd w:val="0"/>
                    <w:snapToGrid w:val="0"/>
                    <w:jc w:val="center"/>
                    <w:rPr>
                      <w:color w:val="EE0000"/>
                      <w:szCs w:val="21"/>
                    </w:rPr>
                  </w:pPr>
                </w:p>
              </w:tc>
              <w:tc>
                <w:tcPr>
                  <w:tcW w:w="652" w:type="pct"/>
                  <w:tcMar>
                    <w:top w:w="57" w:type="dxa"/>
                    <w:bottom w:w="57" w:type="dxa"/>
                  </w:tcMar>
                  <w:vAlign w:val="center"/>
                </w:tcPr>
                <w:p w14:paraId="035CC8A7">
                  <w:pPr>
                    <w:adjustRightInd w:val="0"/>
                    <w:snapToGrid w:val="0"/>
                    <w:jc w:val="center"/>
                    <w:rPr>
                      <w:szCs w:val="21"/>
                    </w:rPr>
                  </w:pPr>
                  <w:r>
                    <w:rPr>
                      <w:szCs w:val="21"/>
                    </w:rPr>
                    <w:t>车辆冲洗废水</w:t>
                  </w:r>
                </w:p>
              </w:tc>
              <w:tc>
                <w:tcPr>
                  <w:tcW w:w="1958" w:type="pct"/>
                  <w:tcMar>
                    <w:top w:w="57" w:type="dxa"/>
                    <w:bottom w:w="57" w:type="dxa"/>
                  </w:tcMar>
                  <w:vAlign w:val="center"/>
                </w:tcPr>
                <w:p w14:paraId="198A552F">
                  <w:pPr>
                    <w:adjustRightInd w:val="0"/>
                    <w:snapToGrid w:val="0"/>
                    <w:jc w:val="center"/>
                    <w:rPr>
                      <w:szCs w:val="21"/>
                    </w:rPr>
                  </w:pPr>
                  <w:r>
                    <w:rPr>
                      <w:szCs w:val="21"/>
                    </w:rPr>
                    <w:t>经1座</w:t>
                  </w:r>
                  <w:r>
                    <w:rPr>
                      <w:bCs/>
                      <w:szCs w:val="21"/>
                    </w:rPr>
                    <w:t>20m</w:t>
                  </w:r>
                  <w:r>
                    <w:rPr>
                      <w:bCs/>
                      <w:szCs w:val="21"/>
                      <w:vertAlign w:val="superscript"/>
                    </w:rPr>
                    <w:t>3</w:t>
                  </w:r>
                  <w:r>
                    <w:rPr>
                      <w:bCs/>
                      <w:szCs w:val="21"/>
                    </w:rPr>
                    <w:t>的沉淀池沉淀后回用于车辆冲洗</w:t>
                  </w:r>
                </w:p>
              </w:tc>
              <w:tc>
                <w:tcPr>
                  <w:tcW w:w="928" w:type="pct"/>
                  <w:vMerge w:val="continue"/>
                  <w:tcMar>
                    <w:top w:w="57" w:type="dxa"/>
                    <w:bottom w:w="57" w:type="dxa"/>
                  </w:tcMar>
                  <w:vAlign w:val="center"/>
                </w:tcPr>
                <w:p w14:paraId="6AF2AD7C">
                  <w:pPr>
                    <w:adjustRightInd w:val="0"/>
                    <w:snapToGrid w:val="0"/>
                    <w:jc w:val="center"/>
                    <w:rPr>
                      <w:szCs w:val="21"/>
                    </w:rPr>
                  </w:pPr>
                </w:p>
              </w:tc>
              <w:tc>
                <w:tcPr>
                  <w:tcW w:w="422" w:type="pct"/>
                  <w:tcMar>
                    <w:top w:w="57" w:type="dxa"/>
                    <w:bottom w:w="57" w:type="dxa"/>
                  </w:tcMar>
                  <w:vAlign w:val="center"/>
                </w:tcPr>
                <w:p w14:paraId="7AF65DD6">
                  <w:pPr>
                    <w:adjustRightInd w:val="0"/>
                    <w:snapToGrid w:val="0"/>
                    <w:jc w:val="center"/>
                    <w:rPr>
                      <w:szCs w:val="21"/>
                    </w:rPr>
                  </w:pPr>
                  <w:r>
                    <w:rPr>
                      <w:szCs w:val="21"/>
                    </w:rPr>
                    <w:t>/</w:t>
                  </w:r>
                </w:p>
              </w:tc>
              <w:tc>
                <w:tcPr>
                  <w:tcW w:w="782" w:type="pct"/>
                  <w:vAlign w:val="center"/>
                </w:tcPr>
                <w:p w14:paraId="587ADB3E">
                  <w:pPr>
                    <w:adjustRightInd w:val="0"/>
                    <w:snapToGrid w:val="0"/>
                    <w:jc w:val="center"/>
                    <w:rPr>
                      <w:szCs w:val="21"/>
                    </w:rPr>
                  </w:pPr>
                  <w:r>
                    <w:rPr>
                      <w:szCs w:val="21"/>
                    </w:rPr>
                    <w:t>利用现有</w:t>
                  </w:r>
                </w:p>
              </w:tc>
            </w:tr>
            <w:tr w14:paraId="53C2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5" w:hRule="atLeast"/>
              </w:trPr>
              <w:tc>
                <w:tcPr>
                  <w:tcW w:w="257" w:type="pct"/>
                  <w:vMerge w:val="continue"/>
                  <w:tcMar>
                    <w:top w:w="57" w:type="dxa"/>
                    <w:bottom w:w="57" w:type="dxa"/>
                  </w:tcMar>
                  <w:vAlign w:val="center"/>
                </w:tcPr>
                <w:p w14:paraId="4F99A650">
                  <w:pPr>
                    <w:adjustRightInd w:val="0"/>
                    <w:snapToGrid w:val="0"/>
                    <w:jc w:val="center"/>
                    <w:rPr>
                      <w:color w:val="EE0000"/>
                      <w:szCs w:val="21"/>
                    </w:rPr>
                  </w:pPr>
                </w:p>
              </w:tc>
              <w:tc>
                <w:tcPr>
                  <w:tcW w:w="652" w:type="pct"/>
                  <w:tcMar>
                    <w:top w:w="57" w:type="dxa"/>
                    <w:bottom w:w="57" w:type="dxa"/>
                  </w:tcMar>
                  <w:vAlign w:val="center"/>
                </w:tcPr>
                <w:p w14:paraId="548E3D2D">
                  <w:pPr>
                    <w:adjustRightInd w:val="0"/>
                    <w:snapToGrid w:val="0"/>
                    <w:jc w:val="center"/>
                    <w:rPr>
                      <w:szCs w:val="21"/>
                    </w:rPr>
                  </w:pPr>
                  <w:r>
                    <w:rPr>
                      <w:bCs/>
                      <w:szCs w:val="21"/>
                    </w:rPr>
                    <w:t>湿电除尘废水</w:t>
                  </w:r>
                </w:p>
              </w:tc>
              <w:tc>
                <w:tcPr>
                  <w:tcW w:w="1958" w:type="pct"/>
                  <w:tcMar>
                    <w:top w:w="57" w:type="dxa"/>
                    <w:bottom w:w="57" w:type="dxa"/>
                  </w:tcMar>
                  <w:vAlign w:val="center"/>
                </w:tcPr>
                <w:p w14:paraId="6FCDD9B0">
                  <w:pPr>
                    <w:adjustRightInd w:val="0"/>
                    <w:snapToGrid w:val="0"/>
                    <w:jc w:val="center"/>
                    <w:rPr>
                      <w:kern w:val="0"/>
                      <w:szCs w:val="21"/>
                    </w:rPr>
                  </w:pPr>
                  <w:r>
                    <w:rPr>
                      <w:szCs w:val="21"/>
                    </w:rPr>
                    <w:t>经1座</w:t>
                  </w:r>
                  <w:r>
                    <w:rPr>
                      <w:rFonts w:hint="eastAsia"/>
                      <w:szCs w:val="21"/>
                    </w:rPr>
                    <w:t>20</w:t>
                  </w:r>
                  <w:r>
                    <w:rPr>
                      <w:szCs w:val="21"/>
                    </w:rPr>
                    <w:t>m</w:t>
                  </w:r>
                  <w:r>
                    <w:rPr>
                      <w:szCs w:val="21"/>
                      <w:vertAlign w:val="superscript"/>
                    </w:rPr>
                    <w:t>3</w:t>
                  </w:r>
                  <w:r>
                    <w:rPr>
                      <w:szCs w:val="21"/>
                    </w:rPr>
                    <w:t>收集池收集后回用于制砖添加水</w:t>
                  </w:r>
                </w:p>
              </w:tc>
              <w:tc>
                <w:tcPr>
                  <w:tcW w:w="928" w:type="pct"/>
                  <w:vMerge w:val="continue"/>
                  <w:tcMar>
                    <w:top w:w="57" w:type="dxa"/>
                    <w:bottom w:w="57" w:type="dxa"/>
                  </w:tcMar>
                  <w:vAlign w:val="center"/>
                </w:tcPr>
                <w:p w14:paraId="472515D2">
                  <w:pPr>
                    <w:adjustRightInd w:val="0"/>
                    <w:snapToGrid w:val="0"/>
                    <w:jc w:val="center"/>
                    <w:rPr>
                      <w:szCs w:val="21"/>
                    </w:rPr>
                  </w:pPr>
                </w:p>
              </w:tc>
              <w:tc>
                <w:tcPr>
                  <w:tcW w:w="422" w:type="pct"/>
                  <w:tcMar>
                    <w:top w:w="57" w:type="dxa"/>
                    <w:bottom w:w="57" w:type="dxa"/>
                  </w:tcMar>
                  <w:vAlign w:val="center"/>
                </w:tcPr>
                <w:p w14:paraId="74C2EDE1">
                  <w:pPr>
                    <w:adjustRightInd w:val="0"/>
                    <w:snapToGrid w:val="0"/>
                    <w:jc w:val="center"/>
                    <w:rPr>
                      <w:szCs w:val="21"/>
                    </w:rPr>
                  </w:pPr>
                  <w:r>
                    <w:rPr>
                      <w:szCs w:val="21"/>
                    </w:rPr>
                    <w:t>/</w:t>
                  </w:r>
                </w:p>
              </w:tc>
              <w:tc>
                <w:tcPr>
                  <w:tcW w:w="782" w:type="pct"/>
                  <w:vAlign w:val="center"/>
                </w:tcPr>
                <w:p w14:paraId="752CD3B6">
                  <w:pPr>
                    <w:adjustRightInd w:val="0"/>
                    <w:snapToGrid w:val="0"/>
                    <w:jc w:val="center"/>
                    <w:rPr>
                      <w:szCs w:val="21"/>
                    </w:rPr>
                  </w:pPr>
                  <w:r>
                    <w:rPr>
                      <w:szCs w:val="21"/>
                    </w:rPr>
                    <w:t>利用现有</w:t>
                  </w:r>
                </w:p>
              </w:tc>
            </w:tr>
            <w:tr w14:paraId="5015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5" w:hRule="atLeast"/>
              </w:trPr>
              <w:tc>
                <w:tcPr>
                  <w:tcW w:w="257" w:type="pct"/>
                  <w:vMerge w:val="continue"/>
                  <w:tcMar>
                    <w:top w:w="57" w:type="dxa"/>
                    <w:bottom w:w="57" w:type="dxa"/>
                  </w:tcMar>
                  <w:vAlign w:val="center"/>
                </w:tcPr>
                <w:p w14:paraId="7542D51F">
                  <w:pPr>
                    <w:adjustRightInd w:val="0"/>
                    <w:snapToGrid w:val="0"/>
                    <w:jc w:val="center"/>
                    <w:rPr>
                      <w:color w:val="EE0000"/>
                      <w:szCs w:val="21"/>
                    </w:rPr>
                  </w:pPr>
                </w:p>
              </w:tc>
              <w:tc>
                <w:tcPr>
                  <w:tcW w:w="652" w:type="pct"/>
                  <w:tcMar>
                    <w:top w:w="57" w:type="dxa"/>
                    <w:bottom w:w="57" w:type="dxa"/>
                  </w:tcMar>
                  <w:vAlign w:val="center"/>
                </w:tcPr>
                <w:p w14:paraId="1FF70FAF">
                  <w:pPr>
                    <w:adjustRightInd w:val="0"/>
                    <w:snapToGrid w:val="0"/>
                    <w:jc w:val="center"/>
                    <w:rPr>
                      <w:bCs/>
                      <w:szCs w:val="21"/>
                    </w:rPr>
                  </w:pPr>
                  <w:r>
                    <w:rPr>
                      <w:bCs/>
                      <w:szCs w:val="21"/>
                    </w:rPr>
                    <w:t>生活污水</w:t>
                  </w:r>
                </w:p>
              </w:tc>
              <w:tc>
                <w:tcPr>
                  <w:tcW w:w="1958" w:type="pct"/>
                  <w:tcMar>
                    <w:top w:w="57" w:type="dxa"/>
                    <w:bottom w:w="57" w:type="dxa"/>
                  </w:tcMar>
                  <w:vAlign w:val="center"/>
                </w:tcPr>
                <w:p w14:paraId="64216525">
                  <w:pPr>
                    <w:adjustRightInd w:val="0"/>
                    <w:snapToGrid w:val="0"/>
                    <w:jc w:val="center"/>
                    <w:rPr>
                      <w:kern w:val="0"/>
                      <w:szCs w:val="21"/>
                    </w:rPr>
                  </w:pPr>
                  <w:r>
                    <w:rPr>
                      <w:bCs/>
                      <w:szCs w:val="21"/>
                    </w:rPr>
                    <w:t>经隔油池+</w:t>
                  </w:r>
                  <w:r>
                    <w:rPr>
                      <w:szCs w:val="21"/>
                    </w:rPr>
                    <w:t>化粪池处理后用定期清掏肥田</w:t>
                  </w:r>
                </w:p>
              </w:tc>
              <w:tc>
                <w:tcPr>
                  <w:tcW w:w="928" w:type="pct"/>
                  <w:vMerge w:val="continue"/>
                  <w:tcMar>
                    <w:top w:w="57" w:type="dxa"/>
                    <w:bottom w:w="57" w:type="dxa"/>
                  </w:tcMar>
                  <w:vAlign w:val="center"/>
                </w:tcPr>
                <w:p w14:paraId="70321B99">
                  <w:pPr>
                    <w:adjustRightInd w:val="0"/>
                    <w:snapToGrid w:val="0"/>
                    <w:jc w:val="center"/>
                    <w:rPr>
                      <w:szCs w:val="21"/>
                    </w:rPr>
                  </w:pPr>
                </w:p>
              </w:tc>
              <w:tc>
                <w:tcPr>
                  <w:tcW w:w="422" w:type="pct"/>
                  <w:tcMar>
                    <w:top w:w="57" w:type="dxa"/>
                    <w:bottom w:w="57" w:type="dxa"/>
                  </w:tcMar>
                  <w:vAlign w:val="center"/>
                </w:tcPr>
                <w:p w14:paraId="4D59B0A5">
                  <w:pPr>
                    <w:adjustRightInd w:val="0"/>
                    <w:snapToGrid w:val="0"/>
                    <w:jc w:val="center"/>
                    <w:rPr>
                      <w:szCs w:val="21"/>
                    </w:rPr>
                  </w:pPr>
                  <w:r>
                    <w:rPr>
                      <w:szCs w:val="21"/>
                    </w:rPr>
                    <w:t>/</w:t>
                  </w:r>
                </w:p>
              </w:tc>
              <w:tc>
                <w:tcPr>
                  <w:tcW w:w="782" w:type="pct"/>
                  <w:vAlign w:val="center"/>
                </w:tcPr>
                <w:p w14:paraId="04DA91B9">
                  <w:pPr>
                    <w:adjustRightInd w:val="0"/>
                    <w:snapToGrid w:val="0"/>
                    <w:jc w:val="center"/>
                    <w:rPr>
                      <w:szCs w:val="21"/>
                    </w:rPr>
                  </w:pPr>
                  <w:r>
                    <w:rPr>
                      <w:szCs w:val="21"/>
                    </w:rPr>
                    <w:t>利用现有</w:t>
                  </w:r>
                </w:p>
              </w:tc>
            </w:tr>
            <w:tr w14:paraId="089A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5" w:hRule="atLeast"/>
              </w:trPr>
              <w:tc>
                <w:tcPr>
                  <w:tcW w:w="257" w:type="pct"/>
                  <w:tcMar>
                    <w:top w:w="57" w:type="dxa"/>
                    <w:bottom w:w="57" w:type="dxa"/>
                  </w:tcMar>
                  <w:vAlign w:val="center"/>
                </w:tcPr>
                <w:p w14:paraId="605FBD80">
                  <w:pPr>
                    <w:adjustRightInd w:val="0"/>
                    <w:snapToGrid w:val="0"/>
                    <w:jc w:val="center"/>
                    <w:rPr>
                      <w:szCs w:val="21"/>
                    </w:rPr>
                  </w:pPr>
                  <w:r>
                    <w:rPr>
                      <w:szCs w:val="21"/>
                    </w:rPr>
                    <w:t>噪声</w:t>
                  </w:r>
                </w:p>
              </w:tc>
              <w:tc>
                <w:tcPr>
                  <w:tcW w:w="652" w:type="pct"/>
                  <w:tcMar>
                    <w:top w:w="57" w:type="dxa"/>
                    <w:bottom w:w="57" w:type="dxa"/>
                  </w:tcMar>
                  <w:vAlign w:val="center"/>
                </w:tcPr>
                <w:p w14:paraId="53F5AECA">
                  <w:pPr>
                    <w:adjustRightInd w:val="0"/>
                    <w:snapToGrid w:val="0"/>
                    <w:jc w:val="center"/>
                    <w:rPr>
                      <w:szCs w:val="21"/>
                    </w:rPr>
                  </w:pPr>
                  <w:r>
                    <w:rPr>
                      <w:szCs w:val="21"/>
                    </w:rPr>
                    <w:t>设备噪声</w:t>
                  </w:r>
                </w:p>
              </w:tc>
              <w:tc>
                <w:tcPr>
                  <w:tcW w:w="1958" w:type="pct"/>
                  <w:tcMar>
                    <w:top w:w="57" w:type="dxa"/>
                    <w:bottom w:w="57" w:type="dxa"/>
                  </w:tcMar>
                  <w:vAlign w:val="center"/>
                </w:tcPr>
                <w:p w14:paraId="133F6CAD">
                  <w:pPr>
                    <w:adjustRightInd w:val="0"/>
                    <w:snapToGrid w:val="0"/>
                    <w:jc w:val="center"/>
                    <w:rPr>
                      <w:kern w:val="0"/>
                      <w:szCs w:val="21"/>
                    </w:rPr>
                  </w:pPr>
                  <w:r>
                    <w:rPr>
                      <w:bCs/>
                      <w:szCs w:val="21"/>
                    </w:rPr>
                    <w:t>基础减振、消声器、隔声</w:t>
                  </w:r>
                </w:p>
              </w:tc>
              <w:tc>
                <w:tcPr>
                  <w:tcW w:w="928" w:type="pct"/>
                  <w:tcMar>
                    <w:top w:w="57" w:type="dxa"/>
                    <w:bottom w:w="57" w:type="dxa"/>
                  </w:tcMar>
                  <w:vAlign w:val="center"/>
                </w:tcPr>
                <w:p w14:paraId="0338F4E7">
                  <w:pPr>
                    <w:adjustRightInd w:val="0"/>
                    <w:snapToGrid w:val="0"/>
                    <w:jc w:val="center"/>
                    <w:rPr>
                      <w:szCs w:val="21"/>
                    </w:rPr>
                  </w:pPr>
                  <w:r>
                    <w:rPr>
                      <w:szCs w:val="21"/>
                    </w:rPr>
                    <w:t>《工业企业厂界环境噪声排放标准》（GB12348-2008）</w:t>
                  </w:r>
                </w:p>
              </w:tc>
              <w:tc>
                <w:tcPr>
                  <w:tcW w:w="422" w:type="pct"/>
                  <w:tcMar>
                    <w:top w:w="57" w:type="dxa"/>
                    <w:bottom w:w="57" w:type="dxa"/>
                  </w:tcMar>
                  <w:vAlign w:val="center"/>
                </w:tcPr>
                <w:p w14:paraId="3B180368">
                  <w:pPr>
                    <w:adjustRightInd w:val="0"/>
                    <w:snapToGrid w:val="0"/>
                    <w:jc w:val="center"/>
                    <w:rPr>
                      <w:szCs w:val="21"/>
                    </w:rPr>
                  </w:pPr>
                  <w:r>
                    <w:rPr>
                      <w:szCs w:val="21"/>
                    </w:rPr>
                    <w:t>3</w:t>
                  </w:r>
                </w:p>
              </w:tc>
              <w:tc>
                <w:tcPr>
                  <w:tcW w:w="782" w:type="pct"/>
                  <w:vAlign w:val="center"/>
                </w:tcPr>
                <w:p w14:paraId="23477D2F">
                  <w:pPr>
                    <w:adjustRightInd w:val="0"/>
                    <w:snapToGrid w:val="0"/>
                    <w:jc w:val="center"/>
                    <w:rPr>
                      <w:szCs w:val="21"/>
                    </w:rPr>
                  </w:pPr>
                  <w:r>
                    <w:rPr>
                      <w:szCs w:val="21"/>
                    </w:rPr>
                    <w:t>新增</w:t>
                  </w:r>
                </w:p>
              </w:tc>
            </w:tr>
            <w:tr w14:paraId="7A3D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3" w:hRule="atLeast"/>
              </w:trPr>
              <w:tc>
                <w:tcPr>
                  <w:tcW w:w="257" w:type="pct"/>
                  <w:vMerge w:val="restart"/>
                  <w:tcMar>
                    <w:top w:w="57" w:type="dxa"/>
                    <w:bottom w:w="57" w:type="dxa"/>
                  </w:tcMar>
                  <w:vAlign w:val="center"/>
                </w:tcPr>
                <w:p w14:paraId="1FCBFCCA">
                  <w:pPr>
                    <w:adjustRightInd w:val="0"/>
                    <w:snapToGrid w:val="0"/>
                    <w:jc w:val="center"/>
                    <w:rPr>
                      <w:szCs w:val="21"/>
                    </w:rPr>
                  </w:pPr>
                  <w:r>
                    <w:rPr>
                      <w:szCs w:val="21"/>
                    </w:rPr>
                    <w:t>固废</w:t>
                  </w:r>
                </w:p>
              </w:tc>
              <w:tc>
                <w:tcPr>
                  <w:tcW w:w="652" w:type="pct"/>
                  <w:tcMar>
                    <w:top w:w="57" w:type="dxa"/>
                    <w:bottom w:w="57" w:type="dxa"/>
                  </w:tcMar>
                  <w:vAlign w:val="center"/>
                </w:tcPr>
                <w:p w14:paraId="6FAD9797">
                  <w:pPr>
                    <w:adjustRightInd w:val="0"/>
                    <w:snapToGrid w:val="0"/>
                    <w:jc w:val="center"/>
                    <w:rPr>
                      <w:szCs w:val="21"/>
                    </w:rPr>
                  </w:pPr>
                  <w:r>
                    <w:rPr>
                      <w:szCs w:val="21"/>
                    </w:rPr>
                    <w:t>生活垃圾</w:t>
                  </w:r>
                </w:p>
              </w:tc>
              <w:tc>
                <w:tcPr>
                  <w:tcW w:w="1958" w:type="pct"/>
                  <w:tcMar>
                    <w:top w:w="57" w:type="dxa"/>
                    <w:bottom w:w="57" w:type="dxa"/>
                  </w:tcMar>
                  <w:vAlign w:val="center"/>
                </w:tcPr>
                <w:p w14:paraId="719D5D42">
                  <w:pPr>
                    <w:adjustRightInd w:val="0"/>
                    <w:snapToGrid w:val="0"/>
                    <w:jc w:val="center"/>
                    <w:rPr>
                      <w:szCs w:val="21"/>
                    </w:rPr>
                  </w:pPr>
                  <w:r>
                    <w:rPr>
                      <w:szCs w:val="21"/>
                    </w:rPr>
                    <w:t>生活垃圾利用现有垃圾桶收集后，定期交由环卫部门处理</w:t>
                  </w:r>
                </w:p>
              </w:tc>
              <w:tc>
                <w:tcPr>
                  <w:tcW w:w="928" w:type="pct"/>
                  <w:tcMar>
                    <w:top w:w="57" w:type="dxa"/>
                    <w:bottom w:w="57" w:type="dxa"/>
                  </w:tcMar>
                  <w:vAlign w:val="center"/>
                </w:tcPr>
                <w:p w14:paraId="3D0FB246">
                  <w:pPr>
                    <w:adjustRightInd w:val="0"/>
                    <w:snapToGrid w:val="0"/>
                    <w:jc w:val="center"/>
                    <w:rPr>
                      <w:szCs w:val="21"/>
                    </w:rPr>
                  </w:pPr>
                  <w:r>
                    <w:rPr>
                      <w:szCs w:val="21"/>
                    </w:rPr>
                    <w:t>/</w:t>
                  </w:r>
                </w:p>
              </w:tc>
              <w:tc>
                <w:tcPr>
                  <w:tcW w:w="422" w:type="pct"/>
                  <w:tcMar>
                    <w:top w:w="57" w:type="dxa"/>
                    <w:bottom w:w="57" w:type="dxa"/>
                  </w:tcMar>
                  <w:vAlign w:val="center"/>
                </w:tcPr>
                <w:p w14:paraId="1E3706AA">
                  <w:pPr>
                    <w:adjustRightInd w:val="0"/>
                    <w:snapToGrid w:val="0"/>
                    <w:jc w:val="center"/>
                    <w:rPr>
                      <w:szCs w:val="21"/>
                    </w:rPr>
                  </w:pPr>
                  <w:r>
                    <w:rPr>
                      <w:szCs w:val="21"/>
                    </w:rPr>
                    <w:t>/</w:t>
                  </w:r>
                </w:p>
              </w:tc>
              <w:tc>
                <w:tcPr>
                  <w:tcW w:w="782" w:type="pct"/>
                  <w:vAlign w:val="center"/>
                </w:tcPr>
                <w:p w14:paraId="40077C6D">
                  <w:pPr>
                    <w:adjustRightInd w:val="0"/>
                    <w:snapToGrid w:val="0"/>
                    <w:jc w:val="center"/>
                    <w:rPr>
                      <w:szCs w:val="21"/>
                    </w:rPr>
                  </w:pPr>
                  <w:r>
                    <w:rPr>
                      <w:szCs w:val="21"/>
                    </w:rPr>
                    <w:t>利用现有</w:t>
                  </w:r>
                </w:p>
              </w:tc>
            </w:tr>
            <w:tr w14:paraId="7A89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4" w:hRule="atLeast"/>
              </w:trPr>
              <w:tc>
                <w:tcPr>
                  <w:tcW w:w="257" w:type="pct"/>
                  <w:vMerge w:val="continue"/>
                  <w:tcMar>
                    <w:top w:w="57" w:type="dxa"/>
                    <w:bottom w:w="57" w:type="dxa"/>
                  </w:tcMar>
                  <w:vAlign w:val="center"/>
                </w:tcPr>
                <w:p w14:paraId="1B93B88D">
                  <w:pPr>
                    <w:adjustRightInd w:val="0"/>
                    <w:snapToGrid w:val="0"/>
                    <w:jc w:val="center"/>
                    <w:rPr>
                      <w:color w:val="EE0000"/>
                      <w:szCs w:val="21"/>
                    </w:rPr>
                  </w:pPr>
                </w:p>
              </w:tc>
              <w:tc>
                <w:tcPr>
                  <w:tcW w:w="652" w:type="pct"/>
                  <w:tcMar>
                    <w:top w:w="57" w:type="dxa"/>
                    <w:bottom w:w="57" w:type="dxa"/>
                  </w:tcMar>
                  <w:vAlign w:val="center"/>
                </w:tcPr>
                <w:p w14:paraId="0D1BAD9A">
                  <w:pPr>
                    <w:adjustRightInd w:val="0"/>
                    <w:snapToGrid w:val="0"/>
                    <w:jc w:val="center"/>
                    <w:rPr>
                      <w:szCs w:val="21"/>
                    </w:rPr>
                  </w:pPr>
                  <w:r>
                    <w:rPr>
                      <w:szCs w:val="21"/>
                    </w:rPr>
                    <w:t>一般固废</w:t>
                  </w:r>
                </w:p>
              </w:tc>
              <w:tc>
                <w:tcPr>
                  <w:tcW w:w="1958" w:type="pct"/>
                  <w:tcMar>
                    <w:top w:w="57" w:type="dxa"/>
                    <w:bottom w:w="57" w:type="dxa"/>
                  </w:tcMar>
                  <w:vAlign w:val="center"/>
                </w:tcPr>
                <w:p w14:paraId="79DF9F25">
                  <w:pPr>
                    <w:adjustRightInd w:val="0"/>
                    <w:snapToGrid w:val="0"/>
                    <w:jc w:val="center"/>
                    <w:rPr>
                      <w:szCs w:val="21"/>
                    </w:rPr>
                  </w:pPr>
                  <w:r>
                    <w:rPr>
                      <w:szCs w:val="21"/>
                    </w:rPr>
                    <w:t>原料库设置1 座100m</w:t>
                  </w:r>
                  <w:r>
                    <w:rPr>
                      <w:szCs w:val="21"/>
                      <w:vertAlign w:val="superscript"/>
                    </w:rPr>
                    <w:t>2</w:t>
                  </w:r>
                  <w:r>
                    <w:rPr>
                      <w:szCs w:val="21"/>
                    </w:rPr>
                    <w:t>一般固废暂存区。对不合格产品、脱硫石膏和洗车废水沉淀池污泥进行暂存，不合格产品、洗车废水沉淀池污泥及时掺入原料回用于制砖，脱硫石膏经收集暂存后定期外售综合利用</w:t>
                  </w:r>
                </w:p>
              </w:tc>
              <w:tc>
                <w:tcPr>
                  <w:tcW w:w="928" w:type="pct"/>
                  <w:tcMar>
                    <w:top w:w="57" w:type="dxa"/>
                    <w:bottom w:w="57" w:type="dxa"/>
                  </w:tcMar>
                  <w:vAlign w:val="center"/>
                </w:tcPr>
                <w:p w14:paraId="12E9431C">
                  <w:pPr>
                    <w:adjustRightInd w:val="0"/>
                    <w:snapToGrid w:val="0"/>
                    <w:jc w:val="center"/>
                    <w:rPr>
                      <w:szCs w:val="21"/>
                    </w:rPr>
                  </w:pPr>
                  <w:r>
                    <w:rPr>
                      <w:szCs w:val="21"/>
                    </w:rPr>
                    <w:t>《一般工业固体废物贮存和填埋污染物控制标准》（GB18599-2020）</w:t>
                  </w:r>
                </w:p>
              </w:tc>
              <w:tc>
                <w:tcPr>
                  <w:tcW w:w="422" w:type="pct"/>
                  <w:tcMar>
                    <w:top w:w="57" w:type="dxa"/>
                    <w:bottom w:w="57" w:type="dxa"/>
                  </w:tcMar>
                  <w:vAlign w:val="center"/>
                </w:tcPr>
                <w:p w14:paraId="19C0359B">
                  <w:pPr>
                    <w:adjustRightInd w:val="0"/>
                    <w:snapToGrid w:val="0"/>
                    <w:jc w:val="center"/>
                    <w:rPr>
                      <w:szCs w:val="21"/>
                    </w:rPr>
                  </w:pPr>
                  <w:r>
                    <w:rPr>
                      <w:szCs w:val="21"/>
                    </w:rPr>
                    <w:t>1</w:t>
                  </w:r>
                </w:p>
              </w:tc>
              <w:tc>
                <w:tcPr>
                  <w:tcW w:w="782" w:type="pct"/>
                  <w:vAlign w:val="center"/>
                </w:tcPr>
                <w:p w14:paraId="7DD54A21">
                  <w:pPr>
                    <w:adjustRightInd w:val="0"/>
                    <w:snapToGrid w:val="0"/>
                    <w:jc w:val="center"/>
                    <w:rPr>
                      <w:szCs w:val="21"/>
                    </w:rPr>
                  </w:pPr>
                  <w:r>
                    <w:rPr>
                      <w:szCs w:val="21"/>
                    </w:rPr>
                    <w:t>新增</w:t>
                  </w:r>
                </w:p>
              </w:tc>
            </w:tr>
            <w:tr w14:paraId="0B66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4" w:hRule="atLeast"/>
              </w:trPr>
              <w:tc>
                <w:tcPr>
                  <w:tcW w:w="257" w:type="pct"/>
                  <w:vMerge w:val="continue"/>
                  <w:tcMar>
                    <w:top w:w="57" w:type="dxa"/>
                    <w:bottom w:w="57" w:type="dxa"/>
                  </w:tcMar>
                  <w:vAlign w:val="center"/>
                </w:tcPr>
                <w:p w14:paraId="151CA7DC">
                  <w:pPr>
                    <w:adjustRightInd w:val="0"/>
                    <w:snapToGrid w:val="0"/>
                    <w:jc w:val="center"/>
                    <w:rPr>
                      <w:color w:val="EE0000"/>
                      <w:szCs w:val="21"/>
                    </w:rPr>
                  </w:pPr>
                </w:p>
              </w:tc>
              <w:tc>
                <w:tcPr>
                  <w:tcW w:w="652" w:type="pct"/>
                  <w:tcMar>
                    <w:top w:w="57" w:type="dxa"/>
                    <w:bottom w:w="57" w:type="dxa"/>
                  </w:tcMar>
                  <w:vAlign w:val="center"/>
                </w:tcPr>
                <w:p w14:paraId="0760677C">
                  <w:pPr>
                    <w:adjustRightInd w:val="0"/>
                    <w:snapToGrid w:val="0"/>
                    <w:jc w:val="center"/>
                    <w:rPr>
                      <w:szCs w:val="21"/>
                    </w:rPr>
                  </w:pPr>
                  <w:r>
                    <w:rPr>
                      <w:szCs w:val="21"/>
                    </w:rPr>
                    <w:t>危险废物</w:t>
                  </w:r>
                </w:p>
              </w:tc>
              <w:tc>
                <w:tcPr>
                  <w:tcW w:w="1958" w:type="pct"/>
                  <w:tcMar>
                    <w:top w:w="57" w:type="dxa"/>
                    <w:bottom w:w="57" w:type="dxa"/>
                  </w:tcMar>
                  <w:vAlign w:val="center"/>
                </w:tcPr>
                <w:p w14:paraId="186EBB3E">
                  <w:pPr>
                    <w:adjustRightInd w:val="0"/>
                    <w:snapToGrid w:val="0"/>
                    <w:jc w:val="center"/>
                    <w:rPr>
                      <w:szCs w:val="21"/>
                    </w:rPr>
                  </w:pPr>
                  <w:r>
                    <w:rPr>
                      <w:szCs w:val="21"/>
                    </w:rPr>
                    <w:t>经1座20m</w:t>
                  </w:r>
                  <w:r>
                    <w:rPr>
                      <w:szCs w:val="21"/>
                      <w:vertAlign w:val="superscript"/>
                    </w:rPr>
                    <w:t>2</w:t>
                  </w:r>
                  <w:r>
                    <w:rPr>
                      <w:szCs w:val="21"/>
                    </w:rPr>
                    <w:t>危废暂存间暂存，定期交由有危废处理资质的单位处理</w:t>
                  </w:r>
                </w:p>
              </w:tc>
              <w:tc>
                <w:tcPr>
                  <w:tcW w:w="928" w:type="pct"/>
                  <w:tcMar>
                    <w:top w:w="57" w:type="dxa"/>
                    <w:bottom w:w="57" w:type="dxa"/>
                  </w:tcMar>
                  <w:vAlign w:val="center"/>
                </w:tcPr>
                <w:p w14:paraId="6B120007">
                  <w:pPr>
                    <w:adjustRightInd w:val="0"/>
                    <w:snapToGrid w:val="0"/>
                    <w:jc w:val="center"/>
                    <w:rPr>
                      <w:szCs w:val="21"/>
                    </w:rPr>
                  </w:pPr>
                  <w:r>
                    <w:rPr>
                      <w:szCs w:val="21"/>
                    </w:rPr>
                    <w:t>《危险废物贮存污染控制标准》（GB18597-2023）</w:t>
                  </w:r>
                </w:p>
              </w:tc>
              <w:tc>
                <w:tcPr>
                  <w:tcW w:w="422" w:type="pct"/>
                  <w:tcMar>
                    <w:top w:w="57" w:type="dxa"/>
                    <w:bottom w:w="57" w:type="dxa"/>
                  </w:tcMar>
                  <w:vAlign w:val="center"/>
                </w:tcPr>
                <w:p w14:paraId="2C9809D3">
                  <w:pPr>
                    <w:adjustRightInd w:val="0"/>
                    <w:snapToGrid w:val="0"/>
                    <w:jc w:val="center"/>
                    <w:rPr>
                      <w:szCs w:val="21"/>
                    </w:rPr>
                  </w:pPr>
                  <w:r>
                    <w:rPr>
                      <w:szCs w:val="21"/>
                    </w:rPr>
                    <w:t>/</w:t>
                  </w:r>
                </w:p>
              </w:tc>
              <w:tc>
                <w:tcPr>
                  <w:tcW w:w="782" w:type="pct"/>
                  <w:vAlign w:val="center"/>
                </w:tcPr>
                <w:p w14:paraId="5FBDB21A">
                  <w:pPr>
                    <w:adjustRightInd w:val="0"/>
                    <w:snapToGrid w:val="0"/>
                    <w:jc w:val="center"/>
                    <w:rPr>
                      <w:szCs w:val="21"/>
                    </w:rPr>
                  </w:pPr>
                  <w:r>
                    <w:rPr>
                      <w:szCs w:val="21"/>
                    </w:rPr>
                    <w:t>利用现有</w:t>
                  </w:r>
                </w:p>
              </w:tc>
            </w:tr>
            <w:tr w14:paraId="2973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3" w:hRule="atLeast"/>
              </w:trPr>
              <w:tc>
                <w:tcPr>
                  <w:tcW w:w="3796" w:type="pct"/>
                  <w:gridSpan w:val="4"/>
                  <w:tcMar>
                    <w:top w:w="57" w:type="dxa"/>
                    <w:bottom w:w="57" w:type="dxa"/>
                  </w:tcMar>
                  <w:vAlign w:val="center"/>
                </w:tcPr>
                <w:p w14:paraId="234DA316">
                  <w:pPr>
                    <w:adjustRightInd w:val="0"/>
                    <w:snapToGrid w:val="0"/>
                    <w:jc w:val="center"/>
                    <w:rPr>
                      <w:szCs w:val="21"/>
                    </w:rPr>
                  </w:pPr>
                  <w:r>
                    <w:rPr>
                      <w:szCs w:val="21"/>
                    </w:rPr>
                    <w:t>合计</w:t>
                  </w:r>
                </w:p>
              </w:tc>
              <w:tc>
                <w:tcPr>
                  <w:tcW w:w="422" w:type="pct"/>
                  <w:tcMar>
                    <w:top w:w="57" w:type="dxa"/>
                    <w:bottom w:w="57" w:type="dxa"/>
                  </w:tcMar>
                  <w:vAlign w:val="center"/>
                </w:tcPr>
                <w:p w14:paraId="74764719">
                  <w:pPr>
                    <w:adjustRightInd w:val="0"/>
                    <w:snapToGrid w:val="0"/>
                    <w:jc w:val="center"/>
                    <w:rPr>
                      <w:szCs w:val="21"/>
                    </w:rPr>
                  </w:pPr>
                  <w:r>
                    <w:rPr>
                      <w:rFonts w:hint="eastAsia"/>
                      <w:szCs w:val="21"/>
                    </w:rPr>
                    <w:t>235</w:t>
                  </w:r>
                </w:p>
              </w:tc>
              <w:tc>
                <w:tcPr>
                  <w:tcW w:w="782" w:type="pct"/>
                  <w:vAlign w:val="center"/>
                </w:tcPr>
                <w:p w14:paraId="78928E8D">
                  <w:pPr>
                    <w:adjustRightInd w:val="0"/>
                    <w:snapToGrid w:val="0"/>
                    <w:jc w:val="center"/>
                    <w:rPr>
                      <w:szCs w:val="21"/>
                    </w:rPr>
                  </w:pPr>
                  <w:r>
                    <w:rPr>
                      <w:szCs w:val="21"/>
                    </w:rPr>
                    <w:t>/</w:t>
                  </w:r>
                </w:p>
              </w:tc>
            </w:tr>
          </w:tbl>
          <w:p w14:paraId="4D51DC09">
            <w:pPr>
              <w:spacing w:line="520" w:lineRule="exact"/>
              <w:rPr>
                <w:color w:val="EE0000"/>
                <w:sz w:val="24"/>
              </w:rPr>
            </w:pPr>
          </w:p>
        </w:tc>
      </w:tr>
    </w:tbl>
    <w:p w14:paraId="54EA566B">
      <w:pPr>
        <w:adjustRightInd w:val="0"/>
        <w:snapToGrid w:val="0"/>
        <w:spacing w:line="360" w:lineRule="auto"/>
        <w:rPr>
          <w:b/>
          <w:color w:val="EE0000"/>
          <w:kern w:val="0"/>
          <w:sz w:val="28"/>
          <w:szCs w:val="28"/>
        </w:rPr>
      </w:pPr>
    </w:p>
    <w:p w14:paraId="3D022DF9">
      <w:pPr>
        <w:adjustRightInd w:val="0"/>
        <w:snapToGrid w:val="0"/>
        <w:spacing w:line="360" w:lineRule="auto"/>
        <w:rPr>
          <w:b/>
          <w:color w:val="EE0000"/>
          <w:kern w:val="0"/>
          <w:sz w:val="28"/>
          <w:szCs w:val="28"/>
        </w:rPr>
        <w:sectPr>
          <w:pgSz w:w="11906" w:h="16838"/>
          <w:pgMar w:top="1701" w:right="1531" w:bottom="1701" w:left="1531" w:header="851" w:footer="851" w:gutter="0"/>
          <w:cols w:space="720" w:num="1"/>
          <w:docGrid w:linePitch="312" w:charSpace="0"/>
        </w:sectPr>
      </w:pPr>
    </w:p>
    <w:p w14:paraId="5BBFD913">
      <w:pPr>
        <w:pStyle w:val="32"/>
        <w:numPr>
          <w:ilvl w:val="0"/>
          <w:numId w:val="1"/>
        </w:numPr>
        <w:jc w:val="center"/>
        <w:outlineLvl w:val="0"/>
        <w:rPr>
          <w:rFonts w:ascii="Times New Roman" w:hAnsi="Times New Roman" w:eastAsia="黑体"/>
          <w:snapToGrid w:val="0"/>
          <w:sz w:val="30"/>
          <w:szCs w:val="30"/>
        </w:rPr>
      </w:pPr>
      <w:bookmarkStart w:id="45" w:name="_Toc217711384"/>
      <w:bookmarkStart w:id="46" w:name="_Hlk54167917"/>
      <w:r>
        <w:rPr>
          <w:rFonts w:ascii="Times New Roman" w:hAnsi="Times New Roman" w:eastAsia="黑体"/>
          <w:snapToGrid w:val="0"/>
          <w:sz w:val="30"/>
          <w:szCs w:val="30"/>
        </w:rPr>
        <w:t>环境保护措施监督检查清单</w:t>
      </w:r>
      <w:bookmarkEnd w:id="45"/>
      <w:bookmarkEnd w:id="46"/>
    </w:p>
    <w:tbl>
      <w:tblPr>
        <w:tblStyle w:val="37"/>
        <w:tblW w:w="90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79" w:type="dxa"/>
        </w:tblCellMar>
      </w:tblPr>
      <w:tblGrid>
        <w:gridCol w:w="965"/>
        <w:gridCol w:w="1530"/>
        <w:gridCol w:w="1349"/>
        <w:gridCol w:w="3355"/>
        <w:gridCol w:w="1866"/>
      </w:tblGrid>
      <w:tr w14:paraId="5BC00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340" w:hRule="atLeast"/>
          <w:jc w:val="center"/>
        </w:trPr>
        <w:tc>
          <w:tcPr>
            <w:tcW w:w="965" w:type="dxa"/>
            <w:tcBorders>
              <w:top w:val="single" w:color="auto" w:sz="8" w:space="0"/>
              <w:left w:val="single" w:color="auto" w:sz="8" w:space="0"/>
              <w:bottom w:val="single" w:color="auto" w:sz="4" w:space="0"/>
              <w:right w:val="single" w:color="auto" w:sz="4" w:space="0"/>
              <w:tl2br w:val="single" w:color="auto" w:sz="4" w:space="0"/>
            </w:tcBorders>
          </w:tcPr>
          <w:p w14:paraId="69F79826">
            <w:pPr>
              <w:adjustRightInd w:val="0"/>
              <w:snapToGrid w:val="0"/>
              <w:ind w:firstLine="210" w:firstLineChars="100"/>
              <w:rPr>
                <w:szCs w:val="21"/>
              </w:rPr>
            </w:pPr>
            <w:r>
              <w:rPr>
                <w:szCs w:val="21"/>
              </w:rPr>
              <w:t>内容</w:t>
            </w:r>
          </w:p>
          <w:p w14:paraId="5A94D95F">
            <w:pPr>
              <w:adjustRightInd w:val="0"/>
              <w:snapToGrid w:val="0"/>
              <w:rPr>
                <w:szCs w:val="21"/>
              </w:rPr>
            </w:pPr>
            <w:r>
              <w:rPr>
                <w:szCs w:val="21"/>
              </w:rPr>
              <w:t>要素</w:t>
            </w:r>
          </w:p>
        </w:tc>
        <w:tc>
          <w:tcPr>
            <w:tcW w:w="1530" w:type="dxa"/>
            <w:tcBorders>
              <w:top w:val="single" w:color="auto" w:sz="8" w:space="0"/>
              <w:left w:val="single" w:color="auto" w:sz="4" w:space="0"/>
              <w:bottom w:val="single" w:color="auto" w:sz="4" w:space="0"/>
              <w:right w:val="single" w:color="auto" w:sz="4" w:space="0"/>
            </w:tcBorders>
            <w:vAlign w:val="center"/>
          </w:tcPr>
          <w:p w14:paraId="1B63FD1C">
            <w:pPr>
              <w:adjustRightInd w:val="0"/>
              <w:snapToGrid w:val="0"/>
              <w:ind w:left="-105" w:leftChars="-50" w:right="-105" w:rightChars="-50"/>
              <w:jc w:val="center"/>
              <w:rPr>
                <w:szCs w:val="21"/>
              </w:rPr>
            </w:pPr>
            <w:r>
              <w:rPr>
                <w:szCs w:val="21"/>
              </w:rPr>
              <w:t>排放口(编号、名称)/污染源</w:t>
            </w:r>
          </w:p>
        </w:tc>
        <w:tc>
          <w:tcPr>
            <w:tcW w:w="1349" w:type="dxa"/>
            <w:tcBorders>
              <w:top w:val="single" w:color="auto" w:sz="8" w:space="0"/>
              <w:left w:val="single" w:color="auto" w:sz="4" w:space="0"/>
              <w:bottom w:val="single" w:color="auto" w:sz="4" w:space="0"/>
              <w:right w:val="single" w:color="auto" w:sz="4" w:space="0"/>
            </w:tcBorders>
            <w:vAlign w:val="center"/>
          </w:tcPr>
          <w:p w14:paraId="65F1EEB7">
            <w:pPr>
              <w:adjustRightInd w:val="0"/>
              <w:snapToGrid w:val="0"/>
              <w:jc w:val="center"/>
              <w:rPr>
                <w:szCs w:val="21"/>
              </w:rPr>
            </w:pPr>
            <w:r>
              <w:rPr>
                <w:szCs w:val="21"/>
              </w:rPr>
              <w:t>污染物项目</w:t>
            </w:r>
          </w:p>
        </w:tc>
        <w:tc>
          <w:tcPr>
            <w:tcW w:w="3355" w:type="dxa"/>
            <w:tcBorders>
              <w:top w:val="single" w:color="auto" w:sz="8" w:space="0"/>
              <w:left w:val="single" w:color="auto" w:sz="4" w:space="0"/>
              <w:bottom w:val="single" w:color="auto" w:sz="4" w:space="0"/>
              <w:right w:val="single" w:color="auto" w:sz="4" w:space="0"/>
            </w:tcBorders>
            <w:vAlign w:val="center"/>
          </w:tcPr>
          <w:p w14:paraId="0D5FD0A1">
            <w:pPr>
              <w:adjustRightInd w:val="0"/>
              <w:snapToGrid w:val="0"/>
              <w:jc w:val="center"/>
              <w:rPr>
                <w:szCs w:val="21"/>
              </w:rPr>
            </w:pPr>
            <w:r>
              <w:rPr>
                <w:szCs w:val="21"/>
              </w:rPr>
              <w:t>环境保护措施</w:t>
            </w:r>
          </w:p>
        </w:tc>
        <w:tc>
          <w:tcPr>
            <w:tcW w:w="1866" w:type="dxa"/>
            <w:tcBorders>
              <w:top w:val="single" w:color="auto" w:sz="8" w:space="0"/>
              <w:left w:val="single" w:color="auto" w:sz="4" w:space="0"/>
              <w:bottom w:val="single" w:color="auto" w:sz="4" w:space="0"/>
              <w:right w:val="single" w:color="auto" w:sz="8" w:space="0"/>
            </w:tcBorders>
            <w:vAlign w:val="center"/>
          </w:tcPr>
          <w:p w14:paraId="2FD3646A">
            <w:pPr>
              <w:adjustRightInd w:val="0"/>
              <w:snapToGrid w:val="0"/>
              <w:jc w:val="center"/>
              <w:rPr>
                <w:szCs w:val="21"/>
              </w:rPr>
            </w:pPr>
            <w:r>
              <w:rPr>
                <w:szCs w:val="21"/>
              </w:rPr>
              <w:t>执行标准</w:t>
            </w:r>
          </w:p>
        </w:tc>
      </w:tr>
      <w:tr w14:paraId="43DDC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restart"/>
            <w:tcBorders>
              <w:top w:val="single" w:color="auto" w:sz="4" w:space="0"/>
              <w:left w:val="single" w:color="auto" w:sz="8" w:space="0"/>
              <w:right w:val="single" w:color="auto" w:sz="4" w:space="0"/>
            </w:tcBorders>
            <w:vAlign w:val="center"/>
          </w:tcPr>
          <w:p w14:paraId="718AE026">
            <w:pPr>
              <w:autoSpaceDE w:val="0"/>
              <w:autoSpaceDN w:val="0"/>
              <w:adjustRightInd w:val="0"/>
              <w:snapToGrid w:val="0"/>
              <w:jc w:val="center"/>
              <w:rPr>
                <w:kern w:val="0"/>
                <w:szCs w:val="21"/>
              </w:rPr>
            </w:pPr>
            <w:r>
              <w:rPr>
                <w:kern w:val="0"/>
                <w:szCs w:val="21"/>
              </w:rPr>
              <w:t>大气环境</w:t>
            </w:r>
          </w:p>
        </w:tc>
        <w:tc>
          <w:tcPr>
            <w:tcW w:w="1530" w:type="dxa"/>
            <w:tcBorders>
              <w:top w:val="single" w:color="auto" w:sz="4" w:space="0"/>
              <w:left w:val="single" w:color="auto" w:sz="4" w:space="0"/>
              <w:bottom w:val="single" w:color="auto" w:sz="4" w:space="0"/>
              <w:right w:val="single" w:color="auto" w:sz="4" w:space="0"/>
            </w:tcBorders>
            <w:vAlign w:val="center"/>
          </w:tcPr>
          <w:p w14:paraId="77C608A3">
            <w:pPr>
              <w:adjustRightInd w:val="0"/>
              <w:snapToGrid w:val="0"/>
              <w:jc w:val="center"/>
              <w:rPr>
                <w:szCs w:val="21"/>
              </w:rPr>
            </w:pPr>
            <w:bookmarkStart w:id="47" w:name="_Hlk219454163"/>
            <w:r>
              <w:rPr>
                <w:kern w:val="0"/>
                <w:szCs w:val="21"/>
              </w:rPr>
              <w:t>喂料、破碎粉尘</w:t>
            </w:r>
            <w:bookmarkEnd w:id="47"/>
          </w:p>
        </w:tc>
        <w:tc>
          <w:tcPr>
            <w:tcW w:w="1349" w:type="dxa"/>
            <w:tcBorders>
              <w:top w:val="single" w:color="auto" w:sz="4" w:space="0"/>
              <w:left w:val="single" w:color="auto" w:sz="4" w:space="0"/>
              <w:bottom w:val="single" w:color="auto" w:sz="4" w:space="0"/>
              <w:right w:val="single" w:color="auto" w:sz="4" w:space="0"/>
            </w:tcBorders>
            <w:vAlign w:val="center"/>
          </w:tcPr>
          <w:p w14:paraId="034658B8">
            <w:pPr>
              <w:adjustRightInd w:val="0"/>
              <w:snapToGrid w:val="0"/>
              <w:jc w:val="center"/>
              <w:rPr>
                <w:szCs w:val="21"/>
              </w:rPr>
            </w:pPr>
            <w:r>
              <w:rPr>
                <w:szCs w:val="21"/>
              </w:rPr>
              <w:t>颗粒物</w:t>
            </w:r>
          </w:p>
        </w:tc>
        <w:tc>
          <w:tcPr>
            <w:tcW w:w="3355" w:type="dxa"/>
            <w:tcBorders>
              <w:top w:val="single" w:color="auto" w:sz="4" w:space="0"/>
              <w:left w:val="single" w:color="auto" w:sz="4" w:space="0"/>
              <w:bottom w:val="single" w:color="auto" w:sz="4" w:space="0"/>
              <w:right w:val="single" w:color="auto" w:sz="4" w:space="0"/>
            </w:tcBorders>
            <w:vAlign w:val="center"/>
          </w:tcPr>
          <w:p w14:paraId="3CC635EE">
            <w:pPr>
              <w:spacing w:line="240" w:lineRule="atLeast"/>
              <w:jc w:val="center"/>
              <w:rPr>
                <w:szCs w:val="21"/>
                <w:u w:val="single"/>
              </w:rPr>
            </w:pPr>
            <w:bookmarkStart w:id="48" w:name="_Hlk219454168"/>
            <w:r>
              <w:rPr>
                <w:szCs w:val="21"/>
              </w:rPr>
              <w:t>喂料口三面封闭集气，破碎设备二次封闭集气，废气经1台袋式除尘器处理后共同经1根15m高排气筒DA002排放</w:t>
            </w:r>
            <w:bookmarkEnd w:id="48"/>
          </w:p>
        </w:tc>
        <w:tc>
          <w:tcPr>
            <w:tcW w:w="1866" w:type="dxa"/>
            <w:vMerge w:val="restart"/>
            <w:tcBorders>
              <w:top w:val="single" w:color="auto" w:sz="4" w:space="0"/>
              <w:left w:val="single" w:color="auto" w:sz="4" w:space="0"/>
              <w:right w:val="single" w:color="auto" w:sz="8" w:space="0"/>
            </w:tcBorders>
            <w:vAlign w:val="center"/>
          </w:tcPr>
          <w:p w14:paraId="1B0FAFF3">
            <w:pPr>
              <w:spacing w:line="0" w:lineRule="atLeast"/>
              <w:ind w:left="-105" w:leftChars="-50" w:right="-105" w:rightChars="-50"/>
              <w:jc w:val="center"/>
              <w:rPr>
                <w:szCs w:val="21"/>
              </w:rPr>
            </w:pPr>
            <w:r>
              <w:rPr>
                <w:szCs w:val="21"/>
              </w:rPr>
              <w:t>《砖瓦工业大气污染物排放标准》（DB41/2234-2022）、《城镇污水处理污泥处置 单独焚烧用泥质》(GB/T26402-2009)表3标准限值、《重污染天气重点行业应急减排措施制定技术指南(2020年修订版)》中</w:t>
            </w:r>
            <w:r>
              <w:rPr>
                <w:bCs/>
                <w:szCs w:val="21"/>
              </w:rPr>
              <w:t>烧结砖瓦制品企业绩效分级</w:t>
            </w:r>
            <w:r>
              <w:rPr>
                <w:szCs w:val="21"/>
              </w:rPr>
              <w:t>A 级</w:t>
            </w:r>
            <w:r>
              <w:rPr>
                <w:bCs/>
                <w:szCs w:val="21"/>
              </w:rPr>
              <w:t>指标</w:t>
            </w:r>
          </w:p>
        </w:tc>
      </w:tr>
      <w:tr w14:paraId="6BC9C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continue"/>
            <w:tcBorders>
              <w:top w:val="single" w:color="auto" w:sz="4" w:space="0"/>
              <w:left w:val="single" w:color="auto" w:sz="8" w:space="0"/>
              <w:right w:val="single" w:color="auto" w:sz="4" w:space="0"/>
            </w:tcBorders>
            <w:vAlign w:val="center"/>
          </w:tcPr>
          <w:p w14:paraId="62F7DE04">
            <w:pPr>
              <w:autoSpaceDE w:val="0"/>
              <w:autoSpaceDN w:val="0"/>
              <w:adjustRightInd w:val="0"/>
              <w:snapToGrid w:val="0"/>
              <w:jc w:val="center"/>
              <w:rPr>
                <w:color w:val="EE0000"/>
                <w:kern w:val="0"/>
                <w:szCs w:val="21"/>
              </w:rPr>
            </w:pPr>
          </w:p>
        </w:tc>
        <w:tc>
          <w:tcPr>
            <w:tcW w:w="1530" w:type="dxa"/>
            <w:tcBorders>
              <w:top w:val="single" w:color="auto" w:sz="4" w:space="0"/>
              <w:left w:val="single" w:color="auto" w:sz="4" w:space="0"/>
              <w:right w:val="single" w:color="auto" w:sz="4" w:space="0"/>
            </w:tcBorders>
            <w:vAlign w:val="center"/>
          </w:tcPr>
          <w:p w14:paraId="5A0D2102">
            <w:pPr>
              <w:adjustRightInd w:val="0"/>
              <w:snapToGrid w:val="0"/>
              <w:jc w:val="center"/>
              <w:rPr>
                <w:kern w:val="0"/>
                <w:szCs w:val="21"/>
              </w:rPr>
            </w:pPr>
            <w:r>
              <w:rPr>
                <w:szCs w:val="21"/>
              </w:rPr>
              <w:t>筛分、搅拌</w:t>
            </w:r>
            <w:r>
              <w:rPr>
                <w:kern w:val="0"/>
                <w:szCs w:val="21"/>
              </w:rPr>
              <w:t>粉尘</w:t>
            </w:r>
          </w:p>
        </w:tc>
        <w:tc>
          <w:tcPr>
            <w:tcW w:w="1349" w:type="dxa"/>
            <w:tcBorders>
              <w:top w:val="single" w:color="auto" w:sz="4" w:space="0"/>
              <w:left w:val="single" w:color="auto" w:sz="4" w:space="0"/>
              <w:right w:val="single" w:color="auto" w:sz="4" w:space="0"/>
            </w:tcBorders>
            <w:vAlign w:val="center"/>
          </w:tcPr>
          <w:p w14:paraId="44B83699">
            <w:pPr>
              <w:adjustRightInd w:val="0"/>
              <w:snapToGrid w:val="0"/>
              <w:jc w:val="center"/>
              <w:rPr>
                <w:szCs w:val="21"/>
              </w:rPr>
            </w:pPr>
            <w:r>
              <w:rPr>
                <w:szCs w:val="21"/>
              </w:rPr>
              <w:t>颗粒物</w:t>
            </w:r>
          </w:p>
        </w:tc>
        <w:tc>
          <w:tcPr>
            <w:tcW w:w="3355" w:type="dxa"/>
            <w:tcBorders>
              <w:top w:val="single" w:color="auto" w:sz="4" w:space="0"/>
              <w:left w:val="single" w:color="auto" w:sz="4" w:space="0"/>
              <w:right w:val="single" w:color="auto" w:sz="4" w:space="0"/>
            </w:tcBorders>
            <w:vAlign w:val="center"/>
          </w:tcPr>
          <w:p w14:paraId="6A13627F">
            <w:pPr>
              <w:spacing w:line="240" w:lineRule="atLeast"/>
              <w:jc w:val="center"/>
              <w:rPr>
                <w:szCs w:val="21"/>
                <w:u w:val="single"/>
              </w:rPr>
            </w:pPr>
            <w:bookmarkStart w:id="49" w:name="_Hlk219454192"/>
            <w:r>
              <w:rPr>
                <w:szCs w:val="21"/>
              </w:rPr>
              <w:t>筛分、搅拌设备二次封闭集气，废气经1台袋式除尘器处理后共同经1根15m高排气筒DA001排放</w:t>
            </w:r>
            <w:bookmarkEnd w:id="49"/>
          </w:p>
        </w:tc>
        <w:tc>
          <w:tcPr>
            <w:tcW w:w="1866" w:type="dxa"/>
            <w:vMerge w:val="continue"/>
            <w:tcBorders>
              <w:top w:val="single" w:color="auto" w:sz="4" w:space="0"/>
              <w:left w:val="single" w:color="auto" w:sz="4" w:space="0"/>
              <w:right w:val="single" w:color="auto" w:sz="8" w:space="0"/>
            </w:tcBorders>
            <w:vAlign w:val="center"/>
          </w:tcPr>
          <w:p w14:paraId="04B696F4">
            <w:pPr>
              <w:spacing w:line="0" w:lineRule="atLeast"/>
              <w:ind w:left="-105" w:leftChars="-50" w:right="-105" w:rightChars="-50"/>
              <w:jc w:val="center"/>
              <w:rPr>
                <w:color w:val="EE0000"/>
                <w:szCs w:val="21"/>
              </w:rPr>
            </w:pPr>
          </w:p>
        </w:tc>
      </w:tr>
      <w:tr w14:paraId="5F145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continue"/>
            <w:tcBorders>
              <w:top w:val="single" w:color="auto" w:sz="4" w:space="0"/>
              <w:left w:val="single" w:color="auto" w:sz="8" w:space="0"/>
              <w:right w:val="single" w:color="auto" w:sz="4" w:space="0"/>
            </w:tcBorders>
            <w:vAlign w:val="center"/>
          </w:tcPr>
          <w:p w14:paraId="0C1FC2FE">
            <w:pPr>
              <w:autoSpaceDE w:val="0"/>
              <w:autoSpaceDN w:val="0"/>
              <w:adjustRightInd w:val="0"/>
              <w:snapToGrid w:val="0"/>
              <w:jc w:val="center"/>
              <w:rPr>
                <w:color w:val="EE0000"/>
                <w:kern w:val="0"/>
                <w:szCs w:val="21"/>
              </w:rPr>
            </w:pPr>
          </w:p>
        </w:tc>
        <w:tc>
          <w:tcPr>
            <w:tcW w:w="1530" w:type="dxa"/>
            <w:tcBorders>
              <w:top w:val="single" w:color="auto" w:sz="4" w:space="0"/>
              <w:left w:val="single" w:color="auto" w:sz="4" w:space="0"/>
              <w:right w:val="single" w:color="auto" w:sz="4" w:space="0"/>
            </w:tcBorders>
            <w:vAlign w:val="center"/>
          </w:tcPr>
          <w:p w14:paraId="3988477E">
            <w:pPr>
              <w:adjustRightInd w:val="0"/>
              <w:snapToGrid w:val="0"/>
              <w:jc w:val="center"/>
              <w:rPr>
                <w:szCs w:val="21"/>
              </w:rPr>
            </w:pPr>
            <w:bookmarkStart w:id="50" w:name="_Hlk219454257"/>
            <w:r>
              <w:rPr>
                <w:kern w:val="0"/>
                <w:szCs w:val="21"/>
              </w:rPr>
              <w:t>窑车清理粉尘</w:t>
            </w:r>
            <w:bookmarkEnd w:id="50"/>
          </w:p>
        </w:tc>
        <w:tc>
          <w:tcPr>
            <w:tcW w:w="1349" w:type="dxa"/>
            <w:tcBorders>
              <w:top w:val="single" w:color="auto" w:sz="4" w:space="0"/>
              <w:left w:val="single" w:color="auto" w:sz="4" w:space="0"/>
              <w:right w:val="single" w:color="auto" w:sz="4" w:space="0"/>
            </w:tcBorders>
            <w:vAlign w:val="center"/>
          </w:tcPr>
          <w:p w14:paraId="3C2B6F9C">
            <w:pPr>
              <w:adjustRightInd w:val="0"/>
              <w:snapToGrid w:val="0"/>
              <w:jc w:val="center"/>
              <w:rPr>
                <w:szCs w:val="21"/>
              </w:rPr>
            </w:pPr>
            <w:r>
              <w:rPr>
                <w:szCs w:val="21"/>
              </w:rPr>
              <w:t>颗粒物</w:t>
            </w:r>
          </w:p>
        </w:tc>
        <w:tc>
          <w:tcPr>
            <w:tcW w:w="3355" w:type="dxa"/>
            <w:tcBorders>
              <w:top w:val="single" w:color="auto" w:sz="4" w:space="0"/>
              <w:left w:val="single" w:color="auto" w:sz="4" w:space="0"/>
              <w:right w:val="single" w:color="auto" w:sz="4" w:space="0"/>
            </w:tcBorders>
            <w:vAlign w:val="center"/>
          </w:tcPr>
          <w:p w14:paraId="69658E68">
            <w:pPr>
              <w:spacing w:line="240" w:lineRule="atLeast"/>
              <w:jc w:val="center"/>
              <w:rPr>
                <w:szCs w:val="21"/>
              </w:rPr>
            </w:pPr>
            <w:bookmarkStart w:id="51" w:name="_Hlk219454251"/>
            <w:r>
              <w:rPr>
                <w:szCs w:val="21"/>
              </w:rPr>
              <w:t>经集气罩收集后经1台袋式除尘器处理，处理后的废气引入排气筒DA004排放</w:t>
            </w:r>
            <w:bookmarkEnd w:id="51"/>
          </w:p>
        </w:tc>
        <w:tc>
          <w:tcPr>
            <w:tcW w:w="1866" w:type="dxa"/>
            <w:vMerge w:val="continue"/>
            <w:tcBorders>
              <w:top w:val="single" w:color="auto" w:sz="4" w:space="0"/>
              <w:left w:val="single" w:color="auto" w:sz="4" w:space="0"/>
              <w:right w:val="single" w:color="auto" w:sz="8" w:space="0"/>
            </w:tcBorders>
            <w:vAlign w:val="center"/>
          </w:tcPr>
          <w:p w14:paraId="78152AB5">
            <w:pPr>
              <w:spacing w:line="0" w:lineRule="atLeast"/>
              <w:ind w:left="-105" w:leftChars="-50" w:right="-105" w:rightChars="-50"/>
              <w:jc w:val="center"/>
              <w:rPr>
                <w:color w:val="EE0000"/>
                <w:szCs w:val="21"/>
              </w:rPr>
            </w:pPr>
          </w:p>
        </w:tc>
      </w:tr>
      <w:tr w14:paraId="443D6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1372" w:hRule="atLeast"/>
          <w:jc w:val="center"/>
        </w:trPr>
        <w:tc>
          <w:tcPr>
            <w:tcW w:w="965" w:type="dxa"/>
            <w:vMerge w:val="continue"/>
            <w:tcBorders>
              <w:top w:val="single" w:color="auto" w:sz="4" w:space="0"/>
              <w:left w:val="single" w:color="auto" w:sz="8" w:space="0"/>
              <w:right w:val="single" w:color="auto" w:sz="4" w:space="0"/>
            </w:tcBorders>
            <w:vAlign w:val="center"/>
          </w:tcPr>
          <w:p w14:paraId="4F32B1C2">
            <w:pPr>
              <w:autoSpaceDE w:val="0"/>
              <w:autoSpaceDN w:val="0"/>
              <w:adjustRightInd w:val="0"/>
              <w:snapToGrid w:val="0"/>
              <w:jc w:val="center"/>
              <w:rPr>
                <w:color w:val="EE0000"/>
                <w:kern w:val="0"/>
                <w:szCs w:val="21"/>
              </w:rPr>
            </w:pPr>
          </w:p>
        </w:tc>
        <w:tc>
          <w:tcPr>
            <w:tcW w:w="1530" w:type="dxa"/>
            <w:tcBorders>
              <w:left w:val="single" w:color="auto" w:sz="4" w:space="0"/>
              <w:right w:val="single" w:color="auto" w:sz="4" w:space="0"/>
            </w:tcBorders>
            <w:vAlign w:val="center"/>
          </w:tcPr>
          <w:p w14:paraId="66DA4634">
            <w:pPr>
              <w:adjustRightInd w:val="0"/>
              <w:snapToGrid w:val="0"/>
              <w:jc w:val="center"/>
              <w:rPr>
                <w:kern w:val="0"/>
                <w:szCs w:val="21"/>
              </w:rPr>
            </w:pPr>
            <w:bookmarkStart w:id="52" w:name="_Hlk219454266"/>
            <w:r>
              <w:rPr>
                <w:spacing w:val="-4"/>
                <w:szCs w:val="21"/>
              </w:rPr>
              <w:t>窑炉烟气</w:t>
            </w:r>
            <w:bookmarkEnd w:id="52"/>
          </w:p>
        </w:tc>
        <w:tc>
          <w:tcPr>
            <w:tcW w:w="1349" w:type="dxa"/>
            <w:tcBorders>
              <w:left w:val="single" w:color="auto" w:sz="4" w:space="0"/>
              <w:right w:val="single" w:color="auto" w:sz="4" w:space="0"/>
            </w:tcBorders>
            <w:vAlign w:val="center"/>
          </w:tcPr>
          <w:p w14:paraId="5EC413DA">
            <w:pPr>
              <w:adjustRightInd w:val="0"/>
              <w:snapToGrid w:val="0"/>
              <w:jc w:val="center"/>
              <w:rPr>
                <w:szCs w:val="21"/>
              </w:rPr>
            </w:pPr>
            <w:r>
              <w:rPr>
                <w:szCs w:val="21"/>
              </w:rPr>
              <w:t>颗粒物、二氧化硫、氮氧化物、氟化物、HCL、</w:t>
            </w:r>
            <w:r>
              <w:t>汞、铅、铬、砷、锌、铜、</w:t>
            </w:r>
            <w:r>
              <w:rPr>
                <w:szCs w:val="21"/>
              </w:rPr>
              <w:t>二噁英、氨气</w:t>
            </w:r>
          </w:p>
        </w:tc>
        <w:tc>
          <w:tcPr>
            <w:tcW w:w="3355" w:type="dxa"/>
            <w:tcBorders>
              <w:top w:val="single" w:color="auto" w:sz="4" w:space="0"/>
              <w:left w:val="single" w:color="auto" w:sz="4" w:space="0"/>
              <w:right w:val="single" w:color="auto" w:sz="4" w:space="0"/>
            </w:tcBorders>
            <w:vAlign w:val="center"/>
          </w:tcPr>
          <w:p w14:paraId="233A7FAB">
            <w:pPr>
              <w:spacing w:line="240" w:lineRule="atLeast"/>
              <w:jc w:val="center"/>
              <w:rPr>
                <w:color w:val="EE0000"/>
                <w:szCs w:val="21"/>
              </w:rPr>
            </w:pPr>
            <w:bookmarkStart w:id="53" w:name="_Hlk219454272"/>
            <w:r>
              <w:rPr>
                <w:kern w:val="0"/>
                <w:szCs w:val="21"/>
              </w:rPr>
              <w:t>经1套“SNCR脱硝＋石灰-石膏湿法脱硫塔＋湿电除尘器（2台）”处理后经1根18m 高排气筒DA003排放</w:t>
            </w:r>
            <w:bookmarkEnd w:id="53"/>
          </w:p>
        </w:tc>
        <w:tc>
          <w:tcPr>
            <w:tcW w:w="1866" w:type="dxa"/>
            <w:vMerge w:val="continue"/>
            <w:tcBorders>
              <w:top w:val="single" w:color="auto" w:sz="4" w:space="0"/>
              <w:left w:val="single" w:color="auto" w:sz="4" w:space="0"/>
              <w:right w:val="single" w:color="auto" w:sz="8" w:space="0"/>
            </w:tcBorders>
            <w:vAlign w:val="center"/>
          </w:tcPr>
          <w:p w14:paraId="16408510">
            <w:pPr>
              <w:spacing w:line="0" w:lineRule="atLeast"/>
              <w:ind w:left="-105" w:leftChars="-50" w:right="-105" w:rightChars="-50"/>
              <w:jc w:val="center"/>
              <w:rPr>
                <w:color w:val="EE0000"/>
                <w:szCs w:val="21"/>
              </w:rPr>
            </w:pPr>
          </w:p>
        </w:tc>
      </w:tr>
      <w:tr w14:paraId="657C4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continue"/>
            <w:tcBorders>
              <w:left w:val="single" w:color="auto" w:sz="8" w:space="0"/>
              <w:right w:val="single" w:color="auto" w:sz="4" w:space="0"/>
            </w:tcBorders>
            <w:vAlign w:val="center"/>
          </w:tcPr>
          <w:p w14:paraId="0E1BA35C">
            <w:pPr>
              <w:autoSpaceDE w:val="0"/>
              <w:autoSpaceDN w:val="0"/>
              <w:adjustRightInd w:val="0"/>
              <w:snapToGrid w:val="0"/>
              <w:jc w:val="center"/>
              <w:rPr>
                <w:color w:val="EE0000"/>
                <w:kern w:val="0"/>
                <w:szCs w:val="21"/>
              </w:rPr>
            </w:pPr>
            <w:bookmarkStart w:id="54" w:name="_Hlk219454290"/>
          </w:p>
        </w:tc>
        <w:tc>
          <w:tcPr>
            <w:tcW w:w="1530" w:type="dxa"/>
            <w:tcBorders>
              <w:top w:val="single" w:color="auto" w:sz="4" w:space="0"/>
              <w:left w:val="single" w:color="auto" w:sz="4" w:space="0"/>
              <w:right w:val="single" w:color="auto" w:sz="4" w:space="0"/>
            </w:tcBorders>
            <w:vAlign w:val="center"/>
          </w:tcPr>
          <w:p w14:paraId="5556CA3A">
            <w:pPr>
              <w:adjustRightInd w:val="0"/>
              <w:snapToGrid w:val="0"/>
              <w:jc w:val="center"/>
              <w:rPr>
                <w:color w:val="EE0000"/>
                <w:spacing w:val="-4"/>
                <w:szCs w:val="21"/>
              </w:rPr>
            </w:pPr>
            <w:r>
              <w:rPr>
                <w:spacing w:val="-4"/>
                <w:szCs w:val="21"/>
              </w:rPr>
              <w:t>污泥储存恶臭</w:t>
            </w:r>
          </w:p>
        </w:tc>
        <w:tc>
          <w:tcPr>
            <w:tcW w:w="1349" w:type="dxa"/>
            <w:tcBorders>
              <w:top w:val="single" w:color="auto" w:sz="4" w:space="0"/>
              <w:left w:val="single" w:color="auto" w:sz="4" w:space="0"/>
              <w:right w:val="single" w:color="auto" w:sz="4" w:space="0"/>
            </w:tcBorders>
            <w:vAlign w:val="center"/>
          </w:tcPr>
          <w:p w14:paraId="7D98E9AF">
            <w:pPr>
              <w:adjustRightInd w:val="0"/>
              <w:snapToGrid w:val="0"/>
              <w:jc w:val="center"/>
              <w:rPr>
                <w:color w:val="EE0000"/>
                <w:szCs w:val="21"/>
              </w:rPr>
            </w:pPr>
            <w:r>
              <w:rPr>
                <w:szCs w:val="21"/>
              </w:rPr>
              <w:t>颗粒物</w:t>
            </w:r>
          </w:p>
        </w:tc>
        <w:tc>
          <w:tcPr>
            <w:tcW w:w="3355" w:type="dxa"/>
            <w:tcBorders>
              <w:top w:val="single" w:color="auto" w:sz="4" w:space="0"/>
              <w:left w:val="single" w:color="auto" w:sz="4" w:space="0"/>
              <w:right w:val="single" w:color="auto" w:sz="4" w:space="0"/>
            </w:tcBorders>
            <w:vAlign w:val="center"/>
          </w:tcPr>
          <w:p w14:paraId="6E49DDE0">
            <w:pPr>
              <w:spacing w:line="240" w:lineRule="atLeast"/>
              <w:jc w:val="center"/>
              <w:rPr>
                <w:color w:val="EE0000"/>
                <w:kern w:val="0"/>
                <w:szCs w:val="21"/>
              </w:rPr>
            </w:pPr>
            <w:bookmarkStart w:id="55" w:name="_Hlk219454302"/>
            <w:r>
              <w:rPr>
                <w:szCs w:val="21"/>
              </w:rPr>
              <w:t>经1套“活性炭吸附装置”</w:t>
            </w:r>
            <w:r>
              <w:rPr>
                <w:kern w:val="0"/>
                <w:szCs w:val="21"/>
              </w:rPr>
              <w:t>处理后经1根15m 高排气筒DA005排放</w:t>
            </w:r>
            <w:bookmarkEnd w:id="55"/>
          </w:p>
        </w:tc>
        <w:tc>
          <w:tcPr>
            <w:tcW w:w="1866" w:type="dxa"/>
            <w:vMerge w:val="continue"/>
            <w:tcBorders>
              <w:left w:val="single" w:color="auto" w:sz="4" w:space="0"/>
              <w:right w:val="single" w:color="auto" w:sz="8" w:space="0"/>
            </w:tcBorders>
            <w:vAlign w:val="center"/>
          </w:tcPr>
          <w:p w14:paraId="22D1CB98">
            <w:pPr>
              <w:spacing w:line="0" w:lineRule="atLeast"/>
              <w:ind w:left="-105" w:leftChars="-50" w:right="-105" w:rightChars="-50"/>
              <w:jc w:val="center"/>
              <w:rPr>
                <w:color w:val="EE0000"/>
                <w:szCs w:val="21"/>
              </w:rPr>
            </w:pPr>
          </w:p>
        </w:tc>
      </w:tr>
      <w:bookmarkEnd w:id="54"/>
      <w:tr w14:paraId="5D81F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continue"/>
            <w:tcBorders>
              <w:left w:val="single" w:color="auto" w:sz="8" w:space="0"/>
              <w:right w:val="single" w:color="auto" w:sz="4" w:space="0"/>
            </w:tcBorders>
            <w:vAlign w:val="center"/>
          </w:tcPr>
          <w:p w14:paraId="4FBCBF48">
            <w:pPr>
              <w:autoSpaceDE w:val="0"/>
              <w:autoSpaceDN w:val="0"/>
              <w:adjustRightInd w:val="0"/>
              <w:snapToGrid w:val="0"/>
              <w:jc w:val="center"/>
              <w:rPr>
                <w:color w:val="EE0000"/>
                <w:kern w:val="0"/>
                <w:szCs w:val="21"/>
              </w:rPr>
            </w:pPr>
          </w:p>
        </w:tc>
        <w:tc>
          <w:tcPr>
            <w:tcW w:w="1530" w:type="dxa"/>
            <w:tcBorders>
              <w:top w:val="single" w:color="auto" w:sz="4" w:space="0"/>
              <w:left w:val="single" w:color="auto" w:sz="4" w:space="0"/>
              <w:right w:val="single" w:color="auto" w:sz="4" w:space="0"/>
            </w:tcBorders>
            <w:vAlign w:val="center"/>
          </w:tcPr>
          <w:p w14:paraId="1703183B">
            <w:pPr>
              <w:adjustRightInd w:val="0"/>
              <w:snapToGrid w:val="0"/>
              <w:jc w:val="center"/>
              <w:rPr>
                <w:color w:val="EE0000"/>
                <w:spacing w:val="-4"/>
                <w:szCs w:val="21"/>
              </w:rPr>
            </w:pPr>
            <w:bookmarkStart w:id="56" w:name="_Hlk219454413"/>
            <w:r>
              <w:rPr>
                <w:szCs w:val="21"/>
              </w:rPr>
              <w:t>石灰粉出入仓粉尘</w:t>
            </w:r>
            <w:bookmarkEnd w:id="56"/>
          </w:p>
        </w:tc>
        <w:tc>
          <w:tcPr>
            <w:tcW w:w="1349" w:type="dxa"/>
            <w:tcBorders>
              <w:top w:val="single" w:color="auto" w:sz="4" w:space="0"/>
              <w:left w:val="single" w:color="auto" w:sz="4" w:space="0"/>
              <w:right w:val="single" w:color="auto" w:sz="4" w:space="0"/>
            </w:tcBorders>
            <w:vAlign w:val="center"/>
          </w:tcPr>
          <w:p w14:paraId="6CC55890">
            <w:pPr>
              <w:adjustRightInd w:val="0"/>
              <w:snapToGrid w:val="0"/>
              <w:jc w:val="center"/>
              <w:rPr>
                <w:color w:val="EE0000"/>
                <w:szCs w:val="21"/>
              </w:rPr>
            </w:pPr>
            <w:r>
              <w:rPr>
                <w:szCs w:val="21"/>
              </w:rPr>
              <w:t>颗粒物</w:t>
            </w:r>
          </w:p>
        </w:tc>
        <w:tc>
          <w:tcPr>
            <w:tcW w:w="3355" w:type="dxa"/>
            <w:tcBorders>
              <w:top w:val="single" w:color="auto" w:sz="4" w:space="0"/>
              <w:left w:val="single" w:color="auto" w:sz="4" w:space="0"/>
              <w:right w:val="single" w:color="auto" w:sz="4" w:space="0"/>
            </w:tcBorders>
            <w:vAlign w:val="center"/>
          </w:tcPr>
          <w:p w14:paraId="69E370F0">
            <w:pPr>
              <w:spacing w:line="240" w:lineRule="atLeast"/>
              <w:jc w:val="center"/>
              <w:rPr>
                <w:color w:val="EE0000"/>
                <w:kern w:val="0"/>
                <w:szCs w:val="21"/>
              </w:rPr>
            </w:pPr>
            <w:bookmarkStart w:id="57" w:name="_Hlk219454423"/>
            <w:r>
              <w:rPr>
                <w:szCs w:val="21"/>
              </w:rPr>
              <w:t>经1台仓顶除尘器处理后，通过不低于15m高排气筒DA006排放</w:t>
            </w:r>
            <w:bookmarkEnd w:id="57"/>
          </w:p>
        </w:tc>
        <w:tc>
          <w:tcPr>
            <w:tcW w:w="1866" w:type="dxa"/>
            <w:vMerge w:val="continue"/>
            <w:tcBorders>
              <w:left w:val="single" w:color="auto" w:sz="4" w:space="0"/>
              <w:right w:val="single" w:color="auto" w:sz="8" w:space="0"/>
            </w:tcBorders>
            <w:vAlign w:val="center"/>
          </w:tcPr>
          <w:p w14:paraId="5570A54A">
            <w:pPr>
              <w:spacing w:line="0" w:lineRule="atLeast"/>
              <w:ind w:left="-105" w:leftChars="-50" w:right="-105" w:rightChars="-50"/>
              <w:jc w:val="center"/>
              <w:rPr>
                <w:color w:val="EE0000"/>
                <w:szCs w:val="21"/>
              </w:rPr>
            </w:pPr>
          </w:p>
        </w:tc>
      </w:tr>
      <w:tr w14:paraId="7213A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continue"/>
            <w:tcBorders>
              <w:left w:val="single" w:color="auto" w:sz="8" w:space="0"/>
              <w:right w:val="single" w:color="auto" w:sz="4" w:space="0"/>
            </w:tcBorders>
            <w:vAlign w:val="center"/>
          </w:tcPr>
          <w:p w14:paraId="13E0BB74">
            <w:pPr>
              <w:autoSpaceDE w:val="0"/>
              <w:autoSpaceDN w:val="0"/>
              <w:adjustRightInd w:val="0"/>
              <w:snapToGrid w:val="0"/>
              <w:jc w:val="center"/>
              <w:rPr>
                <w:color w:val="EE0000"/>
                <w:kern w:val="0"/>
                <w:szCs w:val="21"/>
              </w:rPr>
            </w:pPr>
          </w:p>
        </w:tc>
        <w:tc>
          <w:tcPr>
            <w:tcW w:w="1530" w:type="dxa"/>
            <w:tcBorders>
              <w:left w:val="single" w:color="auto" w:sz="4" w:space="0"/>
              <w:bottom w:val="single" w:color="auto" w:sz="4" w:space="0"/>
              <w:right w:val="single" w:color="auto" w:sz="4" w:space="0"/>
            </w:tcBorders>
            <w:vAlign w:val="center"/>
          </w:tcPr>
          <w:p w14:paraId="2F841241">
            <w:pPr>
              <w:adjustRightInd w:val="0"/>
              <w:snapToGrid w:val="0"/>
              <w:jc w:val="center"/>
              <w:rPr>
                <w:szCs w:val="21"/>
              </w:rPr>
            </w:pPr>
            <w:r>
              <w:rPr>
                <w:kern w:val="0"/>
                <w:szCs w:val="21"/>
              </w:rPr>
              <w:t>物料装卸粉尘</w:t>
            </w:r>
          </w:p>
        </w:tc>
        <w:tc>
          <w:tcPr>
            <w:tcW w:w="1349" w:type="dxa"/>
            <w:tcBorders>
              <w:top w:val="single" w:color="auto" w:sz="4" w:space="0"/>
              <w:left w:val="single" w:color="auto" w:sz="4" w:space="0"/>
              <w:bottom w:val="single" w:color="auto" w:sz="4" w:space="0"/>
              <w:right w:val="single" w:color="auto" w:sz="4" w:space="0"/>
            </w:tcBorders>
            <w:vAlign w:val="center"/>
          </w:tcPr>
          <w:p w14:paraId="78BD1B88">
            <w:pPr>
              <w:adjustRightInd w:val="0"/>
              <w:snapToGrid w:val="0"/>
              <w:jc w:val="center"/>
              <w:rPr>
                <w:szCs w:val="21"/>
              </w:rPr>
            </w:pPr>
            <w:r>
              <w:rPr>
                <w:szCs w:val="21"/>
              </w:rPr>
              <w:t>颗粒物</w:t>
            </w:r>
          </w:p>
        </w:tc>
        <w:tc>
          <w:tcPr>
            <w:tcW w:w="3355" w:type="dxa"/>
            <w:tcBorders>
              <w:left w:val="single" w:color="auto" w:sz="4" w:space="0"/>
              <w:right w:val="single" w:color="auto" w:sz="4" w:space="0"/>
            </w:tcBorders>
            <w:vAlign w:val="center"/>
          </w:tcPr>
          <w:p w14:paraId="09D61B08">
            <w:pPr>
              <w:spacing w:line="240" w:lineRule="atLeast"/>
              <w:jc w:val="center"/>
              <w:rPr>
                <w:bCs/>
                <w:szCs w:val="21"/>
              </w:rPr>
            </w:pPr>
            <w:r>
              <w:rPr>
                <w:szCs w:val="21"/>
              </w:rPr>
              <w:fldChar w:fldCharType="begin"/>
            </w:r>
            <w:r>
              <w:rPr>
                <w:szCs w:val="21"/>
              </w:rPr>
              <w:instrText xml:space="preserve">= 1 \* GB3</w:instrText>
            </w:r>
            <w:r>
              <w:rPr>
                <w:szCs w:val="21"/>
              </w:rPr>
              <w:fldChar w:fldCharType="separate"/>
            </w:r>
            <w:r>
              <w:rPr>
                <w:rFonts w:ascii="Cambria Math" w:hAnsi="Cambria Math" w:cs="Cambria Math"/>
                <w:szCs w:val="21"/>
              </w:rPr>
              <w:t>①</w:t>
            </w:r>
            <w:r>
              <w:rPr>
                <w:szCs w:val="21"/>
              </w:rPr>
              <w:fldChar w:fldCharType="end"/>
            </w:r>
            <w:r>
              <w:rPr>
                <w:szCs w:val="21"/>
              </w:rPr>
              <w:t>原料库、陈化库全密闭，安装硬质卷帘门；</w:t>
            </w:r>
            <w:r>
              <w:rPr>
                <w:rFonts w:ascii="Cambria Math" w:hAnsi="Cambria Math" w:cs="Cambria Math"/>
                <w:szCs w:val="21"/>
              </w:rPr>
              <w:t>②</w:t>
            </w:r>
            <w:r>
              <w:rPr>
                <w:szCs w:val="21"/>
              </w:rPr>
              <w:t>原料库、陈化库、卸车棚安装雾化喷淋设施</w:t>
            </w:r>
          </w:p>
        </w:tc>
        <w:tc>
          <w:tcPr>
            <w:tcW w:w="1866" w:type="dxa"/>
            <w:vMerge w:val="continue"/>
            <w:tcBorders>
              <w:left w:val="single" w:color="auto" w:sz="4" w:space="0"/>
              <w:right w:val="single" w:color="auto" w:sz="8" w:space="0"/>
            </w:tcBorders>
            <w:vAlign w:val="center"/>
          </w:tcPr>
          <w:p w14:paraId="75D7C7A9">
            <w:pPr>
              <w:spacing w:line="0" w:lineRule="atLeast"/>
              <w:ind w:left="-105" w:leftChars="-50" w:right="-105" w:rightChars="-50"/>
              <w:jc w:val="center"/>
              <w:rPr>
                <w:color w:val="EE0000"/>
                <w:szCs w:val="21"/>
              </w:rPr>
            </w:pPr>
          </w:p>
        </w:tc>
      </w:tr>
      <w:tr w14:paraId="1E45C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423" w:hRule="atLeast"/>
          <w:jc w:val="center"/>
        </w:trPr>
        <w:tc>
          <w:tcPr>
            <w:tcW w:w="965" w:type="dxa"/>
            <w:vMerge w:val="continue"/>
            <w:tcBorders>
              <w:left w:val="single" w:color="auto" w:sz="8" w:space="0"/>
              <w:bottom w:val="single" w:color="auto" w:sz="4" w:space="0"/>
              <w:right w:val="single" w:color="auto" w:sz="4" w:space="0"/>
            </w:tcBorders>
            <w:vAlign w:val="center"/>
          </w:tcPr>
          <w:p w14:paraId="76563E4A">
            <w:pPr>
              <w:autoSpaceDE w:val="0"/>
              <w:autoSpaceDN w:val="0"/>
              <w:adjustRightInd w:val="0"/>
              <w:snapToGrid w:val="0"/>
              <w:jc w:val="center"/>
              <w:rPr>
                <w:color w:val="EE0000"/>
                <w:kern w:val="0"/>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65A087CE">
            <w:pPr>
              <w:adjustRightInd w:val="0"/>
              <w:snapToGrid w:val="0"/>
              <w:jc w:val="center"/>
              <w:rPr>
                <w:szCs w:val="21"/>
              </w:rPr>
            </w:pPr>
            <w:r>
              <w:rPr>
                <w:kern w:val="0"/>
                <w:szCs w:val="21"/>
              </w:rPr>
              <w:t>车辆运输粉尘</w:t>
            </w:r>
          </w:p>
        </w:tc>
        <w:tc>
          <w:tcPr>
            <w:tcW w:w="1349" w:type="dxa"/>
            <w:tcBorders>
              <w:top w:val="single" w:color="auto" w:sz="4" w:space="0"/>
              <w:left w:val="single" w:color="auto" w:sz="4" w:space="0"/>
              <w:bottom w:val="single" w:color="auto" w:sz="4" w:space="0"/>
              <w:right w:val="single" w:color="auto" w:sz="4" w:space="0"/>
            </w:tcBorders>
            <w:vAlign w:val="center"/>
          </w:tcPr>
          <w:p w14:paraId="5A86CB77">
            <w:pPr>
              <w:adjustRightInd w:val="0"/>
              <w:snapToGrid w:val="0"/>
              <w:jc w:val="center"/>
              <w:rPr>
                <w:szCs w:val="21"/>
              </w:rPr>
            </w:pPr>
            <w:r>
              <w:rPr>
                <w:szCs w:val="21"/>
              </w:rPr>
              <w:t>颗粒物</w:t>
            </w:r>
          </w:p>
        </w:tc>
        <w:tc>
          <w:tcPr>
            <w:tcW w:w="3355" w:type="dxa"/>
            <w:tcBorders>
              <w:left w:val="single" w:color="auto" w:sz="4" w:space="0"/>
              <w:bottom w:val="single" w:color="auto" w:sz="4" w:space="0"/>
              <w:right w:val="single" w:color="auto" w:sz="4" w:space="0"/>
            </w:tcBorders>
            <w:vAlign w:val="center"/>
          </w:tcPr>
          <w:p w14:paraId="00388813">
            <w:pPr>
              <w:spacing w:line="240" w:lineRule="atLeast"/>
              <w:jc w:val="center"/>
              <w:rPr>
                <w:bCs/>
                <w:szCs w:val="21"/>
              </w:rPr>
            </w:pPr>
            <w:r>
              <w:rPr>
                <w:szCs w:val="21"/>
              </w:rPr>
              <w:t>车辆冲洗装置1套＋厂区道路洒水降尘</w:t>
            </w:r>
          </w:p>
        </w:tc>
        <w:tc>
          <w:tcPr>
            <w:tcW w:w="1866" w:type="dxa"/>
            <w:vMerge w:val="continue"/>
            <w:tcBorders>
              <w:left w:val="single" w:color="auto" w:sz="4" w:space="0"/>
              <w:bottom w:val="single" w:color="auto" w:sz="4" w:space="0"/>
              <w:right w:val="single" w:color="auto" w:sz="8" w:space="0"/>
            </w:tcBorders>
            <w:vAlign w:val="center"/>
          </w:tcPr>
          <w:p w14:paraId="13C8ED56">
            <w:pPr>
              <w:spacing w:line="0" w:lineRule="atLeast"/>
              <w:ind w:left="-105" w:leftChars="-50" w:right="-105" w:rightChars="-50"/>
              <w:jc w:val="center"/>
              <w:rPr>
                <w:color w:val="EE0000"/>
              </w:rPr>
            </w:pPr>
          </w:p>
        </w:tc>
      </w:tr>
      <w:tr w14:paraId="54683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restart"/>
            <w:tcBorders>
              <w:top w:val="single" w:color="auto" w:sz="4" w:space="0"/>
              <w:left w:val="single" w:color="auto" w:sz="8" w:space="0"/>
              <w:right w:val="single" w:color="auto" w:sz="4" w:space="0"/>
            </w:tcBorders>
            <w:vAlign w:val="center"/>
          </w:tcPr>
          <w:p w14:paraId="768C36AD">
            <w:pPr>
              <w:autoSpaceDE w:val="0"/>
              <w:autoSpaceDN w:val="0"/>
              <w:adjustRightInd w:val="0"/>
              <w:snapToGrid w:val="0"/>
              <w:jc w:val="center"/>
              <w:rPr>
                <w:kern w:val="0"/>
                <w:szCs w:val="21"/>
              </w:rPr>
            </w:pPr>
            <w:r>
              <w:rPr>
                <w:kern w:val="0"/>
                <w:szCs w:val="21"/>
              </w:rPr>
              <w:t>地表水环境</w:t>
            </w:r>
          </w:p>
        </w:tc>
        <w:tc>
          <w:tcPr>
            <w:tcW w:w="1530" w:type="dxa"/>
            <w:tcBorders>
              <w:top w:val="single" w:color="auto" w:sz="4" w:space="0"/>
              <w:left w:val="single" w:color="auto" w:sz="4" w:space="0"/>
              <w:bottom w:val="single" w:color="auto" w:sz="4" w:space="0"/>
              <w:right w:val="single" w:color="auto" w:sz="4" w:space="0"/>
            </w:tcBorders>
            <w:vAlign w:val="center"/>
          </w:tcPr>
          <w:p w14:paraId="7C1A85A7">
            <w:pPr>
              <w:adjustRightInd w:val="0"/>
              <w:snapToGrid w:val="0"/>
              <w:jc w:val="center"/>
              <w:rPr>
                <w:szCs w:val="21"/>
              </w:rPr>
            </w:pPr>
            <w:r>
              <w:rPr>
                <w:szCs w:val="21"/>
              </w:rPr>
              <w:t>脱硫废水</w:t>
            </w:r>
          </w:p>
        </w:tc>
        <w:tc>
          <w:tcPr>
            <w:tcW w:w="1349" w:type="dxa"/>
            <w:tcBorders>
              <w:top w:val="single" w:color="auto" w:sz="4" w:space="0"/>
              <w:left w:val="single" w:color="auto" w:sz="4" w:space="0"/>
              <w:bottom w:val="single" w:color="auto" w:sz="4" w:space="0"/>
              <w:right w:val="single" w:color="auto" w:sz="4" w:space="0"/>
            </w:tcBorders>
            <w:vAlign w:val="center"/>
          </w:tcPr>
          <w:p w14:paraId="20864CC8">
            <w:pPr>
              <w:pStyle w:val="9"/>
              <w:rPr>
                <w:rFonts w:ascii="Times New Roman" w:hAnsi="Times New Roman"/>
                <w:szCs w:val="21"/>
              </w:rPr>
            </w:pPr>
            <w:r>
              <w:rPr>
                <w:rFonts w:ascii="Times New Roman" w:hAnsi="Times New Roman"/>
                <w:szCs w:val="21"/>
              </w:rPr>
              <w:t>pH、SS</w:t>
            </w:r>
          </w:p>
        </w:tc>
        <w:tc>
          <w:tcPr>
            <w:tcW w:w="3355" w:type="dxa"/>
            <w:tcBorders>
              <w:top w:val="single" w:color="auto" w:sz="4" w:space="0"/>
              <w:left w:val="single" w:color="auto" w:sz="4" w:space="0"/>
              <w:bottom w:val="single" w:color="auto" w:sz="4" w:space="0"/>
              <w:right w:val="single" w:color="auto" w:sz="4" w:space="0"/>
            </w:tcBorders>
            <w:vAlign w:val="center"/>
          </w:tcPr>
          <w:p w14:paraId="5B3C6AE6">
            <w:pPr>
              <w:adjustRightInd w:val="0"/>
              <w:snapToGrid w:val="0"/>
              <w:jc w:val="center"/>
              <w:rPr>
                <w:szCs w:val="21"/>
              </w:rPr>
            </w:pPr>
            <w:r>
              <w:rPr>
                <w:szCs w:val="21"/>
              </w:rPr>
              <w:t>经1座</w:t>
            </w:r>
            <w:r>
              <w:rPr>
                <w:bCs/>
                <w:szCs w:val="21"/>
              </w:rPr>
              <w:t>1200m</w:t>
            </w:r>
            <w:r>
              <w:rPr>
                <w:bCs/>
                <w:szCs w:val="21"/>
                <w:vertAlign w:val="superscript"/>
              </w:rPr>
              <w:t>3</w:t>
            </w:r>
            <w:r>
              <w:rPr>
                <w:bCs/>
                <w:szCs w:val="21"/>
              </w:rPr>
              <w:t>/h“旋流分离+混凝反应+中和+沉淀”工艺脱硫废水处理系统处理后循环利用</w:t>
            </w:r>
          </w:p>
        </w:tc>
        <w:tc>
          <w:tcPr>
            <w:tcW w:w="1866" w:type="dxa"/>
            <w:vMerge w:val="restart"/>
            <w:tcBorders>
              <w:top w:val="single" w:color="auto" w:sz="4" w:space="0"/>
              <w:left w:val="single" w:color="auto" w:sz="4" w:space="0"/>
              <w:right w:val="single" w:color="auto" w:sz="8" w:space="0"/>
            </w:tcBorders>
            <w:vAlign w:val="center"/>
          </w:tcPr>
          <w:p w14:paraId="37DDD604">
            <w:pPr>
              <w:spacing w:line="240" w:lineRule="atLeast"/>
              <w:jc w:val="center"/>
              <w:rPr>
                <w:szCs w:val="21"/>
              </w:rPr>
            </w:pPr>
            <w:r>
              <w:rPr>
                <w:szCs w:val="21"/>
              </w:rPr>
              <w:t>不外排</w:t>
            </w:r>
          </w:p>
        </w:tc>
      </w:tr>
      <w:tr w14:paraId="06063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305" w:hRule="atLeast"/>
          <w:jc w:val="center"/>
        </w:trPr>
        <w:tc>
          <w:tcPr>
            <w:tcW w:w="965" w:type="dxa"/>
            <w:vMerge w:val="continue"/>
            <w:tcBorders>
              <w:left w:val="single" w:color="auto" w:sz="8" w:space="0"/>
              <w:right w:val="single" w:color="auto" w:sz="4" w:space="0"/>
            </w:tcBorders>
            <w:vAlign w:val="center"/>
          </w:tcPr>
          <w:p w14:paraId="3D0C9259">
            <w:pPr>
              <w:autoSpaceDE w:val="0"/>
              <w:autoSpaceDN w:val="0"/>
              <w:adjustRightInd w:val="0"/>
              <w:snapToGrid w:val="0"/>
              <w:jc w:val="center"/>
              <w:rPr>
                <w:kern w:val="0"/>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26573BAC">
            <w:pPr>
              <w:adjustRightInd w:val="0"/>
              <w:snapToGrid w:val="0"/>
              <w:jc w:val="center"/>
              <w:rPr>
                <w:szCs w:val="21"/>
              </w:rPr>
            </w:pPr>
            <w:r>
              <w:rPr>
                <w:szCs w:val="21"/>
              </w:rPr>
              <w:t>车辆冲洗废水</w:t>
            </w:r>
          </w:p>
        </w:tc>
        <w:tc>
          <w:tcPr>
            <w:tcW w:w="1349" w:type="dxa"/>
            <w:tcBorders>
              <w:top w:val="single" w:color="auto" w:sz="4" w:space="0"/>
              <w:left w:val="single" w:color="auto" w:sz="4" w:space="0"/>
              <w:bottom w:val="single" w:color="auto" w:sz="4" w:space="0"/>
              <w:right w:val="single" w:color="auto" w:sz="4" w:space="0"/>
            </w:tcBorders>
            <w:vAlign w:val="center"/>
          </w:tcPr>
          <w:p w14:paraId="7B98F911">
            <w:pPr>
              <w:pStyle w:val="9"/>
              <w:rPr>
                <w:rFonts w:ascii="Times New Roman" w:hAnsi="Times New Roman"/>
                <w:szCs w:val="21"/>
              </w:rPr>
            </w:pPr>
            <w:r>
              <w:rPr>
                <w:rFonts w:ascii="Times New Roman" w:hAnsi="Times New Roman"/>
                <w:szCs w:val="21"/>
              </w:rPr>
              <w:t>SS</w:t>
            </w:r>
          </w:p>
        </w:tc>
        <w:tc>
          <w:tcPr>
            <w:tcW w:w="3355" w:type="dxa"/>
            <w:tcBorders>
              <w:top w:val="single" w:color="auto" w:sz="4" w:space="0"/>
              <w:left w:val="single" w:color="auto" w:sz="4" w:space="0"/>
              <w:bottom w:val="single" w:color="auto" w:sz="4" w:space="0"/>
              <w:right w:val="single" w:color="auto" w:sz="4" w:space="0"/>
            </w:tcBorders>
            <w:vAlign w:val="center"/>
          </w:tcPr>
          <w:p w14:paraId="3697FB3C">
            <w:pPr>
              <w:adjustRightInd w:val="0"/>
              <w:snapToGrid w:val="0"/>
              <w:jc w:val="center"/>
              <w:rPr>
                <w:szCs w:val="21"/>
              </w:rPr>
            </w:pPr>
            <w:r>
              <w:rPr>
                <w:szCs w:val="21"/>
              </w:rPr>
              <w:t>经1座</w:t>
            </w:r>
            <w:r>
              <w:rPr>
                <w:bCs/>
                <w:szCs w:val="21"/>
              </w:rPr>
              <w:t>20m</w:t>
            </w:r>
            <w:r>
              <w:rPr>
                <w:bCs/>
                <w:szCs w:val="21"/>
                <w:vertAlign w:val="superscript"/>
              </w:rPr>
              <w:t>3</w:t>
            </w:r>
            <w:r>
              <w:rPr>
                <w:bCs/>
                <w:szCs w:val="21"/>
              </w:rPr>
              <w:t>的沉淀池沉淀后回用于车辆冲洗</w:t>
            </w:r>
          </w:p>
        </w:tc>
        <w:tc>
          <w:tcPr>
            <w:tcW w:w="1866" w:type="dxa"/>
            <w:vMerge w:val="continue"/>
            <w:tcBorders>
              <w:left w:val="single" w:color="auto" w:sz="4" w:space="0"/>
              <w:right w:val="single" w:color="auto" w:sz="8" w:space="0"/>
            </w:tcBorders>
            <w:vAlign w:val="center"/>
          </w:tcPr>
          <w:p w14:paraId="7F8E0296">
            <w:pPr>
              <w:spacing w:line="240" w:lineRule="atLeast"/>
              <w:jc w:val="center"/>
              <w:rPr>
                <w:color w:val="EE0000"/>
                <w:szCs w:val="21"/>
              </w:rPr>
            </w:pPr>
          </w:p>
        </w:tc>
      </w:tr>
      <w:tr w14:paraId="3BD48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355" w:hRule="atLeast"/>
          <w:jc w:val="center"/>
        </w:trPr>
        <w:tc>
          <w:tcPr>
            <w:tcW w:w="965" w:type="dxa"/>
            <w:vMerge w:val="continue"/>
            <w:tcBorders>
              <w:left w:val="single" w:color="auto" w:sz="8" w:space="0"/>
              <w:right w:val="single" w:color="auto" w:sz="4" w:space="0"/>
            </w:tcBorders>
            <w:vAlign w:val="center"/>
          </w:tcPr>
          <w:p w14:paraId="3700C3C2">
            <w:pPr>
              <w:autoSpaceDE w:val="0"/>
              <w:autoSpaceDN w:val="0"/>
              <w:adjustRightInd w:val="0"/>
              <w:snapToGrid w:val="0"/>
              <w:jc w:val="center"/>
              <w:rPr>
                <w:kern w:val="0"/>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3362C9D6">
            <w:pPr>
              <w:adjustRightInd w:val="0"/>
              <w:snapToGrid w:val="0"/>
              <w:jc w:val="center"/>
              <w:rPr>
                <w:szCs w:val="21"/>
              </w:rPr>
            </w:pPr>
            <w:r>
              <w:rPr>
                <w:bCs/>
                <w:szCs w:val="21"/>
              </w:rPr>
              <w:t>湿电除尘废水</w:t>
            </w:r>
          </w:p>
        </w:tc>
        <w:tc>
          <w:tcPr>
            <w:tcW w:w="1349" w:type="dxa"/>
            <w:tcBorders>
              <w:top w:val="single" w:color="auto" w:sz="4" w:space="0"/>
              <w:left w:val="single" w:color="auto" w:sz="4" w:space="0"/>
              <w:bottom w:val="single" w:color="auto" w:sz="4" w:space="0"/>
              <w:right w:val="single" w:color="auto" w:sz="4" w:space="0"/>
            </w:tcBorders>
            <w:vAlign w:val="center"/>
          </w:tcPr>
          <w:p w14:paraId="6FE5E0D8">
            <w:pPr>
              <w:pStyle w:val="9"/>
              <w:rPr>
                <w:rFonts w:ascii="Times New Roman" w:hAnsi="Times New Roman"/>
                <w:szCs w:val="21"/>
              </w:rPr>
            </w:pPr>
            <w:r>
              <w:rPr>
                <w:rFonts w:ascii="Times New Roman" w:hAnsi="Times New Roman"/>
                <w:szCs w:val="21"/>
              </w:rPr>
              <w:t>SS</w:t>
            </w:r>
          </w:p>
        </w:tc>
        <w:tc>
          <w:tcPr>
            <w:tcW w:w="3355" w:type="dxa"/>
            <w:tcBorders>
              <w:top w:val="single" w:color="auto" w:sz="4" w:space="0"/>
              <w:left w:val="single" w:color="auto" w:sz="4" w:space="0"/>
              <w:bottom w:val="single" w:color="auto" w:sz="4" w:space="0"/>
              <w:right w:val="single" w:color="auto" w:sz="4" w:space="0"/>
            </w:tcBorders>
            <w:vAlign w:val="center"/>
          </w:tcPr>
          <w:p w14:paraId="60EFB0F5">
            <w:pPr>
              <w:adjustRightInd w:val="0"/>
              <w:snapToGrid w:val="0"/>
              <w:jc w:val="center"/>
              <w:rPr>
                <w:szCs w:val="21"/>
              </w:rPr>
            </w:pPr>
            <w:r>
              <w:rPr>
                <w:szCs w:val="21"/>
              </w:rPr>
              <w:t>经1座</w:t>
            </w:r>
            <w:r>
              <w:rPr>
                <w:rFonts w:hint="eastAsia"/>
                <w:szCs w:val="21"/>
              </w:rPr>
              <w:t>20</w:t>
            </w:r>
            <w:r>
              <w:rPr>
                <w:szCs w:val="21"/>
              </w:rPr>
              <w:t>m</w:t>
            </w:r>
            <w:r>
              <w:rPr>
                <w:szCs w:val="21"/>
                <w:vertAlign w:val="superscript"/>
              </w:rPr>
              <w:t>3</w:t>
            </w:r>
            <w:r>
              <w:rPr>
                <w:szCs w:val="21"/>
              </w:rPr>
              <w:t>收集池收集后回用于制砖添加水</w:t>
            </w:r>
          </w:p>
        </w:tc>
        <w:tc>
          <w:tcPr>
            <w:tcW w:w="1866" w:type="dxa"/>
            <w:vMerge w:val="continue"/>
            <w:tcBorders>
              <w:left w:val="single" w:color="auto" w:sz="4" w:space="0"/>
              <w:right w:val="single" w:color="auto" w:sz="8" w:space="0"/>
            </w:tcBorders>
            <w:vAlign w:val="center"/>
          </w:tcPr>
          <w:p w14:paraId="666495D2">
            <w:pPr>
              <w:spacing w:line="240" w:lineRule="atLeast"/>
              <w:jc w:val="center"/>
              <w:rPr>
                <w:color w:val="EE0000"/>
                <w:szCs w:val="21"/>
              </w:rPr>
            </w:pPr>
          </w:p>
        </w:tc>
      </w:tr>
      <w:tr w14:paraId="61168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854" w:hRule="atLeast"/>
          <w:jc w:val="center"/>
        </w:trPr>
        <w:tc>
          <w:tcPr>
            <w:tcW w:w="965" w:type="dxa"/>
            <w:vMerge w:val="continue"/>
            <w:tcBorders>
              <w:left w:val="single" w:color="auto" w:sz="8" w:space="0"/>
              <w:right w:val="single" w:color="auto" w:sz="4" w:space="0"/>
            </w:tcBorders>
            <w:vAlign w:val="center"/>
          </w:tcPr>
          <w:p w14:paraId="6408FFDA">
            <w:pPr>
              <w:autoSpaceDE w:val="0"/>
              <w:autoSpaceDN w:val="0"/>
              <w:adjustRightInd w:val="0"/>
              <w:snapToGrid w:val="0"/>
              <w:jc w:val="center"/>
              <w:rPr>
                <w:kern w:val="0"/>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484C3898">
            <w:pPr>
              <w:adjustRightInd w:val="0"/>
              <w:snapToGrid w:val="0"/>
              <w:jc w:val="center"/>
              <w:rPr>
                <w:szCs w:val="21"/>
              </w:rPr>
            </w:pPr>
            <w:r>
              <w:rPr>
                <w:bCs/>
                <w:szCs w:val="21"/>
              </w:rPr>
              <w:t>生活污水</w:t>
            </w:r>
          </w:p>
        </w:tc>
        <w:tc>
          <w:tcPr>
            <w:tcW w:w="1349" w:type="dxa"/>
            <w:tcBorders>
              <w:top w:val="single" w:color="auto" w:sz="4" w:space="0"/>
              <w:left w:val="single" w:color="auto" w:sz="4" w:space="0"/>
              <w:bottom w:val="single" w:color="auto" w:sz="4" w:space="0"/>
              <w:right w:val="single" w:color="auto" w:sz="4" w:space="0"/>
            </w:tcBorders>
            <w:vAlign w:val="center"/>
          </w:tcPr>
          <w:p w14:paraId="2F23F65D">
            <w:pPr>
              <w:pStyle w:val="9"/>
              <w:rPr>
                <w:rFonts w:ascii="Times New Roman" w:hAnsi="Times New Roman"/>
                <w:szCs w:val="21"/>
              </w:rPr>
            </w:pPr>
            <w:r>
              <w:rPr>
                <w:rFonts w:ascii="Times New Roman" w:hAnsi="Times New Roman"/>
                <w:szCs w:val="21"/>
              </w:rPr>
              <w:t>COD</w:t>
            </w:r>
            <w:r>
              <w:rPr>
                <w:rFonts w:ascii="Times New Roman" w:hAnsi="Times New Roman"/>
                <w:szCs w:val="21"/>
                <w:vertAlign w:val="subscript"/>
              </w:rPr>
              <w:t>Cr</w:t>
            </w:r>
            <w:r>
              <w:rPr>
                <w:rFonts w:ascii="Times New Roman" w:hAnsi="Times New Roman"/>
                <w:szCs w:val="21"/>
              </w:rPr>
              <w:t>、BOD</w:t>
            </w:r>
            <w:r>
              <w:rPr>
                <w:rFonts w:ascii="Times New Roman" w:hAnsi="Times New Roman"/>
                <w:szCs w:val="21"/>
                <w:vertAlign w:val="subscript"/>
              </w:rPr>
              <w:t>5</w:t>
            </w:r>
            <w:r>
              <w:rPr>
                <w:rFonts w:ascii="Times New Roman" w:hAnsi="Times New Roman"/>
                <w:szCs w:val="21"/>
              </w:rPr>
              <w:t>、SS、NH</w:t>
            </w:r>
            <w:r>
              <w:rPr>
                <w:rFonts w:ascii="Times New Roman" w:hAnsi="Times New Roman"/>
                <w:szCs w:val="21"/>
                <w:vertAlign w:val="subscript"/>
              </w:rPr>
              <w:t>3</w:t>
            </w:r>
            <w:r>
              <w:rPr>
                <w:rFonts w:ascii="Times New Roman" w:hAnsi="Times New Roman"/>
                <w:szCs w:val="21"/>
              </w:rPr>
              <w:t>-N</w:t>
            </w:r>
          </w:p>
        </w:tc>
        <w:tc>
          <w:tcPr>
            <w:tcW w:w="3355" w:type="dxa"/>
            <w:tcBorders>
              <w:top w:val="single" w:color="auto" w:sz="4" w:space="0"/>
              <w:left w:val="single" w:color="auto" w:sz="4" w:space="0"/>
              <w:bottom w:val="single" w:color="auto" w:sz="4" w:space="0"/>
              <w:right w:val="single" w:color="auto" w:sz="4" w:space="0"/>
            </w:tcBorders>
            <w:vAlign w:val="center"/>
          </w:tcPr>
          <w:p w14:paraId="11AF0AC8">
            <w:pPr>
              <w:adjustRightInd w:val="0"/>
              <w:snapToGrid w:val="0"/>
              <w:jc w:val="center"/>
              <w:rPr>
                <w:szCs w:val="21"/>
              </w:rPr>
            </w:pPr>
            <w:r>
              <w:rPr>
                <w:bCs/>
                <w:szCs w:val="21"/>
              </w:rPr>
              <w:t>经隔油池+</w:t>
            </w:r>
            <w:r>
              <w:rPr>
                <w:szCs w:val="21"/>
              </w:rPr>
              <w:t>化粪池处理后用定期清掏肥田</w:t>
            </w:r>
          </w:p>
        </w:tc>
        <w:tc>
          <w:tcPr>
            <w:tcW w:w="1866" w:type="dxa"/>
            <w:vMerge w:val="continue"/>
            <w:tcBorders>
              <w:left w:val="single" w:color="auto" w:sz="4" w:space="0"/>
              <w:right w:val="single" w:color="auto" w:sz="8" w:space="0"/>
            </w:tcBorders>
            <w:vAlign w:val="center"/>
          </w:tcPr>
          <w:p w14:paraId="033D4897">
            <w:pPr>
              <w:spacing w:line="240" w:lineRule="atLeast"/>
              <w:jc w:val="center"/>
              <w:rPr>
                <w:color w:val="EE0000"/>
                <w:szCs w:val="21"/>
              </w:rPr>
            </w:pPr>
          </w:p>
        </w:tc>
      </w:tr>
      <w:tr w14:paraId="5043C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tcBorders>
              <w:top w:val="single" w:color="auto" w:sz="4" w:space="0"/>
              <w:left w:val="single" w:color="auto" w:sz="8" w:space="0"/>
              <w:bottom w:val="single" w:color="auto" w:sz="4" w:space="0"/>
              <w:right w:val="single" w:color="auto" w:sz="4" w:space="0"/>
            </w:tcBorders>
            <w:vAlign w:val="center"/>
          </w:tcPr>
          <w:p w14:paraId="412526C9">
            <w:pPr>
              <w:autoSpaceDE w:val="0"/>
              <w:autoSpaceDN w:val="0"/>
              <w:adjustRightInd w:val="0"/>
              <w:snapToGrid w:val="0"/>
              <w:jc w:val="center"/>
              <w:rPr>
                <w:kern w:val="0"/>
                <w:szCs w:val="21"/>
              </w:rPr>
            </w:pPr>
            <w:r>
              <w:rPr>
                <w:kern w:val="0"/>
                <w:szCs w:val="21"/>
              </w:rPr>
              <w:t>声环境</w:t>
            </w:r>
          </w:p>
        </w:tc>
        <w:tc>
          <w:tcPr>
            <w:tcW w:w="1530" w:type="dxa"/>
            <w:tcBorders>
              <w:top w:val="single" w:color="auto" w:sz="4" w:space="0"/>
              <w:left w:val="single" w:color="auto" w:sz="4" w:space="0"/>
              <w:right w:val="single" w:color="auto" w:sz="4" w:space="0"/>
            </w:tcBorders>
            <w:vAlign w:val="center"/>
          </w:tcPr>
          <w:p w14:paraId="494DD34C">
            <w:pPr>
              <w:adjustRightInd w:val="0"/>
              <w:snapToGrid w:val="0"/>
              <w:jc w:val="center"/>
              <w:rPr>
                <w:szCs w:val="21"/>
              </w:rPr>
            </w:pPr>
            <w:r>
              <w:rPr>
                <w:szCs w:val="21"/>
              </w:rPr>
              <w:t>生产设备</w:t>
            </w:r>
          </w:p>
        </w:tc>
        <w:tc>
          <w:tcPr>
            <w:tcW w:w="1349" w:type="dxa"/>
            <w:tcBorders>
              <w:top w:val="single" w:color="auto" w:sz="4" w:space="0"/>
              <w:left w:val="single" w:color="auto" w:sz="4" w:space="0"/>
              <w:right w:val="single" w:color="auto" w:sz="4" w:space="0"/>
            </w:tcBorders>
            <w:vAlign w:val="center"/>
          </w:tcPr>
          <w:p w14:paraId="49AFE220">
            <w:pPr>
              <w:adjustRightInd w:val="0"/>
              <w:snapToGrid w:val="0"/>
              <w:jc w:val="center"/>
              <w:rPr>
                <w:szCs w:val="21"/>
              </w:rPr>
            </w:pPr>
            <w:r>
              <w:rPr>
                <w:szCs w:val="21"/>
              </w:rPr>
              <w:t>风机、泵</w:t>
            </w:r>
          </w:p>
        </w:tc>
        <w:tc>
          <w:tcPr>
            <w:tcW w:w="3355" w:type="dxa"/>
            <w:tcBorders>
              <w:top w:val="single" w:color="auto" w:sz="4" w:space="0"/>
              <w:left w:val="single" w:color="auto" w:sz="4" w:space="0"/>
              <w:right w:val="single" w:color="auto" w:sz="4" w:space="0"/>
            </w:tcBorders>
            <w:vAlign w:val="center"/>
          </w:tcPr>
          <w:p w14:paraId="7B82C574">
            <w:pPr>
              <w:adjustRightInd w:val="0"/>
              <w:snapToGrid w:val="0"/>
              <w:jc w:val="center"/>
              <w:rPr>
                <w:szCs w:val="21"/>
              </w:rPr>
            </w:pPr>
            <w:r>
              <w:rPr>
                <w:bCs/>
                <w:szCs w:val="21"/>
              </w:rPr>
              <w:t>基础减振、消声器、隔声</w:t>
            </w:r>
          </w:p>
        </w:tc>
        <w:tc>
          <w:tcPr>
            <w:tcW w:w="1866" w:type="dxa"/>
            <w:tcBorders>
              <w:top w:val="single" w:color="auto" w:sz="4" w:space="0"/>
              <w:left w:val="single" w:color="auto" w:sz="4" w:space="0"/>
              <w:bottom w:val="single" w:color="auto" w:sz="4" w:space="0"/>
              <w:right w:val="single" w:color="auto" w:sz="8" w:space="0"/>
            </w:tcBorders>
            <w:vAlign w:val="center"/>
          </w:tcPr>
          <w:p w14:paraId="62DDFF8E">
            <w:pPr>
              <w:adjustRightInd w:val="0"/>
              <w:snapToGrid w:val="0"/>
              <w:jc w:val="center"/>
              <w:rPr>
                <w:szCs w:val="21"/>
              </w:rPr>
            </w:pPr>
            <w:r>
              <w:rPr>
                <w:szCs w:val="21"/>
              </w:rPr>
              <w:t>《工业企业厂界环境噪声排放标准》（GB12348-2008）</w:t>
            </w:r>
          </w:p>
          <w:p w14:paraId="79A1D3B5">
            <w:pPr>
              <w:adjustRightInd w:val="0"/>
              <w:snapToGrid w:val="0"/>
              <w:jc w:val="center"/>
              <w:rPr>
                <w:szCs w:val="21"/>
              </w:rPr>
            </w:pPr>
            <w:r>
              <w:rPr>
                <w:szCs w:val="21"/>
              </w:rPr>
              <w:t>2类、4类标准</w:t>
            </w:r>
          </w:p>
        </w:tc>
      </w:tr>
      <w:tr w14:paraId="4C9D3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restart"/>
            <w:tcBorders>
              <w:top w:val="single" w:color="auto" w:sz="4" w:space="0"/>
              <w:left w:val="single" w:color="auto" w:sz="8" w:space="0"/>
              <w:right w:val="single" w:color="auto" w:sz="4" w:space="0"/>
            </w:tcBorders>
            <w:vAlign w:val="center"/>
          </w:tcPr>
          <w:p w14:paraId="524BA14D">
            <w:pPr>
              <w:autoSpaceDE w:val="0"/>
              <w:autoSpaceDN w:val="0"/>
              <w:adjustRightInd w:val="0"/>
              <w:snapToGrid w:val="0"/>
              <w:jc w:val="center"/>
              <w:rPr>
                <w:kern w:val="0"/>
                <w:szCs w:val="21"/>
              </w:rPr>
            </w:pPr>
            <w:r>
              <w:rPr>
                <w:kern w:val="0"/>
                <w:szCs w:val="21"/>
              </w:rPr>
              <w:t>固体废物</w:t>
            </w:r>
          </w:p>
        </w:tc>
        <w:tc>
          <w:tcPr>
            <w:tcW w:w="1530" w:type="dxa"/>
            <w:vMerge w:val="restart"/>
            <w:tcBorders>
              <w:top w:val="single" w:color="auto" w:sz="4" w:space="0"/>
              <w:left w:val="single" w:color="auto" w:sz="4" w:space="0"/>
              <w:right w:val="single" w:color="auto" w:sz="4" w:space="0"/>
            </w:tcBorders>
            <w:vAlign w:val="center"/>
          </w:tcPr>
          <w:p w14:paraId="3A77E2D6">
            <w:pPr>
              <w:adjustRightInd w:val="0"/>
              <w:snapToGrid w:val="0"/>
              <w:spacing w:line="360" w:lineRule="exact"/>
              <w:jc w:val="center"/>
              <w:rPr>
                <w:bCs/>
                <w:szCs w:val="21"/>
              </w:rPr>
            </w:pPr>
            <w:r>
              <w:rPr>
                <w:szCs w:val="21"/>
              </w:rPr>
              <w:t>生产过程</w:t>
            </w:r>
          </w:p>
        </w:tc>
        <w:tc>
          <w:tcPr>
            <w:tcW w:w="1349" w:type="dxa"/>
            <w:tcBorders>
              <w:top w:val="single" w:color="auto" w:sz="4" w:space="0"/>
              <w:left w:val="single" w:color="auto" w:sz="4" w:space="0"/>
              <w:bottom w:val="single" w:color="auto" w:sz="4" w:space="0"/>
              <w:right w:val="single" w:color="auto" w:sz="4" w:space="0"/>
            </w:tcBorders>
            <w:vAlign w:val="center"/>
          </w:tcPr>
          <w:p w14:paraId="2445F9BF">
            <w:pPr>
              <w:spacing w:line="240" w:lineRule="atLeast"/>
              <w:jc w:val="center"/>
              <w:rPr>
                <w:szCs w:val="21"/>
              </w:rPr>
            </w:pPr>
            <w:r>
              <w:rPr>
                <w:szCs w:val="21"/>
              </w:rPr>
              <w:t>废湿坯</w:t>
            </w:r>
          </w:p>
        </w:tc>
        <w:tc>
          <w:tcPr>
            <w:tcW w:w="3355" w:type="dxa"/>
            <w:tcBorders>
              <w:top w:val="single" w:color="auto" w:sz="4" w:space="0"/>
              <w:left w:val="single" w:color="auto" w:sz="4" w:space="0"/>
              <w:bottom w:val="single" w:color="auto" w:sz="4" w:space="0"/>
              <w:right w:val="single" w:color="auto" w:sz="4" w:space="0"/>
            </w:tcBorders>
            <w:vAlign w:val="center"/>
          </w:tcPr>
          <w:p w14:paraId="2B8ACB3C">
            <w:pPr>
              <w:adjustRightInd w:val="0"/>
              <w:snapToGrid w:val="0"/>
              <w:spacing w:line="360" w:lineRule="exact"/>
              <w:jc w:val="center"/>
              <w:rPr>
                <w:szCs w:val="21"/>
              </w:rPr>
            </w:pPr>
            <w:r>
              <w:rPr>
                <w:szCs w:val="21"/>
              </w:rPr>
              <w:t>经收集后回用于生产</w:t>
            </w:r>
          </w:p>
        </w:tc>
        <w:tc>
          <w:tcPr>
            <w:tcW w:w="1866" w:type="dxa"/>
            <w:vMerge w:val="restart"/>
            <w:tcBorders>
              <w:top w:val="single" w:color="auto" w:sz="4" w:space="0"/>
              <w:left w:val="single" w:color="auto" w:sz="4" w:space="0"/>
              <w:right w:val="single" w:color="auto" w:sz="8" w:space="0"/>
            </w:tcBorders>
            <w:vAlign w:val="center"/>
          </w:tcPr>
          <w:p w14:paraId="06A39524">
            <w:pPr>
              <w:adjustRightInd w:val="0"/>
              <w:snapToGrid w:val="0"/>
              <w:jc w:val="center"/>
              <w:rPr>
                <w:szCs w:val="21"/>
              </w:rPr>
            </w:pPr>
            <w:r>
              <w:rPr>
                <w:szCs w:val="21"/>
              </w:rPr>
              <w:t>符合环保有关要求，对周围环境不会造成影响</w:t>
            </w:r>
          </w:p>
        </w:tc>
      </w:tr>
      <w:tr w14:paraId="24C21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continue"/>
            <w:tcBorders>
              <w:top w:val="single" w:color="auto" w:sz="4" w:space="0"/>
              <w:left w:val="single" w:color="auto" w:sz="8" w:space="0"/>
              <w:right w:val="single" w:color="auto" w:sz="4" w:space="0"/>
            </w:tcBorders>
            <w:vAlign w:val="center"/>
          </w:tcPr>
          <w:p w14:paraId="212C13AB">
            <w:pPr>
              <w:autoSpaceDE w:val="0"/>
              <w:autoSpaceDN w:val="0"/>
              <w:adjustRightInd w:val="0"/>
              <w:snapToGrid w:val="0"/>
              <w:jc w:val="center"/>
              <w:rPr>
                <w:kern w:val="0"/>
                <w:szCs w:val="21"/>
              </w:rPr>
            </w:pPr>
          </w:p>
        </w:tc>
        <w:tc>
          <w:tcPr>
            <w:tcW w:w="1530" w:type="dxa"/>
            <w:vMerge w:val="continue"/>
            <w:tcBorders>
              <w:left w:val="single" w:color="auto" w:sz="4" w:space="0"/>
              <w:right w:val="single" w:color="auto" w:sz="4" w:space="0"/>
            </w:tcBorders>
            <w:vAlign w:val="center"/>
          </w:tcPr>
          <w:p w14:paraId="32FB42D7">
            <w:pPr>
              <w:adjustRightInd w:val="0"/>
              <w:snapToGrid w:val="0"/>
              <w:spacing w:line="360" w:lineRule="exact"/>
              <w:jc w:val="center"/>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14:paraId="6C400307">
            <w:pPr>
              <w:spacing w:line="240" w:lineRule="atLeast"/>
              <w:jc w:val="center"/>
              <w:rPr>
                <w:szCs w:val="21"/>
              </w:rPr>
            </w:pPr>
            <w:r>
              <w:rPr>
                <w:szCs w:val="21"/>
              </w:rPr>
              <w:t>不合格产品</w:t>
            </w:r>
          </w:p>
        </w:tc>
        <w:tc>
          <w:tcPr>
            <w:tcW w:w="3355" w:type="dxa"/>
            <w:tcBorders>
              <w:top w:val="single" w:color="auto" w:sz="4" w:space="0"/>
              <w:left w:val="single" w:color="auto" w:sz="4" w:space="0"/>
              <w:bottom w:val="single" w:color="auto" w:sz="4" w:space="0"/>
              <w:right w:val="single" w:color="auto" w:sz="4" w:space="0"/>
            </w:tcBorders>
            <w:vAlign w:val="center"/>
          </w:tcPr>
          <w:p w14:paraId="6EC103F9">
            <w:pPr>
              <w:adjustRightInd w:val="0"/>
              <w:snapToGrid w:val="0"/>
              <w:spacing w:line="360" w:lineRule="exact"/>
              <w:jc w:val="center"/>
              <w:rPr>
                <w:szCs w:val="21"/>
              </w:rPr>
            </w:pPr>
            <w:r>
              <w:rPr>
                <w:szCs w:val="21"/>
              </w:rPr>
              <w:t>经收集后回用于生产</w:t>
            </w:r>
          </w:p>
        </w:tc>
        <w:tc>
          <w:tcPr>
            <w:tcW w:w="1866" w:type="dxa"/>
            <w:vMerge w:val="continue"/>
            <w:tcBorders>
              <w:top w:val="single" w:color="auto" w:sz="4" w:space="0"/>
              <w:left w:val="single" w:color="auto" w:sz="4" w:space="0"/>
              <w:right w:val="single" w:color="auto" w:sz="8" w:space="0"/>
            </w:tcBorders>
            <w:vAlign w:val="center"/>
          </w:tcPr>
          <w:p w14:paraId="7DC25EF7">
            <w:pPr>
              <w:adjustRightInd w:val="0"/>
              <w:snapToGrid w:val="0"/>
              <w:jc w:val="center"/>
              <w:rPr>
                <w:color w:val="EE0000"/>
                <w:szCs w:val="21"/>
              </w:rPr>
            </w:pPr>
          </w:p>
        </w:tc>
      </w:tr>
      <w:tr w14:paraId="701E5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continue"/>
            <w:tcBorders>
              <w:left w:val="single" w:color="auto" w:sz="8" w:space="0"/>
              <w:right w:val="single" w:color="auto" w:sz="4" w:space="0"/>
            </w:tcBorders>
            <w:vAlign w:val="center"/>
          </w:tcPr>
          <w:p w14:paraId="4798E40A">
            <w:pPr>
              <w:autoSpaceDE w:val="0"/>
              <w:autoSpaceDN w:val="0"/>
              <w:adjustRightInd w:val="0"/>
              <w:snapToGrid w:val="0"/>
              <w:jc w:val="center"/>
              <w:rPr>
                <w:kern w:val="0"/>
                <w:szCs w:val="21"/>
              </w:rPr>
            </w:pPr>
          </w:p>
        </w:tc>
        <w:tc>
          <w:tcPr>
            <w:tcW w:w="1530" w:type="dxa"/>
            <w:vMerge w:val="restart"/>
            <w:tcBorders>
              <w:top w:val="single" w:color="auto" w:sz="4" w:space="0"/>
              <w:left w:val="single" w:color="auto" w:sz="4" w:space="0"/>
              <w:right w:val="single" w:color="auto" w:sz="4" w:space="0"/>
            </w:tcBorders>
            <w:vAlign w:val="center"/>
          </w:tcPr>
          <w:p w14:paraId="4F7140BA">
            <w:pPr>
              <w:adjustRightInd w:val="0"/>
              <w:snapToGrid w:val="0"/>
              <w:spacing w:line="360" w:lineRule="exact"/>
              <w:jc w:val="center"/>
              <w:rPr>
                <w:bCs/>
                <w:szCs w:val="21"/>
              </w:rPr>
            </w:pPr>
            <w:r>
              <w:rPr>
                <w:szCs w:val="21"/>
              </w:rPr>
              <w:t>环保设施</w:t>
            </w:r>
          </w:p>
        </w:tc>
        <w:tc>
          <w:tcPr>
            <w:tcW w:w="1349" w:type="dxa"/>
            <w:tcBorders>
              <w:top w:val="single" w:color="auto" w:sz="4" w:space="0"/>
              <w:left w:val="single" w:color="auto" w:sz="4" w:space="0"/>
              <w:bottom w:val="single" w:color="auto" w:sz="4" w:space="0"/>
              <w:right w:val="single" w:color="auto" w:sz="4" w:space="0"/>
            </w:tcBorders>
            <w:vAlign w:val="center"/>
          </w:tcPr>
          <w:p w14:paraId="46CD0B64">
            <w:pPr>
              <w:spacing w:line="240" w:lineRule="atLeast"/>
              <w:jc w:val="center"/>
              <w:rPr>
                <w:szCs w:val="21"/>
              </w:rPr>
            </w:pPr>
            <w:r>
              <w:rPr>
                <w:szCs w:val="21"/>
              </w:rPr>
              <w:t>脱硫剂筒仓除尘灰</w:t>
            </w:r>
          </w:p>
        </w:tc>
        <w:tc>
          <w:tcPr>
            <w:tcW w:w="3355" w:type="dxa"/>
            <w:tcBorders>
              <w:top w:val="single" w:color="auto" w:sz="4" w:space="0"/>
              <w:left w:val="single" w:color="auto" w:sz="4" w:space="0"/>
              <w:bottom w:val="single" w:color="auto" w:sz="4" w:space="0"/>
              <w:right w:val="single" w:color="auto" w:sz="4" w:space="0"/>
            </w:tcBorders>
            <w:vAlign w:val="center"/>
          </w:tcPr>
          <w:p w14:paraId="433AE3C7">
            <w:pPr>
              <w:adjustRightInd w:val="0"/>
              <w:snapToGrid w:val="0"/>
              <w:spacing w:line="360" w:lineRule="exact"/>
              <w:jc w:val="center"/>
              <w:rPr>
                <w:bCs/>
                <w:szCs w:val="21"/>
              </w:rPr>
            </w:pPr>
            <w:r>
              <w:rPr>
                <w:szCs w:val="21"/>
              </w:rPr>
              <w:t>经收集后回用作脱硫剂</w:t>
            </w:r>
          </w:p>
        </w:tc>
        <w:tc>
          <w:tcPr>
            <w:tcW w:w="1866" w:type="dxa"/>
            <w:vMerge w:val="continue"/>
            <w:tcBorders>
              <w:left w:val="single" w:color="auto" w:sz="4" w:space="0"/>
              <w:right w:val="single" w:color="auto" w:sz="8" w:space="0"/>
            </w:tcBorders>
            <w:vAlign w:val="center"/>
          </w:tcPr>
          <w:p w14:paraId="45412B13">
            <w:pPr>
              <w:adjustRightInd w:val="0"/>
              <w:snapToGrid w:val="0"/>
              <w:jc w:val="center"/>
              <w:rPr>
                <w:color w:val="EE0000"/>
                <w:szCs w:val="21"/>
              </w:rPr>
            </w:pPr>
          </w:p>
        </w:tc>
      </w:tr>
      <w:tr w14:paraId="1CCAD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274" w:hRule="atLeast"/>
          <w:jc w:val="center"/>
        </w:trPr>
        <w:tc>
          <w:tcPr>
            <w:tcW w:w="965" w:type="dxa"/>
            <w:vMerge w:val="continue"/>
            <w:tcBorders>
              <w:left w:val="single" w:color="auto" w:sz="8" w:space="0"/>
              <w:right w:val="single" w:color="auto" w:sz="4" w:space="0"/>
            </w:tcBorders>
            <w:vAlign w:val="center"/>
          </w:tcPr>
          <w:p w14:paraId="566F14FA">
            <w:pPr>
              <w:autoSpaceDE w:val="0"/>
              <w:autoSpaceDN w:val="0"/>
              <w:adjustRightInd w:val="0"/>
              <w:snapToGrid w:val="0"/>
              <w:jc w:val="center"/>
              <w:rPr>
                <w:kern w:val="0"/>
                <w:szCs w:val="21"/>
              </w:rPr>
            </w:pPr>
          </w:p>
        </w:tc>
        <w:tc>
          <w:tcPr>
            <w:tcW w:w="1530" w:type="dxa"/>
            <w:vMerge w:val="continue"/>
            <w:tcBorders>
              <w:left w:val="single" w:color="auto" w:sz="4" w:space="0"/>
              <w:right w:val="single" w:color="auto" w:sz="4" w:space="0"/>
            </w:tcBorders>
            <w:vAlign w:val="center"/>
          </w:tcPr>
          <w:p w14:paraId="7E84B0D4">
            <w:pPr>
              <w:adjustRightInd w:val="0"/>
              <w:snapToGrid w:val="0"/>
              <w:spacing w:line="360" w:lineRule="exact"/>
              <w:jc w:val="center"/>
              <w:rPr>
                <w:bCs/>
                <w:szCs w:val="21"/>
              </w:rPr>
            </w:pPr>
          </w:p>
        </w:tc>
        <w:tc>
          <w:tcPr>
            <w:tcW w:w="1349" w:type="dxa"/>
            <w:tcBorders>
              <w:top w:val="single" w:color="auto" w:sz="4" w:space="0"/>
              <w:left w:val="single" w:color="auto" w:sz="4" w:space="0"/>
              <w:bottom w:val="single" w:color="auto" w:sz="4" w:space="0"/>
              <w:right w:val="single" w:color="auto" w:sz="4" w:space="0"/>
            </w:tcBorders>
            <w:vAlign w:val="center"/>
          </w:tcPr>
          <w:p w14:paraId="4380B871">
            <w:pPr>
              <w:spacing w:line="240" w:lineRule="atLeast"/>
              <w:jc w:val="center"/>
              <w:rPr>
                <w:szCs w:val="21"/>
              </w:rPr>
            </w:pPr>
            <w:r>
              <w:rPr>
                <w:szCs w:val="21"/>
              </w:rPr>
              <w:t>原料制备及窑车清理除尘灰</w:t>
            </w:r>
          </w:p>
        </w:tc>
        <w:tc>
          <w:tcPr>
            <w:tcW w:w="3355" w:type="dxa"/>
            <w:tcBorders>
              <w:top w:val="single" w:color="auto" w:sz="4" w:space="0"/>
              <w:left w:val="single" w:color="auto" w:sz="4" w:space="0"/>
              <w:bottom w:val="single" w:color="auto" w:sz="4" w:space="0"/>
              <w:right w:val="single" w:color="auto" w:sz="4" w:space="0"/>
            </w:tcBorders>
            <w:vAlign w:val="center"/>
          </w:tcPr>
          <w:p w14:paraId="3C30919B">
            <w:pPr>
              <w:adjustRightInd w:val="0"/>
              <w:snapToGrid w:val="0"/>
              <w:jc w:val="center"/>
              <w:rPr>
                <w:szCs w:val="21"/>
              </w:rPr>
            </w:pPr>
            <w:r>
              <w:rPr>
                <w:szCs w:val="21"/>
              </w:rPr>
              <w:t>经收集后回用于生产</w:t>
            </w:r>
          </w:p>
        </w:tc>
        <w:tc>
          <w:tcPr>
            <w:tcW w:w="1866" w:type="dxa"/>
            <w:vMerge w:val="continue"/>
            <w:tcBorders>
              <w:left w:val="single" w:color="auto" w:sz="4" w:space="0"/>
              <w:right w:val="single" w:color="auto" w:sz="8" w:space="0"/>
            </w:tcBorders>
            <w:vAlign w:val="center"/>
          </w:tcPr>
          <w:p w14:paraId="2E4EB6E2">
            <w:pPr>
              <w:adjustRightInd w:val="0"/>
              <w:snapToGrid w:val="0"/>
              <w:jc w:val="center"/>
              <w:rPr>
                <w:color w:val="EE0000"/>
                <w:szCs w:val="21"/>
              </w:rPr>
            </w:pPr>
          </w:p>
        </w:tc>
      </w:tr>
      <w:tr w14:paraId="54D73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274" w:hRule="atLeast"/>
          <w:jc w:val="center"/>
        </w:trPr>
        <w:tc>
          <w:tcPr>
            <w:tcW w:w="965" w:type="dxa"/>
            <w:vMerge w:val="continue"/>
            <w:tcBorders>
              <w:left w:val="single" w:color="auto" w:sz="8" w:space="0"/>
              <w:right w:val="single" w:color="auto" w:sz="4" w:space="0"/>
            </w:tcBorders>
            <w:vAlign w:val="center"/>
          </w:tcPr>
          <w:p w14:paraId="554DC2A2">
            <w:pPr>
              <w:autoSpaceDE w:val="0"/>
              <w:autoSpaceDN w:val="0"/>
              <w:adjustRightInd w:val="0"/>
              <w:snapToGrid w:val="0"/>
              <w:jc w:val="center"/>
              <w:rPr>
                <w:kern w:val="0"/>
                <w:szCs w:val="21"/>
              </w:rPr>
            </w:pPr>
          </w:p>
        </w:tc>
        <w:tc>
          <w:tcPr>
            <w:tcW w:w="1530" w:type="dxa"/>
            <w:vMerge w:val="continue"/>
            <w:tcBorders>
              <w:left w:val="single" w:color="auto" w:sz="4" w:space="0"/>
              <w:right w:val="single" w:color="auto" w:sz="4" w:space="0"/>
            </w:tcBorders>
            <w:vAlign w:val="center"/>
          </w:tcPr>
          <w:p w14:paraId="2330AB07">
            <w:pPr>
              <w:adjustRightInd w:val="0"/>
              <w:snapToGrid w:val="0"/>
              <w:spacing w:line="360" w:lineRule="exact"/>
              <w:jc w:val="center"/>
              <w:rPr>
                <w:bCs/>
                <w:szCs w:val="21"/>
              </w:rPr>
            </w:pPr>
          </w:p>
        </w:tc>
        <w:tc>
          <w:tcPr>
            <w:tcW w:w="1349" w:type="dxa"/>
            <w:tcBorders>
              <w:top w:val="single" w:color="auto" w:sz="4" w:space="0"/>
              <w:left w:val="single" w:color="auto" w:sz="4" w:space="0"/>
              <w:bottom w:val="single" w:color="auto" w:sz="4" w:space="0"/>
              <w:right w:val="single" w:color="auto" w:sz="4" w:space="0"/>
            </w:tcBorders>
            <w:vAlign w:val="center"/>
          </w:tcPr>
          <w:p w14:paraId="1D1DEDC8">
            <w:pPr>
              <w:spacing w:line="240" w:lineRule="atLeast"/>
              <w:jc w:val="center"/>
              <w:rPr>
                <w:szCs w:val="21"/>
              </w:rPr>
            </w:pPr>
            <w:r>
              <w:rPr>
                <w:szCs w:val="21"/>
              </w:rPr>
              <w:t>窑炉烟气除尘灰</w:t>
            </w:r>
          </w:p>
        </w:tc>
        <w:tc>
          <w:tcPr>
            <w:tcW w:w="3355" w:type="dxa"/>
            <w:tcBorders>
              <w:top w:val="single" w:color="auto" w:sz="4" w:space="0"/>
              <w:left w:val="single" w:color="auto" w:sz="4" w:space="0"/>
              <w:bottom w:val="single" w:color="auto" w:sz="4" w:space="0"/>
              <w:right w:val="single" w:color="auto" w:sz="4" w:space="0"/>
            </w:tcBorders>
            <w:vAlign w:val="center"/>
          </w:tcPr>
          <w:p w14:paraId="2037DB03">
            <w:pPr>
              <w:adjustRightInd w:val="0"/>
              <w:snapToGrid w:val="0"/>
              <w:jc w:val="center"/>
              <w:rPr>
                <w:szCs w:val="21"/>
              </w:rPr>
            </w:pPr>
            <w:r>
              <w:rPr>
                <w:szCs w:val="21"/>
              </w:rPr>
              <w:t>经收集后回用于生产</w:t>
            </w:r>
          </w:p>
        </w:tc>
        <w:tc>
          <w:tcPr>
            <w:tcW w:w="1866" w:type="dxa"/>
            <w:vMerge w:val="continue"/>
            <w:tcBorders>
              <w:left w:val="single" w:color="auto" w:sz="4" w:space="0"/>
              <w:right w:val="single" w:color="auto" w:sz="8" w:space="0"/>
            </w:tcBorders>
            <w:vAlign w:val="center"/>
          </w:tcPr>
          <w:p w14:paraId="19D9D543">
            <w:pPr>
              <w:adjustRightInd w:val="0"/>
              <w:snapToGrid w:val="0"/>
              <w:jc w:val="center"/>
              <w:rPr>
                <w:color w:val="EE0000"/>
                <w:szCs w:val="21"/>
              </w:rPr>
            </w:pPr>
          </w:p>
        </w:tc>
      </w:tr>
      <w:tr w14:paraId="4E2A0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continue"/>
            <w:tcBorders>
              <w:left w:val="single" w:color="auto" w:sz="8" w:space="0"/>
              <w:right w:val="single" w:color="auto" w:sz="4" w:space="0"/>
            </w:tcBorders>
            <w:vAlign w:val="center"/>
          </w:tcPr>
          <w:p w14:paraId="2BEE96B1">
            <w:pPr>
              <w:autoSpaceDE w:val="0"/>
              <w:autoSpaceDN w:val="0"/>
              <w:adjustRightInd w:val="0"/>
              <w:snapToGrid w:val="0"/>
              <w:jc w:val="center"/>
              <w:rPr>
                <w:kern w:val="0"/>
                <w:szCs w:val="21"/>
              </w:rPr>
            </w:pPr>
          </w:p>
        </w:tc>
        <w:tc>
          <w:tcPr>
            <w:tcW w:w="1530" w:type="dxa"/>
            <w:vMerge w:val="continue"/>
            <w:tcBorders>
              <w:left w:val="single" w:color="auto" w:sz="4" w:space="0"/>
              <w:right w:val="single" w:color="auto" w:sz="4" w:space="0"/>
            </w:tcBorders>
            <w:vAlign w:val="center"/>
          </w:tcPr>
          <w:p w14:paraId="7B17C58F">
            <w:pPr>
              <w:adjustRightInd w:val="0"/>
              <w:snapToGrid w:val="0"/>
              <w:spacing w:line="360" w:lineRule="exact"/>
              <w:jc w:val="center"/>
              <w:rPr>
                <w:bCs/>
                <w:szCs w:val="21"/>
              </w:rPr>
            </w:pPr>
          </w:p>
        </w:tc>
        <w:tc>
          <w:tcPr>
            <w:tcW w:w="1349" w:type="dxa"/>
            <w:tcBorders>
              <w:top w:val="single" w:color="auto" w:sz="4" w:space="0"/>
              <w:left w:val="single" w:color="auto" w:sz="4" w:space="0"/>
              <w:bottom w:val="single" w:color="auto" w:sz="4" w:space="0"/>
              <w:right w:val="single" w:color="auto" w:sz="4" w:space="0"/>
            </w:tcBorders>
            <w:vAlign w:val="center"/>
          </w:tcPr>
          <w:p w14:paraId="5A03072B">
            <w:pPr>
              <w:spacing w:line="240" w:lineRule="atLeast"/>
              <w:jc w:val="center"/>
              <w:rPr>
                <w:szCs w:val="21"/>
              </w:rPr>
            </w:pPr>
            <w:r>
              <w:rPr>
                <w:szCs w:val="21"/>
              </w:rPr>
              <w:t>脱硫石膏</w:t>
            </w:r>
          </w:p>
        </w:tc>
        <w:tc>
          <w:tcPr>
            <w:tcW w:w="3355" w:type="dxa"/>
            <w:tcBorders>
              <w:top w:val="single" w:color="auto" w:sz="4" w:space="0"/>
              <w:left w:val="single" w:color="auto" w:sz="4" w:space="0"/>
              <w:right w:val="single" w:color="auto" w:sz="4" w:space="0"/>
            </w:tcBorders>
            <w:vAlign w:val="center"/>
          </w:tcPr>
          <w:p w14:paraId="4136DF27">
            <w:pPr>
              <w:adjustRightInd w:val="0"/>
              <w:snapToGrid w:val="0"/>
              <w:jc w:val="center"/>
              <w:rPr>
                <w:szCs w:val="21"/>
              </w:rPr>
            </w:pPr>
            <w:r>
              <w:rPr>
                <w:szCs w:val="21"/>
              </w:rPr>
              <w:t>经收集暂存后定期外售综合利用</w:t>
            </w:r>
          </w:p>
        </w:tc>
        <w:tc>
          <w:tcPr>
            <w:tcW w:w="1866" w:type="dxa"/>
            <w:vMerge w:val="continue"/>
            <w:tcBorders>
              <w:left w:val="single" w:color="auto" w:sz="4" w:space="0"/>
              <w:right w:val="single" w:color="auto" w:sz="8" w:space="0"/>
            </w:tcBorders>
            <w:vAlign w:val="center"/>
          </w:tcPr>
          <w:p w14:paraId="711BAF89">
            <w:pPr>
              <w:adjustRightInd w:val="0"/>
              <w:snapToGrid w:val="0"/>
              <w:jc w:val="center"/>
              <w:rPr>
                <w:color w:val="EE0000"/>
                <w:szCs w:val="21"/>
              </w:rPr>
            </w:pPr>
          </w:p>
        </w:tc>
      </w:tr>
      <w:tr w14:paraId="62055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365" w:hRule="atLeast"/>
          <w:jc w:val="center"/>
        </w:trPr>
        <w:tc>
          <w:tcPr>
            <w:tcW w:w="965" w:type="dxa"/>
            <w:vMerge w:val="continue"/>
            <w:tcBorders>
              <w:left w:val="single" w:color="auto" w:sz="8" w:space="0"/>
              <w:right w:val="single" w:color="auto" w:sz="4" w:space="0"/>
            </w:tcBorders>
            <w:vAlign w:val="center"/>
          </w:tcPr>
          <w:p w14:paraId="3DA1F380">
            <w:pPr>
              <w:autoSpaceDE w:val="0"/>
              <w:autoSpaceDN w:val="0"/>
              <w:adjustRightInd w:val="0"/>
              <w:snapToGrid w:val="0"/>
              <w:jc w:val="center"/>
              <w:rPr>
                <w:kern w:val="0"/>
                <w:szCs w:val="21"/>
              </w:rPr>
            </w:pPr>
          </w:p>
        </w:tc>
        <w:tc>
          <w:tcPr>
            <w:tcW w:w="1530" w:type="dxa"/>
            <w:vMerge w:val="continue"/>
            <w:tcBorders>
              <w:left w:val="single" w:color="auto" w:sz="4" w:space="0"/>
              <w:right w:val="single" w:color="auto" w:sz="4" w:space="0"/>
            </w:tcBorders>
            <w:vAlign w:val="center"/>
          </w:tcPr>
          <w:p w14:paraId="090755B6">
            <w:pPr>
              <w:adjustRightInd w:val="0"/>
              <w:snapToGrid w:val="0"/>
              <w:spacing w:line="360" w:lineRule="exact"/>
              <w:jc w:val="center"/>
              <w:rPr>
                <w:bCs/>
                <w:szCs w:val="21"/>
              </w:rPr>
            </w:pPr>
          </w:p>
        </w:tc>
        <w:tc>
          <w:tcPr>
            <w:tcW w:w="1349" w:type="dxa"/>
            <w:tcBorders>
              <w:top w:val="single" w:color="auto" w:sz="4" w:space="0"/>
              <w:left w:val="single" w:color="auto" w:sz="4" w:space="0"/>
              <w:right w:val="single" w:color="auto" w:sz="4" w:space="0"/>
            </w:tcBorders>
            <w:vAlign w:val="center"/>
          </w:tcPr>
          <w:p w14:paraId="796FE348">
            <w:pPr>
              <w:spacing w:line="240" w:lineRule="atLeast"/>
              <w:jc w:val="center"/>
              <w:rPr>
                <w:szCs w:val="21"/>
              </w:rPr>
            </w:pPr>
            <w:r>
              <w:rPr>
                <w:szCs w:val="21"/>
              </w:rPr>
              <w:t>洗车装置沉淀池底泥</w:t>
            </w:r>
          </w:p>
        </w:tc>
        <w:tc>
          <w:tcPr>
            <w:tcW w:w="3355" w:type="dxa"/>
            <w:tcBorders>
              <w:left w:val="single" w:color="auto" w:sz="4" w:space="0"/>
              <w:right w:val="single" w:color="auto" w:sz="4" w:space="0"/>
            </w:tcBorders>
            <w:vAlign w:val="center"/>
          </w:tcPr>
          <w:p w14:paraId="546F3BE3">
            <w:pPr>
              <w:adjustRightInd w:val="0"/>
              <w:snapToGrid w:val="0"/>
              <w:jc w:val="center"/>
              <w:rPr>
                <w:szCs w:val="21"/>
              </w:rPr>
            </w:pPr>
            <w:r>
              <w:rPr>
                <w:szCs w:val="21"/>
              </w:rPr>
              <w:t>经收集后做为生产原料回用于生产</w:t>
            </w:r>
          </w:p>
        </w:tc>
        <w:tc>
          <w:tcPr>
            <w:tcW w:w="1866" w:type="dxa"/>
            <w:vMerge w:val="continue"/>
            <w:tcBorders>
              <w:left w:val="single" w:color="auto" w:sz="4" w:space="0"/>
              <w:right w:val="single" w:color="auto" w:sz="8" w:space="0"/>
            </w:tcBorders>
            <w:vAlign w:val="center"/>
          </w:tcPr>
          <w:p w14:paraId="4A5961AF">
            <w:pPr>
              <w:adjustRightInd w:val="0"/>
              <w:snapToGrid w:val="0"/>
              <w:jc w:val="center"/>
              <w:rPr>
                <w:color w:val="EE0000"/>
                <w:szCs w:val="21"/>
              </w:rPr>
            </w:pPr>
          </w:p>
        </w:tc>
      </w:tr>
      <w:tr w14:paraId="6B0EF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365" w:hRule="atLeast"/>
          <w:jc w:val="center"/>
        </w:trPr>
        <w:tc>
          <w:tcPr>
            <w:tcW w:w="965" w:type="dxa"/>
            <w:vMerge w:val="continue"/>
            <w:tcBorders>
              <w:left w:val="single" w:color="auto" w:sz="8" w:space="0"/>
              <w:right w:val="single" w:color="auto" w:sz="4" w:space="0"/>
            </w:tcBorders>
            <w:vAlign w:val="center"/>
          </w:tcPr>
          <w:p w14:paraId="5E856CA3">
            <w:pPr>
              <w:autoSpaceDE w:val="0"/>
              <w:autoSpaceDN w:val="0"/>
              <w:adjustRightInd w:val="0"/>
              <w:snapToGrid w:val="0"/>
              <w:jc w:val="center"/>
              <w:rPr>
                <w:kern w:val="0"/>
                <w:szCs w:val="21"/>
              </w:rPr>
            </w:pPr>
          </w:p>
        </w:tc>
        <w:tc>
          <w:tcPr>
            <w:tcW w:w="1530" w:type="dxa"/>
            <w:vMerge w:val="continue"/>
            <w:tcBorders>
              <w:left w:val="single" w:color="auto" w:sz="4" w:space="0"/>
              <w:right w:val="single" w:color="auto" w:sz="4" w:space="0"/>
            </w:tcBorders>
            <w:vAlign w:val="center"/>
          </w:tcPr>
          <w:p w14:paraId="3FA58035">
            <w:pPr>
              <w:adjustRightInd w:val="0"/>
              <w:snapToGrid w:val="0"/>
              <w:spacing w:line="360" w:lineRule="exact"/>
              <w:jc w:val="center"/>
              <w:rPr>
                <w:bCs/>
                <w:szCs w:val="21"/>
              </w:rPr>
            </w:pPr>
          </w:p>
        </w:tc>
        <w:tc>
          <w:tcPr>
            <w:tcW w:w="1349" w:type="dxa"/>
            <w:tcBorders>
              <w:top w:val="single" w:color="auto" w:sz="4" w:space="0"/>
              <w:left w:val="single" w:color="auto" w:sz="4" w:space="0"/>
              <w:right w:val="single" w:color="auto" w:sz="4" w:space="0"/>
            </w:tcBorders>
            <w:vAlign w:val="center"/>
          </w:tcPr>
          <w:p w14:paraId="4B3446AC">
            <w:pPr>
              <w:spacing w:line="240" w:lineRule="atLeast"/>
              <w:jc w:val="center"/>
              <w:rPr>
                <w:szCs w:val="21"/>
              </w:rPr>
            </w:pPr>
            <w:r>
              <w:rPr>
                <w:szCs w:val="21"/>
              </w:rPr>
              <w:t>废活性炭</w:t>
            </w:r>
          </w:p>
        </w:tc>
        <w:tc>
          <w:tcPr>
            <w:tcW w:w="3355" w:type="dxa"/>
            <w:vMerge w:val="restart"/>
            <w:tcBorders>
              <w:left w:val="single" w:color="auto" w:sz="4" w:space="0"/>
              <w:right w:val="single" w:color="auto" w:sz="4" w:space="0"/>
            </w:tcBorders>
            <w:vAlign w:val="center"/>
          </w:tcPr>
          <w:p w14:paraId="2F881106">
            <w:pPr>
              <w:adjustRightInd w:val="0"/>
              <w:snapToGrid w:val="0"/>
              <w:spacing w:line="360" w:lineRule="exact"/>
              <w:jc w:val="center"/>
              <w:rPr>
                <w:szCs w:val="21"/>
              </w:rPr>
            </w:pPr>
            <w:r>
              <w:rPr>
                <w:szCs w:val="21"/>
              </w:rPr>
              <w:t>暂存于危废暂存间（20m</w:t>
            </w:r>
            <w:r>
              <w:rPr>
                <w:szCs w:val="21"/>
                <w:vertAlign w:val="superscript"/>
              </w:rPr>
              <w:t>2</w:t>
            </w:r>
            <w:r>
              <w:rPr>
                <w:szCs w:val="21"/>
              </w:rPr>
              <w:t>），委托有资质单位处置</w:t>
            </w:r>
          </w:p>
        </w:tc>
        <w:tc>
          <w:tcPr>
            <w:tcW w:w="1866" w:type="dxa"/>
            <w:vMerge w:val="continue"/>
            <w:tcBorders>
              <w:left w:val="single" w:color="auto" w:sz="4" w:space="0"/>
              <w:right w:val="single" w:color="auto" w:sz="8" w:space="0"/>
            </w:tcBorders>
            <w:vAlign w:val="center"/>
          </w:tcPr>
          <w:p w14:paraId="1201D32C">
            <w:pPr>
              <w:adjustRightInd w:val="0"/>
              <w:snapToGrid w:val="0"/>
              <w:jc w:val="center"/>
              <w:rPr>
                <w:color w:val="EE0000"/>
                <w:szCs w:val="21"/>
              </w:rPr>
            </w:pPr>
          </w:p>
        </w:tc>
      </w:tr>
      <w:tr w14:paraId="263A2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405" w:hRule="atLeast"/>
          <w:jc w:val="center"/>
        </w:trPr>
        <w:tc>
          <w:tcPr>
            <w:tcW w:w="965" w:type="dxa"/>
            <w:vMerge w:val="continue"/>
            <w:tcBorders>
              <w:left w:val="single" w:color="auto" w:sz="8" w:space="0"/>
              <w:right w:val="single" w:color="auto" w:sz="4" w:space="0"/>
            </w:tcBorders>
            <w:vAlign w:val="center"/>
          </w:tcPr>
          <w:p w14:paraId="02075761">
            <w:pPr>
              <w:autoSpaceDE w:val="0"/>
              <w:autoSpaceDN w:val="0"/>
              <w:adjustRightInd w:val="0"/>
              <w:snapToGrid w:val="0"/>
              <w:jc w:val="center"/>
              <w:rPr>
                <w:kern w:val="0"/>
                <w:szCs w:val="21"/>
              </w:rPr>
            </w:pPr>
          </w:p>
        </w:tc>
        <w:tc>
          <w:tcPr>
            <w:tcW w:w="1530" w:type="dxa"/>
            <w:tcBorders>
              <w:top w:val="single" w:color="auto" w:sz="4" w:space="0"/>
              <w:left w:val="single" w:color="auto" w:sz="4" w:space="0"/>
              <w:right w:val="single" w:color="auto" w:sz="4" w:space="0"/>
            </w:tcBorders>
            <w:vAlign w:val="center"/>
          </w:tcPr>
          <w:p w14:paraId="6EAFE546">
            <w:pPr>
              <w:adjustRightInd w:val="0"/>
              <w:snapToGrid w:val="0"/>
              <w:spacing w:line="360" w:lineRule="exact"/>
              <w:jc w:val="center"/>
              <w:rPr>
                <w:bCs/>
                <w:szCs w:val="21"/>
              </w:rPr>
            </w:pPr>
            <w:r>
              <w:rPr>
                <w:szCs w:val="21"/>
              </w:rPr>
              <w:t>设备维护</w:t>
            </w:r>
          </w:p>
        </w:tc>
        <w:tc>
          <w:tcPr>
            <w:tcW w:w="1349" w:type="dxa"/>
            <w:tcBorders>
              <w:top w:val="single" w:color="auto" w:sz="4" w:space="0"/>
              <w:left w:val="single" w:color="auto" w:sz="4" w:space="0"/>
              <w:right w:val="single" w:color="auto" w:sz="4" w:space="0"/>
            </w:tcBorders>
            <w:vAlign w:val="center"/>
          </w:tcPr>
          <w:p w14:paraId="6CFBA1BF">
            <w:pPr>
              <w:spacing w:line="240" w:lineRule="atLeast"/>
              <w:jc w:val="center"/>
              <w:rPr>
                <w:szCs w:val="21"/>
              </w:rPr>
            </w:pPr>
            <w:r>
              <w:rPr>
                <w:kern w:val="0"/>
                <w:szCs w:val="21"/>
              </w:rPr>
              <w:t>废机油</w:t>
            </w:r>
          </w:p>
        </w:tc>
        <w:tc>
          <w:tcPr>
            <w:tcW w:w="3355" w:type="dxa"/>
            <w:vMerge w:val="continue"/>
            <w:tcBorders>
              <w:left w:val="single" w:color="auto" w:sz="4" w:space="0"/>
              <w:right w:val="single" w:color="auto" w:sz="4" w:space="0"/>
            </w:tcBorders>
            <w:vAlign w:val="center"/>
          </w:tcPr>
          <w:p w14:paraId="0C78FBC6">
            <w:pPr>
              <w:adjustRightInd w:val="0"/>
              <w:snapToGrid w:val="0"/>
              <w:spacing w:line="360" w:lineRule="exact"/>
              <w:jc w:val="center"/>
              <w:rPr>
                <w:bCs/>
                <w:szCs w:val="21"/>
                <w:u w:val="single"/>
              </w:rPr>
            </w:pPr>
          </w:p>
        </w:tc>
        <w:tc>
          <w:tcPr>
            <w:tcW w:w="1866" w:type="dxa"/>
            <w:vMerge w:val="continue"/>
            <w:tcBorders>
              <w:left w:val="single" w:color="auto" w:sz="4" w:space="0"/>
              <w:right w:val="single" w:color="auto" w:sz="8" w:space="0"/>
            </w:tcBorders>
            <w:vAlign w:val="center"/>
          </w:tcPr>
          <w:p w14:paraId="185F9740">
            <w:pPr>
              <w:adjustRightInd w:val="0"/>
              <w:snapToGrid w:val="0"/>
              <w:jc w:val="center"/>
              <w:rPr>
                <w:szCs w:val="21"/>
              </w:rPr>
            </w:pPr>
          </w:p>
        </w:tc>
      </w:tr>
      <w:tr w14:paraId="4BF2A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510" w:hRule="atLeast"/>
          <w:jc w:val="center"/>
        </w:trPr>
        <w:tc>
          <w:tcPr>
            <w:tcW w:w="965" w:type="dxa"/>
            <w:vMerge w:val="continue"/>
            <w:tcBorders>
              <w:left w:val="single" w:color="auto" w:sz="8" w:space="0"/>
              <w:right w:val="single" w:color="auto" w:sz="4" w:space="0"/>
            </w:tcBorders>
            <w:vAlign w:val="center"/>
          </w:tcPr>
          <w:p w14:paraId="210AF3A1">
            <w:pPr>
              <w:autoSpaceDE w:val="0"/>
              <w:autoSpaceDN w:val="0"/>
              <w:adjustRightInd w:val="0"/>
              <w:snapToGrid w:val="0"/>
              <w:jc w:val="center"/>
              <w:rPr>
                <w:kern w:val="0"/>
                <w:szCs w:val="21"/>
              </w:rPr>
            </w:pPr>
          </w:p>
        </w:tc>
        <w:tc>
          <w:tcPr>
            <w:tcW w:w="1530" w:type="dxa"/>
            <w:tcBorders>
              <w:left w:val="single" w:color="auto" w:sz="4" w:space="0"/>
              <w:right w:val="single" w:color="auto" w:sz="4" w:space="0"/>
            </w:tcBorders>
            <w:vAlign w:val="center"/>
          </w:tcPr>
          <w:p w14:paraId="3C313B8F">
            <w:pPr>
              <w:adjustRightInd w:val="0"/>
              <w:snapToGrid w:val="0"/>
              <w:ind w:left="-105" w:leftChars="-50" w:right="-105" w:rightChars="-50"/>
              <w:jc w:val="center"/>
              <w:rPr>
                <w:szCs w:val="21"/>
              </w:rPr>
            </w:pPr>
            <w:r>
              <w:rPr>
                <w:szCs w:val="21"/>
              </w:rPr>
              <w:t>职工生活</w:t>
            </w:r>
          </w:p>
        </w:tc>
        <w:tc>
          <w:tcPr>
            <w:tcW w:w="1349" w:type="dxa"/>
            <w:tcBorders>
              <w:top w:val="single" w:color="auto" w:sz="4" w:space="0"/>
              <w:left w:val="single" w:color="auto" w:sz="4" w:space="0"/>
              <w:right w:val="single" w:color="auto" w:sz="4" w:space="0"/>
            </w:tcBorders>
            <w:vAlign w:val="center"/>
          </w:tcPr>
          <w:p w14:paraId="47C6AF25">
            <w:pPr>
              <w:adjustRightInd w:val="0"/>
              <w:snapToGrid w:val="0"/>
              <w:ind w:left="-105" w:leftChars="-50" w:right="-105" w:rightChars="-50"/>
              <w:jc w:val="center"/>
              <w:rPr>
                <w:szCs w:val="21"/>
              </w:rPr>
            </w:pPr>
            <w:r>
              <w:rPr>
                <w:szCs w:val="21"/>
              </w:rPr>
              <w:t>生活垃圾</w:t>
            </w:r>
          </w:p>
        </w:tc>
        <w:tc>
          <w:tcPr>
            <w:tcW w:w="3355" w:type="dxa"/>
            <w:tcBorders>
              <w:left w:val="single" w:color="auto" w:sz="4" w:space="0"/>
              <w:right w:val="single" w:color="auto" w:sz="4" w:space="0"/>
            </w:tcBorders>
            <w:vAlign w:val="center"/>
          </w:tcPr>
          <w:p w14:paraId="2C3A023F">
            <w:pPr>
              <w:adjustRightInd w:val="0"/>
              <w:snapToGrid w:val="0"/>
              <w:jc w:val="center"/>
              <w:rPr>
                <w:szCs w:val="21"/>
              </w:rPr>
            </w:pPr>
            <w:r>
              <w:rPr>
                <w:szCs w:val="21"/>
              </w:rPr>
              <w:t>集中收集后交由环卫部门外运</w:t>
            </w:r>
          </w:p>
        </w:tc>
        <w:tc>
          <w:tcPr>
            <w:tcW w:w="1866" w:type="dxa"/>
            <w:vMerge w:val="continue"/>
            <w:tcBorders>
              <w:left w:val="single" w:color="auto" w:sz="4" w:space="0"/>
              <w:right w:val="single" w:color="auto" w:sz="8" w:space="0"/>
            </w:tcBorders>
            <w:vAlign w:val="center"/>
          </w:tcPr>
          <w:p w14:paraId="487502A1">
            <w:pPr>
              <w:adjustRightInd w:val="0"/>
              <w:snapToGrid w:val="0"/>
              <w:jc w:val="center"/>
              <w:rPr>
                <w:szCs w:val="21"/>
              </w:rPr>
            </w:pPr>
          </w:p>
        </w:tc>
      </w:tr>
      <w:tr w14:paraId="66669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73" w:hRule="atLeast"/>
          <w:jc w:val="center"/>
        </w:trPr>
        <w:tc>
          <w:tcPr>
            <w:tcW w:w="965" w:type="dxa"/>
            <w:tcBorders>
              <w:left w:val="single" w:color="auto" w:sz="8" w:space="0"/>
              <w:right w:val="single" w:color="auto" w:sz="4" w:space="0"/>
            </w:tcBorders>
            <w:vAlign w:val="center"/>
          </w:tcPr>
          <w:p w14:paraId="3744FFFA">
            <w:pPr>
              <w:adjustRightInd w:val="0"/>
              <w:snapToGrid w:val="0"/>
              <w:jc w:val="center"/>
              <w:rPr>
                <w:szCs w:val="21"/>
              </w:rPr>
            </w:pPr>
            <w:r>
              <w:rPr>
                <w:szCs w:val="21"/>
              </w:rPr>
              <w:t>土壤及地下水污染防治措施</w:t>
            </w:r>
          </w:p>
        </w:tc>
        <w:tc>
          <w:tcPr>
            <w:tcW w:w="8100" w:type="dxa"/>
            <w:gridSpan w:val="4"/>
            <w:tcBorders>
              <w:top w:val="single" w:color="auto" w:sz="4" w:space="0"/>
              <w:left w:val="single" w:color="auto" w:sz="4" w:space="0"/>
              <w:right w:val="single" w:color="auto" w:sz="8" w:space="0"/>
            </w:tcBorders>
            <w:vAlign w:val="center"/>
          </w:tcPr>
          <w:p w14:paraId="076C7239">
            <w:pPr>
              <w:adjustRightInd w:val="0"/>
              <w:snapToGrid w:val="0"/>
              <w:ind w:firstLine="420" w:firstLineChars="200"/>
              <w:jc w:val="left"/>
              <w:rPr>
                <w:szCs w:val="21"/>
              </w:rPr>
            </w:pPr>
            <w:r>
              <w:rPr>
                <w:bCs/>
                <w:szCs w:val="21"/>
              </w:rPr>
              <w:t>按要求采取防渗措施，并加强项目废气、废水处理设施运行维护，确保废气处理设施稳定运行，各类污染物达标排放；各类废水经有效处理后回用于生产线；固体废物规范暂存后综合利用或交由有资质单位处理。对废水处理设施、危废暂存间等设置专人定期检查，杜绝“跑、冒、滴、漏”现象的发生。</w:t>
            </w:r>
          </w:p>
        </w:tc>
      </w:tr>
      <w:tr w14:paraId="3F6CD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613" w:hRule="atLeast"/>
          <w:jc w:val="center"/>
        </w:trPr>
        <w:tc>
          <w:tcPr>
            <w:tcW w:w="965" w:type="dxa"/>
            <w:tcBorders>
              <w:top w:val="single" w:color="auto" w:sz="4" w:space="0"/>
              <w:left w:val="single" w:color="auto" w:sz="8" w:space="0"/>
              <w:bottom w:val="single" w:color="auto" w:sz="4" w:space="0"/>
              <w:right w:val="single" w:color="auto" w:sz="4" w:space="0"/>
            </w:tcBorders>
            <w:vAlign w:val="center"/>
          </w:tcPr>
          <w:p w14:paraId="097779F6">
            <w:pPr>
              <w:adjustRightInd w:val="0"/>
              <w:snapToGrid w:val="0"/>
              <w:jc w:val="center"/>
              <w:rPr>
                <w:szCs w:val="21"/>
              </w:rPr>
            </w:pPr>
            <w:r>
              <w:rPr>
                <w:szCs w:val="21"/>
              </w:rPr>
              <w:t>生态保护措施</w:t>
            </w:r>
          </w:p>
        </w:tc>
        <w:tc>
          <w:tcPr>
            <w:tcW w:w="8100" w:type="dxa"/>
            <w:gridSpan w:val="4"/>
            <w:tcBorders>
              <w:top w:val="single" w:color="auto" w:sz="4" w:space="0"/>
              <w:left w:val="single" w:color="auto" w:sz="4" w:space="0"/>
              <w:bottom w:val="single" w:color="auto" w:sz="4" w:space="0"/>
              <w:right w:val="single" w:color="auto" w:sz="8" w:space="0"/>
            </w:tcBorders>
            <w:vAlign w:val="center"/>
          </w:tcPr>
          <w:p w14:paraId="478E76B5">
            <w:pPr>
              <w:adjustRightInd w:val="0"/>
              <w:snapToGrid w:val="0"/>
              <w:jc w:val="center"/>
              <w:rPr>
                <w:szCs w:val="21"/>
              </w:rPr>
            </w:pPr>
            <w:r>
              <w:rPr>
                <w:szCs w:val="21"/>
              </w:rPr>
              <w:t>/</w:t>
            </w:r>
          </w:p>
        </w:tc>
      </w:tr>
      <w:tr w14:paraId="29B22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4998" w:hRule="atLeast"/>
          <w:jc w:val="center"/>
        </w:trPr>
        <w:tc>
          <w:tcPr>
            <w:tcW w:w="965" w:type="dxa"/>
            <w:tcBorders>
              <w:top w:val="single" w:color="auto" w:sz="4" w:space="0"/>
              <w:left w:val="single" w:color="auto" w:sz="8" w:space="0"/>
              <w:bottom w:val="single" w:color="auto" w:sz="4" w:space="0"/>
              <w:right w:val="single" w:color="auto" w:sz="4" w:space="0"/>
            </w:tcBorders>
            <w:vAlign w:val="center"/>
          </w:tcPr>
          <w:p w14:paraId="4E248D8E">
            <w:pPr>
              <w:adjustRightInd w:val="0"/>
              <w:snapToGrid w:val="0"/>
              <w:jc w:val="center"/>
              <w:rPr>
                <w:spacing w:val="-8"/>
                <w:szCs w:val="21"/>
              </w:rPr>
            </w:pPr>
            <w:r>
              <w:rPr>
                <w:spacing w:val="-8"/>
                <w:szCs w:val="21"/>
              </w:rPr>
              <w:t>环境风险防范措施</w:t>
            </w:r>
          </w:p>
        </w:tc>
        <w:tc>
          <w:tcPr>
            <w:tcW w:w="8100" w:type="dxa"/>
            <w:gridSpan w:val="4"/>
            <w:tcBorders>
              <w:top w:val="single" w:color="auto" w:sz="4" w:space="0"/>
              <w:left w:val="single" w:color="auto" w:sz="4" w:space="0"/>
              <w:bottom w:val="single" w:color="auto" w:sz="4" w:space="0"/>
              <w:right w:val="single" w:color="auto" w:sz="8" w:space="0"/>
            </w:tcBorders>
            <w:vAlign w:val="center"/>
          </w:tcPr>
          <w:p w14:paraId="6B574FDC">
            <w:pPr>
              <w:adjustRightInd w:val="0"/>
              <w:snapToGrid w:val="0"/>
              <w:ind w:firstLine="420" w:firstLineChars="200"/>
              <w:jc w:val="left"/>
              <w:rPr>
                <w:szCs w:val="21"/>
              </w:rPr>
            </w:pPr>
            <w:r>
              <w:rPr>
                <w:szCs w:val="21"/>
              </w:rPr>
              <w:t>（1）窑炉点火严格按照点火规程和液化天然气使用相关规范，由专业人员完成天然气卸车和点火操作，天然气使用期间附近严禁设置明火源、高热源等，厂区内配备消防设施和器材，当发生火灾事故时，使用消防砂对场地内泄漏物进行拦截和围挡，通过封堵雨水井等措施防止泄漏物外泄至外环境。</w:t>
            </w:r>
          </w:p>
          <w:p w14:paraId="0F9F8B82">
            <w:pPr>
              <w:adjustRightInd w:val="0"/>
              <w:snapToGrid w:val="0"/>
              <w:ind w:firstLine="420" w:firstLineChars="200"/>
              <w:jc w:val="left"/>
              <w:rPr>
                <w:szCs w:val="21"/>
              </w:rPr>
            </w:pPr>
            <w:r>
              <w:rPr>
                <w:szCs w:val="21"/>
              </w:rPr>
              <w:t>（2）遵循“源头控制，分区防渗”的原则，做好危险废物暂存间的防渗措施，满足相应标准要求，加强对废机油贮存过程的管理，使用符合要求盛装容器，规范操作，降低事故发生的概率。若发生容器破损，少量泄露，可先设置围挡，然后采用虹吸等方法将油类物质转移到其它容器中，并运送至有处理能力的机构进行处理。</w:t>
            </w:r>
          </w:p>
          <w:p w14:paraId="76B7B2F2">
            <w:pPr>
              <w:adjustRightInd w:val="0"/>
              <w:snapToGrid w:val="0"/>
              <w:ind w:firstLine="420" w:firstLineChars="200"/>
              <w:jc w:val="left"/>
              <w:rPr>
                <w:szCs w:val="21"/>
              </w:rPr>
            </w:pPr>
            <w:r>
              <w:rPr>
                <w:szCs w:val="21"/>
              </w:rPr>
              <w:t>（3）为避免出现废气、废水事故排放，建设单位应建立健全环保管理机制和各项环保规章制度，落实岗位环保责任制，加强环境风险防范工作，防止事故排放导致环境问题。认真做好废气、废水处理设施的维护保养、计划检修。加强巡回检查力度，加强防范，一旦废气、废水处理设施出现异常，立刻关闭相应的配套设备，停止生产运行。检查故障产生的原因，并及时维修，防止造成环境污染。</w:t>
            </w:r>
          </w:p>
          <w:p w14:paraId="0058DB04">
            <w:pPr>
              <w:adjustRightInd w:val="0"/>
              <w:snapToGrid w:val="0"/>
              <w:ind w:firstLine="420" w:firstLineChars="200"/>
              <w:jc w:val="left"/>
              <w:rPr>
                <w:szCs w:val="21"/>
              </w:rPr>
            </w:pPr>
            <w:r>
              <w:rPr>
                <w:szCs w:val="21"/>
              </w:rPr>
              <w:t>（4）厂区配备足够二氧化碳灭火器等消防设备，建筑物内设置手提灭火器作为扑救初起火灾的重要消防器材，手提式灭火器设置在灭火器箱内，并定期检查，设置禁烟火标示牌，消防通道需畅通。</w:t>
            </w:r>
          </w:p>
          <w:p w14:paraId="6BD6C78C">
            <w:pPr>
              <w:adjustRightInd w:val="0"/>
              <w:snapToGrid w:val="0"/>
              <w:ind w:firstLine="420" w:firstLineChars="200"/>
              <w:jc w:val="left"/>
              <w:rPr>
                <w:color w:val="EE0000"/>
                <w:szCs w:val="21"/>
              </w:rPr>
            </w:pPr>
            <w:r>
              <w:rPr>
                <w:szCs w:val="21"/>
              </w:rPr>
              <w:t>（5）加强职工的安全教育，提高安全防范风险的意识，规范职工操作。对易发生泄漏、火灾的部位实行定期的巡检制度，及时发现问题，尽快解决；</w:t>
            </w:r>
          </w:p>
        </w:tc>
      </w:tr>
      <w:tr w14:paraId="0BE53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79" w:type="dxa"/>
          </w:tblCellMar>
        </w:tblPrEx>
        <w:trPr>
          <w:trHeight w:val="974" w:hRule="atLeast"/>
          <w:jc w:val="center"/>
        </w:trPr>
        <w:tc>
          <w:tcPr>
            <w:tcW w:w="965" w:type="dxa"/>
            <w:tcBorders>
              <w:top w:val="single" w:color="auto" w:sz="4" w:space="0"/>
              <w:left w:val="single" w:color="auto" w:sz="8" w:space="0"/>
              <w:bottom w:val="single" w:color="auto" w:sz="8" w:space="0"/>
              <w:right w:val="single" w:color="auto" w:sz="4" w:space="0"/>
            </w:tcBorders>
            <w:vAlign w:val="center"/>
          </w:tcPr>
          <w:p w14:paraId="33A77CDE">
            <w:pPr>
              <w:adjustRightInd w:val="0"/>
              <w:snapToGrid w:val="0"/>
              <w:jc w:val="center"/>
              <w:rPr>
                <w:spacing w:val="-8"/>
                <w:szCs w:val="21"/>
              </w:rPr>
            </w:pPr>
            <w:r>
              <w:rPr>
                <w:spacing w:val="-8"/>
                <w:szCs w:val="21"/>
              </w:rPr>
              <w:t>其他环境管理要求</w:t>
            </w:r>
          </w:p>
        </w:tc>
        <w:tc>
          <w:tcPr>
            <w:tcW w:w="8100" w:type="dxa"/>
            <w:gridSpan w:val="4"/>
            <w:tcBorders>
              <w:top w:val="single" w:color="auto" w:sz="4" w:space="0"/>
              <w:left w:val="single" w:color="auto" w:sz="4" w:space="0"/>
              <w:bottom w:val="single" w:color="auto" w:sz="8" w:space="0"/>
              <w:right w:val="single" w:color="auto" w:sz="8" w:space="0"/>
            </w:tcBorders>
            <w:vAlign w:val="center"/>
          </w:tcPr>
          <w:p w14:paraId="3B6E2744">
            <w:pPr>
              <w:adjustRightInd w:val="0"/>
              <w:snapToGrid w:val="0"/>
              <w:ind w:firstLine="420" w:firstLineChars="200"/>
              <w:jc w:val="left"/>
              <w:rPr>
                <w:szCs w:val="21"/>
              </w:rPr>
            </w:pPr>
            <w:r>
              <w:rPr>
                <w:szCs w:val="21"/>
              </w:rPr>
              <w:t>健全环境管理制度，建立完善的环境管理体系，加强日常环境管理工作，并做好台账记录，对整个生产过程实施全过程环境管理，杜绝生产过程中环境污染事故的发生，保护环境。</w:t>
            </w:r>
          </w:p>
        </w:tc>
      </w:tr>
    </w:tbl>
    <w:p w14:paraId="732168B8">
      <w:pPr>
        <w:pStyle w:val="32"/>
        <w:jc w:val="center"/>
        <w:outlineLvl w:val="0"/>
        <w:rPr>
          <w:rFonts w:ascii="Times New Roman" w:hAnsi="Times New Roman" w:eastAsia="黑体"/>
          <w:snapToGrid w:val="0"/>
          <w:sz w:val="30"/>
          <w:szCs w:val="30"/>
        </w:rPr>
      </w:pPr>
      <w:r>
        <w:rPr>
          <w:rFonts w:ascii="Times New Roman" w:hAnsi="Times New Roman"/>
          <w:snapToGrid w:val="0"/>
          <w:color w:val="EE0000"/>
        </w:rPr>
        <w:br w:type="page"/>
      </w:r>
      <w:bookmarkStart w:id="58" w:name="_Toc217711385"/>
      <w:r>
        <w:rPr>
          <w:rFonts w:ascii="Times New Roman" w:hAnsi="Times New Roman" w:eastAsia="黑体"/>
          <w:snapToGrid w:val="0"/>
          <w:sz w:val="30"/>
          <w:szCs w:val="30"/>
        </w:rPr>
        <w:t>六、结论</w:t>
      </w:r>
      <w:bookmarkEnd w:id="58"/>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7B85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67" w:hRule="atLeast"/>
          <w:jc w:val="center"/>
        </w:trPr>
        <w:tc>
          <w:tcPr>
            <w:tcW w:w="8865" w:type="dxa"/>
            <w:vAlign w:val="center"/>
          </w:tcPr>
          <w:p w14:paraId="63BB3F52">
            <w:pPr>
              <w:spacing w:line="520" w:lineRule="exact"/>
              <w:ind w:firstLine="480" w:firstLineChars="200"/>
              <w:rPr>
                <w:rFonts w:eastAsia="黑体"/>
                <w:szCs w:val="21"/>
              </w:rPr>
            </w:pPr>
            <w:r>
              <w:rPr>
                <w:rFonts w:eastAsia="黑体"/>
                <w:bCs/>
                <w:sz w:val="24"/>
              </w:rPr>
              <w:t>宝丰三兴新型建材有限公司整合升级技改项目符合国家产业政策及闹店镇国土空间规划，选址合理。项目的建设及投入使用会对环境造成一定的影响，但企业在认真执行环境“三同时”制度及严格落实环评提出的各项污染防治措施的情况下，污染物能够达标排放，对环境的影响较小。因此，从环保角度分析，本项目建设可行。</w:t>
            </w:r>
          </w:p>
          <w:p w14:paraId="21791CF5">
            <w:pPr>
              <w:spacing w:line="520" w:lineRule="exact"/>
              <w:ind w:firstLine="480" w:firstLineChars="200"/>
              <w:rPr>
                <w:color w:val="EE0000"/>
                <w:sz w:val="24"/>
              </w:rPr>
            </w:pPr>
          </w:p>
          <w:p w14:paraId="3E58B99F">
            <w:pPr>
              <w:spacing w:line="520" w:lineRule="exact"/>
              <w:ind w:firstLine="480" w:firstLineChars="200"/>
              <w:rPr>
                <w:color w:val="EE0000"/>
                <w:sz w:val="24"/>
              </w:rPr>
            </w:pPr>
          </w:p>
          <w:p w14:paraId="6CD5E1B3">
            <w:pPr>
              <w:spacing w:line="520" w:lineRule="exact"/>
              <w:ind w:firstLine="480" w:firstLineChars="200"/>
              <w:rPr>
                <w:color w:val="EE0000"/>
                <w:sz w:val="24"/>
              </w:rPr>
            </w:pPr>
          </w:p>
          <w:p w14:paraId="6440812B">
            <w:pPr>
              <w:spacing w:line="520" w:lineRule="exact"/>
              <w:ind w:firstLine="480" w:firstLineChars="200"/>
              <w:rPr>
                <w:color w:val="EE0000"/>
                <w:sz w:val="24"/>
              </w:rPr>
            </w:pPr>
          </w:p>
          <w:p w14:paraId="19A83341">
            <w:pPr>
              <w:spacing w:line="520" w:lineRule="exact"/>
              <w:ind w:firstLine="480" w:firstLineChars="200"/>
              <w:rPr>
                <w:color w:val="EE0000"/>
                <w:sz w:val="24"/>
              </w:rPr>
            </w:pPr>
          </w:p>
          <w:p w14:paraId="64C2F5EA">
            <w:pPr>
              <w:spacing w:line="520" w:lineRule="exact"/>
              <w:ind w:firstLine="480" w:firstLineChars="200"/>
              <w:rPr>
                <w:color w:val="EE0000"/>
                <w:sz w:val="24"/>
              </w:rPr>
            </w:pPr>
          </w:p>
          <w:p w14:paraId="2660FFC8">
            <w:pPr>
              <w:spacing w:line="520" w:lineRule="exact"/>
              <w:ind w:firstLine="480" w:firstLineChars="200"/>
              <w:rPr>
                <w:color w:val="EE0000"/>
                <w:sz w:val="24"/>
              </w:rPr>
            </w:pPr>
          </w:p>
          <w:p w14:paraId="7241531A">
            <w:pPr>
              <w:spacing w:line="520" w:lineRule="exact"/>
              <w:ind w:firstLine="480" w:firstLineChars="200"/>
              <w:rPr>
                <w:color w:val="EE0000"/>
                <w:sz w:val="24"/>
              </w:rPr>
            </w:pPr>
          </w:p>
          <w:p w14:paraId="4F1DF62B">
            <w:pPr>
              <w:spacing w:line="520" w:lineRule="exact"/>
              <w:ind w:firstLine="480" w:firstLineChars="200"/>
              <w:rPr>
                <w:color w:val="EE0000"/>
                <w:sz w:val="24"/>
              </w:rPr>
            </w:pPr>
          </w:p>
          <w:p w14:paraId="4B79B4D9">
            <w:pPr>
              <w:spacing w:line="520" w:lineRule="exact"/>
              <w:ind w:firstLine="480" w:firstLineChars="200"/>
              <w:rPr>
                <w:color w:val="EE0000"/>
                <w:sz w:val="24"/>
              </w:rPr>
            </w:pPr>
          </w:p>
          <w:p w14:paraId="171BD1E2">
            <w:pPr>
              <w:spacing w:line="520" w:lineRule="exact"/>
              <w:ind w:firstLine="480" w:firstLineChars="200"/>
              <w:rPr>
                <w:color w:val="EE0000"/>
                <w:sz w:val="24"/>
              </w:rPr>
            </w:pPr>
          </w:p>
          <w:p w14:paraId="214F97E8">
            <w:pPr>
              <w:spacing w:line="520" w:lineRule="exact"/>
              <w:ind w:firstLine="480" w:firstLineChars="200"/>
              <w:rPr>
                <w:color w:val="EE0000"/>
                <w:sz w:val="24"/>
              </w:rPr>
            </w:pPr>
          </w:p>
          <w:p w14:paraId="058359BB">
            <w:pPr>
              <w:spacing w:line="520" w:lineRule="exact"/>
              <w:ind w:firstLine="480" w:firstLineChars="200"/>
              <w:rPr>
                <w:color w:val="EE0000"/>
                <w:sz w:val="24"/>
              </w:rPr>
            </w:pPr>
          </w:p>
          <w:p w14:paraId="1B160220">
            <w:pPr>
              <w:spacing w:line="520" w:lineRule="exact"/>
              <w:ind w:firstLine="480" w:firstLineChars="200"/>
              <w:rPr>
                <w:color w:val="EE0000"/>
                <w:sz w:val="24"/>
              </w:rPr>
            </w:pPr>
          </w:p>
          <w:p w14:paraId="365C3907">
            <w:pPr>
              <w:spacing w:line="520" w:lineRule="exact"/>
              <w:ind w:firstLine="480" w:firstLineChars="200"/>
              <w:rPr>
                <w:color w:val="EE0000"/>
                <w:sz w:val="24"/>
              </w:rPr>
            </w:pPr>
          </w:p>
          <w:p w14:paraId="567EC2EC">
            <w:pPr>
              <w:spacing w:line="520" w:lineRule="exact"/>
              <w:rPr>
                <w:color w:val="EE0000"/>
                <w:sz w:val="24"/>
              </w:rPr>
            </w:pPr>
          </w:p>
          <w:p w14:paraId="6411FDB9">
            <w:pPr>
              <w:spacing w:line="520" w:lineRule="exact"/>
              <w:rPr>
                <w:color w:val="EE0000"/>
                <w:sz w:val="24"/>
              </w:rPr>
            </w:pPr>
          </w:p>
          <w:p w14:paraId="48852A66">
            <w:pPr>
              <w:spacing w:line="520" w:lineRule="exact"/>
              <w:rPr>
                <w:color w:val="EE0000"/>
                <w:sz w:val="24"/>
              </w:rPr>
            </w:pPr>
          </w:p>
        </w:tc>
      </w:tr>
    </w:tbl>
    <w:p w14:paraId="36378B8E">
      <w:pPr>
        <w:rPr>
          <w:color w:val="EE0000"/>
        </w:rPr>
        <w:sectPr>
          <w:pgSz w:w="11906" w:h="16838"/>
          <w:pgMar w:top="1701" w:right="1531" w:bottom="1701" w:left="1531" w:header="851" w:footer="851" w:gutter="0"/>
          <w:cols w:space="720" w:num="1"/>
          <w:docGrid w:linePitch="312" w:charSpace="0"/>
        </w:sectPr>
      </w:pPr>
    </w:p>
    <w:p w14:paraId="0F11FFCF">
      <w:pPr>
        <w:pStyle w:val="32"/>
        <w:adjustRightInd w:val="0"/>
        <w:snapToGrid w:val="0"/>
        <w:spacing w:before="0" w:beforeAutospacing="0" w:after="0" w:afterAutospacing="0" w:line="360" w:lineRule="auto"/>
        <w:outlineLvl w:val="0"/>
        <w:rPr>
          <w:rFonts w:ascii="Times New Roman" w:hAnsi="Times New Roman" w:eastAsia="黑体"/>
          <w:snapToGrid w:val="0"/>
          <w:sz w:val="32"/>
          <w:szCs w:val="32"/>
        </w:rPr>
      </w:pPr>
      <w:bookmarkStart w:id="59" w:name="_Toc217711386"/>
      <w:r>
        <w:rPr>
          <w:rFonts w:ascii="Times New Roman" w:hAnsi="Times New Roman" w:eastAsia="黑体"/>
          <w:snapToGrid w:val="0"/>
          <w:sz w:val="32"/>
          <w:szCs w:val="32"/>
        </w:rPr>
        <w:t>附表</w:t>
      </w:r>
      <w:bookmarkEnd w:id="59"/>
    </w:p>
    <w:p w14:paraId="50A6FBA1">
      <w:pPr>
        <w:pStyle w:val="32"/>
        <w:adjustRightInd w:val="0"/>
        <w:snapToGrid w:val="0"/>
        <w:spacing w:before="0" w:beforeAutospacing="0" w:after="0" w:afterAutospacing="0"/>
        <w:jc w:val="center"/>
        <w:outlineLvl w:val="0"/>
        <w:rPr>
          <w:rFonts w:ascii="Times New Roman" w:hAnsi="Times New Roman" w:eastAsia="方正小标宋_GBK"/>
          <w:snapToGrid w:val="0"/>
          <w:sz w:val="38"/>
          <w:szCs w:val="38"/>
        </w:rPr>
      </w:pPr>
      <w:bookmarkStart w:id="60" w:name="_Toc217711387"/>
      <w:r>
        <w:rPr>
          <w:rFonts w:ascii="Times New Roman" w:hAnsi="Times New Roman" w:eastAsia="方正小标宋_GBK"/>
          <w:snapToGrid w:val="0"/>
          <w:sz w:val="38"/>
          <w:szCs w:val="38"/>
        </w:rPr>
        <w:t>建设项目污染物排放量汇总表</w:t>
      </w:r>
      <w:bookmarkEnd w:id="60"/>
    </w:p>
    <w:tbl>
      <w:tblPr>
        <w:tblStyle w:val="3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26"/>
        <w:gridCol w:w="1560"/>
        <w:gridCol w:w="1136"/>
        <w:gridCol w:w="1557"/>
        <w:gridCol w:w="1731"/>
        <w:gridCol w:w="1387"/>
        <w:gridCol w:w="1560"/>
        <w:gridCol w:w="1427"/>
      </w:tblGrid>
      <w:tr w14:paraId="0B365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04" w:type="dxa"/>
            <w:tcBorders>
              <w:tl2br w:val="single" w:color="auto" w:sz="4" w:space="0"/>
            </w:tcBorders>
            <w:tcMar>
              <w:left w:w="28" w:type="dxa"/>
              <w:right w:w="28" w:type="dxa"/>
            </w:tcMar>
            <w:vAlign w:val="center"/>
          </w:tcPr>
          <w:p w14:paraId="3110359E">
            <w:pPr>
              <w:pStyle w:val="71"/>
              <w:spacing w:beforeLines="0" w:afterLines="0" w:line="240" w:lineRule="auto"/>
              <w:jc w:val="right"/>
              <w:rPr>
                <w:rFonts w:ascii="Times New Roman" w:eastAsia="黑体"/>
                <w:snapToGrid w:val="0"/>
                <w:spacing w:val="-6"/>
                <w:kern w:val="21"/>
                <w:szCs w:val="21"/>
              </w:rPr>
            </w:pPr>
            <w:r>
              <w:rPr>
                <w:rFonts w:ascii="Times New Roman" w:eastAsia="黑体"/>
                <w:snapToGrid w:val="0"/>
                <w:spacing w:val="-6"/>
                <w:kern w:val="21"/>
                <w:szCs w:val="21"/>
              </w:rPr>
              <w:t>项目</w:t>
            </w:r>
          </w:p>
          <w:p w14:paraId="55E5B7FA">
            <w:pPr>
              <w:pStyle w:val="71"/>
              <w:spacing w:beforeLines="0" w:afterLines="0" w:line="240" w:lineRule="auto"/>
              <w:jc w:val="left"/>
              <w:rPr>
                <w:rFonts w:ascii="Times New Roman" w:eastAsia="黑体"/>
                <w:snapToGrid w:val="0"/>
                <w:spacing w:val="-6"/>
                <w:kern w:val="21"/>
                <w:szCs w:val="21"/>
              </w:rPr>
            </w:pPr>
            <w:r>
              <w:rPr>
                <w:rFonts w:ascii="Times New Roman" w:eastAsia="黑体"/>
                <w:snapToGrid w:val="0"/>
                <w:spacing w:val="-6"/>
                <w:kern w:val="21"/>
                <w:szCs w:val="21"/>
              </w:rPr>
              <w:t>分类</w:t>
            </w:r>
          </w:p>
        </w:tc>
        <w:tc>
          <w:tcPr>
            <w:tcW w:w="2126" w:type="dxa"/>
            <w:tcMar>
              <w:left w:w="28" w:type="dxa"/>
              <w:right w:w="28" w:type="dxa"/>
            </w:tcMar>
            <w:vAlign w:val="center"/>
          </w:tcPr>
          <w:p w14:paraId="68CFD9E5">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污染物名称</w:t>
            </w:r>
          </w:p>
        </w:tc>
        <w:tc>
          <w:tcPr>
            <w:tcW w:w="1560" w:type="dxa"/>
            <w:tcMar>
              <w:left w:w="28" w:type="dxa"/>
              <w:right w:w="28" w:type="dxa"/>
            </w:tcMar>
            <w:vAlign w:val="center"/>
          </w:tcPr>
          <w:p w14:paraId="08E70B80">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现有工程</w:t>
            </w:r>
          </w:p>
          <w:p w14:paraId="22B0D0CB">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排放量（固体废物产生量）t/a</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1 \* GB3 \* MERGEFORMAT </w:instrText>
            </w:r>
            <w:r>
              <w:rPr>
                <w:rFonts w:ascii="Times New Roman" w:eastAsia="黑体"/>
                <w:snapToGrid w:val="0"/>
                <w:spacing w:val="-6"/>
                <w:kern w:val="21"/>
                <w:szCs w:val="21"/>
              </w:rPr>
              <w:fldChar w:fldCharType="separate"/>
            </w:r>
            <w:r>
              <w:rPr>
                <w:rFonts w:ascii="Cambria Math" w:hAnsi="Cambria Math" w:cs="Cambria Math"/>
                <w:kern w:val="2"/>
                <w:szCs w:val="21"/>
              </w:rPr>
              <w:t>①</w:t>
            </w:r>
            <w:r>
              <w:rPr>
                <w:rFonts w:ascii="Times New Roman" w:eastAsia="黑体"/>
                <w:snapToGrid w:val="0"/>
                <w:spacing w:val="-6"/>
                <w:kern w:val="21"/>
                <w:szCs w:val="21"/>
              </w:rPr>
              <w:fldChar w:fldCharType="end"/>
            </w:r>
          </w:p>
        </w:tc>
        <w:tc>
          <w:tcPr>
            <w:tcW w:w="1136" w:type="dxa"/>
            <w:tcMar>
              <w:left w:w="28" w:type="dxa"/>
              <w:right w:w="28" w:type="dxa"/>
            </w:tcMar>
            <w:vAlign w:val="center"/>
          </w:tcPr>
          <w:p w14:paraId="7446C46C">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现有工程</w:t>
            </w:r>
          </w:p>
          <w:p w14:paraId="59EA6AC7">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许可排放量t/a</w:t>
            </w:r>
          </w:p>
          <w:p w14:paraId="110F44C3">
            <w:pPr>
              <w:pStyle w:val="71"/>
              <w:spacing w:beforeLines="0" w:afterLines="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2 \* GB3 \* MERGEFORMAT </w:instrText>
            </w:r>
            <w:r>
              <w:rPr>
                <w:rFonts w:ascii="Times New Roman" w:eastAsia="黑体"/>
                <w:snapToGrid w:val="0"/>
                <w:spacing w:val="-6"/>
                <w:kern w:val="21"/>
                <w:szCs w:val="21"/>
              </w:rPr>
              <w:fldChar w:fldCharType="separate"/>
            </w:r>
            <w:r>
              <w:rPr>
                <w:rFonts w:ascii="Cambria Math" w:hAnsi="Cambria Math" w:cs="Cambria Math"/>
                <w:snapToGrid w:val="0"/>
                <w:spacing w:val="-6"/>
                <w:kern w:val="21"/>
                <w:szCs w:val="21"/>
              </w:rPr>
              <w:t>②</w:t>
            </w:r>
            <w:r>
              <w:rPr>
                <w:rFonts w:ascii="Times New Roman" w:eastAsia="黑体"/>
                <w:snapToGrid w:val="0"/>
                <w:spacing w:val="-6"/>
                <w:kern w:val="21"/>
                <w:szCs w:val="21"/>
              </w:rPr>
              <w:fldChar w:fldCharType="end"/>
            </w:r>
          </w:p>
        </w:tc>
        <w:tc>
          <w:tcPr>
            <w:tcW w:w="1557" w:type="dxa"/>
            <w:tcMar>
              <w:left w:w="28" w:type="dxa"/>
              <w:right w:w="28" w:type="dxa"/>
            </w:tcMar>
            <w:vAlign w:val="center"/>
          </w:tcPr>
          <w:p w14:paraId="11CDB8F8">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在建工程</w:t>
            </w:r>
          </w:p>
          <w:p w14:paraId="1C3DCA8D">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排放量（固体废物产生量）t/a</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3 \* GB3 \* MERGEFORMAT </w:instrText>
            </w:r>
            <w:r>
              <w:rPr>
                <w:rFonts w:ascii="Times New Roman" w:eastAsia="黑体"/>
                <w:snapToGrid w:val="0"/>
                <w:spacing w:val="-6"/>
                <w:kern w:val="21"/>
                <w:szCs w:val="21"/>
              </w:rPr>
              <w:fldChar w:fldCharType="separate"/>
            </w:r>
            <w:r>
              <w:rPr>
                <w:rFonts w:ascii="Cambria Math" w:hAnsi="Cambria Math" w:cs="Cambria Math"/>
                <w:kern w:val="2"/>
                <w:szCs w:val="21"/>
              </w:rPr>
              <w:t>③</w:t>
            </w:r>
            <w:r>
              <w:rPr>
                <w:rFonts w:ascii="Times New Roman" w:eastAsia="黑体"/>
                <w:snapToGrid w:val="0"/>
                <w:spacing w:val="-6"/>
                <w:kern w:val="21"/>
                <w:szCs w:val="21"/>
              </w:rPr>
              <w:fldChar w:fldCharType="end"/>
            </w:r>
          </w:p>
        </w:tc>
        <w:tc>
          <w:tcPr>
            <w:tcW w:w="1731" w:type="dxa"/>
            <w:tcMar>
              <w:left w:w="28" w:type="dxa"/>
              <w:right w:w="28" w:type="dxa"/>
            </w:tcMar>
            <w:vAlign w:val="center"/>
          </w:tcPr>
          <w:p w14:paraId="09904F81">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本项目</w:t>
            </w:r>
          </w:p>
          <w:p w14:paraId="0046B7E6">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排放量（固体废物产生量）t/a</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4 \* GB3 \* MERGEFORMAT </w:instrText>
            </w:r>
            <w:r>
              <w:rPr>
                <w:rFonts w:ascii="Times New Roman" w:eastAsia="黑体"/>
                <w:snapToGrid w:val="0"/>
                <w:spacing w:val="-6"/>
                <w:kern w:val="21"/>
                <w:szCs w:val="21"/>
              </w:rPr>
              <w:fldChar w:fldCharType="separate"/>
            </w:r>
            <w:r>
              <w:rPr>
                <w:rFonts w:ascii="Cambria Math" w:hAnsi="Cambria Math" w:cs="Cambria Math"/>
                <w:kern w:val="2"/>
                <w:szCs w:val="21"/>
              </w:rPr>
              <w:t>④</w:t>
            </w:r>
            <w:r>
              <w:rPr>
                <w:rFonts w:ascii="Times New Roman" w:eastAsia="黑体"/>
                <w:snapToGrid w:val="0"/>
                <w:spacing w:val="-6"/>
                <w:kern w:val="21"/>
                <w:szCs w:val="21"/>
              </w:rPr>
              <w:fldChar w:fldCharType="end"/>
            </w:r>
          </w:p>
        </w:tc>
        <w:tc>
          <w:tcPr>
            <w:tcW w:w="1387" w:type="dxa"/>
            <w:tcMar>
              <w:left w:w="28" w:type="dxa"/>
              <w:right w:w="28" w:type="dxa"/>
            </w:tcMar>
            <w:vAlign w:val="center"/>
          </w:tcPr>
          <w:p w14:paraId="3409903A">
            <w:pPr>
              <w:pStyle w:val="71"/>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以新带老削减量（新建项目不填）</w:t>
            </w:r>
            <w:r>
              <w:rPr>
                <w:rFonts w:ascii="Times New Roman" w:eastAsia="黑体"/>
                <w:snapToGrid w:val="0"/>
                <w:spacing w:val="-6"/>
                <w:kern w:val="21"/>
                <w:szCs w:val="21"/>
              </w:rPr>
              <w:t>t/a</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5 \* GB3 \* MERGEFORMAT </w:instrText>
            </w:r>
            <w:r>
              <w:rPr>
                <w:rFonts w:ascii="Times New Roman" w:eastAsia="黑体"/>
                <w:snapToGrid w:val="0"/>
                <w:spacing w:val="-16"/>
                <w:kern w:val="21"/>
                <w:szCs w:val="21"/>
              </w:rPr>
              <w:fldChar w:fldCharType="separate"/>
            </w:r>
            <w:r>
              <w:rPr>
                <w:rFonts w:ascii="Cambria Math" w:hAnsi="Cambria Math" w:cs="Cambria Math"/>
                <w:kern w:val="2"/>
                <w:szCs w:val="21"/>
              </w:rPr>
              <w:t>⑤</w:t>
            </w:r>
            <w:r>
              <w:rPr>
                <w:rFonts w:ascii="Times New Roman" w:eastAsia="黑体"/>
                <w:snapToGrid w:val="0"/>
                <w:spacing w:val="-16"/>
                <w:kern w:val="21"/>
                <w:szCs w:val="21"/>
              </w:rPr>
              <w:fldChar w:fldCharType="end"/>
            </w:r>
          </w:p>
        </w:tc>
        <w:tc>
          <w:tcPr>
            <w:tcW w:w="1560" w:type="dxa"/>
            <w:tcMar>
              <w:left w:w="28" w:type="dxa"/>
              <w:right w:w="28" w:type="dxa"/>
            </w:tcMar>
            <w:vAlign w:val="center"/>
          </w:tcPr>
          <w:p w14:paraId="6DEED836">
            <w:pPr>
              <w:pStyle w:val="71"/>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本项目建成后</w:t>
            </w:r>
          </w:p>
          <w:p w14:paraId="7EE9815B">
            <w:pPr>
              <w:pStyle w:val="71"/>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全厂排放量（固体废物产生量）</w:t>
            </w:r>
            <w:r>
              <w:rPr>
                <w:rFonts w:ascii="Times New Roman" w:eastAsia="黑体"/>
                <w:snapToGrid w:val="0"/>
                <w:spacing w:val="-6"/>
                <w:kern w:val="21"/>
                <w:szCs w:val="21"/>
              </w:rPr>
              <w:t>t/a</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6 \* GB3 \* MERGEFORMAT </w:instrText>
            </w:r>
            <w:r>
              <w:rPr>
                <w:rFonts w:ascii="Times New Roman" w:eastAsia="黑体"/>
                <w:snapToGrid w:val="0"/>
                <w:spacing w:val="-16"/>
                <w:kern w:val="21"/>
                <w:szCs w:val="21"/>
              </w:rPr>
              <w:fldChar w:fldCharType="separate"/>
            </w:r>
            <w:r>
              <w:rPr>
                <w:rFonts w:ascii="Cambria Math" w:hAnsi="Cambria Math" w:cs="Cambria Math"/>
                <w:kern w:val="2"/>
                <w:szCs w:val="21"/>
              </w:rPr>
              <w:t>⑥</w:t>
            </w:r>
            <w:r>
              <w:rPr>
                <w:rFonts w:ascii="Times New Roman" w:eastAsia="黑体"/>
                <w:snapToGrid w:val="0"/>
                <w:spacing w:val="-16"/>
                <w:kern w:val="21"/>
                <w:szCs w:val="21"/>
              </w:rPr>
              <w:fldChar w:fldCharType="end"/>
            </w:r>
          </w:p>
        </w:tc>
        <w:tc>
          <w:tcPr>
            <w:tcW w:w="1427" w:type="dxa"/>
            <w:tcMar>
              <w:left w:w="28" w:type="dxa"/>
              <w:right w:w="28" w:type="dxa"/>
            </w:tcMar>
            <w:vAlign w:val="center"/>
          </w:tcPr>
          <w:p w14:paraId="5F147612">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变化量t/a</w:t>
            </w:r>
          </w:p>
          <w:p w14:paraId="2F026DAD">
            <w:pPr>
              <w:pStyle w:val="7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7 \* GB3 \* MERGEFORMAT </w:instrText>
            </w:r>
            <w:r>
              <w:rPr>
                <w:rFonts w:ascii="Times New Roman" w:eastAsia="黑体"/>
                <w:snapToGrid w:val="0"/>
                <w:spacing w:val="-6"/>
                <w:kern w:val="21"/>
                <w:szCs w:val="21"/>
              </w:rPr>
              <w:fldChar w:fldCharType="separate"/>
            </w:r>
            <w:r>
              <w:rPr>
                <w:rFonts w:ascii="Cambria Math" w:hAnsi="Cambria Math" w:cs="Cambria Math"/>
                <w:kern w:val="2"/>
                <w:szCs w:val="21"/>
              </w:rPr>
              <w:t>⑦</w:t>
            </w:r>
            <w:r>
              <w:rPr>
                <w:rFonts w:ascii="Times New Roman" w:eastAsia="黑体"/>
                <w:snapToGrid w:val="0"/>
                <w:spacing w:val="-6"/>
                <w:kern w:val="21"/>
                <w:szCs w:val="21"/>
              </w:rPr>
              <w:fldChar w:fldCharType="end"/>
            </w:r>
          </w:p>
        </w:tc>
      </w:tr>
      <w:tr w14:paraId="6770B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04" w:type="dxa"/>
            <w:vMerge w:val="restart"/>
            <w:vAlign w:val="center"/>
          </w:tcPr>
          <w:p w14:paraId="3EBCE339">
            <w:pPr>
              <w:pStyle w:val="71"/>
              <w:spacing w:beforeLines="0" w:afterLines="0" w:line="240" w:lineRule="auto"/>
              <w:rPr>
                <w:rFonts w:ascii="Times New Roman"/>
                <w:snapToGrid w:val="0"/>
                <w:kern w:val="21"/>
                <w:szCs w:val="21"/>
              </w:rPr>
            </w:pPr>
            <w:r>
              <w:rPr>
                <w:rFonts w:ascii="Times New Roman"/>
                <w:snapToGrid w:val="0"/>
                <w:kern w:val="21"/>
                <w:szCs w:val="21"/>
              </w:rPr>
              <w:t>废气</w:t>
            </w:r>
          </w:p>
        </w:tc>
        <w:tc>
          <w:tcPr>
            <w:tcW w:w="2126" w:type="dxa"/>
            <w:vAlign w:val="center"/>
          </w:tcPr>
          <w:p w14:paraId="6F65E06A">
            <w:pPr>
              <w:pStyle w:val="71"/>
              <w:spacing w:beforeLines="0" w:afterLines="0" w:line="240" w:lineRule="auto"/>
              <w:rPr>
                <w:rFonts w:ascii="Times New Roman"/>
                <w:snapToGrid w:val="0"/>
                <w:kern w:val="21"/>
                <w:szCs w:val="21"/>
              </w:rPr>
            </w:pPr>
            <w:r>
              <w:rPr>
                <w:rFonts w:ascii="Times New Roman"/>
                <w:szCs w:val="21"/>
              </w:rPr>
              <w:t>颗粒物</w:t>
            </w:r>
          </w:p>
        </w:tc>
        <w:tc>
          <w:tcPr>
            <w:tcW w:w="1560" w:type="dxa"/>
            <w:vAlign w:val="center"/>
          </w:tcPr>
          <w:p w14:paraId="325F3320">
            <w:pPr>
              <w:pStyle w:val="71"/>
              <w:spacing w:beforeLines="0" w:afterLines="0" w:line="240" w:lineRule="auto"/>
              <w:rPr>
                <w:rFonts w:ascii="Times New Roman"/>
                <w:snapToGrid w:val="0"/>
                <w:kern w:val="21"/>
                <w:szCs w:val="21"/>
              </w:rPr>
            </w:pPr>
            <w:r>
              <w:rPr>
                <w:rFonts w:hint="eastAsia" w:ascii="Times New Roman"/>
                <w:szCs w:val="21"/>
              </w:rPr>
              <w:t>18.1062</w:t>
            </w:r>
          </w:p>
        </w:tc>
        <w:tc>
          <w:tcPr>
            <w:tcW w:w="1136" w:type="dxa"/>
            <w:vAlign w:val="center"/>
          </w:tcPr>
          <w:p w14:paraId="09392CC4">
            <w:pPr>
              <w:pStyle w:val="71"/>
              <w:spacing w:beforeLines="0" w:afterLines="0" w:line="240" w:lineRule="auto"/>
              <w:rPr>
                <w:rFonts w:ascii="Times New Roman"/>
                <w:snapToGrid w:val="0"/>
                <w:kern w:val="21"/>
                <w:szCs w:val="21"/>
              </w:rPr>
            </w:pPr>
            <w:r>
              <w:rPr>
                <w:rFonts w:ascii="Times New Roman"/>
                <w:szCs w:val="21"/>
              </w:rPr>
              <w:t>46.41</w:t>
            </w:r>
          </w:p>
        </w:tc>
        <w:tc>
          <w:tcPr>
            <w:tcW w:w="1557" w:type="dxa"/>
            <w:vAlign w:val="center"/>
          </w:tcPr>
          <w:p w14:paraId="71772262">
            <w:pPr>
              <w:pStyle w:val="71"/>
              <w:spacing w:beforeLines="0" w:afterLines="0" w:line="240" w:lineRule="auto"/>
              <w:rPr>
                <w:rFonts w:ascii="Times New Roman"/>
                <w:snapToGrid w:val="0"/>
                <w:kern w:val="21"/>
                <w:szCs w:val="21"/>
              </w:rPr>
            </w:pPr>
          </w:p>
        </w:tc>
        <w:tc>
          <w:tcPr>
            <w:tcW w:w="1731" w:type="dxa"/>
            <w:vAlign w:val="center"/>
          </w:tcPr>
          <w:p w14:paraId="026EF8E0">
            <w:pPr>
              <w:pStyle w:val="71"/>
              <w:spacing w:beforeLines="0" w:afterLines="0" w:line="240" w:lineRule="auto"/>
              <w:rPr>
                <w:rFonts w:ascii="Times New Roman"/>
                <w:snapToGrid w:val="0"/>
                <w:kern w:val="21"/>
                <w:szCs w:val="21"/>
              </w:rPr>
            </w:pPr>
            <w:r>
              <w:rPr>
                <w:rFonts w:ascii="Times New Roman"/>
                <w:color w:val="EE0000"/>
                <w:szCs w:val="21"/>
                <w:u w:val="single"/>
              </w:rPr>
              <w:t>11.03</w:t>
            </w:r>
          </w:p>
        </w:tc>
        <w:tc>
          <w:tcPr>
            <w:tcW w:w="1387" w:type="dxa"/>
            <w:vAlign w:val="center"/>
          </w:tcPr>
          <w:p w14:paraId="764E52CF">
            <w:pPr>
              <w:pStyle w:val="71"/>
              <w:spacing w:beforeLines="0" w:afterLines="0" w:line="240" w:lineRule="auto"/>
              <w:rPr>
                <w:rFonts w:ascii="Times New Roman"/>
                <w:snapToGrid w:val="0"/>
                <w:color w:val="EE0000"/>
                <w:kern w:val="21"/>
                <w:szCs w:val="21"/>
                <w:u w:val="single"/>
              </w:rPr>
            </w:pPr>
            <w:r>
              <w:rPr>
                <w:rFonts w:hint="eastAsia" w:ascii="Times New Roman"/>
                <w:color w:val="EE0000"/>
                <w:szCs w:val="21"/>
                <w:u w:val="single"/>
              </w:rPr>
              <w:t>18.1062</w:t>
            </w:r>
          </w:p>
        </w:tc>
        <w:tc>
          <w:tcPr>
            <w:tcW w:w="1560" w:type="dxa"/>
            <w:vAlign w:val="center"/>
          </w:tcPr>
          <w:p w14:paraId="35CBBA33">
            <w:pPr>
              <w:pStyle w:val="71"/>
              <w:spacing w:beforeLines="0" w:afterLines="0" w:line="240" w:lineRule="auto"/>
              <w:rPr>
                <w:rFonts w:ascii="Times New Roman"/>
                <w:snapToGrid w:val="0"/>
                <w:kern w:val="21"/>
                <w:szCs w:val="21"/>
              </w:rPr>
            </w:pPr>
            <w:r>
              <w:rPr>
                <w:rFonts w:ascii="Times New Roman"/>
                <w:color w:val="EE0000"/>
                <w:szCs w:val="21"/>
                <w:u w:val="single"/>
              </w:rPr>
              <w:t>11.03</w:t>
            </w:r>
          </w:p>
        </w:tc>
        <w:tc>
          <w:tcPr>
            <w:tcW w:w="1427" w:type="dxa"/>
          </w:tcPr>
          <w:p w14:paraId="63B30FC4">
            <w:pPr>
              <w:pStyle w:val="71"/>
              <w:spacing w:beforeLines="0" w:afterLines="0" w:line="240" w:lineRule="auto"/>
              <w:rPr>
                <w:rFonts w:ascii="Times New Roman"/>
                <w:color w:val="EE0000"/>
                <w:szCs w:val="21"/>
                <w:u w:val="single"/>
              </w:rPr>
            </w:pPr>
            <w:r>
              <w:rPr>
                <w:rFonts w:ascii="Times New Roman"/>
                <w:color w:val="EE0000"/>
                <w:szCs w:val="21"/>
                <w:u w:val="single"/>
              </w:rPr>
              <w:t>-7.0762</w:t>
            </w:r>
          </w:p>
        </w:tc>
      </w:tr>
      <w:tr w14:paraId="6E5DD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1304" w:type="dxa"/>
            <w:vMerge w:val="continue"/>
            <w:vAlign w:val="center"/>
          </w:tcPr>
          <w:p w14:paraId="6A707D8D">
            <w:pPr>
              <w:pStyle w:val="71"/>
              <w:spacing w:beforeLines="0" w:afterLines="0" w:line="240" w:lineRule="auto"/>
              <w:rPr>
                <w:rFonts w:ascii="Times New Roman"/>
                <w:snapToGrid w:val="0"/>
                <w:kern w:val="21"/>
                <w:szCs w:val="21"/>
              </w:rPr>
            </w:pPr>
          </w:p>
        </w:tc>
        <w:tc>
          <w:tcPr>
            <w:tcW w:w="2126" w:type="dxa"/>
            <w:vAlign w:val="center"/>
          </w:tcPr>
          <w:p w14:paraId="788D7BD0">
            <w:pPr>
              <w:pStyle w:val="71"/>
              <w:spacing w:beforeLines="0" w:afterLines="0" w:line="240" w:lineRule="auto"/>
              <w:rPr>
                <w:rFonts w:ascii="Times New Roman"/>
                <w:snapToGrid w:val="0"/>
                <w:kern w:val="21"/>
                <w:szCs w:val="21"/>
              </w:rPr>
            </w:pPr>
            <w:r>
              <w:rPr>
                <w:rFonts w:ascii="Times New Roman"/>
                <w:szCs w:val="21"/>
              </w:rPr>
              <w:t>二氧化硫</w:t>
            </w:r>
          </w:p>
        </w:tc>
        <w:tc>
          <w:tcPr>
            <w:tcW w:w="1560" w:type="dxa"/>
            <w:vAlign w:val="center"/>
          </w:tcPr>
          <w:p w14:paraId="66D3C27C">
            <w:pPr>
              <w:pStyle w:val="71"/>
              <w:spacing w:beforeLines="0" w:afterLines="0" w:line="240" w:lineRule="auto"/>
              <w:rPr>
                <w:rFonts w:ascii="Times New Roman"/>
                <w:snapToGrid w:val="0"/>
                <w:kern w:val="21"/>
                <w:szCs w:val="21"/>
              </w:rPr>
            </w:pPr>
            <w:r>
              <w:rPr>
                <w:rFonts w:hint="eastAsia" w:ascii="Times New Roman"/>
                <w:szCs w:val="21"/>
              </w:rPr>
              <w:t>109.3544</w:t>
            </w:r>
          </w:p>
        </w:tc>
        <w:tc>
          <w:tcPr>
            <w:tcW w:w="1136" w:type="dxa"/>
            <w:vAlign w:val="center"/>
          </w:tcPr>
          <w:p w14:paraId="64D90CD9">
            <w:pPr>
              <w:pStyle w:val="71"/>
              <w:spacing w:beforeLines="0" w:afterLines="0" w:line="240" w:lineRule="auto"/>
              <w:rPr>
                <w:rFonts w:ascii="Times New Roman"/>
                <w:snapToGrid w:val="0"/>
                <w:kern w:val="21"/>
                <w:szCs w:val="21"/>
              </w:rPr>
            </w:pPr>
            <w:r>
              <w:rPr>
                <w:rFonts w:ascii="Times New Roman"/>
                <w:szCs w:val="21"/>
              </w:rPr>
              <w:t>74.29</w:t>
            </w:r>
          </w:p>
        </w:tc>
        <w:tc>
          <w:tcPr>
            <w:tcW w:w="1557" w:type="dxa"/>
            <w:vAlign w:val="center"/>
          </w:tcPr>
          <w:p w14:paraId="75CEE00F">
            <w:pPr>
              <w:pStyle w:val="71"/>
              <w:spacing w:beforeLines="0" w:afterLines="0" w:line="240" w:lineRule="auto"/>
              <w:rPr>
                <w:rFonts w:ascii="Times New Roman"/>
                <w:snapToGrid w:val="0"/>
                <w:kern w:val="21"/>
                <w:szCs w:val="21"/>
              </w:rPr>
            </w:pPr>
          </w:p>
        </w:tc>
        <w:tc>
          <w:tcPr>
            <w:tcW w:w="1731" w:type="dxa"/>
            <w:vAlign w:val="center"/>
          </w:tcPr>
          <w:p w14:paraId="1C7689A0">
            <w:pPr>
              <w:pStyle w:val="71"/>
              <w:spacing w:beforeLines="0" w:afterLines="0" w:line="240" w:lineRule="auto"/>
              <w:rPr>
                <w:rFonts w:ascii="Times New Roman"/>
                <w:szCs w:val="21"/>
              </w:rPr>
            </w:pPr>
            <w:r>
              <w:rPr>
                <w:rFonts w:ascii="Times New Roman"/>
                <w:color w:val="EE0000"/>
                <w:szCs w:val="21"/>
                <w:u w:val="single"/>
              </w:rPr>
              <w:t>57.75</w:t>
            </w:r>
          </w:p>
        </w:tc>
        <w:tc>
          <w:tcPr>
            <w:tcW w:w="1387" w:type="dxa"/>
            <w:vAlign w:val="center"/>
          </w:tcPr>
          <w:p w14:paraId="0A8A8171">
            <w:pPr>
              <w:pStyle w:val="71"/>
              <w:spacing w:beforeLines="0" w:afterLines="0" w:line="240" w:lineRule="auto"/>
              <w:rPr>
                <w:rFonts w:ascii="Times New Roman"/>
                <w:snapToGrid w:val="0"/>
                <w:color w:val="EE0000"/>
                <w:kern w:val="21"/>
                <w:szCs w:val="21"/>
                <w:u w:val="single"/>
              </w:rPr>
            </w:pPr>
            <w:r>
              <w:rPr>
                <w:rFonts w:hint="eastAsia" w:ascii="Times New Roman"/>
                <w:color w:val="EE0000"/>
                <w:szCs w:val="21"/>
                <w:u w:val="single"/>
              </w:rPr>
              <w:t>109.3544</w:t>
            </w:r>
          </w:p>
        </w:tc>
        <w:tc>
          <w:tcPr>
            <w:tcW w:w="1560" w:type="dxa"/>
            <w:vAlign w:val="center"/>
          </w:tcPr>
          <w:p w14:paraId="7E947602">
            <w:pPr>
              <w:pStyle w:val="71"/>
              <w:spacing w:beforeLines="0" w:afterLines="0" w:line="240" w:lineRule="auto"/>
              <w:rPr>
                <w:rFonts w:ascii="Times New Roman"/>
                <w:szCs w:val="21"/>
              </w:rPr>
            </w:pPr>
            <w:r>
              <w:rPr>
                <w:rFonts w:ascii="Times New Roman"/>
                <w:color w:val="EE0000"/>
                <w:szCs w:val="21"/>
                <w:u w:val="single"/>
              </w:rPr>
              <w:t>57.75</w:t>
            </w:r>
          </w:p>
        </w:tc>
        <w:tc>
          <w:tcPr>
            <w:tcW w:w="1427" w:type="dxa"/>
          </w:tcPr>
          <w:p w14:paraId="20802024">
            <w:pPr>
              <w:pStyle w:val="71"/>
              <w:spacing w:beforeLines="0" w:afterLines="0" w:line="240" w:lineRule="auto"/>
              <w:rPr>
                <w:rFonts w:ascii="Times New Roman"/>
                <w:color w:val="EE0000"/>
                <w:szCs w:val="21"/>
                <w:u w:val="single"/>
              </w:rPr>
            </w:pPr>
            <w:r>
              <w:rPr>
                <w:rFonts w:ascii="Times New Roman"/>
                <w:color w:val="EE0000"/>
                <w:szCs w:val="21"/>
                <w:u w:val="single"/>
              </w:rPr>
              <w:t>-51.6044</w:t>
            </w:r>
          </w:p>
        </w:tc>
      </w:tr>
      <w:tr w14:paraId="57D60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04" w:type="dxa"/>
            <w:vMerge w:val="continue"/>
            <w:vAlign w:val="center"/>
          </w:tcPr>
          <w:p w14:paraId="2021475C">
            <w:pPr>
              <w:pStyle w:val="71"/>
              <w:spacing w:beforeLines="0" w:afterLines="0" w:line="240" w:lineRule="auto"/>
              <w:rPr>
                <w:rFonts w:ascii="Times New Roman"/>
                <w:snapToGrid w:val="0"/>
                <w:kern w:val="21"/>
                <w:szCs w:val="21"/>
              </w:rPr>
            </w:pPr>
          </w:p>
        </w:tc>
        <w:tc>
          <w:tcPr>
            <w:tcW w:w="2126" w:type="dxa"/>
            <w:vAlign w:val="center"/>
          </w:tcPr>
          <w:p w14:paraId="37BB4F17">
            <w:pPr>
              <w:pStyle w:val="71"/>
              <w:spacing w:beforeLines="0" w:afterLines="0" w:line="240" w:lineRule="auto"/>
              <w:rPr>
                <w:rFonts w:ascii="Times New Roman"/>
                <w:snapToGrid w:val="0"/>
                <w:kern w:val="21"/>
                <w:szCs w:val="21"/>
              </w:rPr>
            </w:pPr>
            <w:r>
              <w:rPr>
                <w:rFonts w:ascii="Times New Roman"/>
                <w:szCs w:val="21"/>
              </w:rPr>
              <w:t>氮氧化物</w:t>
            </w:r>
          </w:p>
        </w:tc>
        <w:tc>
          <w:tcPr>
            <w:tcW w:w="1560" w:type="dxa"/>
            <w:vAlign w:val="center"/>
          </w:tcPr>
          <w:p w14:paraId="27D607D0">
            <w:pPr>
              <w:pStyle w:val="71"/>
              <w:spacing w:beforeLines="0" w:afterLines="0" w:line="240" w:lineRule="auto"/>
              <w:rPr>
                <w:rFonts w:ascii="Times New Roman"/>
                <w:snapToGrid w:val="0"/>
                <w:kern w:val="21"/>
                <w:szCs w:val="21"/>
              </w:rPr>
            </w:pPr>
            <w:r>
              <w:rPr>
                <w:rFonts w:hint="eastAsia" w:ascii="Times New Roman"/>
                <w:szCs w:val="21"/>
              </w:rPr>
              <w:t>51.54</w:t>
            </w:r>
          </w:p>
        </w:tc>
        <w:tc>
          <w:tcPr>
            <w:tcW w:w="1136" w:type="dxa"/>
            <w:vAlign w:val="center"/>
          </w:tcPr>
          <w:p w14:paraId="58F683F6">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04316690">
            <w:pPr>
              <w:pStyle w:val="71"/>
              <w:spacing w:beforeLines="0" w:afterLines="0" w:line="240" w:lineRule="auto"/>
              <w:rPr>
                <w:rFonts w:ascii="Times New Roman"/>
                <w:snapToGrid w:val="0"/>
                <w:kern w:val="21"/>
                <w:szCs w:val="21"/>
              </w:rPr>
            </w:pPr>
          </w:p>
        </w:tc>
        <w:tc>
          <w:tcPr>
            <w:tcW w:w="1731" w:type="dxa"/>
            <w:vAlign w:val="center"/>
          </w:tcPr>
          <w:p w14:paraId="76384EE4">
            <w:pPr>
              <w:pStyle w:val="71"/>
              <w:spacing w:beforeLines="0" w:afterLines="0" w:line="240" w:lineRule="auto"/>
              <w:rPr>
                <w:rFonts w:ascii="Times New Roman"/>
                <w:szCs w:val="21"/>
              </w:rPr>
            </w:pPr>
            <w:r>
              <w:rPr>
                <w:rFonts w:ascii="Times New Roman"/>
                <w:color w:val="EE0000"/>
                <w:szCs w:val="21"/>
                <w:u w:val="single"/>
              </w:rPr>
              <w:t>44.06</w:t>
            </w:r>
          </w:p>
        </w:tc>
        <w:tc>
          <w:tcPr>
            <w:tcW w:w="1387" w:type="dxa"/>
            <w:vAlign w:val="center"/>
          </w:tcPr>
          <w:p w14:paraId="693783F3">
            <w:pPr>
              <w:pStyle w:val="71"/>
              <w:spacing w:beforeLines="0" w:afterLines="0" w:line="240" w:lineRule="auto"/>
              <w:rPr>
                <w:rFonts w:ascii="Times New Roman"/>
                <w:snapToGrid w:val="0"/>
                <w:color w:val="EE0000"/>
                <w:kern w:val="21"/>
                <w:szCs w:val="21"/>
                <w:u w:val="single"/>
              </w:rPr>
            </w:pPr>
            <w:r>
              <w:rPr>
                <w:rFonts w:hint="eastAsia" w:ascii="Times New Roman"/>
                <w:color w:val="EE0000"/>
                <w:szCs w:val="21"/>
                <w:u w:val="single"/>
              </w:rPr>
              <w:t>51.54</w:t>
            </w:r>
          </w:p>
        </w:tc>
        <w:tc>
          <w:tcPr>
            <w:tcW w:w="1560" w:type="dxa"/>
            <w:vAlign w:val="center"/>
          </w:tcPr>
          <w:p w14:paraId="11CDFCB0">
            <w:pPr>
              <w:pStyle w:val="71"/>
              <w:spacing w:beforeLines="0" w:afterLines="0" w:line="240" w:lineRule="auto"/>
              <w:rPr>
                <w:rFonts w:ascii="Times New Roman"/>
                <w:szCs w:val="21"/>
              </w:rPr>
            </w:pPr>
            <w:r>
              <w:rPr>
                <w:rFonts w:ascii="Times New Roman"/>
                <w:color w:val="EE0000"/>
                <w:szCs w:val="21"/>
                <w:u w:val="single"/>
              </w:rPr>
              <w:t>44.06</w:t>
            </w:r>
          </w:p>
        </w:tc>
        <w:tc>
          <w:tcPr>
            <w:tcW w:w="1427" w:type="dxa"/>
          </w:tcPr>
          <w:p w14:paraId="2663A5A2">
            <w:pPr>
              <w:pStyle w:val="71"/>
              <w:spacing w:beforeLines="0" w:afterLines="0" w:line="240" w:lineRule="auto"/>
              <w:rPr>
                <w:rFonts w:ascii="Times New Roman"/>
                <w:color w:val="EE0000"/>
                <w:szCs w:val="21"/>
                <w:u w:val="single"/>
              </w:rPr>
            </w:pPr>
            <w:r>
              <w:rPr>
                <w:rFonts w:ascii="Times New Roman"/>
                <w:color w:val="EE0000"/>
                <w:szCs w:val="21"/>
                <w:u w:val="single"/>
              </w:rPr>
              <w:t>-7.48</w:t>
            </w:r>
          </w:p>
        </w:tc>
      </w:tr>
      <w:tr w14:paraId="66493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04" w:type="dxa"/>
            <w:vMerge w:val="continue"/>
            <w:vAlign w:val="center"/>
          </w:tcPr>
          <w:p w14:paraId="49A84E06">
            <w:pPr>
              <w:pStyle w:val="71"/>
              <w:spacing w:beforeLines="0" w:afterLines="0" w:line="240" w:lineRule="auto"/>
              <w:rPr>
                <w:rFonts w:ascii="Times New Roman"/>
                <w:snapToGrid w:val="0"/>
                <w:kern w:val="21"/>
                <w:szCs w:val="21"/>
              </w:rPr>
            </w:pPr>
          </w:p>
        </w:tc>
        <w:tc>
          <w:tcPr>
            <w:tcW w:w="2126" w:type="dxa"/>
            <w:vAlign w:val="center"/>
          </w:tcPr>
          <w:p w14:paraId="58C62980">
            <w:pPr>
              <w:pStyle w:val="71"/>
              <w:spacing w:beforeLines="0" w:afterLines="0" w:line="240" w:lineRule="auto"/>
              <w:rPr>
                <w:rFonts w:ascii="Times New Roman"/>
                <w:snapToGrid w:val="0"/>
                <w:kern w:val="21"/>
                <w:szCs w:val="21"/>
              </w:rPr>
            </w:pPr>
            <w:r>
              <w:rPr>
                <w:rFonts w:ascii="Times New Roman"/>
                <w:szCs w:val="21"/>
              </w:rPr>
              <w:t>氟化物</w:t>
            </w:r>
          </w:p>
        </w:tc>
        <w:tc>
          <w:tcPr>
            <w:tcW w:w="1560" w:type="dxa"/>
            <w:vAlign w:val="center"/>
          </w:tcPr>
          <w:p w14:paraId="4532EDDD">
            <w:pPr>
              <w:pStyle w:val="71"/>
              <w:spacing w:beforeLines="0" w:afterLines="0" w:line="240" w:lineRule="auto"/>
              <w:rPr>
                <w:rFonts w:ascii="Times New Roman"/>
                <w:snapToGrid w:val="0"/>
                <w:kern w:val="21"/>
                <w:szCs w:val="21"/>
              </w:rPr>
            </w:pPr>
            <w:r>
              <w:rPr>
                <w:rFonts w:hint="eastAsia" w:ascii="Times New Roman"/>
                <w:szCs w:val="21"/>
              </w:rPr>
              <w:t>1.3763</w:t>
            </w:r>
          </w:p>
        </w:tc>
        <w:tc>
          <w:tcPr>
            <w:tcW w:w="1136" w:type="dxa"/>
            <w:vAlign w:val="center"/>
          </w:tcPr>
          <w:p w14:paraId="4DDC135F">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0EE0066C">
            <w:pPr>
              <w:pStyle w:val="71"/>
              <w:spacing w:beforeLines="0" w:afterLines="0" w:line="240" w:lineRule="auto"/>
              <w:rPr>
                <w:rFonts w:ascii="Times New Roman"/>
                <w:snapToGrid w:val="0"/>
                <w:kern w:val="21"/>
                <w:szCs w:val="21"/>
              </w:rPr>
            </w:pPr>
          </w:p>
        </w:tc>
        <w:tc>
          <w:tcPr>
            <w:tcW w:w="1731" w:type="dxa"/>
            <w:vAlign w:val="center"/>
          </w:tcPr>
          <w:p w14:paraId="436307B8">
            <w:pPr>
              <w:pStyle w:val="71"/>
              <w:spacing w:beforeLines="0" w:afterLines="0" w:line="240" w:lineRule="auto"/>
              <w:rPr>
                <w:rFonts w:ascii="Times New Roman"/>
                <w:szCs w:val="21"/>
              </w:rPr>
            </w:pPr>
            <w:r>
              <w:rPr>
                <w:rFonts w:ascii="Times New Roman"/>
                <w:color w:val="EE0000"/>
                <w:szCs w:val="21"/>
                <w:u w:val="single"/>
              </w:rPr>
              <w:t>0.67</w:t>
            </w:r>
          </w:p>
        </w:tc>
        <w:tc>
          <w:tcPr>
            <w:tcW w:w="1387" w:type="dxa"/>
            <w:vAlign w:val="center"/>
          </w:tcPr>
          <w:p w14:paraId="492BF74F">
            <w:pPr>
              <w:pStyle w:val="71"/>
              <w:spacing w:beforeLines="0" w:afterLines="0" w:line="240" w:lineRule="auto"/>
              <w:rPr>
                <w:rFonts w:ascii="Times New Roman"/>
                <w:snapToGrid w:val="0"/>
                <w:color w:val="EE0000"/>
                <w:kern w:val="21"/>
                <w:szCs w:val="21"/>
                <w:u w:val="single"/>
              </w:rPr>
            </w:pPr>
            <w:r>
              <w:rPr>
                <w:rFonts w:hint="eastAsia" w:ascii="Times New Roman"/>
                <w:color w:val="EE0000"/>
                <w:szCs w:val="21"/>
                <w:u w:val="single"/>
              </w:rPr>
              <w:t>1.3763</w:t>
            </w:r>
          </w:p>
        </w:tc>
        <w:tc>
          <w:tcPr>
            <w:tcW w:w="1560" w:type="dxa"/>
            <w:vAlign w:val="center"/>
          </w:tcPr>
          <w:p w14:paraId="36BB66E5">
            <w:pPr>
              <w:pStyle w:val="71"/>
              <w:spacing w:beforeLines="0" w:afterLines="0" w:line="240" w:lineRule="auto"/>
              <w:rPr>
                <w:rFonts w:ascii="Times New Roman"/>
                <w:szCs w:val="21"/>
              </w:rPr>
            </w:pPr>
            <w:r>
              <w:rPr>
                <w:rFonts w:ascii="Times New Roman"/>
                <w:color w:val="EE0000"/>
                <w:szCs w:val="21"/>
                <w:u w:val="single"/>
              </w:rPr>
              <w:t>0.67</w:t>
            </w:r>
          </w:p>
        </w:tc>
        <w:tc>
          <w:tcPr>
            <w:tcW w:w="1427" w:type="dxa"/>
          </w:tcPr>
          <w:p w14:paraId="4E6726D3">
            <w:pPr>
              <w:pStyle w:val="71"/>
              <w:spacing w:beforeLines="0" w:afterLines="0" w:line="240" w:lineRule="auto"/>
              <w:rPr>
                <w:rFonts w:ascii="Times New Roman"/>
                <w:color w:val="EE0000"/>
                <w:szCs w:val="21"/>
                <w:u w:val="single"/>
              </w:rPr>
            </w:pPr>
            <w:r>
              <w:rPr>
                <w:rFonts w:ascii="Times New Roman"/>
                <w:color w:val="EE0000"/>
                <w:szCs w:val="21"/>
                <w:u w:val="single"/>
              </w:rPr>
              <w:t>-0.7063</w:t>
            </w:r>
          </w:p>
        </w:tc>
      </w:tr>
      <w:tr w14:paraId="53458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04" w:type="dxa"/>
            <w:vMerge w:val="continue"/>
            <w:vAlign w:val="center"/>
          </w:tcPr>
          <w:p w14:paraId="35DDF010">
            <w:pPr>
              <w:pStyle w:val="71"/>
              <w:spacing w:beforeLines="0" w:afterLines="0" w:line="240" w:lineRule="auto"/>
              <w:rPr>
                <w:rFonts w:ascii="Times New Roman"/>
                <w:snapToGrid w:val="0"/>
                <w:kern w:val="21"/>
                <w:szCs w:val="21"/>
              </w:rPr>
            </w:pPr>
          </w:p>
        </w:tc>
        <w:tc>
          <w:tcPr>
            <w:tcW w:w="2126" w:type="dxa"/>
            <w:vAlign w:val="center"/>
          </w:tcPr>
          <w:p w14:paraId="1E4F6DB5">
            <w:pPr>
              <w:pStyle w:val="71"/>
              <w:spacing w:beforeLines="0" w:afterLines="0" w:line="240" w:lineRule="auto"/>
              <w:rPr>
                <w:rFonts w:ascii="Times New Roman"/>
                <w:szCs w:val="21"/>
              </w:rPr>
            </w:pPr>
            <w:r>
              <w:rPr>
                <w:rFonts w:ascii="Times New Roman"/>
                <w:szCs w:val="21"/>
              </w:rPr>
              <w:t>HCL</w:t>
            </w:r>
          </w:p>
        </w:tc>
        <w:tc>
          <w:tcPr>
            <w:tcW w:w="1560" w:type="dxa"/>
            <w:vAlign w:val="center"/>
          </w:tcPr>
          <w:p w14:paraId="68306EB3">
            <w:pPr>
              <w:pStyle w:val="71"/>
              <w:spacing w:beforeLines="0" w:afterLines="0" w:line="240" w:lineRule="auto"/>
              <w:rPr>
                <w:rFonts w:ascii="Times New Roman"/>
                <w:szCs w:val="21"/>
              </w:rPr>
            </w:pPr>
            <w:r>
              <w:rPr>
                <w:rFonts w:ascii="Times New Roman"/>
                <w:szCs w:val="21"/>
              </w:rPr>
              <w:t>0</w:t>
            </w:r>
          </w:p>
        </w:tc>
        <w:tc>
          <w:tcPr>
            <w:tcW w:w="1136" w:type="dxa"/>
            <w:vAlign w:val="center"/>
          </w:tcPr>
          <w:p w14:paraId="2513C0D7">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01D9BC98">
            <w:pPr>
              <w:pStyle w:val="71"/>
              <w:spacing w:beforeLines="0" w:afterLines="0" w:line="240" w:lineRule="auto"/>
              <w:rPr>
                <w:rFonts w:ascii="Times New Roman"/>
                <w:snapToGrid w:val="0"/>
                <w:kern w:val="21"/>
                <w:szCs w:val="21"/>
              </w:rPr>
            </w:pPr>
          </w:p>
        </w:tc>
        <w:tc>
          <w:tcPr>
            <w:tcW w:w="1731" w:type="dxa"/>
            <w:vAlign w:val="center"/>
          </w:tcPr>
          <w:p w14:paraId="1924C772">
            <w:pPr>
              <w:pStyle w:val="71"/>
              <w:spacing w:beforeLines="0" w:afterLines="0" w:line="240" w:lineRule="auto"/>
              <w:rPr>
                <w:rFonts w:ascii="Times New Roman"/>
                <w:szCs w:val="21"/>
              </w:rPr>
            </w:pPr>
            <w:r>
              <w:rPr>
                <w:rFonts w:ascii="Times New Roman"/>
                <w:color w:val="EE0000"/>
                <w:szCs w:val="21"/>
                <w:u w:val="single"/>
              </w:rPr>
              <w:t>1.38</w:t>
            </w:r>
          </w:p>
        </w:tc>
        <w:tc>
          <w:tcPr>
            <w:tcW w:w="1387" w:type="dxa"/>
            <w:vAlign w:val="center"/>
          </w:tcPr>
          <w:p w14:paraId="33042B0C">
            <w:pPr>
              <w:pStyle w:val="71"/>
              <w:spacing w:beforeLines="0" w:afterLines="0" w:line="240" w:lineRule="auto"/>
              <w:rPr>
                <w:rFonts w:ascii="Times New Roman"/>
                <w:color w:val="EE0000"/>
                <w:szCs w:val="21"/>
                <w:u w:val="single"/>
              </w:rPr>
            </w:pPr>
            <w:r>
              <w:rPr>
                <w:rFonts w:ascii="Times New Roman"/>
                <w:color w:val="EE0000"/>
                <w:szCs w:val="21"/>
                <w:u w:val="single"/>
              </w:rPr>
              <w:t>0</w:t>
            </w:r>
          </w:p>
        </w:tc>
        <w:tc>
          <w:tcPr>
            <w:tcW w:w="1560" w:type="dxa"/>
            <w:vAlign w:val="center"/>
          </w:tcPr>
          <w:p w14:paraId="41F4328B">
            <w:pPr>
              <w:pStyle w:val="71"/>
              <w:spacing w:beforeLines="0" w:afterLines="0" w:line="240" w:lineRule="auto"/>
              <w:rPr>
                <w:rFonts w:ascii="Times New Roman"/>
                <w:szCs w:val="21"/>
              </w:rPr>
            </w:pPr>
            <w:r>
              <w:rPr>
                <w:rFonts w:ascii="Times New Roman"/>
                <w:color w:val="EE0000"/>
                <w:szCs w:val="21"/>
                <w:u w:val="single"/>
              </w:rPr>
              <w:t>1.38</w:t>
            </w:r>
          </w:p>
        </w:tc>
        <w:tc>
          <w:tcPr>
            <w:tcW w:w="1427" w:type="dxa"/>
            <w:vAlign w:val="center"/>
          </w:tcPr>
          <w:p w14:paraId="5043C767">
            <w:pPr>
              <w:pStyle w:val="71"/>
              <w:spacing w:beforeLines="0" w:afterLines="0" w:line="240" w:lineRule="auto"/>
              <w:rPr>
                <w:rFonts w:ascii="Times New Roman"/>
                <w:snapToGrid w:val="0"/>
                <w:kern w:val="21"/>
                <w:szCs w:val="21"/>
              </w:rPr>
            </w:pPr>
            <w:r>
              <w:rPr>
                <w:rFonts w:hint="eastAsia" w:ascii="Times New Roman"/>
                <w:color w:val="EE0000"/>
                <w:szCs w:val="21"/>
                <w:u w:val="single"/>
              </w:rPr>
              <w:t>+</w:t>
            </w:r>
            <w:r>
              <w:rPr>
                <w:rFonts w:ascii="Times New Roman"/>
                <w:color w:val="EE0000"/>
                <w:szCs w:val="21"/>
                <w:u w:val="single"/>
              </w:rPr>
              <w:t>1.38</w:t>
            </w:r>
          </w:p>
        </w:tc>
      </w:tr>
      <w:tr w14:paraId="508FF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04" w:type="dxa"/>
            <w:vMerge w:val="continue"/>
            <w:vAlign w:val="center"/>
          </w:tcPr>
          <w:p w14:paraId="4A0D94BB">
            <w:pPr>
              <w:pStyle w:val="71"/>
              <w:spacing w:beforeLines="0" w:afterLines="0" w:line="240" w:lineRule="auto"/>
              <w:rPr>
                <w:rFonts w:ascii="Times New Roman"/>
                <w:snapToGrid w:val="0"/>
                <w:kern w:val="21"/>
                <w:szCs w:val="21"/>
              </w:rPr>
            </w:pPr>
          </w:p>
        </w:tc>
        <w:tc>
          <w:tcPr>
            <w:tcW w:w="2126" w:type="dxa"/>
            <w:vAlign w:val="center"/>
          </w:tcPr>
          <w:p w14:paraId="060F97F0">
            <w:pPr>
              <w:pStyle w:val="71"/>
              <w:spacing w:beforeLines="0" w:afterLines="0" w:line="240" w:lineRule="auto"/>
              <w:rPr>
                <w:rFonts w:ascii="Times New Roman"/>
                <w:szCs w:val="21"/>
              </w:rPr>
            </w:pPr>
            <w:r>
              <w:rPr>
                <w:rFonts w:ascii="Times New Roman"/>
                <w:szCs w:val="21"/>
              </w:rPr>
              <w:t>汞</w:t>
            </w:r>
          </w:p>
        </w:tc>
        <w:tc>
          <w:tcPr>
            <w:tcW w:w="1560" w:type="dxa"/>
            <w:vAlign w:val="center"/>
          </w:tcPr>
          <w:p w14:paraId="1F44890A">
            <w:pPr>
              <w:pStyle w:val="71"/>
              <w:spacing w:beforeLines="0" w:afterLines="0" w:line="240" w:lineRule="auto"/>
              <w:rPr>
                <w:rFonts w:ascii="Times New Roman"/>
                <w:szCs w:val="21"/>
              </w:rPr>
            </w:pPr>
            <w:r>
              <w:rPr>
                <w:rFonts w:ascii="Times New Roman"/>
                <w:szCs w:val="21"/>
              </w:rPr>
              <w:t>0</w:t>
            </w:r>
          </w:p>
        </w:tc>
        <w:tc>
          <w:tcPr>
            <w:tcW w:w="1136" w:type="dxa"/>
            <w:vAlign w:val="center"/>
          </w:tcPr>
          <w:p w14:paraId="2349F69D">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67869E6E">
            <w:pPr>
              <w:pStyle w:val="71"/>
              <w:spacing w:beforeLines="0" w:afterLines="0" w:line="240" w:lineRule="auto"/>
              <w:rPr>
                <w:rFonts w:ascii="Times New Roman"/>
                <w:snapToGrid w:val="0"/>
                <w:kern w:val="21"/>
                <w:szCs w:val="21"/>
              </w:rPr>
            </w:pPr>
          </w:p>
        </w:tc>
        <w:tc>
          <w:tcPr>
            <w:tcW w:w="1731" w:type="dxa"/>
            <w:vAlign w:val="center"/>
          </w:tcPr>
          <w:p w14:paraId="3278C10C">
            <w:pPr>
              <w:pStyle w:val="71"/>
              <w:spacing w:beforeLines="0" w:afterLines="0" w:line="240" w:lineRule="auto"/>
              <w:rPr>
                <w:rFonts w:ascii="Times New Roman"/>
                <w:szCs w:val="21"/>
              </w:rPr>
            </w:pPr>
            <w:r>
              <w:rPr>
                <w:rFonts w:ascii="Times New Roman"/>
                <w:color w:val="EE0000"/>
                <w:szCs w:val="21"/>
                <w:u w:val="single"/>
              </w:rPr>
              <w:t>0.0001</w:t>
            </w:r>
          </w:p>
        </w:tc>
        <w:tc>
          <w:tcPr>
            <w:tcW w:w="1387" w:type="dxa"/>
            <w:vAlign w:val="center"/>
          </w:tcPr>
          <w:p w14:paraId="5D92B017">
            <w:pPr>
              <w:pStyle w:val="71"/>
              <w:spacing w:beforeLines="0" w:afterLines="0" w:line="240" w:lineRule="auto"/>
              <w:rPr>
                <w:rFonts w:ascii="Times New Roman"/>
                <w:color w:val="EE0000"/>
                <w:szCs w:val="21"/>
                <w:u w:val="single"/>
              </w:rPr>
            </w:pPr>
            <w:r>
              <w:rPr>
                <w:rFonts w:ascii="Times New Roman"/>
                <w:color w:val="EE0000"/>
                <w:szCs w:val="21"/>
                <w:u w:val="single"/>
              </w:rPr>
              <w:t>0</w:t>
            </w:r>
          </w:p>
        </w:tc>
        <w:tc>
          <w:tcPr>
            <w:tcW w:w="1560" w:type="dxa"/>
            <w:vAlign w:val="center"/>
          </w:tcPr>
          <w:p w14:paraId="5F7A4E2D">
            <w:pPr>
              <w:pStyle w:val="71"/>
              <w:spacing w:beforeLines="0" w:afterLines="0" w:line="240" w:lineRule="auto"/>
              <w:rPr>
                <w:rFonts w:ascii="Times New Roman"/>
                <w:szCs w:val="21"/>
              </w:rPr>
            </w:pPr>
            <w:r>
              <w:rPr>
                <w:rFonts w:ascii="Times New Roman"/>
                <w:color w:val="EE0000"/>
                <w:szCs w:val="21"/>
                <w:u w:val="single"/>
              </w:rPr>
              <w:t>0.0001</w:t>
            </w:r>
          </w:p>
        </w:tc>
        <w:tc>
          <w:tcPr>
            <w:tcW w:w="1427" w:type="dxa"/>
            <w:vAlign w:val="center"/>
          </w:tcPr>
          <w:p w14:paraId="7215FCCC">
            <w:pPr>
              <w:pStyle w:val="71"/>
              <w:spacing w:beforeLines="0" w:afterLines="0" w:line="240" w:lineRule="auto"/>
              <w:rPr>
                <w:rFonts w:ascii="Times New Roman"/>
                <w:snapToGrid w:val="0"/>
                <w:kern w:val="21"/>
                <w:szCs w:val="21"/>
              </w:rPr>
            </w:pPr>
            <w:r>
              <w:rPr>
                <w:rFonts w:hint="eastAsia" w:ascii="Times New Roman"/>
                <w:color w:val="EE0000"/>
                <w:szCs w:val="21"/>
                <w:u w:val="single"/>
              </w:rPr>
              <w:t>+</w:t>
            </w:r>
            <w:r>
              <w:rPr>
                <w:rFonts w:ascii="Times New Roman"/>
                <w:color w:val="EE0000"/>
                <w:szCs w:val="21"/>
                <w:u w:val="single"/>
              </w:rPr>
              <w:t>0.0001</w:t>
            </w:r>
          </w:p>
        </w:tc>
      </w:tr>
      <w:tr w14:paraId="36F66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04" w:type="dxa"/>
            <w:vMerge w:val="continue"/>
            <w:vAlign w:val="center"/>
          </w:tcPr>
          <w:p w14:paraId="6D3ED371">
            <w:pPr>
              <w:pStyle w:val="71"/>
              <w:spacing w:beforeLines="0" w:afterLines="0" w:line="240" w:lineRule="auto"/>
              <w:rPr>
                <w:rFonts w:ascii="Times New Roman"/>
                <w:snapToGrid w:val="0"/>
                <w:kern w:val="21"/>
                <w:szCs w:val="21"/>
              </w:rPr>
            </w:pPr>
          </w:p>
        </w:tc>
        <w:tc>
          <w:tcPr>
            <w:tcW w:w="2126" w:type="dxa"/>
            <w:vAlign w:val="center"/>
          </w:tcPr>
          <w:p w14:paraId="1E42876B">
            <w:pPr>
              <w:pStyle w:val="71"/>
              <w:spacing w:beforeLines="0" w:afterLines="0" w:line="240" w:lineRule="auto"/>
              <w:rPr>
                <w:rFonts w:ascii="Times New Roman"/>
                <w:szCs w:val="21"/>
              </w:rPr>
            </w:pPr>
            <w:r>
              <w:rPr>
                <w:rFonts w:ascii="Times New Roman"/>
                <w:szCs w:val="21"/>
              </w:rPr>
              <w:t>铅</w:t>
            </w:r>
          </w:p>
        </w:tc>
        <w:tc>
          <w:tcPr>
            <w:tcW w:w="1560" w:type="dxa"/>
            <w:vAlign w:val="center"/>
          </w:tcPr>
          <w:p w14:paraId="7951E6F7">
            <w:pPr>
              <w:pStyle w:val="71"/>
              <w:spacing w:beforeLines="0" w:afterLines="0" w:line="240" w:lineRule="auto"/>
              <w:rPr>
                <w:rFonts w:ascii="Times New Roman"/>
                <w:szCs w:val="21"/>
              </w:rPr>
            </w:pPr>
            <w:r>
              <w:rPr>
                <w:rFonts w:ascii="Times New Roman"/>
                <w:szCs w:val="21"/>
              </w:rPr>
              <w:t>0</w:t>
            </w:r>
          </w:p>
        </w:tc>
        <w:tc>
          <w:tcPr>
            <w:tcW w:w="1136" w:type="dxa"/>
            <w:vAlign w:val="center"/>
          </w:tcPr>
          <w:p w14:paraId="56167C6D">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37B0549D">
            <w:pPr>
              <w:pStyle w:val="71"/>
              <w:spacing w:beforeLines="0" w:afterLines="0" w:line="240" w:lineRule="auto"/>
              <w:rPr>
                <w:rFonts w:ascii="Times New Roman"/>
                <w:snapToGrid w:val="0"/>
                <w:kern w:val="21"/>
                <w:szCs w:val="21"/>
              </w:rPr>
            </w:pPr>
          </w:p>
        </w:tc>
        <w:tc>
          <w:tcPr>
            <w:tcW w:w="1731" w:type="dxa"/>
            <w:vAlign w:val="center"/>
          </w:tcPr>
          <w:p w14:paraId="02AADDE9">
            <w:pPr>
              <w:pStyle w:val="71"/>
              <w:spacing w:beforeLines="0" w:afterLines="0" w:line="240" w:lineRule="auto"/>
              <w:rPr>
                <w:rFonts w:ascii="Times New Roman"/>
                <w:szCs w:val="21"/>
              </w:rPr>
            </w:pPr>
            <w:r>
              <w:rPr>
                <w:rFonts w:ascii="Times New Roman"/>
                <w:color w:val="EE0000"/>
                <w:szCs w:val="21"/>
                <w:u w:val="single"/>
              </w:rPr>
              <w:t>0.0012</w:t>
            </w:r>
          </w:p>
        </w:tc>
        <w:tc>
          <w:tcPr>
            <w:tcW w:w="1387" w:type="dxa"/>
            <w:vAlign w:val="center"/>
          </w:tcPr>
          <w:p w14:paraId="700FE312">
            <w:pPr>
              <w:pStyle w:val="71"/>
              <w:spacing w:beforeLines="0" w:afterLines="0" w:line="240" w:lineRule="auto"/>
              <w:rPr>
                <w:rFonts w:ascii="Times New Roman"/>
                <w:color w:val="EE0000"/>
                <w:szCs w:val="21"/>
                <w:u w:val="single"/>
              </w:rPr>
            </w:pPr>
            <w:r>
              <w:rPr>
                <w:rFonts w:ascii="Times New Roman"/>
                <w:color w:val="EE0000"/>
                <w:szCs w:val="21"/>
                <w:u w:val="single"/>
              </w:rPr>
              <w:t>0</w:t>
            </w:r>
          </w:p>
        </w:tc>
        <w:tc>
          <w:tcPr>
            <w:tcW w:w="1560" w:type="dxa"/>
            <w:vAlign w:val="center"/>
          </w:tcPr>
          <w:p w14:paraId="2C8728EC">
            <w:pPr>
              <w:pStyle w:val="71"/>
              <w:spacing w:beforeLines="0" w:afterLines="0" w:line="240" w:lineRule="auto"/>
              <w:rPr>
                <w:rFonts w:ascii="Times New Roman"/>
                <w:szCs w:val="21"/>
              </w:rPr>
            </w:pPr>
            <w:r>
              <w:rPr>
                <w:rFonts w:ascii="Times New Roman"/>
                <w:color w:val="EE0000"/>
                <w:szCs w:val="21"/>
                <w:u w:val="single"/>
              </w:rPr>
              <w:t>0.0012</w:t>
            </w:r>
          </w:p>
        </w:tc>
        <w:tc>
          <w:tcPr>
            <w:tcW w:w="1427" w:type="dxa"/>
            <w:vAlign w:val="center"/>
          </w:tcPr>
          <w:p w14:paraId="5839A832">
            <w:pPr>
              <w:pStyle w:val="71"/>
              <w:spacing w:beforeLines="0" w:afterLines="0" w:line="240" w:lineRule="auto"/>
              <w:rPr>
                <w:rFonts w:ascii="Times New Roman"/>
                <w:snapToGrid w:val="0"/>
                <w:kern w:val="21"/>
                <w:szCs w:val="21"/>
              </w:rPr>
            </w:pPr>
            <w:r>
              <w:rPr>
                <w:rFonts w:hint="eastAsia" w:ascii="Times New Roman"/>
                <w:color w:val="EE0000"/>
                <w:szCs w:val="21"/>
                <w:u w:val="single"/>
              </w:rPr>
              <w:t>+</w:t>
            </w:r>
            <w:r>
              <w:rPr>
                <w:rFonts w:ascii="Times New Roman"/>
                <w:color w:val="EE0000"/>
                <w:szCs w:val="21"/>
                <w:u w:val="single"/>
              </w:rPr>
              <w:t>0.0012</w:t>
            </w:r>
          </w:p>
        </w:tc>
      </w:tr>
      <w:tr w14:paraId="125D6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04" w:type="dxa"/>
            <w:vMerge w:val="continue"/>
            <w:vAlign w:val="center"/>
          </w:tcPr>
          <w:p w14:paraId="55BBD3B7">
            <w:pPr>
              <w:pStyle w:val="71"/>
              <w:spacing w:beforeLines="0" w:afterLines="0" w:line="240" w:lineRule="auto"/>
              <w:rPr>
                <w:rFonts w:ascii="Times New Roman"/>
                <w:snapToGrid w:val="0"/>
                <w:kern w:val="21"/>
                <w:szCs w:val="21"/>
              </w:rPr>
            </w:pPr>
          </w:p>
        </w:tc>
        <w:tc>
          <w:tcPr>
            <w:tcW w:w="2126" w:type="dxa"/>
            <w:vAlign w:val="center"/>
          </w:tcPr>
          <w:p w14:paraId="21B5E89A">
            <w:pPr>
              <w:pStyle w:val="71"/>
              <w:spacing w:beforeLines="0" w:afterLines="0" w:line="240" w:lineRule="auto"/>
              <w:rPr>
                <w:rFonts w:ascii="Times New Roman"/>
                <w:szCs w:val="21"/>
              </w:rPr>
            </w:pPr>
            <w:r>
              <w:rPr>
                <w:rFonts w:ascii="Times New Roman"/>
                <w:szCs w:val="21"/>
              </w:rPr>
              <w:t>铬</w:t>
            </w:r>
          </w:p>
        </w:tc>
        <w:tc>
          <w:tcPr>
            <w:tcW w:w="1560" w:type="dxa"/>
            <w:vAlign w:val="center"/>
          </w:tcPr>
          <w:p w14:paraId="5AA91C9B">
            <w:pPr>
              <w:pStyle w:val="71"/>
              <w:spacing w:beforeLines="0" w:afterLines="0" w:line="240" w:lineRule="auto"/>
              <w:rPr>
                <w:rFonts w:ascii="Times New Roman"/>
                <w:szCs w:val="21"/>
              </w:rPr>
            </w:pPr>
            <w:r>
              <w:rPr>
                <w:rFonts w:ascii="Times New Roman"/>
                <w:szCs w:val="21"/>
              </w:rPr>
              <w:t>0</w:t>
            </w:r>
          </w:p>
        </w:tc>
        <w:tc>
          <w:tcPr>
            <w:tcW w:w="1136" w:type="dxa"/>
            <w:vAlign w:val="center"/>
          </w:tcPr>
          <w:p w14:paraId="24BB5D26">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42F1316D">
            <w:pPr>
              <w:pStyle w:val="71"/>
              <w:spacing w:beforeLines="0" w:afterLines="0" w:line="240" w:lineRule="auto"/>
              <w:rPr>
                <w:rFonts w:ascii="Times New Roman"/>
                <w:snapToGrid w:val="0"/>
                <w:kern w:val="21"/>
                <w:szCs w:val="21"/>
              </w:rPr>
            </w:pPr>
          </w:p>
        </w:tc>
        <w:tc>
          <w:tcPr>
            <w:tcW w:w="1731" w:type="dxa"/>
            <w:vAlign w:val="center"/>
          </w:tcPr>
          <w:p w14:paraId="3A020C66">
            <w:pPr>
              <w:pStyle w:val="71"/>
              <w:spacing w:beforeLines="0" w:afterLines="0" w:line="240" w:lineRule="auto"/>
              <w:rPr>
                <w:rFonts w:ascii="Times New Roman"/>
                <w:szCs w:val="21"/>
              </w:rPr>
            </w:pPr>
            <w:r>
              <w:rPr>
                <w:rFonts w:ascii="Times New Roman"/>
                <w:color w:val="EE0000"/>
                <w:szCs w:val="21"/>
                <w:u w:val="single"/>
              </w:rPr>
              <w:t>0.0004</w:t>
            </w:r>
          </w:p>
        </w:tc>
        <w:tc>
          <w:tcPr>
            <w:tcW w:w="1387" w:type="dxa"/>
            <w:vAlign w:val="center"/>
          </w:tcPr>
          <w:p w14:paraId="7BA26ACF">
            <w:pPr>
              <w:pStyle w:val="71"/>
              <w:spacing w:beforeLines="0" w:afterLines="0" w:line="240" w:lineRule="auto"/>
              <w:rPr>
                <w:rFonts w:ascii="Times New Roman"/>
                <w:color w:val="EE0000"/>
                <w:szCs w:val="21"/>
                <w:u w:val="single"/>
              </w:rPr>
            </w:pPr>
            <w:r>
              <w:rPr>
                <w:rFonts w:ascii="Times New Roman"/>
                <w:color w:val="EE0000"/>
                <w:szCs w:val="21"/>
                <w:u w:val="single"/>
              </w:rPr>
              <w:t>0</w:t>
            </w:r>
          </w:p>
        </w:tc>
        <w:tc>
          <w:tcPr>
            <w:tcW w:w="1560" w:type="dxa"/>
            <w:vAlign w:val="center"/>
          </w:tcPr>
          <w:p w14:paraId="20E88B86">
            <w:pPr>
              <w:pStyle w:val="71"/>
              <w:spacing w:beforeLines="0" w:afterLines="0" w:line="240" w:lineRule="auto"/>
              <w:rPr>
                <w:rFonts w:ascii="Times New Roman"/>
                <w:szCs w:val="21"/>
              </w:rPr>
            </w:pPr>
            <w:r>
              <w:rPr>
                <w:rFonts w:ascii="Times New Roman"/>
                <w:color w:val="EE0000"/>
                <w:szCs w:val="21"/>
                <w:u w:val="single"/>
              </w:rPr>
              <w:t>0.0004</w:t>
            </w:r>
          </w:p>
        </w:tc>
        <w:tc>
          <w:tcPr>
            <w:tcW w:w="1427" w:type="dxa"/>
            <w:vAlign w:val="center"/>
          </w:tcPr>
          <w:p w14:paraId="143D6521">
            <w:pPr>
              <w:pStyle w:val="71"/>
              <w:spacing w:beforeLines="0" w:afterLines="0" w:line="240" w:lineRule="auto"/>
              <w:rPr>
                <w:rFonts w:ascii="Times New Roman"/>
                <w:snapToGrid w:val="0"/>
                <w:kern w:val="21"/>
                <w:szCs w:val="21"/>
              </w:rPr>
            </w:pPr>
            <w:r>
              <w:rPr>
                <w:rFonts w:hint="eastAsia" w:ascii="Times New Roman"/>
                <w:color w:val="EE0000"/>
                <w:szCs w:val="21"/>
                <w:u w:val="single"/>
              </w:rPr>
              <w:t>+</w:t>
            </w:r>
            <w:r>
              <w:rPr>
                <w:rFonts w:ascii="Times New Roman"/>
                <w:color w:val="EE0000"/>
                <w:szCs w:val="21"/>
                <w:u w:val="single"/>
              </w:rPr>
              <w:t>0.0004</w:t>
            </w:r>
          </w:p>
        </w:tc>
      </w:tr>
      <w:tr w14:paraId="63CDB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04" w:type="dxa"/>
            <w:vMerge w:val="continue"/>
            <w:vAlign w:val="center"/>
          </w:tcPr>
          <w:p w14:paraId="7BB5567E">
            <w:pPr>
              <w:pStyle w:val="71"/>
              <w:spacing w:beforeLines="0" w:afterLines="0" w:line="240" w:lineRule="auto"/>
              <w:rPr>
                <w:rFonts w:ascii="Times New Roman"/>
                <w:snapToGrid w:val="0"/>
                <w:kern w:val="21"/>
                <w:szCs w:val="21"/>
              </w:rPr>
            </w:pPr>
          </w:p>
        </w:tc>
        <w:tc>
          <w:tcPr>
            <w:tcW w:w="2126" w:type="dxa"/>
            <w:vAlign w:val="center"/>
          </w:tcPr>
          <w:p w14:paraId="76C408AC">
            <w:pPr>
              <w:pStyle w:val="71"/>
              <w:spacing w:beforeLines="0" w:afterLines="0" w:line="240" w:lineRule="auto"/>
              <w:rPr>
                <w:rFonts w:ascii="Times New Roman"/>
                <w:szCs w:val="21"/>
              </w:rPr>
            </w:pPr>
            <w:r>
              <w:rPr>
                <w:rFonts w:ascii="Times New Roman"/>
                <w:bCs/>
                <w:szCs w:val="21"/>
              </w:rPr>
              <w:t>砷</w:t>
            </w:r>
          </w:p>
        </w:tc>
        <w:tc>
          <w:tcPr>
            <w:tcW w:w="1560" w:type="dxa"/>
            <w:vAlign w:val="center"/>
          </w:tcPr>
          <w:p w14:paraId="598D93B6">
            <w:pPr>
              <w:pStyle w:val="71"/>
              <w:spacing w:beforeLines="0" w:afterLines="0" w:line="240" w:lineRule="auto"/>
              <w:rPr>
                <w:rFonts w:ascii="Times New Roman"/>
                <w:szCs w:val="21"/>
              </w:rPr>
            </w:pPr>
            <w:r>
              <w:rPr>
                <w:rFonts w:ascii="Times New Roman"/>
                <w:szCs w:val="21"/>
              </w:rPr>
              <w:t>0</w:t>
            </w:r>
          </w:p>
        </w:tc>
        <w:tc>
          <w:tcPr>
            <w:tcW w:w="1136" w:type="dxa"/>
            <w:vAlign w:val="center"/>
          </w:tcPr>
          <w:p w14:paraId="2768963E">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72589C4A">
            <w:pPr>
              <w:pStyle w:val="71"/>
              <w:spacing w:beforeLines="0" w:afterLines="0" w:line="240" w:lineRule="auto"/>
              <w:rPr>
                <w:rFonts w:ascii="Times New Roman"/>
                <w:snapToGrid w:val="0"/>
                <w:kern w:val="21"/>
                <w:szCs w:val="21"/>
              </w:rPr>
            </w:pPr>
          </w:p>
        </w:tc>
        <w:tc>
          <w:tcPr>
            <w:tcW w:w="1731" w:type="dxa"/>
            <w:vAlign w:val="center"/>
          </w:tcPr>
          <w:p w14:paraId="4C70C5EF">
            <w:pPr>
              <w:pStyle w:val="71"/>
              <w:spacing w:beforeLines="0" w:afterLines="0" w:line="240" w:lineRule="auto"/>
              <w:rPr>
                <w:rFonts w:ascii="Times New Roman"/>
                <w:szCs w:val="21"/>
              </w:rPr>
            </w:pPr>
            <w:r>
              <w:rPr>
                <w:rFonts w:ascii="Times New Roman"/>
                <w:color w:val="EE0000"/>
                <w:szCs w:val="21"/>
                <w:u w:val="single"/>
              </w:rPr>
              <w:t>0.0002</w:t>
            </w:r>
          </w:p>
        </w:tc>
        <w:tc>
          <w:tcPr>
            <w:tcW w:w="1387" w:type="dxa"/>
            <w:vAlign w:val="center"/>
          </w:tcPr>
          <w:p w14:paraId="1D662FD4">
            <w:pPr>
              <w:pStyle w:val="71"/>
              <w:spacing w:beforeLines="0" w:afterLines="0" w:line="240" w:lineRule="auto"/>
              <w:rPr>
                <w:rFonts w:ascii="Times New Roman"/>
                <w:color w:val="EE0000"/>
                <w:szCs w:val="21"/>
                <w:u w:val="single"/>
              </w:rPr>
            </w:pPr>
            <w:r>
              <w:rPr>
                <w:rFonts w:ascii="Times New Roman"/>
                <w:color w:val="EE0000"/>
                <w:szCs w:val="21"/>
                <w:u w:val="single"/>
              </w:rPr>
              <w:t>0</w:t>
            </w:r>
          </w:p>
        </w:tc>
        <w:tc>
          <w:tcPr>
            <w:tcW w:w="1560" w:type="dxa"/>
            <w:vAlign w:val="center"/>
          </w:tcPr>
          <w:p w14:paraId="74458EDC">
            <w:pPr>
              <w:pStyle w:val="71"/>
              <w:spacing w:beforeLines="0" w:afterLines="0" w:line="240" w:lineRule="auto"/>
              <w:rPr>
                <w:rFonts w:ascii="Times New Roman"/>
                <w:szCs w:val="21"/>
              </w:rPr>
            </w:pPr>
            <w:r>
              <w:rPr>
                <w:rFonts w:ascii="Times New Roman"/>
                <w:color w:val="EE0000"/>
                <w:szCs w:val="21"/>
                <w:u w:val="single"/>
              </w:rPr>
              <w:t>0.0002</w:t>
            </w:r>
          </w:p>
        </w:tc>
        <w:tc>
          <w:tcPr>
            <w:tcW w:w="1427" w:type="dxa"/>
            <w:vAlign w:val="center"/>
          </w:tcPr>
          <w:p w14:paraId="2B868CA1">
            <w:pPr>
              <w:pStyle w:val="71"/>
              <w:spacing w:beforeLines="0" w:afterLines="0" w:line="240" w:lineRule="auto"/>
              <w:rPr>
                <w:rFonts w:ascii="Times New Roman"/>
                <w:snapToGrid w:val="0"/>
                <w:kern w:val="21"/>
                <w:szCs w:val="21"/>
              </w:rPr>
            </w:pPr>
            <w:r>
              <w:rPr>
                <w:rFonts w:hint="eastAsia" w:ascii="Times New Roman"/>
                <w:color w:val="EE0000"/>
                <w:szCs w:val="21"/>
                <w:u w:val="single"/>
              </w:rPr>
              <w:t>+</w:t>
            </w:r>
            <w:r>
              <w:rPr>
                <w:rFonts w:ascii="Times New Roman"/>
                <w:color w:val="EE0000"/>
                <w:szCs w:val="21"/>
                <w:u w:val="single"/>
              </w:rPr>
              <w:t>0.0002</w:t>
            </w:r>
          </w:p>
        </w:tc>
      </w:tr>
      <w:tr w14:paraId="52AA4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04" w:type="dxa"/>
            <w:vMerge w:val="continue"/>
            <w:vAlign w:val="center"/>
          </w:tcPr>
          <w:p w14:paraId="74ED823B">
            <w:pPr>
              <w:pStyle w:val="71"/>
              <w:spacing w:beforeLines="0" w:afterLines="0" w:line="240" w:lineRule="auto"/>
              <w:rPr>
                <w:rFonts w:ascii="Times New Roman"/>
                <w:snapToGrid w:val="0"/>
                <w:kern w:val="21"/>
                <w:szCs w:val="21"/>
              </w:rPr>
            </w:pPr>
          </w:p>
        </w:tc>
        <w:tc>
          <w:tcPr>
            <w:tcW w:w="2126" w:type="dxa"/>
            <w:vAlign w:val="center"/>
          </w:tcPr>
          <w:p w14:paraId="56AA0FC3">
            <w:pPr>
              <w:pStyle w:val="71"/>
              <w:spacing w:beforeLines="0" w:afterLines="0" w:line="240" w:lineRule="auto"/>
              <w:rPr>
                <w:rFonts w:ascii="Times New Roman"/>
                <w:szCs w:val="21"/>
              </w:rPr>
            </w:pPr>
            <w:r>
              <w:rPr>
                <w:rFonts w:ascii="Times New Roman"/>
                <w:bCs/>
                <w:szCs w:val="21"/>
              </w:rPr>
              <w:t>锌</w:t>
            </w:r>
          </w:p>
        </w:tc>
        <w:tc>
          <w:tcPr>
            <w:tcW w:w="1560" w:type="dxa"/>
            <w:vAlign w:val="center"/>
          </w:tcPr>
          <w:p w14:paraId="552B8F45">
            <w:pPr>
              <w:pStyle w:val="71"/>
              <w:spacing w:beforeLines="0" w:afterLines="0" w:line="240" w:lineRule="auto"/>
              <w:rPr>
                <w:rFonts w:ascii="Times New Roman"/>
                <w:szCs w:val="21"/>
              </w:rPr>
            </w:pPr>
            <w:r>
              <w:rPr>
                <w:rFonts w:ascii="Times New Roman"/>
                <w:szCs w:val="21"/>
              </w:rPr>
              <w:t>0</w:t>
            </w:r>
          </w:p>
        </w:tc>
        <w:tc>
          <w:tcPr>
            <w:tcW w:w="1136" w:type="dxa"/>
            <w:vAlign w:val="center"/>
          </w:tcPr>
          <w:p w14:paraId="03242555">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1CB8EA80">
            <w:pPr>
              <w:pStyle w:val="71"/>
              <w:spacing w:beforeLines="0" w:afterLines="0" w:line="240" w:lineRule="auto"/>
              <w:rPr>
                <w:rFonts w:ascii="Times New Roman"/>
                <w:snapToGrid w:val="0"/>
                <w:kern w:val="21"/>
                <w:szCs w:val="21"/>
              </w:rPr>
            </w:pPr>
          </w:p>
        </w:tc>
        <w:tc>
          <w:tcPr>
            <w:tcW w:w="1731" w:type="dxa"/>
            <w:vAlign w:val="center"/>
          </w:tcPr>
          <w:p w14:paraId="7D08E1F4">
            <w:pPr>
              <w:pStyle w:val="71"/>
              <w:spacing w:beforeLines="0" w:afterLines="0" w:line="240" w:lineRule="auto"/>
              <w:rPr>
                <w:rFonts w:ascii="Times New Roman"/>
                <w:szCs w:val="21"/>
              </w:rPr>
            </w:pPr>
            <w:r>
              <w:rPr>
                <w:rFonts w:ascii="Times New Roman"/>
                <w:color w:val="EE0000"/>
                <w:szCs w:val="21"/>
                <w:u w:val="single"/>
              </w:rPr>
              <w:t>0.0407</w:t>
            </w:r>
          </w:p>
        </w:tc>
        <w:tc>
          <w:tcPr>
            <w:tcW w:w="1387" w:type="dxa"/>
            <w:vAlign w:val="center"/>
          </w:tcPr>
          <w:p w14:paraId="58D139FC">
            <w:pPr>
              <w:pStyle w:val="71"/>
              <w:spacing w:beforeLines="0" w:afterLines="0" w:line="240" w:lineRule="auto"/>
              <w:rPr>
                <w:rFonts w:ascii="Times New Roman"/>
                <w:color w:val="EE0000"/>
                <w:szCs w:val="21"/>
                <w:u w:val="single"/>
              </w:rPr>
            </w:pPr>
            <w:r>
              <w:rPr>
                <w:rFonts w:ascii="Times New Roman"/>
                <w:color w:val="EE0000"/>
                <w:szCs w:val="21"/>
                <w:u w:val="single"/>
              </w:rPr>
              <w:t>0</w:t>
            </w:r>
          </w:p>
        </w:tc>
        <w:tc>
          <w:tcPr>
            <w:tcW w:w="1560" w:type="dxa"/>
            <w:vAlign w:val="center"/>
          </w:tcPr>
          <w:p w14:paraId="6DAA6B8F">
            <w:pPr>
              <w:pStyle w:val="71"/>
              <w:spacing w:beforeLines="0" w:afterLines="0" w:line="240" w:lineRule="auto"/>
              <w:rPr>
                <w:rFonts w:ascii="Times New Roman"/>
                <w:szCs w:val="21"/>
              </w:rPr>
            </w:pPr>
            <w:r>
              <w:rPr>
                <w:rFonts w:ascii="Times New Roman"/>
                <w:color w:val="EE0000"/>
                <w:szCs w:val="21"/>
                <w:u w:val="single"/>
              </w:rPr>
              <w:t>0.0407</w:t>
            </w:r>
          </w:p>
        </w:tc>
        <w:tc>
          <w:tcPr>
            <w:tcW w:w="1427" w:type="dxa"/>
            <w:vAlign w:val="center"/>
          </w:tcPr>
          <w:p w14:paraId="3DED462F">
            <w:pPr>
              <w:pStyle w:val="71"/>
              <w:spacing w:beforeLines="0" w:afterLines="0" w:line="240" w:lineRule="auto"/>
              <w:rPr>
                <w:rFonts w:ascii="Times New Roman"/>
                <w:snapToGrid w:val="0"/>
                <w:kern w:val="21"/>
                <w:szCs w:val="21"/>
              </w:rPr>
            </w:pPr>
            <w:r>
              <w:rPr>
                <w:rFonts w:hint="eastAsia" w:ascii="Times New Roman"/>
                <w:color w:val="EE0000"/>
                <w:szCs w:val="21"/>
                <w:u w:val="single"/>
              </w:rPr>
              <w:t>+</w:t>
            </w:r>
            <w:r>
              <w:rPr>
                <w:rFonts w:ascii="Times New Roman"/>
                <w:color w:val="EE0000"/>
                <w:szCs w:val="21"/>
                <w:u w:val="single"/>
              </w:rPr>
              <w:t>0.0407</w:t>
            </w:r>
          </w:p>
        </w:tc>
      </w:tr>
      <w:tr w14:paraId="63850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04" w:type="dxa"/>
            <w:vMerge w:val="continue"/>
            <w:vAlign w:val="center"/>
          </w:tcPr>
          <w:p w14:paraId="237041DA">
            <w:pPr>
              <w:pStyle w:val="71"/>
              <w:spacing w:beforeLines="0" w:afterLines="0" w:line="240" w:lineRule="auto"/>
              <w:rPr>
                <w:rFonts w:ascii="Times New Roman"/>
                <w:snapToGrid w:val="0"/>
                <w:kern w:val="21"/>
                <w:szCs w:val="21"/>
              </w:rPr>
            </w:pPr>
          </w:p>
        </w:tc>
        <w:tc>
          <w:tcPr>
            <w:tcW w:w="2126" w:type="dxa"/>
            <w:vAlign w:val="center"/>
          </w:tcPr>
          <w:p w14:paraId="249B196B">
            <w:pPr>
              <w:pStyle w:val="71"/>
              <w:spacing w:beforeLines="0" w:afterLines="0" w:line="240" w:lineRule="auto"/>
              <w:rPr>
                <w:rFonts w:ascii="Times New Roman"/>
                <w:szCs w:val="21"/>
              </w:rPr>
            </w:pPr>
            <w:r>
              <w:rPr>
                <w:rFonts w:ascii="Times New Roman"/>
                <w:bCs/>
                <w:szCs w:val="21"/>
              </w:rPr>
              <w:t>铜</w:t>
            </w:r>
          </w:p>
        </w:tc>
        <w:tc>
          <w:tcPr>
            <w:tcW w:w="1560" w:type="dxa"/>
            <w:vAlign w:val="center"/>
          </w:tcPr>
          <w:p w14:paraId="6D2AF3D0">
            <w:pPr>
              <w:pStyle w:val="71"/>
              <w:spacing w:beforeLines="0" w:afterLines="0" w:line="240" w:lineRule="auto"/>
              <w:rPr>
                <w:rFonts w:ascii="Times New Roman"/>
                <w:szCs w:val="21"/>
              </w:rPr>
            </w:pPr>
            <w:r>
              <w:rPr>
                <w:rFonts w:ascii="Times New Roman"/>
                <w:szCs w:val="21"/>
              </w:rPr>
              <w:t>0</w:t>
            </w:r>
          </w:p>
        </w:tc>
        <w:tc>
          <w:tcPr>
            <w:tcW w:w="1136" w:type="dxa"/>
            <w:vAlign w:val="center"/>
          </w:tcPr>
          <w:p w14:paraId="23D85984">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3DEEE69C">
            <w:pPr>
              <w:pStyle w:val="71"/>
              <w:spacing w:beforeLines="0" w:afterLines="0" w:line="240" w:lineRule="auto"/>
              <w:rPr>
                <w:rFonts w:ascii="Times New Roman"/>
                <w:snapToGrid w:val="0"/>
                <w:kern w:val="21"/>
                <w:szCs w:val="21"/>
              </w:rPr>
            </w:pPr>
          </w:p>
        </w:tc>
        <w:tc>
          <w:tcPr>
            <w:tcW w:w="1731" w:type="dxa"/>
            <w:vAlign w:val="center"/>
          </w:tcPr>
          <w:p w14:paraId="1111B75B">
            <w:pPr>
              <w:pStyle w:val="71"/>
              <w:spacing w:beforeLines="0" w:afterLines="0" w:line="240" w:lineRule="auto"/>
              <w:rPr>
                <w:rFonts w:ascii="Times New Roman"/>
                <w:szCs w:val="21"/>
              </w:rPr>
            </w:pPr>
            <w:r>
              <w:rPr>
                <w:rFonts w:ascii="Times New Roman"/>
                <w:color w:val="EE0000"/>
                <w:szCs w:val="21"/>
                <w:u w:val="single"/>
              </w:rPr>
              <w:t>0.0047</w:t>
            </w:r>
          </w:p>
        </w:tc>
        <w:tc>
          <w:tcPr>
            <w:tcW w:w="1387" w:type="dxa"/>
            <w:vAlign w:val="center"/>
          </w:tcPr>
          <w:p w14:paraId="6FB3D8E0">
            <w:pPr>
              <w:pStyle w:val="71"/>
              <w:spacing w:beforeLines="0" w:afterLines="0" w:line="240" w:lineRule="auto"/>
              <w:rPr>
                <w:rFonts w:ascii="Times New Roman"/>
                <w:color w:val="EE0000"/>
                <w:szCs w:val="21"/>
                <w:u w:val="single"/>
              </w:rPr>
            </w:pPr>
            <w:r>
              <w:rPr>
                <w:rFonts w:ascii="Times New Roman"/>
                <w:color w:val="EE0000"/>
                <w:szCs w:val="21"/>
                <w:u w:val="single"/>
              </w:rPr>
              <w:t>0</w:t>
            </w:r>
          </w:p>
        </w:tc>
        <w:tc>
          <w:tcPr>
            <w:tcW w:w="1560" w:type="dxa"/>
            <w:vAlign w:val="center"/>
          </w:tcPr>
          <w:p w14:paraId="6193F9C4">
            <w:pPr>
              <w:pStyle w:val="71"/>
              <w:spacing w:beforeLines="0" w:afterLines="0" w:line="240" w:lineRule="auto"/>
              <w:rPr>
                <w:rFonts w:ascii="Times New Roman"/>
                <w:szCs w:val="21"/>
              </w:rPr>
            </w:pPr>
            <w:r>
              <w:rPr>
                <w:rFonts w:ascii="Times New Roman"/>
                <w:color w:val="EE0000"/>
                <w:szCs w:val="21"/>
                <w:u w:val="single"/>
              </w:rPr>
              <w:t>0.0047</w:t>
            </w:r>
          </w:p>
        </w:tc>
        <w:tc>
          <w:tcPr>
            <w:tcW w:w="1427" w:type="dxa"/>
            <w:vAlign w:val="center"/>
          </w:tcPr>
          <w:p w14:paraId="04E1BFBB">
            <w:pPr>
              <w:pStyle w:val="71"/>
              <w:spacing w:beforeLines="0" w:afterLines="0" w:line="240" w:lineRule="auto"/>
              <w:rPr>
                <w:rFonts w:ascii="Times New Roman"/>
                <w:snapToGrid w:val="0"/>
                <w:kern w:val="21"/>
                <w:szCs w:val="21"/>
              </w:rPr>
            </w:pPr>
            <w:r>
              <w:rPr>
                <w:rFonts w:hint="eastAsia" w:ascii="Times New Roman"/>
                <w:color w:val="EE0000"/>
                <w:szCs w:val="21"/>
                <w:u w:val="single"/>
              </w:rPr>
              <w:t>+</w:t>
            </w:r>
            <w:r>
              <w:rPr>
                <w:rFonts w:ascii="Times New Roman"/>
                <w:color w:val="EE0000"/>
                <w:szCs w:val="21"/>
                <w:u w:val="single"/>
              </w:rPr>
              <w:t>0.0047</w:t>
            </w:r>
          </w:p>
        </w:tc>
      </w:tr>
      <w:tr w14:paraId="584BE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04" w:type="dxa"/>
            <w:vMerge w:val="continue"/>
            <w:vAlign w:val="center"/>
          </w:tcPr>
          <w:p w14:paraId="1FA4A773">
            <w:pPr>
              <w:pStyle w:val="71"/>
              <w:spacing w:beforeLines="0" w:afterLines="0" w:line="240" w:lineRule="auto"/>
              <w:rPr>
                <w:rFonts w:ascii="Times New Roman"/>
                <w:snapToGrid w:val="0"/>
                <w:kern w:val="21"/>
                <w:szCs w:val="21"/>
              </w:rPr>
            </w:pPr>
          </w:p>
        </w:tc>
        <w:tc>
          <w:tcPr>
            <w:tcW w:w="2126" w:type="dxa"/>
            <w:vAlign w:val="center"/>
          </w:tcPr>
          <w:p w14:paraId="0AB8A7F8">
            <w:pPr>
              <w:pStyle w:val="71"/>
              <w:spacing w:beforeLines="0" w:afterLines="0" w:line="240" w:lineRule="auto"/>
              <w:rPr>
                <w:rFonts w:ascii="Times New Roman"/>
                <w:szCs w:val="21"/>
              </w:rPr>
            </w:pPr>
            <w:r>
              <w:rPr>
                <w:rFonts w:ascii="Times New Roman"/>
                <w:szCs w:val="21"/>
              </w:rPr>
              <w:t>二噁英类</w:t>
            </w:r>
          </w:p>
        </w:tc>
        <w:tc>
          <w:tcPr>
            <w:tcW w:w="1560" w:type="dxa"/>
            <w:vAlign w:val="center"/>
          </w:tcPr>
          <w:p w14:paraId="6910899E">
            <w:pPr>
              <w:pStyle w:val="71"/>
              <w:spacing w:beforeLines="0" w:afterLines="0" w:line="240" w:lineRule="auto"/>
              <w:rPr>
                <w:rFonts w:ascii="Times New Roman"/>
                <w:szCs w:val="21"/>
              </w:rPr>
            </w:pPr>
            <w:r>
              <w:rPr>
                <w:rFonts w:ascii="Times New Roman"/>
                <w:szCs w:val="21"/>
              </w:rPr>
              <w:t>0</w:t>
            </w:r>
          </w:p>
        </w:tc>
        <w:tc>
          <w:tcPr>
            <w:tcW w:w="1136" w:type="dxa"/>
            <w:vAlign w:val="center"/>
          </w:tcPr>
          <w:p w14:paraId="3A7C58E7">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4F6B5BFA">
            <w:pPr>
              <w:pStyle w:val="71"/>
              <w:spacing w:beforeLines="0" w:afterLines="0" w:line="240" w:lineRule="auto"/>
              <w:rPr>
                <w:rFonts w:ascii="Times New Roman"/>
                <w:snapToGrid w:val="0"/>
                <w:kern w:val="21"/>
                <w:szCs w:val="21"/>
              </w:rPr>
            </w:pPr>
          </w:p>
        </w:tc>
        <w:tc>
          <w:tcPr>
            <w:tcW w:w="1731" w:type="dxa"/>
            <w:vAlign w:val="center"/>
          </w:tcPr>
          <w:p w14:paraId="64B4594A">
            <w:pPr>
              <w:pStyle w:val="71"/>
              <w:spacing w:beforeLines="0" w:afterLines="0" w:line="240" w:lineRule="auto"/>
              <w:rPr>
                <w:rFonts w:ascii="Times New Roman"/>
                <w:szCs w:val="21"/>
              </w:rPr>
            </w:pPr>
            <w:r>
              <w:rPr>
                <w:rFonts w:ascii="Times New Roman"/>
                <w:color w:val="EE0000"/>
                <w:szCs w:val="21"/>
                <w:u w:val="single"/>
              </w:rPr>
              <w:t>0.675mg/a</w:t>
            </w:r>
          </w:p>
        </w:tc>
        <w:tc>
          <w:tcPr>
            <w:tcW w:w="1387" w:type="dxa"/>
            <w:vAlign w:val="center"/>
          </w:tcPr>
          <w:p w14:paraId="75D2530E">
            <w:pPr>
              <w:pStyle w:val="71"/>
              <w:spacing w:beforeLines="0" w:afterLines="0" w:line="240" w:lineRule="auto"/>
              <w:rPr>
                <w:rFonts w:ascii="Times New Roman"/>
                <w:color w:val="EE0000"/>
                <w:szCs w:val="21"/>
                <w:u w:val="single"/>
              </w:rPr>
            </w:pPr>
            <w:r>
              <w:rPr>
                <w:rFonts w:ascii="Times New Roman"/>
                <w:color w:val="EE0000"/>
                <w:szCs w:val="21"/>
                <w:u w:val="single"/>
              </w:rPr>
              <w:t>0</w:t>
            </w:r>
          </w:p>
        </w:tc>
        <w:tc>
          <w:tcPr>
            <w:tcW w:w="1560" w:type="dxa"/>
            <w:vAlign w:val="center"/>
          </w:tcPr>
          <w:p w14:paraId="20C944DC">
            <w:pPr>
              <w:pStyle w:val="71"/>
              <w:spacing w:beforeLines="0" w:afterLines="0" w:line="240" w:lineRule="auto"/>
              <w:rPr>
                <w:rFonts w:ascii="Times New Roman"/>
                <w:szCs w:val="21"/>
              </w:rPr>
            </w:pPr>
            <w:r>
              <w:rPr>
                <w:rFonts w:ascii="Times New Roman"/>
                <w:color w:val="EE0000"/>
                <w:szCs w:val="21"/>
                <w:u w:val="single"/>
              </w:rPr>
              <w:t>0.675mg/a</w:t>
            </w:r>
          </w:p>
        </w:tc>
        <w:tc>
          <w:tcPr>
            <w:tcW w:w="1427" w:type="dxa"/>
            <w:vAlign w:val="center"/>
          </w:tcPr>
          <w:p w14:paraId="646380AA">
            <w:pPr>
              <w:pStyle w:val="71"/>
              <w:spacing w:beforeLines="0" w:afterLines="0" w:line="240" w:lineRule="auto"/>
              <w:rPr>
                <w:rFonts w:ascii="Times New Roman"/>
                <w:snapToGrid w:val="0"/>
                <w:kern w:val="21"/>
                <w:szCs w:val="21"/>
              </w:rPr>
            </w:pPr>
            <w:r>
              <w:rPr>
                <w:rFonts w:hint="eastAsia" w:ascii="Times New Roman"/>
                <w:color w:val="EE0000"/>
                <w:szCs w:val="21"/>
                <w:u w:val="single"/>
              </w:rPr>
              <w:t>+</w:t>
            </w:r>
            <w:r>
              <w:rPr>
                <w:rFonts w:ascii="Times New Roman"/>
                <w:color w:val="EE0000"/>
                <w:szCs w:val="21"/>
                <w:u w:val="single"/>
              </w:rPr>
              <w:t>0.675mg/a</w:t>
            </w:r>
          </w:p>
        </w:tc>
      </w:tr>
      <w:tr w14:paraId="7657C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304" w:type="dxa"/>
            <w:vMerge w:val="continue"/>
            <w:vAlign w:val="center"/>
          </w:tcPr>
          <w:p w14:paraId="5B8D6EC8">
            <w:pPr>
              <w:pStyle w:val="71"/>
              <w:spacing w:beforeLines="0" w:afterLines="0" w:line="240" w:lineRule="auto"/>
              <w:rPr>
                <w:rFonts w:ascii="Times New Roman"/>
                <w:snapToGrid w:val="0"/>
                <w:kern w:val="21"/>
                <w:szCs w:val="21"/>
              </w:rPr>
            </w:pPr>
          </w:p>
        </w:tc>
        <w:tc>
          <w:tcPr>
            <w:tcW w:w="2126" w:type="dxa"/>
            <w:vAlign w:val="center"/>
          </w:tcPr>
          <w:p w14:paraId="5BDFE6B1">
            <w:pPr>
              <w:pStyle w:val="71"/>
              <w:spacing w:beforeLines="0" w:afterLines="0" w:line="240" w:lineRule="auto"/>
              <w:rPr>
                <w:rFonts w:ascii="Times New Roman"/>
                <w:szCs w:val="21"/>
              </w:rPr>
            </w:pPr>
            <w:r>
              <w:rPr>
                <w:rFonts w:ascii="Times New Roman"/>
                <w:szCs w:val="21"/>
              </w:rPr>
              <w:t>氨气</w:t>
            </w:r>
          </w:p>
        </w:tc>
        <w:tc>
          <w:tcPr>
            <w:tcW w:w="1560" w:type="dxa"/>
            <w:vAlign w:val="center"/>
          </w:tcPr>
          <w:p w14:paraId="37A1EDB1">
            <w:pPr>
              <w:pStyle w:val="71"/>
              <w:spacing w:beforeLines="0" w:afterLines="0" w:line="240" w:lineRule="auto"/>
              <w:rPr>
                <w:rFonts w:ascii="Times New Roman"/>
                <w:szCs w:val="21"/>
              </w:rPr>
            </w:pPr>
            <w:r>
              <w:rPr>
                <w:rFonts w:ascii="Times New Roman"/>
                <w:szCs w:val="21"/>
              </w:rPr>
              <w:t>0</w:t>
            </w:r>
          </w:p>
        </w:tc>
        <w:tc>
          <w:tcPr>
            <w:tcW w:w="1136" w:type="dxa"/>
            <w:vAlign w:val="center"/>
          </w:tcPr>
          <w:p w14:paraId="5A286D86">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5BFE9FCB">
            <w:pPr>
              <w:pStyle w:val="71"/>
              <w:spacing w:beforeLines="0" w:afterLines="0" w:line="240" w:lineRule="auto"/>
              <w:rPr>
                <w:rFonts w:ascii="Times New Roman"/>
                <w:snapToGrid w:val="0"/>
                <w:kern w:val="21"/>
                <w:szCs w:val="21"/>
              </w:rPr>
            </w:pPr>
          </w:p>
        </w:tc>
        <w:tc>
          <w:tcPr>
            <w:tcW w:w="1731" w:type="dxa"/>
            <w:vAlign w:val="center"/>
          </w:tcPr>
          <w:p w14:paraId="52452116">
            <w:pPr>
              <w:pStyle w:val="71"/>
              <w:spacing w:beforeLines="0" w:afterLines="0" w:line="240" w:lineRule="auto"/>
              <w:rPr>
                <w:rFonts w:ascii="Times New Roman"/>
                <w:szCs w:val="21"/>
              </w:rPr>
            </w:pPr>
            <w:r>
              <w:rPr>
                <w:rFonts w:ascii="Times New Roman"/>
                <w:color w:val="EE0000"/>
                <w:szCs w:val="21"/>
                <w:u w:val="single"/>
              </w:rPr>
              <w:t>6.081</w:t>
            </w:r>
          </w:p>
        </w:tc>
        <w:tc>
          <w:tcPr>
            <w:tcW w:w="1387" w:type="dxa"/>
            <w:vAlign w:val="center"/>
          </w:tcPr>
          <w:p w14:paraId="411329E0">
            <w:pPr>
              <w:pStyle w:val="71"/>
              <w:spacing w:beforeLines="0" w:afterLines="0" w:line="240" w:lineRule="auto"/>
              <w:rPr>
                <w:rFonts w:ascii="Times New Roman"/>
                <w:color w:val="EE0000"/>
                <w:szCs w:val="21"/>
                <w:u w:val="single"/>
              </w:rPr>
            </w:pPr>
            <w:r>
              <w:rPr>
                <w:rFonts w:ascii="Times New Roman"/>
                <w:color w:val="EE0000"/>
                <w:szCs w:val="21"/>
                <w:u w:val="single"/>
              </w:rPr>
              <w:t>0</w:t>
            </w:r>
          </w:p>
        </w:tc>
        <w:tc>
          <w:tcPr>
            <w:tcW w:w="1560" w:type="dxa"/>
            <w:vAlign w:val="center"/>
          </w:tcPr>
          <w:p w14:paraId="173A4AE6">
            <w:pPr>
              <w:pStyle w:val="71"/>
              <w:spacing w:beforeLines="0" w:afterLines="0" w:line="240" w:lineRule="auto"/>
              <w:rPr>
                <w:rFonts w:ascii="Times New Roman"/>
                <w:szCs w:val="21"/>
              </w:rPr>
            </w:pPr>
            <w:r>
              <w:rPr>
                <w:rFonts w:ascii="Times New Roman"/>
                <w:color w:val="EE0000"/>
                <w:szCs w:val="21"/>
                <w:u w:val="single"/>
              </w:rPr>
              <w:t>6.081</w:t>
            </w:r>
          </w:p>
        </w:tc>
        <w:tc>
          <w:tcPr>
            <w:tcW w:w="1427" w:type="dxa"/>
            <w:vAlign w:val="center"/>
          </w:tcPr>
          <w:p w14:paraId="325808D6">
            <w:pPr>
              <w:pStyle w:val="71"/>
              <w:spacing w:beforeLines="0" w:afterLines="0" w:line="240" w:lineRule="auto"/>
              <w:rPr>
                <w:rFonts w:ascii="Times New Roman"/>
                <w:snapToGrid w:val="0"/>
                <w:kern w:val="21"/>
                <w:szCs w:val="21"/>
              </w:rPr>
            </w:pPr>
            <w:r>
              <w:rPr>
                <w:rFonts w:hint="eastAsia" w:ascii="Times New Roman"/>
                <w:color w:val="EE0000"/>
                <w:szCs w:val="21"/>
                <w:u w:val="single"/>
              </w:rPr>
              <w:t>+</w:t>
            </w:r>
            <w:r>
              <w:rPr>
                <w:rFonts w:ascii="Times New Roman"/>
                <w:color w:val="EE0000"/>
                <w:szCs w:val="21"/>
                <w:u w:val="single"/>
              </w:rPr>
              <w:t>6.081</w:t>
            </w:r>
          </w:p>
        </w:tc>
      </w:tr>
      <w:tr w14:paraId="109A7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304" w:type="dxa"/>
            <w:vMerge w:val="continue"/>
            <w:vAlign w:val="center"/>
          </w:tcPr>
          <w:p w14:paraId="5FC40DC8">
            <w:pPr>
              <w:pStyle w:val="71"/>
              <w:spacing w:beforeLines="0" w:afterLines="0" w:line="240" w:lineRule="auto"/>
              <w:rPr>
                <w:rFonts w:ascii="Times New Roman"/>
                <w:snapToGrid w:val="0"/>
                <w:kern w:val="21"/>
                <w:szCs w:val="21"/>
              </w:rPr>
            </w:pPr>
          </w:p>
        </w:tc>
        <w:tc>
          <w:tcPr>
            <w:tcW w:w="2126" w:type="dxa"/>
            <w:vAlign w:val="center"/>
          </w:tcPr>
          <w:p w14:paraId="7F51A006">
            <w:pPr>
              <w:pStyle w:val="71"/>
              <w:spacing w:beforeLines="0" w:afterLines="0" w:line="240" w:lineRule="auto"/>
              <w:rPr>
                <w:rFonts w:ascii="Times New Roman"/>
                <w:szCs w:val="21"/>
              </w:rPr>
            </w:pPr>
            <w:r>
              <w:rPr>
                <w:rFonts w:hint="eastAsia" w:ascii="Times New Roman"/>
                <w:szCs w:val="21"/>
              </w:rPr>
              <w:t>硫化氢</w:t>
            </w:r>
          </w:p>
        </w:tc>
        <w:tc>
          <w:tcPr>
            <w:tcW w:w="1560" w:type="dxa"/>
            <w:vAlign w:val="center"/>
          </w:tcPr>
          <w:p w14:paraId="7974F55F">
            <w:pPr>
              <w:pStyle w:val="71"/>
              <w:spacing w:beforeLines="0" w:afterLines="0" w:line="240" w:lineRule="auto"/>
              <w:rPr>
                <w:rFonts w:ascii="Times New Roman"/>
                <w:szCs w:val="21"/>
              </w:rPr>
            </w:pPr>
            <w:r>
              <w:rPr>
                <w:rFonts w:hint="eastAsia" w:ascii="Times New Roman"/>
                <w:szCs w:val="21"/>
              </w:rPr>
              <w:t>0</w:t>
            </w:r>
          </w:p>
        </w:tc>
        <w:tc>
          <w:tcPr>
            <w:tcW w:w="1136" w:type="dxa"/>
            <w:vAlign w:val="center"/>
          </w:tcPr>
          <w:p w14:paraId="16F62CA2">
            <w:pPr>
              <w:pStyle w:val="71"/>
              <w:spacing w:beforeLines="0" w:afterLines="0" w:line="240" w:lineRule="auto"/>
              <w:rPr>
                <w:rFonts w:ascii="Times New Roman"/>
                <w:snapToGrid w:val="0"/>
                <w:kern w:val="21"/>
                <w:szCs w:val="21"/>
              </w:rPr>
            </w:pPr>
            <w:r>
              <w:rPr>
                <w:rFonts w:ascii="Times New Roman"/>
                <w:szCs w:val="21"/>
              </w:rPr>
              <w:t>/</w:t>
            </w:r>
          </w:p>
        </w:tc>
        <w:tc>
          <w:tcPr>
            <w:tcW w:w="1557" w:type="dxa"/>
            <w:vAlign w:val="center"/>
          </w:tcPr>
          <w:p w14:paraId="7D1B04B6">
            <w:pPr>
              <w:pStyle w:val="71"/>
              <w:spacing w:beforeLines="0" w:afterLines="0" w:line="240" w:lineRule="auto"/>
              <w:rPr>
                <w:rFonts w:ascii="Times New Roman"/>
                <w:snapToGrid w:val="0"/>
                <w:kern w:val="21"/>
                <w:szCs w:val="21"/>
              </w:rPr>
            </w:pPr>
          </w:p>
        </w:tc>
        <w:tc>
          <w:tcPr>
            <w:tcW w:w="1731" w:type="dxa"/>
            <w:vAlign w:val="center"/>
          </w:tcPr>
          <w:p w14:paraId="1090AD5C">
            <w:pPr>
              <w:pStyle w:val="71"/>
              <w:spacing w:beforeLines="0" w:afterLines="0" w:line="240" w:lineRule="auto"/>
              <w:rPr>
                <w:rFonts w:ascii="Times New Roman"/>
                <w:szCs w:val="21"/>
              </w:rPr>
            </w:pPr>
            <w:r>
              <w:rPr>
                <w:rFonts w:ascii="Times New Roman"/>
                <w:color w:val="EE0000"/>
                <w:szCs w:val="21"/>
                <w:u w:val="single"/>
              </w:rPr>
              <w:t>0.0046</w:t>
            </w:r>
          </w:p>
        </w:tc>
        <w:tc>
          <w:tcPr>
            <w:tcW w:w="1387" w:type="dxa"/>
            <w:vAlign w:val="center"/>
          </w:tcPr>
          <w:p w14:paraId="195763FD">
            <w:pPr>
              <w:pStyle w:val="71"/>
              <w:spacing w:beforeLines="0" w:afterLines="0" w:line="240" w:lineRule="auto"/>
              <w:rPr>
                <w:rFonts w:ascii="Times New Roman"/>
                <w:color w:val="EE0000"/>
                <w:szCs w:val="21"/>
                <w:u w:val="single"/>
              </w:rPr>
            </w:pPr>
            <w:r>
              <w:rPr>
                <w:rFonts w:hint="eastAsia" w:ascii="Times New Roman"/>
                <w:color w:val="EE0000"/>
                <w:szCs w:val="21"/>
                <w:u w:val="single"/>
              </w:rPr>
              <w:t>0</w:t>
            </w:r>
          </w:p>
        </w:tc>
        <w:tc>
          <w:tcPr>
            <w:tcW w:w="1560" w:type="dxa"/>
            <w:vAlign w:val="center"/>
          </w:tcPr>
          <w:p w14:paraId="48A391EA">
            <w:pPr>
              <w:pStyle w:val="71"/>
              <w:spacing w:beforeLines="0" w:afterLines="0" w:line="240" w:lineRule="auto"/>
              <w:rPr>
                <w:rFonts w:ascii="Times New Roman"/>
                <w:szCs w:val="21"/>
              </w:rPr>
            </w:pPr>
            <w:r>
              <w:rPr>
                <w:rFonts w:ascii="Times New Roman"/>
                <w:color w:val="EE0000"/>
                <w:szCs w:val="21"/>
                <w:u w:val="single"/>
              </w:rPr>
              <w:t>0.0046</w:t>
            </w:r>
          </w:p>
        </w:tc>
        <w:tc>
          <w:tcPr>
            <w:tcW w:w="1427" w:type="dxa"/>
            <w:vAlign w:val="center"/>
          </w:tcPr>
          <w:p w14:paraId="46218FE8">
            <w:pPr>
              <w:pStyle w:val="71"/>
              <w:spacing w:beforeLines="0" w:afterLines="0" w:line="240" w:lineRule="auto"/>
              <w:rPr>
                <w:rFonts w:ascii="Times New Roman"/>
                <w:szCs w:val="21"/>
              </w:rPr>
            </w:pPr>
            <w:r>
              <w:rPr>
                <w:rFonts w:hint="eastAsia" w:ascii="Times New Roman"/>
                <w:color w:val="EE0000"/>
                <w:szCs w:val="21"/>
                <w:u w:val="single"/>
              </w:rPr>
              <w:t>+</w:t>
            </w:r>
            <w:r>
              <w:rPr>
                <w:rFonts w:ascii="Times New Roman"/>
                <w:color w:val="EE0000"/>
                <w:szCs w:val="21"/>
                <w:u w:val="single"/>
              </w:rPr>
              <w:t>0.0046</w:t>
            </w:r>
          </w:p>
        </w:tc>
      </w:tr>
      <w:tr w14:paraId="3B504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304" w:type="dxa"/>
            <w:vMerge w:val="restart"/>
            <w:vAlign w:val="center"/>
          </w:tcPr>
          <w:p w14:paraId="221CB8BA">
            <w:pPr>
              <w:pStyle w:val="71"/>
              <w:spacing w:beforeLines="0" w:afterLines="0" w:line="240" w:lineRule="auto"/>
              <w:rPr>
                <w:rFonts w:ascii="Times New Roman"/>
                <w:snapToGrid w:val="0"/>
                <w:kern w:val="21"/>
                <w:szCs w:val="21"/>
              </w:rPr>
            </w:pPr>
            <w:r>
              <w:rPr>
                <w:rFonts w:ascii="Times New Roman"/>
                <w:snapToGrid w:val="0"/>
                <w:kern w:val="21"/>
                <w:szCs w:val="21"/>
              </w:rPr>
              <w:t>废水</w:t>
            </w:r>
          </w:p>
        </w:tc>
        <w:tc>
          <w:tcPr>
            <w:tcW w:w="2126" w:type="dxa"/>
            <w:vAlign w:val="center"/>
          </w:tcPr>
          <w:p w14:paraId="42E7777C">
            <w:pPr>
              <w:pStyle w:val="71"/>
              <w:spacing w:beforeLines="0" w:afterLines="0" w:line="240" w:lineRule="auto"/>
              <w:rPr>
                <w:rFonts w:ascii="Times New Roman"/>
                <w:snapToGrid w:val="0"/>
                <w:kern w:val="21"/>
                <w:szCs w:val="21"/>
              </w:rPr>
            </w:pPr>
            <w:r>
              <w:rPr>
                <w:rFonts w:ascii="Times New Roman"/>
                <w:snapToGrid w:val="0"/>
                <w:kern w:val="21"/>
                <w:szCs w:val="21"/>
              </w:rPr>
              <w:t>COD</w:t>
            </w:r>
          </w:p>
        </w:tc>
        <w:tc>
          <w:tcPr>
            <w:tcW w:w="1560" w:type="dxa"/>
            <w:vAlign w:val="center"/>
          </w:tcPr>
          <w:p w14:paraId="44DFA790">
            <w:pPr>
              <w:pStyle w:val="71"/>
              <w:spacing w:beforeLines="0" w:afterLines="0" w:line="240" w:lineRule="auto"/>
              <w:rPr>
                <w:rFonts w:ascii="Times New Roman"/>
                <w:snapToGrid w:val="0"/>
                <w:kern w:val="21"/>
                <w:szCs w:val="21"/>
              </w:rPr>
            </w:pPr>
            <w:r>
              <w:rPr>
                <w:rFonts w:ascii="Times New Roman"/>
                <w:snapToGrid w:val="0"/>
                <w:kern w:val="21"/>
                <w:szCs w:val="21"/>
              </w:rPr>
              <w:t>0</w:t>
            </w:r>
          </w:p>
        </w:tc>
        <w:tc>
          <w:tcPr>
            <w:tcW w:w="1136" w:type="dxa"/>
            <w:vAlign w:val="center"/>
          </w:tcPr>
          <w:p w14:paraId="532C1F25">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5EB3B47E">
            <w:pPr>
              <w:pStyle w:val="71"/>
              <w:spacing w:beforeLines="0" w:afterLines="0" w:line="240" w:lineRule="auto"/>
              <w:rPr>
                <w:rFonts w:ascii="Times New Roman"/>
                <w:snapToGrid w:val="0"/>
                <w:kern w:val="21"/>
                <w:szCs w:val="21"/>
              </w:rPr>
            </w:pPr>
          </w:p>
        </w:tc>
        <w:tc>
          <w:tcPr>
            <w:tcW w:w="1731" w:type="dxa"/>
            <w:vAlign w:val="center"/>
          </w:tcPr>
          <w:p w14:paraId="2F202EC0">
            <w:pPr>
              <w:pStyle w:val="71"/>
              <w:spacing w:beforeLines="0" w:afterLines="0" w:line="240" w:lineRule="auto"/>
              <w:rPr>
                <w:rFonts w:ascii="Times New Roman"/>
                <w:snapToGrid w:val="0"/>
                <w:kern w:val="21"/>
                <w:szCs w:val="21"/>
              </w:rPr>
            </w:pPr>
            <w:r>
              <w:rPr>
                <w:rFonts w:ascii="Times New Roman"/>
                <w:snapToGrid w:val="0"/>
                <w:kern w:val="21"/>
                <w:szCs w:val="21"/>
              </w:rPr>
              <w:t>0</w:t>
            </w:r>
          </w:p>
        </w:tc>
        <w:tc>
          <w:tcPr>
            <w:tcW w:w="1387" w:type="dxa"/>
            <w:vAlign w:val="center"/>
          </w:tcPr>
          <w:p w14:paraId="00AE4196">
            <w:pPr>
              <w:pStyle w:val="71"/>
              <w:spacing w:beforeLines="0" w:afterLines="0" w:line="240" w:lineRule="auto"/>
              <w:rPr>
                <w:rFonts w:ascii="Times New Roman"/>
                <w:snapToGrid w:val="0"/>
                <w:kern w:val="21"/>
                <w:szCs w:val="21"/>
              </w:rPr>
            </w:pPr>
            <w:r>
              <w:rPr>
                <w:rFonts w:ascii="Times New Roman"/>
                <w:snapToGrid w:val="0"/>
                <w:kern w:val="21"/>
                <w:szCs w:val="21"/>
              </w:rPr>
              <w:t>0</w:t>
            </w:r>
          </w:p>
        </w:tc>
        <w:tc>
          <w:tcPr>
            <w:tcW w:w="1560" w:type="dxa"/>
            <w:vAlign w:val="center"/>
          </w:tcPr>
          <w:p w14:paraId="3816D60F">
            <w:pPr>
              <w:pStyle w:val="71"/>
              <w:spacing w:beforeLines="0" w:afterLines="0" w:line="240" w:lineRule="auto"/>
              <w:rPr>
                <w:rFonts w:ascii="Times New Roman"/>
                <w:snapToGrid w:val="0"/>
                <w:kern w:val="21"/>
                <w:szCs w:val="21"/>
              </w:rPr>
            </w:pPr>
            <w:r>
              <w:rPr>
                <w:rFonts w:ascii="Times New Roman"/>
                <w:snapToGrid w:val="0"/>
                <w:kern w:val="21"/>
                <w:szCs w:val="21"/>
              </w:rPr>
              <w:t>0</w:t>
            </w:r>
          </w:p>
        </w:tc>
        <w:tc>
          <w:tcPr>
            <w:tcW w:w="1427" w:type="dxa"/>
            <w:vAlign w:val="center"/>
          </w:tcPr>
          <w:p w14:paraId="5F1ECAA0">
            <w:pPr>
              <w:pStyle w:val="71"/>
              <w:spacing w:beforeLines="0" w:afterLines="0" w:line="240" w:lineRule="auto"/>
              <w:rPr>
                <w:rFonts w:ascii="Times New Roman"/>
                <w:snapToGrid w:val="0"/>
                <w:kern w:val="21"/>
                <w:szCs w:val="21"/>
              </w:rPr>
            </w:pPr>
            <w:r>
              <w:rPr>
                <w:rFonts w:ascii="Times New Roman"/>
                <w:snapToGrid w:val="0"/>
                <w:kern w:val="21"/>
                <w:szCs w:val="21"/>
              </w:rPr>
              <w:t>0</w:t>
            </w:r>
          </w:p>
        </w:tc>
      </w:tr>
      <w:tr w14:paraId="6369D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04" w:type="dxa"/>
            <w:vMerge w:val="continue"/>
            <w:vAlign w:val="center"/>
          </w:tcPr>
          <w:p w14:paraId="116F1CAB">
            <w:pPr>
              <w:pStyle w:val="71"/>
              <w:spacing w:beforeLines="0" w:afterLines="0" w:line="240" w:lineRule="auto"/>
              <w:rPr>
                <w:rFonts w:ascii="Times New Roman"/>
                <w:snapToGrid w:val="0"/>
                <w:kern w:val="21"/>
                <w:szCs w:val="21"/>
              </w:rPr>
            </w:pPr>
          </w:p>
        </w:tc>
        <w:tc>
          <w:tcPr>
            <w:tcW w:w="2126" w:type="dxa"/>
            <w:vAlign w:val="center"/>
          </w:tcPr>
          <w:p w14:paraId="6EAB970C">
            <w:pPr>
              <w:pStyle w:val="71"/>
              <w:spacing w:beforeLines="0" w:afterLines="0" w:line="240" w:lineRule="auto"/>
              <w:rPr>
                <w:rFonts w:ascii="Times New Roman"/>
                <w:snapToGrid w:val="0"/>
                <w:kern w:val="21"/>
                <w:szCs w:val="21"/>
              </w:rPr>
            </w:pPr>
            <w:r>
              <w:rPr>
                <w:rFonts w:ascii="Times New Roman"/>
                <w:snapToGrid w:val="0"/>
                <w:kern w:val="21"/>
                <w:szCs w:val="21"/>
              </w:rPr>
              <w:t>氨氮</w:t>
            </w:r>
          </w:p>
        </w:tc>
        <w:tc>
          <w:tcPr>
            <w:tcW w:w="1560" w:type="dxa"/>
            <w:vAlign w:val="center"/>
          </w:tcPr>
          <w:p w14:paraId="47CE99C6">
            <w:pPr>
              <w:pStyle w:val="71"/>
              <w:spacing w:beforeLines="0" w:afterLines="0" w:line="240" w:lineRule="auto"/>
              <w:rPr>
                <w:rFonts w:ascii="Times New Roman"/>
                <w:snapToGrid w:val="0"/>
                <w:kern w:val="21"/>
                <w:szCs w:val="21"/>
              </w:rPr>
            </w:pPr>
            <w:r>
              <w:rPr>
                <w:rFonts w:ascii="Times New Roman"/>
                <w:snapToGrid w:val="0"/>
                <w:kern w:val="21"/>
                <w:szCs w:val="21"/>
              </w:rPr>
              <w:t>0</w:t>
            </w:r>
          </w:p>
        </w:tc>
        <w:tc>
          <w:tcPr>
            <w:tcW w:w="1136" w:type="dxa"/>
            <w:vAlign w:val="center"/>
          </w:tcPr>
          <w:p w14:paraId="5BEE28DB">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5AA230EC">
            <w:pPr>
              <w:pStyle w:val="71"/>
              <w:spacing w:beforeLines="0" w:afterLines="0" w:line="240" w:lineRule="auto"/>
              <w:rPr>
                <w:rFonts w:ascii="Times New Roman"/>
                <w:snapToGrid w:val="0"/>
                <w:kern w:val="21"/>
                <w:szCs w:val="21"/>
              </w:rPr>
            </w:pPr>
          </w:p>
        </w:tc>
        <w:tc>
          <w:tcPr>
            <w:tcW w:w="1731" w:type="dxa"/>
            <w:vAlign w:val="center"/>
          </w:tcPr>
          <w:p w14:paraId="1B3BC5FF">
            <w:pPr>
              <w:pStyle w:val="71"/>
              <w:spacing w:beforeLines="0" w:afterLines="0" w:line="240" w:lineRule="auto"/>
              <w:rPr>
                <w:rFonts w:ascii="Times New Roman"/>
                <w:snapToGrid w:val="0"/>
                <w:kern w:val="21"/>
                <w:szCs w:val="21"/>
              </w:rPr>
            </w:pPr>
            <w:r>
              <w:rPr>
                <w:rFonts w:ascii="Times New Roman"/>
                <w:snapToGrid w:val="0"/>
                <w:kern w:val="21"/>
                <w:szCs w:val="21"/>
              </w:rPr>
              <w:t>0</w:t>
            </w:r>
          </w:p>
        </w:tc>
        <w:tc>
          <w:tcPr>
            <w:tcW w:w="1387" w:type="dxa"/>
            <w:vAlign w:val="center"/>
          </w:tcPr>
          <w:p w14:paraId="5F278F91">
            <w:pPr>
              <w:pStyle w:val="71"/>
              <w:spacing w:beforeLines="0" w:afterLines="0" w:line="240" w:lineRule="auto"/>
              <w:rPr>
                <w:rFonts w:ascii="Times New Roman"/>
                <w:snapToGrid w:val="0"/>
                <w:kern w:val="21"/>
                <w:szCs w:val="21"/>
              </w:rPr>
            </w:pPr>
            <w:r>
              <w:rPr>
                <w:rFonts w:ascii="Times New Roman"/>
                <w:snapToGrid w:val="0"/>
                <w:kern w:val="21"/>
                <w:szCs w:val="21"/>
              </w:rPr>
              <w:t>0</w:t>
            </w:r>
          </w:p>
        </w:tc>
        <w:tc>
          <w:tcPr>
            <w:tcW w:w="1560" w:type="dxa"/>
            <w:vAlign w:val="center"/>
          </w:tcPr>
          <w:p w14:paraId="0BBB95E8">
            <w:pPr>
              <w:pStyle w:val="71"/>
              <w:spacing w:beforeLines="0" w:afterLines="0" w:line="240" w:lineRule="auto"/>
              <w:rPr>
                <w:rFonts w:ascii="Times New Roman"/>
                <w:snapToGrid w:val="0"/>
                <w:kern w:val="21"/>
                <w:szCs w:val="21"/>
              </w:rPr>
            </w:pPr>
            <w:r>
              <w:rPr>
                <w:rFonts w:ascii="Times New Roman"/>
                <w:snapToGrid w:val="0"/>
                <w:kern w:val="21"/>
                <w:szCs w:val="21"/>
              </w:rPr>
              <w:t>0</w:t>
            </w:r>
          </w:p>
        </w:tc>
        <w:tc>
          <w:tcPr>
            <w:tcW w:w="1427" w:type="dxa"/>
            <w:vAlign w:val="center"/>
          </w:tcPr>
          <w:p w14:paraId="36728BCC">
            <w:pPr>
              <w:pStyle w:val="71"/>
              <w:spacing w:beforeLines="0" w:afterLines="0" w:line="240" w:lineRule="auto"/>
              <w:rPr>
                <w:rFonts w:ascii="Times New Roman"/>
                <w:snapToGrid w:val="0"/>
                <w:kern w:val="21"/>
                <w:szCs w:val="21"/>
              </w:rPr>
            </w:pPr>
            <w:r>
              <w:rPr>
                <w:rFonts w:ascii="Times New Roman"/>
                <w:snapToGrid w:val="0"/>
                <w:kern w:val="21"/>
                <w:szCs w:val="21"/>
              </w:rPr>
              <w:t>0</w:t>
            </w:r>
          </w:p>
        </w:tc>
      </w:tr>
      <w:tr w14:paraId="2402C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04" w:type="dxa"/>
            <w:vMerge w:val="restart"/>
            <w:vAlign w:val="center"/>
          </w:tcPr>
          <w:p w14:paraId="6DBE281B">
            <w:pPr>
              <w:pStyle w:val="71"/>
              <w:spacing w:beforeLines="0" w:afterLines="0" w:line="240" w:lineRule="auto"/>
              <w:rPr>
                <w:rFonts w:ascii="Times New Roman"/>
                <w:snapToGrid w:val="0"/>
                <w:kern w:val="21"/>
                <w:szCs w:val="21"/>
              </w:rPr>
            </w:pPr>
            <w:r>
              <w:rPr>
                <w:rFonts w:ascii="Times New Roman"/>
                <w:snapToGrid w:val="0"/>
                <w:kern w:val="21"/>
                <w:szCs w:val="21"/>
              </w:rPr>
              <w:t>一般工业</w:t>
            </w:r>
          </w:p>
          <w:p w14:paraId="33159450">
            <w:pPr>
              <w:pStyle w:val="71"/>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2126" w:type="dxa"/>
            <w:vAlign w:val="center"/>
          </w:tcPr>
          <w:p w14:paraId="5DE78851">
            <w:pPr>
              <w:pStyle w:val="71"/>
              <w:spacing w:beforeLines="0" w:afterLines="0" w:line="240" w:lineRule="auto"/>
              <w:rPr>
                <w:rFonts w:ascii="Times New Roman"/>
                <w:szCs w:val="21"/>
              </w:rPr>
            </w:pPr>
            <w:r>
              <w:rPr>
                <w:rFonts w:ascii="Times New Roman"/>
                <w:szCs w:val="21"/>
              </w:rPr>
              <w:t>废湿坯</w:t>
            </w:r>
          </w:p>
        </w:tc>
        <w:tc>
          <w:tcPr>
            <w:tcW w:w="1560" w:type="dxa"/>
            <w:vAlign w:val="center"/>
          </w:tcPr>
          <w:p w14:paraId="166581AA">
            <w:pPr>
              <w:pStyle w:val="71"/>
              <w:spacing w:beforeLines="0" w:afterLines="0" w:line="240" w:lineRule="auto"/>
              <w:rPr>
                <w:rFonts w:ascii="Times New Roman"/>
                <w:snapToGrid w:val="0"/>
                <w:kern w:val="21"/>
                <w:szCs w:val="21"/>
              </w:rPr>
            </w:pPr>
            <w:r>
              <w:rPr>
                <w:rFonts w:ascii="Times New Roman"/>
                <w:szCs w:val="21"/>
              </w:rPr>
              <w:t>1560</w:t>
            </w:r>
          </w:p>
        </w:tc>
        <w:tc>
          <w:tcPr>
            <w:tcW w:w="1136" w:type="dxa"/>
            <w:vAlign w:val="center"/>
          </w:tcPr>
          <w:p w14:paraId="4F2C225C">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6B2F07D3">
            <w:pPr>
              <w:pStyle w:val="71"/>
              <w:spacing w:beforeLines="0" w:afterLines="0" w:line="240" w:lineRule="auto"/>
              <w:rPr>
                <w:rFonts w:ascii="Times New Roman"/>
                <w:snapToGrid w:val="0"/>
                <w:kern w:val="21"/>
                <w:szCs w:val="21"/>
              </w:rPr>
            </w:pPr>
          </w:p>
        </w:tc>
        <w:tc>
          <w:tcPr>
            <w:tcW w:w="1731" w:type="dxa"/>
            <w:vAlign w:val="center"/>
          </w:tcPr>
          <w:p w14:paraId="064C12C8">
            <w:pPr>
              <w:pStyle w:val="71"/>
              <w:spacing w:beforeLines="0" w:afterLines="0" w:line="240" w:lineRule="auto"/>
              <w:rPr>
                <w:rFonts w:ascii="Times New Roman"/>
                <w:snapToGrid w:val="0"/>
                <w:kern w:val="21"/>
                <w:szCs w:val="21"/>
              </w:rPr>
            </w:pPr>
            <w:r>
              <w:rPr>
                <w:rFonts w:ascii="Times New Roman"/>
                <w:szCs w:val="21"/>
              </w:rPr>
              <w:t>1560</w:t>
            </w:r>
          </w:p>
        </w:tc>
        <w:tc>
          <w:tcPr>
            <w:tcW w:w="1387" w:type="dxa"/>
            <w:vAlign w:val="center"/>
          </w:tcPr>
          <w:p w14:paraId="2F793024">
            <w:pPr>
              <w:pStyle w:val="71"/>
              <w:spacing w:beforeLines="0" w:afterLines="0" w:line="240" w:lineRule="auto"/>
              <w:rPr>
                <w:rFonts w:ascii="Times New Roman"/>
                <w:snapToGrid w:val="0"/>
                <w:kern w:val="21"/>
                <w:szCs w:val="21"/>
              </w:rPr>
            </w:pPr>
            <w:r>
              <w:rPr>
                <w:rFonts w:ascii="Times New Roman"/>
                <w:szCs w:val="21"/>
              </w:rPr>
              <w:t>1560</w:t>
            </w:r>
          </w:p>
        </w:tc>
        <w:tc>
          <w:tcPr>
            <w:tcW w:w="1560" w:type="dxa"/>
            <w:vAlign w:val="center"/>
          </w:tcPr>
          <w:p w14:paraId="5738925E">
            <w:pPr>
              <w:pStyle w:val="71"/>
              <w:spacing w:beforeLines="0" w:afterLines="0" w:line="240" w:lineRule="auto"/>
              <w:rPr>
                <w:rFonts w:ascii="Times New Roman"/>
                <w:snapToGrid w:val="0"/>
                <w:kern w:val="21"/>
                <w:szCs w:val="21"/>
              </w:rPr>
            </w:pPr>
            <w:r>
              <w:rPr>
                <w:rFonts w:ascii="Times New Roman"/>
                <w:szCs w:val="21"/>
              </w:rPr>
              <w:t>1560</w:t>
            </w:r>
          </w:p>
        </w:tc>
        <w:tc>
          <w:tcPr>
            <w:tcW w:w="1427" w:type="dxa"/>
            <w:vAlign w:val="center"/>
          </w:tcPr>
          <w:p w14:paraId="30541051">
            <w:pPr>
              <w:pStyle w:val="71"/>
              <w:spacing w:beforeLines="0" w:afterLines="0" w:line="240" w:lineRule="auto"/>
              <w:rPr>
                <w:rFonts w:ascii="Times New Roman"/>
                <w:snapToGrid w:val="0"/>
                <w:kern w:val="21"/>
                <w:szCs w:val="21"/>
              </w:rPr>
            </w:pPr>
            <w:r>
              <w:rPr>
                <w:rFonts w:ascii="Times New Roman"/>
                <w:snapToGrid w:val="0"/>
                <w:kern w:val="21"/>
                <w:szCs w:val="21"/>
              </w:rPr>
              <w:t>0</w:t>
            </w:r>
          </w:p>
        </w:tc>
      </w:tr>
      <w:tr w14:paraId="31611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4" w:type="dxa"/>
            <w:vMerge w:val="continue"/>
            <w:vAlign w:val="center"/>
          </w:tcPr>
          <w:p w14:paraId="1A0DE0F0">
            <w:pPr>
              <w:pStyle w:val="71"/>
              <w:spacing w:beforeLines="0" w:afterLines="0" w:line="240" w:lineRule="auto"/>
              <w:rPr>
                <w:rFonts w:ascii="Times New Roman"/>
                <w:snapToGrid w:val="0"/>
                <w:kern w:val="21"/>
                <w:szCs w:val="21"/>
              </w:rPr>
            </w:pPr>
          </w:p>
        </w:tc>
        <w:tc>
          <w:tcPr>
            <w:tcW w:w="2126" w:type="dxa"/>
            <w:vAlign w:val="center"/>
          </w:tcPr>
          <w:p w14:paraId="217B21F8">
            <w:pPr>
              <w:pStyle w:val="71"/>
              <w:spacing w:beforeLines="0" w:afterLines="0" w:line="240" w:lineRule="auto"/>
              <w:rPr>
                <w:rFonts w:ascii="Times New Roman"/>
                <w:snapToGrid w:val="0"/>
                <w:kern w:val="21"/>
                <w:szCs w:val="21"/>
              </w:rPr>
            </w:pPr>
            <w:r>
              <w:rPr>
                <w:rFonts w:ascii="Times New Roman"/>
                <w:szCs w:val="21"/>
              </w:rPr>
              <w:t>不合格产品</w:t>
            </w:r>
          </w:p>
        </w:tc>
        <w:tc>
          <w:tcPr>
            <w:tcW w:w="1560" w:type="dxa"/>
            <w:vAlign w:val="center"/>
          </w:tcPr>
          <w:p w14:paraId="0BD2E536">
            <w:pPr>
              <w:pStyle w:val="71"/>
              <w:spacing w:beforeLines="0" w:afterLines="0" w:line="240" w:lineRule="auto"/>
              <w:rPr>
                <w:rFonts w:ascii="Times New Roman"/>
                <w:snapToGrid w:val="0"/>
                <w:kern w:val="21"/>
                <w:szCs w:val="21"/>
              </w:rPr>
            </w:pPr>
            <w:r>
              <w:rPr>
                <w:rFonts w:ascii="Times New Roman"/>
                <w:szCs w:val="21"/>
              </w:rPr>
              <w:t>3379.5</w:t>
            </w:r>
          </w:p>
        </w:tc>
        <w:tc>
          <w:tcPr>
            <w:tcW w:w="1136" w:type="dxa"/>
            <w:vAlign w:val="center"/>
          </w:tcPr>
          <w:p w14:paraId="34B01259">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61BCAFFB">
            <w:pPr>
              <w:pStyle w:val="71"/>
              <w:spacing w:beforeLines="0" w:afterLines="0" w:line="240" w:lineRule="auto"/>
              <w:rPr>
                <w:rFonts w:ascii="Times New Roman"/>
                <w:snapToGrid w:val="0"/>
                <w:kern w:val="21"/>
                <w:szCs w:val="21"/>
              </w:rPr>
            </w:pPr>
          </w:p>
        </w:tc>
        <w:tc>
          <w:tcPr>
            <w:tcW w:w="1731" w:type="dxa"/>
            <w:vAlign w:val="center"/>
          </w:tcPr>
          <w:p w14:paraId="1EB80D3F">
            <w:pPr>
              <w:pStyle w:val="71"/>
              <w:spacing w:beforeLines="0" w:afterLines="0" w:line="240" w:lineRule="auto"/>
              <w:rPr>
                <w:rFonts w:ascii="Times New Roman"/>
                <w:snapToGrid w:val="0"/>
                <w:kern w:val="21"/>
                <w:szCs w:val="21"/>
              </w:rPr>
            </w:pPr>
            <w:r>
              <w:rPr>
                <w:rFonts w:ascii="Times New Roman"/>
                <w:szCs w:val="21"/>
              </w:rPr>
              <w:t>3379.5</w:t>
            </w:r>
          </w:p>
        </w:tc>
        <w:tc>
          <w:tcPr>
            <w:tcW w:w="1387" w:type="dxa"/>
            <w:vAlign w:val="center"/>
          </w:tcPr>
          <w:p w14:paraId="15E0F44B">
            <w:pPr>
              <w:pStyle w:val="71"/>
              <w:spacing w:beforeLines="0" w:afterLines="0" w:line="240" w:lineRule="auto"/>
              <w:rPr>
                <w:rFonts w:ascii="Times New Roman"/>
                <w:snapToGrid w:val="0"/>
                <w:kern w:val="21"/>
                <w:szCs w:val="21"/>
              </w:rPr>
            </w:pPr>
            <w:r>
              <w:rPr>
                <w:rFonts w:ascii="Times New Roman"/>
                <w:szCs w:val="21"/>
              </w:rPr>
              <w:t>3379.5</w:t>
            </w:r>
          </w:p>
        </w:tc>
        <w:tc>
          <w:tcPr>
            <w:tcW w:w="1560" w:type="dxa"/>
            <w:vAlign w:val="center"/>
          </w:tcPr>
          <w:p w14:paraId="7208A2E1">
            <w:pPr>
              <w:pStyle w:val="71"/>
              <w:spacing w:beforeLines="0" w:afterLines="0" w:line="240" w:lineRule="auto"/>
              <w:rPr>
                <w:rFonts w:ascii="Times New Roman"/>
                <w:snapToGrid w:val="0"/>
                <w:kern w:val="21"/>
                <w:szCs w:val="21"/>
              </w:rPr>
            </w:pPr>
            <w:r>
              <w:rPr>
                <w:rFonts w:ascii="Times New Roman"/>
                <w:szCs w:val="21"/>
              </w:rPr>
              <w:t>3379.5</w:t>
            </w:r>
          </w:p>
        </w:tc>
        <w:tc>
          <w:tcPr>
            <w:tcW w:w="1427" w:type="dxa"/>
            <w:vAlign w:val="center"/>
          </w:tcPr>
          <w:p w14:paraId="505D9670">
            <w:pPr>
              <w:pStyle w:val="71"/>
              <w:spacing w:beforeLines="0" w:afterLines="0" w:line="240" w:lineRule="auto"/>
              <w:rPr>
                <w:rFonts w:ascii="Times New Roman"/>
                <w:snapToGrid w:val="0"/>
                <w:kern w:val="21"/>
                <w:szCs w:val="21"/>
              </w:rPr>
            </w:pPr>
            <w:r>
              <w:rPr>
                <w:rFonts w:ascii="Times New Roman"/>
                <w:snapToGrid w:val="0"/>
                <w:kern w:val="21"/>
                <w:szCs w:val="21"/>
              </w:rPr>
              <w:t>0</w:t>
            </w:r>
          </w:p>
        </w:tc>
      </w:tr>
      <w:tr w14:paraId="6058D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04" w:type="dxa"/>
            <w:vMerge w:val="continue"/>
            <w:vAlign w:val="center"/>
          </w:tcPr>
          <w:p w14:paraId="745DC167">
            <w:pPr>
              <w:pStyle w:val="71"/>
              <w:spacing w:beforeLines="0" w:afterLines="0" w:line="240" w:lineRule="auto"/>
              <w:rPr>
                <w:rFonts w:ascii="Times New Roman"/>
                <w:snapToGrid w:val="0"/>
                <w:kern w:val="21"/>
                <w:szCs w:val="21"/>
              </w:rPr>
            </w:pPr>
          </w:p>
        </w:tc>
        <w:tc>
          <w:tcPr>
            <w:tcW w:w="2126" w:type="dxa"/>
            <w:vAlign w:val="center"/>
          </w:tcPr>
          <w:p w14:paraId="4BD1935D">
            <w:pPr>
              <w:pStyle w:val="71"/>
              <w:spacing w:beforeLines="0" w:afterLines="0" w:line="240" w:lineRule="auto"/>
              <w:rPr>
                <w:rFonts w:ascii="Times New Roman"/>
                <w:szCs w:val="21"/>
              </w:rPr>
            </w:pPr>
            <w:r>
              <w:rPr>
                <w:rFonts w:ascii="Times New Roman"/>
                <w:szCs w:val="21"/>
              </w:rPr>
              <w:t>脱硫剂筒仓除尘灰</w:t>
            </w:r>
          </w:p>
        </w:tc>
        <w:tc>
          <w:tcPr>
            <w:tcW w:w="1560" w:type="dxa"/>
            <w:vAlign w:val="center"/>
          </w:tcPr>
          <w:p w14:paraId="420F35DF">
            <w:pPr>
              <w:pStyle w:val="71"/>
              <w:spacing w:beforeLines="0" w:afterLines="0" w:line="240" w:lineRule="auto"/>
              <w:rPr>
                <w:rFonts w:ascii="Times New Roman"/>
                <w:snapToGrid w:val="0"/>
                <w:kern w:val="21"/>
                <w:szCs w:val="21"/>
              </w:rPr>
            </w:pPr>
            <w:r>
              <w:rPr>
                <w:rFonts w:ascii="Times New Roman"/>
                <w:szCs w:val="21"/>
              </w:rPr>
              <w:t>0.055</w:t>
            </w:r>
          </w:p>
        </w:tc>
        <w:tc>
          <w:tcPr>
            <w:tcW w:w="1136" w:type="dxa"/>
            <w:vAlign w:val="center"/>
          </w:tcPr>
          <w:p w14:paraId="5C9272BE">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7948CED8">
            <w:pPr>
              <w:pStyle w:val="71"/>
              <w:spacing w:beforeLines="0" w:afterLines="0" w:line="240" w:lineRule="auto"/>
              <w:rPr>
                <w:rFonts w:ascii="Times New Roman"/>
                <w:snapToGrid w:val="0"/>
                <w:kern w:val="21"/>
                <w:szCs w:val="21"/>
              </w:rPr>
            </w:pPr>
          </w:p>
        </w:tc>
        <w:tc>
          <w:tcPr>
            <w:tcW w:w="1731" w:type="dxa"/>
            <w:vAlign w:val="center"/>
          </w:tcPr>
          <w:p w14:paraId="79341CEA">
            <w:pPr>
              <w:pStyle w:val="71"/>
              <w:spacing w:beforeLines="0" w:afterLines="0" w:line="240" w:lineRule="auto"/>
              <w:rPr>
                <w:rFonts w:ascii="Times New Roman"/>
                <w:snapToGrid w:val="0"/>
                <w:kern w:val="21"/>
                <w:szCs w:val="21"/>
              </w:rPr>
            </w:pPr>
            <w:r>
              <w:rPr>
                <w:rFonts w:ascii="Times New Roman"/>
                <w:color w:val="EE0000"/>
                <w:szCs w:val="21"/>
                <w:u w:val="single"/>
              </w:rPr>
              <w:t>0.108</w:t>
            </w:r>
          </w:p>
        </w:tc>
        <w:tc>
          <w:tcPr>
            <w:tcW w:w="1387" w:type="dxa"/>
            <w:vAlign w:val="center"/>
          </w:tcPr>
          <w:p w14:paraId="5F46454D">
            <w:pPr>
              <w:pStyle w:val="71"/>
              <w:spacing w:beforeLines="0" w:afterLines="0" w:line="240" w:lineRule="auto"/>
              <w:rPr>
                <w:rFonts w:ascii="Times New Roman"/>
                <w:snapToGrid w:val="0"/>
                <w:kern w:val="21"/>
                <w:szCs w:val="21"/>
              </w:rPr>
            </w:pPr>
            <w:r>
              <w:rPr>
                <w:rFonts w:ascii="Times New Roman"/>
                <w:szCs w:val="21"/>
              </w:rPr>
              <w:t>0.055</w:t>
            </w:r>
          </w:p>
        </w:tc>
        <w:tc>
          <w:tcPr>
            <w:tcW w:w="1560" w:type="dxa"/>
            <w:vAlign w:val="center"/>
          </w:tcPr>
          <w:p w14:paraId="25DD8466">
            <w:pPr>
              <w:pStyle w:val="71"/>
              <w:spacing w:beforeLines="0" w:afterLines="0" w:line="240" w:lineRule="auto"/>
              <w:rPr>
                <w:rFonts w:ascii="Times New Roman"/>
                <w:snapToGrid w:val="0"/>
                <w:kern w:val="21"/>
                <w:szCs w:val="21"/>
              </w:rPr>
            </w:pPr>
            <w:r>
              <w:rPr>
                <w:rFonts w:ascii="Times New Roman"/>
                <w:color w:val="EE0000"/>
                <w:szCs w:val="21"/>
                <w:u w:val="single"/>
              </w:rPr>
              <w:t>0.108</w:t>
            </w:r>
          </w:p>
        </w:tc>
        <w:tc>
          <w:tcPr>
            <w:tcW w:w="1427" w:type="dxa"/>
            <w:vAlign w:val="center"/>
          </w:tcPr>
          <w:p w14:paraId="3E2D0656">
            <w:pPr>
              <w:pStyle w:val="71"/>
              <w:spacing w:beforeLines="0" w:afterLines="0" w:line="240" w:lineRule="auto"/>
              <w:rPr>
                <w:rFonts w:ascii="Times New Roman"/>
                <w:snapToGrid w:val="0"/>
                <w:kern w:val="21"/>
                <w:szCs w:val="21"/>
              </w:rPr>
            </w:pPr>
            <w:r>
              <w:rPr>
                <w:rFonts w:ascii="Times New Roman"/>
                <w:snapToGrid w:val="0"/>
                <w:kern w:val="21"/>
                <w:szCs w:val="21"/>
              </w:rPr>
              <w:t>+0.053</w:t>
            </w:r>
          </w:p>
        </w:tc>
      </w:tr>
      <w:tr w14:paraId="20714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04" w:type="dxa"/>
            <w:vMerge w:val="continue"/>
            <w:vAlign w:val="center"/>
          </w:tcPr>
          <w:p w14:paraId="4C342DD6">
            <w:pPr>
              <w:pStyle w:val="71"/>
              <w:spacing w:beforeLines="0" w:afterLines="0" w:line="240" w:lineRule="auto"/>
              <w:rPr>
                <w:rFonts w:ascii="Times New Roman"/>
                <w:snapToGrid w:val="0"/>
                <w:kern w:val="21"/>
                <w:szCs w:val="21"/>
              </w:rPr>
            </w:pPr>
          </w:p>
        </w:tc>
        <w:tc>
          <w:tcPr>
            <w:tcW w:w="2126" w:type="dxa"/>
            <w:vAlign w:val="center"/>
          </w:tcPr>
          <w:p w14:paraId="08CF5944">
            <w:pPr>
              <w:pStyle w:val="71"/>
              <w:spacing w:beforeLines="0" w:afterLines="0" w:line="240" w:lineRule="auto"/>
              <w:rPr>
                <w:rFonts w:ascii="Times New Roman"/>
                <w:szCs w:val="21"/>
              </w:rPr>
            </w:pPr>
            <w:r>
              <w:rPr>
                <w:rFonts w:ascii="Times New Roman"/>
                <w:szCs w:val="21"/>
              </w:rPr>
              <w:t>原料制备及窑车清理除尘灰</w:t>
            </w:r>
          </w:p>
        </w:tc>
        <w:tc>
          <w:tcPr>
            <w:tcW w:w="1560" w:type="dxa"/>
            <w:vAlign w:val="center"/>
          </w:tcPr>
          <w:p w14:paraId="15A0361C">
            <w:pPr>
              <w:pStyle w:val="71"/>
              <w:spacing w:beforeLines="0" w:afterLines="0" w:line="240" w:lineRule="auto"/>
              <w:rPr>
                <w:rFonts w:ascii="Times New Roman"/>
                <w:snapToGrid w:val="0"/>
                <w:kern w:val="21"/>
                <w:szCs w:val="21"/>
              </w:rPr>
            </w:pPr>
            <w:r>
              <w:rPr>
                <w:rFonts w:ascii="Times New Roman"/>
                <w:szCs w:val="21"/>
              </w:rPr>
              <w:t>45.0</w:t>
            </w:r>
          </w:p>
        </w:tc>
        <w:tc>
          <w:tcPr>
            <w:tcW w:w="1136" w:type="dxa"/>
            <w:vAlign w:val="center"/>
          </w:tcPr>
          <w:p w14:paraId="3E4890B0">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00E3727A">
            <w:pPr>
              <w:pStyle w:val="71"/>
              <w:spacing w:beforeLines="0" w:afterLines="0" w:line="240" w:lineRule="auto"/>
              <w:rPr>
                <w:rFonts w:ascii="Times New Roman"/>
                <w:snapToGrid w:val="0"/>
                <w:kern w:val="21"/>
                <w:szCs w:val="21"/>
              </w:rPr>
            </w:pPr>
          </w:p>
        </w:tc>
        <w:tc>
          <w:tcPr>
            <w:tcW w:w="1731" w:type="dxa"/>
            <w:vAlign w:val="center"/>
          </w:tcPr>
          <w:p w14:paraId="30AB7130">
            <w:pPr>
              <w:pStyle w:val="71"/>
              <w:spacing w:beforeLines="0" w:afterLines="0" w:line="240" w:lineRule="auto"/>
              <w:rPr>
                <w:rFonts w:ascii="Times New Roman"/>
                <w:snapToGrid w:val="0"/>
                <w:kern w:val="21"/>
                <w:szCs w:val="21"/>
              </w:rPr>
            </w:pPr>
            <w:r>
              <w:rPr>
                <w:rFonts w:ascii="Times New Roman"/>
                <w:color w:val="EE0000"/>
                <w:szCs w:val="21"/>
                <w:u w:val="single"/>
              </w:rPr>
              <w:t>45.0</w:t>
            </w:r>
          </w:p>
        </w:tc>
        <w:tc>
          <w:tcPr>
            <w:tcW w:w="1387" w:type="dxa"/>
            <w:vAlign w:val="center"/>
          </w:tcPr>
          <w:p w14:paraId="3C220120">
            <w:pPr>
              <w:pStyle w:val="71"/>
              <w:spacing w:beforeLines="0" w:afterLines="0" w:line="240" w:lineRule="auto"/>
              <w:rPr>
                <w:rFonts w:ascii="Times New Roman"/>
                <w:snapToGrid w:val="0"/>
                <w:kern w:val="21"/>
                <w:szCs w:val="21"/>
              </w:rPr>
            </w:pPr>
            <w:r>
              <w:rPr>
                <w:rFonts w:ascii="Times New Roman"/>
                <w:szCs w:val="21"/>
              </w:rPr>
              <w:t>45.0</w:t>
            </w:r>
          </w:p>
        </w:tc>
        <w:tc>
          <w:tcPr>
            <w:tcW w:w="1560" w:type="dxa"/>
            <w:vAlign w:val="center"/>
          </w:tcPr>
          <w:p w14:paraId="7F9200ED">
            <w:pPr>
              <w:pStyle w:val="71"/>
              <w:spacing w:beforeLines="0" w:afterLines="0" w:line="240" w:lineRule="auto"/>
              <w:rPr>
                <w:rFonts w:ascii="Times New Roman"/>
                <w:snapToGrid w:val="0"/>
                <w:kern w:val="21"/>
                <w:szCs w:val="21"/>
              </w:rPr>
            </w:pPr>
            <w:r>
              <w:rPr>
                <w:rFonts w:ascii="Times New Roman"/>
                <w:color w:val="EE0000"/>
                <w:szCs w:val="21"/>
                <w:u w:val="single"/>
              </w:rPr>
              <w:t>45.0</w:t>
            </w:r>
          </w:p>
        </w:tc>
        <w:tc>
          <w:tcPr>
            <w:tcW w:w="1427" w:type="dxa"/>
            <w:vAlign w:val="center"/>
          </w:tcPr>
          <w:p w14:paraId="1F3A7398">
            <w:pPr>
              <w:pStyle w:val="71"/>
              <w:spacing w:beforeLines="0" w:afterLines="0" w:line="240" w:lineRule="auto"/>
              <w:rPr>
                <w:rFonts w:ascii="Times New Roman"/>
                <w:snapToGrid w:val="0"/>
                <w:kern w:val="21"/>
                <w:szCs w:val="21"/>
              </w:rPr>
            </w:pPr>
            <w:r>
              <w:rPr>
                <w:rFonts w:ascii="Times New Roman"/>
                <w:snapToGrid w:val="0"/>
                <w:kern w:val="21"/>
                <w:szCs w:val="21"/>
              </w:rPr>
              <w:t>0</w:t>
            </w:r>
          </w:p>
        </w:tc>
      </w:tr>
      <w:tr w14:paraId="5E9D7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04" w:type="dxa"/>
            <w:vMerge w:val="continue"/>
            <w:vAlign w:val="center"/>
          </w:tcPr>
          <w:p w14:paraId="01C976D9">
            <w:pPr>
              <w:pStyle w:val="71"/>
              <w:spacing w:beforeLines="0" w:afterLines="0" w:line="240" w:lineRule="auto"/>
              <w:rPr>
                <w:rFonts w:ascii="Times New Roman"/>
                <w:snapToGrid w:val="0"/>
                <w:kern w:val="21"/>
                <w:szCs w:val="21"/>
              </w:rPr>
            </w:pPr>
          </w:p>
        </w:tc>
        <w:tc>
          <w:tcPr>
            <w:tcW w:w="2126" w:type="dxa"/>
            <w:vAlign w:val="center"/>
          </w:tcPr>
          <w:p w14:paraId="28E125F8">
            <w:pPr>
              <w:pStyle w:val="71"/>
              <w:spacing w:beforeLines="0" w:afterLines="0" w:line="240" w:lineRule="auto"/>
              <w:rPr>
                <w:rFonts w:ascii="Times New Roman"/>
                <w:szCs w:val="21"/>
              </w:rPr>
            </w:pPr>
            <w:r>
              <w:rPr>
                <w:rFonts w:ascii="Times New Roman"/>
                <w:szCs w:val="21"/>
              </w:rPr>
              <w:t>窑炉烟气除尘灰</w:t>
            </w:r>
          </w:p>
        </w:tc>
        <w:tc>
          <w:tcPr>
            <w:tcW w:w="1560" w:type="dxa"/>
            <w:vAlign w:val="center"/>
          </w:tcPr>
          <w:p w14:paraId="607A6B58">
            <w:pPr>
              <w:pStyle w:val="71"/>
              <w:spacing w:beforeLines="0" w:afterLines="0" w:line="240" w:lineRule="auto"/>
              <w:rPr>
                <w:rFonts w:ascii="Times New Roman"/>
                <w:snapToGrid w:val="0"/>
                <w:kern w:val="21"/>
                <w:szCs w:val="21"/>
              </w:rPr>
            </w:pPr>
            <w:r>
              <w:rPr>
                <w:rFonts w:ascii="Times New Roman"/>
                <w:szCs w:val="21"/>
              </w:rPr>
              <w:t>35.1</w:t>
            </w:r>
          </w:p>
        </w:tc>
        <w:tc>
          <w:tcPr>
            <w:tcW w:w="1136" w:type="dxa"/>
            <w:vAlign w:val="center"/>
          </w:tcPr>
          <w:p w14:paraId="5374EE0D">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47DD55D1">
            <w:pPr>
              <w:pStyle w:val="71"/>
              <w:spacing w:beforeLines="0" w:afterLines="0" w:line="240" w:lineRule="auto"/>
              <w:rPr>
                <w:rFonts w:ascii="Times New Roman"/>
                <w:snapToGrid w:val="0"/>
                <w:kern w:val="21"/>
                <w:szCs w:val="21"/>
              </w:rPr>
            </w:pPr>
          </w:p>
        </w:tc>
        <w:tc>
          <w:tcPr>
            <w:tcW w:w="1731" w:type="dxa"/>
            <w:vAlign w:val="center"/>
          </w:tcPr>
          <w:p w14:paraId="11321EC0">
            <w:pPr>
              <w:pStyle w:val="71"/>
              <w:spacing w:beforeLines="0" w:afterLines="0" w:line="240" w:lineRule="auto"/>
              <w:rPr>
                <w:rFonts w:ascii="Times New Roman"/>
                <w:snapToGrid w:val="0"/>
                <w:kern w:val="21"/>
                <w:szCs w:val="21"/>
              </w:rPr>
            </w:pPr>
            <w:r>
              <w:rPr>
                <w:rFonts w:ascii="Times New Roman"/>
                <w:color w:val="EE0000"/>
                <w:szCs w:val="21"/>
                <w:u w:val="single"/>
              </w:rPr>
              <w:t>35.1</w:t>
            </w:r>
          </w:p>
        </w:tc>
        <w:tc>
          <w:tcPr>
            <w:tcW w:w="1387" w:type="dxa"/>
            <w:vAlign w:val="center"/>
          </w:tcPr>
          <w:p w14:paraId="4AD26DD6">
            <w:pPr>
              <w:pStyle w:val="71"/>
              <w:spacing w:beforeLines="0" w:afterLines="0" w:line="240" w:lineRule="auto"/>
              <w:rPr>
                <w:rFonts w:ascii="Times New Roman"/>
                <w:snapToGrid w:val="0"/>
                <w:kern w:val="21"/>
                <w:szCs w:val="21"/>
              </w:rPr>
            </w:pPr>
            <w:r>
              <w:rPr>
                <w:rFonts w:ascii="Times New Roman"/>
                <w:szCs w:val="21"/>
              </w:rPr>
              <w:t>35.1</w:t>
            </w:r>
          </w:p>
        </w:tc>
        <w:tc>
          <w:tcPr>
            <w:tcW w:w="1560" w:type="dxa"/>
            <w:vAlign w:val="center"/>
          </w:tcPr>
          <w:p w14:paraId="05CC8C87">
            <w:pPr>
              <w:pStyle w:val="71"/>
              <w:spacing w:beforeLines="0" w:afterLines="0" w:line="240" w:lineRule="auto"/>
              <w:rPr>
                <w:rFonts w:ascii="Times New Roman"/>
                <w:snapToGrid w:val="0"/>
                <w:kern w:val="21"/>
                <w:szCs w:val="21"/>
              </w:rPr>
            </w:pPr>
            <w:r>
              <w:rPr>
                <w:rFonts w:ascii="Times New Roman"/>
                <w:color w:val="EE0000"/>
                <w:szCs w:val="21"/>
                <w:u w:val="single"/>
              </w:rPr>
              <w:t>35.1</w:t>
            </w:r>
          </w:p>
        </w:tc>
        <w:tc>
          <w:tcPr>
            <w:tcW w:w="1427" w:type="dxa"/>
            <w:vAlign w:val="center"/>
          </w:tcPr>
          <w:p w14:paraId="1337CC18">
            <w:pPr>
              <w:pStyle w:val="71"/>
              <w:spacing w:beforeLines="0" w:afterLines="0" w:line="240" w:lineRule="auto"/>
              <w:rPr>
                <w:rFonts w:ascii="Times New Roman"/>
                <w:snapToGrid w:val="0"/>
                <w:kern w:val="21"/>
                <w:szCs w:val="21"/>
              </w:rPr>
            </w:pPr>
            <w:r>
              <w:rPr>
                <w:rFonts w:ascii="Times New Roman"/>
                <w:snapToGrid w:val="0"/>
                <w:kern w:val="21"/>
                <w:szCs w:val="21"/>
              </w:rPr>
              <w:t>0</w:t>
            </w:r>
          </w:p>
        </w:tc>
      </w:tr>
      <w:tr w14:paraId="7C09C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304" w:type="dxa"/>
            <w:vMerge w:val="continue"/>
            <w:vAlign w:val="center"/>
          </w:tcPr>
          <w:p w14:paraId="0C229D94">
            <w:pPr>
              <w:pStyle w:val="71"/>
              <w:spacing w:beforeLines="0" w:afterLines="0" w:line="240" w:lineRule="auto"/>
              <w:rPr>
                <w:rFonts w:ascii="Times New Roman"/>
                <w:snapToGrid w:val="0"/>
                <w:kern w:val="21"/>
                <w:szCs w:val="21"/>
              </w:rPr>
            </w:pPr>
          </w:p>
        </w:tc>
        <w:tc>
          <w:tcPr>
            <w:tcW w:w="2126" w:type="dxa"/>
            <w:vAlign w:val="center"/>
          </w:tcPr>
          <w:p w14:paraId="2703F003">
            <w:pPr>
              <w:pStyle w:val="71"/>
              <w:spacing w:beforeLines="0" w:afterLines="0" w:line="240" w:lineRule="auto"/>
              <w:rPr>
                <w:rFonts w:ascii="Times New Roman"/>
                <w:szCs w:val="21"/>
              </w:rPr>
            </w:pPr>
            <w:r>
              <w:rPr>
                <w:rFonts w:ascii="Times New Roman"/>
                <w:szCs w:val="21"/>
              </w:rPr>
              <w:t>脱硫石膏</w:t>
            </w:r>
          </w:p>
        </w:tc>
        <w:tc>
          <w:tcPr>
            <w:tcW w:w="1560" w:type="dxa"/>
            <w:vAlign w:val="center"/>
          </w:tcPr>
          <w:p w14:paraId="5D1B743C">
            <w:pPr>
              <w:pStyle w:val="71"/>
              <w:spacing w:beforeLines="0" w:afterLines="0" w:line="240" w:lineRule="auto"/>
              <w:rPr>
                <w:rFonts w:ascii="Times New Roman"/>
                <w:snapToGrid w:val="0"/>
                <w:kern w:val="21"/>
                <w:szCs w:val="21"/>
              </w:rPr>
            </w:pPr>
            <w:r>
              <w:rPr>
                <w:rFonts w:ascii="Times New Roman"/>
                <w:szCs w:val="21"/>
              </w:rPr>
              <w:t>2211</w:t>
            </w:r>
          </w:p>
        </w:tc>
        <w:tc>
          <w:tcPr>
            <w:tcW w:w="1136" w:type="dxa"/>
            <w:vAlign w:val="center"/>
          </w:tcPr>
          <w:p w14:paraId="01471724">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1F4F5E6D">
            <w:pPr>
              <w:pStyle w:val="71"/>
              <w:spacing w:beforeLines="0" w:afterLines="0" w:line="240" w:lineRule="auto"/>
              <w:rPr>
                <w:rFonts w:ascii="Times New Roman"/>
                <w:snapToGrid w:val="0"/>
                <w:kern w:val="21"/>
                <w:szCs w:val="21"/>
              </w:rPr>
            </w:pPr>
          </w:p>
        </w:tc>
        <w:tc>
          <w:tcPr>
            <w:tcW w:w="1731" w:type="dxa"/>
            <w:vAlign w:val="center"/>
          </w:tcPr>
          <w:p w14:paraId="42E644BB">
            <w:pPr>
              <w:pStyle w:val="71"/>
              <w:spacing w:beforeLines="0" w:afterLines="0" w:line="240" w:lineRule="auto"/>
              <w:rPr>
                <w:rFonts w:ascii="Times New Roman"/>
                <w:snapToGrid w:val="0"/>
                <w:color w:val="EE0000"/>
                <w:kern w:val="21"/>
                <w:szCs w:val="21"/>
                <w:u w:val="single"/>
              </w:rPr>
            </w:pPr>
            <w:r>
              <w:rPr>
                <w:rFonts w:ascii="Times New Roman"/>
                <w:color w:val="EE0000"/>
                <w:szCs w:val="21"/>
                <w:u w:val="single"/>
              </w:rPr>
              <w:t>3317</w:t>
            </w:r>
          </w:p>
        </w:tc>
        <w:tc>
          <w:tcPr>
            <w:tcW w:w="1387" w:type="dxa"/>
            <w:vAlign w:val="center"/>
          </w:tcPr>
          <w:p w14:paraId="16E783B4">
            <w:pPr>
              <w:pStyle w:val="71"/>
              <w:spacing w:beforeLines="0" w:afterLines="0" w:line="240" w:lineRule="auto"/>
              <w:rPr>
                <w:rFonts w:ascii="Times New Roman"/>
                <w:snapToGrid w:val="0"/>
                <w:kern w:val="21"/>
                <w:szCs w:val="21"/>
              </w:rPr>
            </w:pPr>
            <w:r>
              <w:rPr>
                <w:rFonts w:ascii="Times New Roman"/>
                <w:szCs w:val="21"/>
              </w:rPr>
              <w:t>2211</w:t>
            </w:r>
          </w:p>
        </w:tc>
        <w:tc>
          <w:tcPr>
            <w:tcW w:w="1560" w:type="dxa"/>
            <w:vAlign w:val="center"/>
          </w:tcPr>
          <w:p w14:paraId="4AB45061">
            <w:pPr>
              <w:pStyle w:val="71"/>
              <w:spacing w:beforeLines="0" w:afterLines="0" w:line="240" w:lineRule="auto"/>
              <w:rPr>
                <w:rFonts w:ascii="Times New Roman"/>
                <w:snapToGrid w:val="0"/>
                <w:color w:val="EE0000"/>
                <w:kern w:val="21"/>
                <w:szCs w:val="21"/>
                <w:u w:val="single"/>
              </w:rPr>
            </w:pPr>
            <w:r>
              <w:rPr>
                <w:rFonts w:ascii="Times New Roman"/>
                <w:color w:val="EE0000"/>
                <w:szCs w:val="21"/>
                <w:u w:val="single"/>
              </w:rPr>
              <w:t>3317</w:t>
            </w:r>
          </w:p>
        </w:tc>
        <w:tc>
          <w:tcPr>
            <w:tcW w:w="1427" w:type="dxa"/>
            <w:vAlign w:val="center"/>
          </w:tcPr>
          <w:p w14:paraId="027C77BA">
            <w:pPr>
              <w:pStyle w:val="71"/>
              <w:spacing w:beforeLines="0" w:afterLines="0" w:line="240" w:lineRule="auto"/>
              <w:rPr>
                <w:rFonts w:ascii="Times New Roman"/>
                <w:snapToGrid w:val="0"/>
                <w:kern w:val="21"/>
                <w:szCs w:val="21"/>
              </w:rPr>
            </w:pPr>
            <w:r>
              <w:rPr>
                <w:rFonts w:ascii="Times New Roman"/>
                <w:snapToGrid w:val="0"/>
                <w:kern w:val="21"/>
                <w:szCs w:val="21"/>
              </w:rPr>
              <w:t>+1106</w:t>
            </w:r>
          </w:p>
        </w:tc>
      </w:tr>
      <w:tr w14:paraId="733F2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304" w:type="dxa"/>
            <w:vMerge w:val="continue"/>
            <w:vAlign w:val="center"/>
          </w:tcPr>
          <w:p w14:paraId="5B76428D">
            <w:pPr>
              <w:pStyle w:val="71"/>
              <w:spacing w:beforeLines="0" w:afterLines="0" w:line="240" w:lineRule="auto"/>
              <w:rPr>
                <w:rFonts w:ascii="Times New Roman"/>
                <w:snapToGrid w:val="0"/>
                <w:kern w:val="21"/>
                <w:szCs w:val="21"/>
              </w:rPr>
            </w:pPr>
          </w:p>
        </w:tc>
        <w:tc>
          <w:tcPr>
            <w:tcW w:w="2126" w:type="dxa"/>
            <w:vAlign w:val="center"/>
          </w:tcPr>
          <w:p w14:paraId="62E3F8E2">
            <w:pPr>
              <w:pStyle w:val="71"/>
              <w:spacing w:beforeLines="0" w:afterLines="0" w:line="240" w:lineRule="auto"/>
              <w:rPr>
                <w:rFonts w:ascii="Times New Roman"/>
                <w:szCs w:val="21"/>
              </w:rPr>
            </w:pPr>
            <w:r>
              <w:rPr>
                <w:rFonts w:ascii="Times New Roman"/>
                <w:szCs w:val="21"/>
              </w:rPr>
              <w:t>洗车装置沉淀池底泥</w:t>
            </w:r>
          </w:p>
        </w:tc>
        <w:tc>
          <w:tcPr>
            <w:tcW w:w="1560" w:type="dxa"/>
            <w:vAlign w:val="center"/>
          </w:tcPr>
          <w:p w14:paraId="5ECFD1E3">
            <w:pPr>
              <w:pStyle w:val="71"/>
              <w:spacing w:beforeLines="0" w:afterLines="0" w:line="240" w:lineRule="auto"/>
              <w:rPr>
                <w:rFonts w:ascii="Times New Roman"/>
                <w:snapToGrid w:val="0"/>
                <w:kern w:val="21"/>
                <w:szCs w:val="21"/>
              </w:rPr>
            </w:pPr>
            <w:r>
              <w:rPr>
                <w:rFonts w:ascii="Times New Roman"/>
                <w:szCs w:val="21"/>
              </w:rPr>
              <w:t>1.5</w:t>
            </w:r>
          </w:p>
        </w:tc>
        <w:tc>
          <w:tcPr>
            <w:tcW w:w="1136" w:type="dxa"/>
            <w:vAlign w:val="center"/>
          </w:tcPr>
          <w:p w14:paraId="65B3DEDC">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40797F41">
            <w:pPr>
              <w:pStyle w:val="71"/>
              <w:spacing w:beforeLines="0" w:afterLines="0" w:line="240" w:lineRule="auto"/>
              <w:rPr>
                <w:rFonts w:ascii="Times New Roman"/>
                <w:snapToGrid w:val="0"/>
                <w:kern w:val="21"/>
                <w:szCs w:val="21"/>
              </w:rPr>
            </w:pPr>
          </w:p>
        </w:tc>
        <w:tc>
          <w:tcPr>
            <w:tcW w:w="1731" w:type="dxa"/>
            <w:vAlign w:val="center"/>
          </w:tcPr>
          <w:p w14:paraId="1013B895">
            <w:pPr>
              <w:pStyle w:val="71"/>
              <w:spacing w:beforeLines="0" w:afterLines="0" w:line="240" w:lineRule="auto"/>
              <w:rPr>
                <w:rFonts w:ascii="Times New Roman"/>
                <w:snapToGrid w:val="0"/>
                <w:kern w:val="21"/>
                <w:szCs w:val="21"/>
              </w:rPr>
            </w:pPr>
            <w:r>
              <w:rPr>
                <w:rFonts w:ascii="Times New Roman"/>
                <w:color w:val="EE0000"/>
                <w:szCs w:val="21"/>
                <w:u w:val="single"/>
              </w:rPr>
              <w:t>1.5</w:t>
            </w:r>
          </w:p>
        </w:tc>
        <w:tc>
          <w:tcPr>
            <w:tcW w:w="1387" w:type="dxa"/>
            <w:vAlign w:val="center"/>
          </w:tcPr>
          <w:p w14:paraId="5F9CE90B">
            <w:pPr>
              <w:pStyle w:val="71"/>
              <w:spacing w:beforeLines="0" w:afterLines="0" w:line="240" w:lineRule="auto"/>
              <w:rPr>
                <w:rFonts w:ascii="Times New Roman"/>
                <w:snapToGrid w:val="0"/>
                <w:kern w:val="21"/>
                <w:szCs w:val="21"/>
              </w:rPr>
            </w:pPr>
            <w:r>
              <w:rPr>
                <w:rFonts w:ascii="Times New Roman"/>
                <w:szCs w:val="21"/>
              </w:rPr>
              <w:t>1.5</w:t>
            </w:r>
          </w:p>
        </w:tc>
        <w:tc>
          <w:tcPr>
            <w:tcW w:w="1560" w:type="dxa"/>
            <w:vAlign w:val="center"/>
          </w:tcPr>
          <w:p w14:paraId="21A53EB0">
            <w:pPr>
              <w:pStyle w:val="71"/>
              <w:spacing w:beforeLines="0" w:afterLines="0" w:line="240" w:lineRule="auto"/>
              <w:rPr>
                <w:rFonts w:ascii="Times New Roman"/>
                <w:snapToGrid w:val="0"/>
                <w:kern w:val="21"/>
                <w:szCs w:val="21"/>
              </w:rPr>
            </w:pPr>
            <w:r>
              <w:rPr>
                <w:rFonts w:ascii="Times New Roman"/>
                <w:color w:val="EE0000"/>
                <w:szCs w:val="21"/>
                <w:u w:val="single"/>
              </w:rPr>
              <w:t>1.5</w:t>
            </w:r>
          </w:p>
        </w:tc>
        <w:tc>
          <w:tcPr>
            <w:tcW w:w="1427" w:type="dxa"/>
            <w:vAlign w:val="center"/>
          </w:tcPr>
          <w:p w14:paraId="5B62AACC">
            <w:pPr>
              <w:pStyle w:val="71"/>
              <w:spacing w:beforeLines="0" w:afterLines="0" w:line="240" w:lineRule="auto"/>
              <w:rPr>
                <w:rFonts w:ascii="Times New Roman"/>
                <w:snapToGrid w:val="0"/>
                <w:kern w:val="21"/>
                <w:szCs w:val="21"/>
              </w:rPr>
            </w:pPr>
            <w:r>
              <w:rPr>
                <w:rFonts w:ascii="Times New Roman"/>
                <w:snapToGrid w:val="0"/>
                <w:kern w:val="21"/>
                <w:szCs w:val="21"/>
              </w:rPr>
              <w:t>0</w:t>
            </w:r>
          </w:p>
        </w:tc>
      </w:tr>
      <w:tr w14:paraId="79054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304" w:type="dxa"/>
            <w:vMerge w:val="restart"/>
            <w:vAlign w:val="center"/>
          </w:tcPr>
          <w:p w14:paraId="359008B7">
            <w:pPr>
              <w:pStyle w:val="71"/>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2126" w:type="dxa"/>
            <w:vAlign w:val="center"/>
          </w:tcPr>
          <w:p w14:paraId="71AB1BE2">
            <w:pPr>
              <w:pStyle w:val="71"/>
              <w:spacing w:beforeLines="0" w:afterLines="0" w:line="240" w:lineRule="auto"/>
              <w:rPr>
                <w:rFonts w:ascii="Times New Roman"/>
                <w:snapToGrid w:val="0"/>
                <w:kern w:val="21"/>
                <w:szCs w:val="21"/>
              </w:rPr>
            </w:pPr>
            <w:r>
              <w:rPr>
                <w:rFonts w:ascii="Times New Roman"/>
                <w:szCs w:val="21"/>
              </w:rPr>
              <w:t>废机油</w:t>
            </w:r>
          </w:p>
        </w:tc>
        <w:tc>
          <w:tcPr>
            <w:tcW w:w="1560" w:type="dxa"/>
            <w:vAlign w:val="center"/>
          </w:tcPr>
          <w:p w14:paraId="4C59B146">
            <w:pPr>
              <w:pStyle w:val="71"/>
              <w:spacing w:beforeLines="0" w:afterLines="0" w:line="240" w:lineRule="auto"/>
              <w:rPr>
                <w:rFonts w:ascii="Times New Roman"/>
                <w:snapToGrid w:val="0"/>
                <w:kern w:val="21"/>
                <w:szCs w:val="21"/>
              </w:rPr>
            </w:pPr>
            <w:r>
              <w:rPr>
                <w:rFonts w:ascii="Times New Roman"/>
                <w:szCs w:val="21"/>
              </w:rPr>
              <w:t>0.5</w:t>
            </w:r>
          </w:p>
        </w:tc>
        <w:tc>
          <w:tcPr>
            <w:tcW w:w="1136" w:type="dxa"/>
            <w:vAlign w:val="center"/>
          </w:tcPr>
          <w:p w14:paraId="27F2B428">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24F62153">
            <w:pPr>
              <w:pStyle w:val="71"/>
              <w:spacing w:beforeLines="0" w:afterLines="0" w:line="240" w:lineRule="auto"/>
              <w:rPr>
                <w:rFonts w:ascii="Times New Roman"/>
                <w:snapToGrid w:val="0"/>
                <w:kern w:val="21"/>
                <w:szCs w:val="21"/>
              </w:rPr>
            </w:pPr>
          </w:p>
        </w:tc>
        <w:tc>
          <w:tcPr>
            <w:tcW w:w="1731" w:type="dxa"/>
            <w:vAlign w:val="center"/>
          </w:tcPr>
          <w:p w14:paraId="116928E0">
            <w:pPr>
              <w:pStyle w:val="71"/>
              <w:spacing w:beforeLines="0" w:afterLines="0" w:line="240" w:lineRule="auto"/>
              <w:rPr>
                <w:rFonts w:ascii="Times New Roman"/>
                <w:snapToGrid w:val="0"/>
                <w:kern w:val="21"/>
                <w:szCs w:val="21"/>
              </w:rPr>
            </w:pPr>
            <w:r>
              <w:rPr>
                <w:rFonts w:ascii="Times New Roman"/>
                <w:color w:val="EE0000"/>
                <w:szCs w:val="21"/>
                <w:u w:val="single"/>
              </w:rPr>
              <w:t>0.5</w:t>
            </w:r>
          </w:p>
        </w:tc>
        <w:tc>
          <w:tcPr>
            <w:tcW w:w="1387" w:type="dxa"/>
            <w:vAlign w:val="center"/>
          </w:tcPr>
          <w:p w14:paraId="0A51C3F0">
            <w:pPr>
              <w:pStyle w:val="71"/>
              <w:spacing w:beforeLines="0" w:afterLines="0" w:line="240" w:lineRule="auto"/>
              <w:rPr>
                <w:rFonts w:ascii="Times New Roman"/>
                <w:snapToGrid w:val="0"/>
                <w:kern w:val="21"/>
                <w:szCs w:val="21"/>
              </w:rPr>
            </w:pPr>
            <w:r>
              <w:rPr>
                <w:rFonts w:ascii="Times New Roman"/>
                <w:szCs w:val="21"/>
              </w:rPr>
              <w:t>0.5</w:t>
            </w:r>
          </w:p>
        </w:tc>
        <w:tc>
          <w:tcPr>
            <w:tcW w:w="1560" w:type="dxa"/>
            <w:vAlign w:val="center"/>
          </w:tcPr>
          <w:p w14:paraId="7DD68841">
            <w:pPr>
              <w:pStyle w:val="71"/>
              <w:spacing w:beforeLines="0" w:afterLines="0" w:line="240" w:lineRule="auto"/>
              <w:rPr>
                <w:rFonts w:ascii="Times New Roman"/>
                <w:snapToGrid w:val="0"/>
                <w:kern w:val="21"/>
                <w:szCs w:val="21"/>
              </w:rPr>
            </w:pPr>
            <w:r>
              <w:rPr>
                <w:rFonts w:ascii="Times New Roman"/>
                <w:color w:val="EE0000"/>
                <w:szCs w:val="21"/>
                <w:u w:val="single"/>
              </w:rPr>
              <w:t>0.5</w:t>
            </w:r>
          </w:p>
        </w:tc>
        <w:tc>
          <w:tcPr>
            <w:tcW w:w="1427" w:type="dxa"/>
            <w:vAlign w:val="center"/>
          </w:tcPr>
          <w:p w14:paraId="2A361D0D">
            <w:pPr>
              <w:pStyle w:val="71"/>
              <w:spacing w:beforeLines="0" w:afterLines="0" w:line="240" w:lineRule="auto"/>
              <w:rPr>
                <w:rFonts w:ascii="Times New Roman"/>
                <w:snapToGrid w:val="0"/>
                <w:kern w:val="21"/>
                <w:szCs w:val="21"/>
              </w:rPr>
            </w:pPr>
            <w:r>
              <w:rPr>
                <w:rFonts w:ascii="Times New Roman"/>
                <w:snapToGrid w:val="0"/>
                <w:kern w:val="21"/>
                <w:szCs w:val="21"/>
              </w:rPr>
              <w:t>0</w:t>
            </w:r>
          </w:p>
        </w:tc>
      </w:tr>
      <w:tr w14:paraId="0DDCC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04" w:type="dxa"/>
            <w:vMerge w:val="continue"/>
            <w:vAlign w:val="center"/>
          </w:tcPr>
          <w:p w14:paraId="177A6CD1">
            <w:pPr>
              <w:pStyle w:val="71"/>
              <w:spacing w:beforeLines="0" w:afterLines="0" w:line="240" w:lineRule="auto"/>
              <w:rPr>
                <w:rFonts w:ascii="Times New Roman"/>
                <w:snapToGrid w:val="0"/>
                <w:kern w:val="21"/>
                <w:szCs w:val="21"/>
              </w:rPr>
            </w:pPr>
          </w:p>
        </w:tc>
        <w:tc>
          <w:tcPr>
            <w:tcW w:w="2126" w:type="dxa"/>
            <w:vAlign w:val="center"/>
          </w:tcPr>
          <w:p w14:paraId="4EAD4E97">
            <w:pPr>
              <w:pStyle w:val="71"/>
              <w:spacing w:beforeLines="0" w:afterLines="0" w:line="240" w:lineRule="auto"/>
              <w:rPr>
                <w:rFonts w:ascii="Times New Roman"/>
                <w:szCs w:val="21"/>
              </w:rPr>
            </w:pPr>
            <w:r>
              <w:rPr>
                <w:rFonts w:ascii="Times New Roman"/>
                <w:szCs w:val="21"/>
              </w:rPr>
              <w:t>废活性炭</w:t>
            </w:r>
          </w:p>
        </w:tc>
        <w:tc>
          <w:tcPr>
            <w:tcW w:w="1560" w:type="dxa"/>
            <w:vAlign w:val="center"/>
          </w:tcPr>
          <w:p w14:paraId="69ACC754">
            <w:pPr>
              <w:pStyle w:val="71"/>
              <w:spacing w:beforeLines="0" w:afterLines="0" w:line="240" w:lineRule="auto"/>
              <w:rPr>
                <w:rFonts w:ascii="Times New Roman"/>
                <w:szCs w:val="21"/>
              </w:rPr>
            </w:pPr>
            <w:r>
              <w:rPr>
                <w:rFonts w:ascii="Times New Roman"/>
                <w:szCs w:val="21"/>
              </w:rPr>
              <w:t>0</w:t>
            </w:r>
          </w:p>
        </w:tc>
        <w:tc>
          <w:tcPr>
            <w:tcW w:w="1136" w:type="dxa"/>
            <w:vAlign w:val="center"/>
          </w:tcPr>
          <w:p w14:paraId="2467BE81">
            <w:pPr>
              <w:pStyle w:val="71"/>
              <w:spacing w:beforeLines="0" w:afterLines="0" w:line="240" w:lineRule="auto"/>
              <w:rPr>
                <w:rFonts w:ascii="Times New Roman"/>
                <w:snapToGrid w:val="0"/>
                <w:kern w:val="21"/>
                <w:szCs w:val="21"/>
              </w:rPr>
            </w:pPr>
            <w:r>
              <w:rPr>
                <w:rFonts w:ascii="Times New Roman"/>
                <w:snapToGrid w:val="0"/>
                <w:kern w:val="21"/>
                <w:szCs w:val="21"/>
              </w:rPr>
              <w:t>/</w:t>
            </w:r>
          </w:p>
        </w:tc>
        <w:tc>
          <w:tcPr>
            <w:tcW w:w="1557" w:type="dxa"/>
            <w:vAlign w:val="center"/>
          </w:tcPr>
          <w:p w14:paraId="3B041E4D">
            <w:pPr>
              <w:pStyle w:val="71"/>
              <w:spacing w:beforeLines="0" w:afterLines="0" w:line="240" w:lineRule="auto"/>
              <w:rPr>
                <w:rFonts w:ascii="Times New Roman"/>
                <w:snapToGrid w:val="0"/>
                <w:kern w:val="21"/>
                <w:szCs w:val="21"/>
              </w:rPr>
            </w:pPr>
          </w:p>
        </w:tc>
        <w:tc>
          <w:tcPr>
            <w:tcW w:w="1731" w:type="dxa"/>
            <w:vAlign w:val="center"/>
          </w:tcPr>
          <w:p w14:paraId="280B35BC">
            <w:pPr>
              <w:pStyle w:val="71"/>
              <w:spacing w:beforeLines="0" w:afterLines="0" w:line="240" w:lineRule="auto"/>
              <w:rPr>
                <w:rFonts w:ascii="Times New Roman"/>
                <w:szCs w:val="21"/>
              </w:rPr>
            </w:pPr>
            <w:r>
              <w:rPr>
                <w:rFonts w:ascii="Times New Roman"/>
                <w:color w:val="EE0000"/>
                <w:szCs w:val="21"/>
                <w:u w:val="single"/>
              </w:rPr>
              <w:t>0.88</w:t>
            </w:r>
          </w:p>
        </w:tc>
        <w:tc>
          <w:tcPr>
            <w:tcW w:w="1387" w:type="dxa"/>
            <w:vAlign w:val="center"/>
          </w:tcPr>
          <w:p w14:paraId="511924E5">
            <w:pPr>
              <w:pStyle w:val="71"/>
              <w:spacing w:beforeLines="0" w:afterLines="0" w:line="240" w:lineRule="auto"/>
              <w:rPr>
                <w:rFonts w:ascii="Times New Roman"/>
                <w:szCs w:val="21"/>
              </w:rPr>
            </w:pPr>
            <w:r>
              <w:rPr>
                <w:rFonts w:ascii="Times New Roman"/>
                <w:szCs w:val="21"/>
              </w:rPr>
              <w:t>0</w:t>
            </w:r>
          </w:p>
        </w:tc>
        <w:tc>
          <w:tcPr>
            <w:tcW w:w="1560" w:type="dxa"/>
            <w:vAlign w:val="center"/>
          </w:tcPr>
          <w:p w14:paraId="4CA9367D">
            <w:pPr>
              <w:pStyle w:val="71"/>
              <w:spacing w:beforeLines="0" w:afterLines="0" w:line="240" w:lineRule="auto"/>
              <w:rPr>
                <w:rFonts w:ascii="Times New Roman"/>
                <w:szCs w:val="21"/>
              </w:rPr>
            </w:pPr>
            <w:r>
              <w:rPr>
                <w:rFonts w:ascii="Times New Roman"/>
                <w:color w:val="EE0000"/>
                <w:szCs w:val="21"/>
                <w:u w:val="single"/>
              </w:rPr>
              <w:t>0.88</w:t>
            </w:r>
          </w:p>
        </w:tc>
        <w:tc>
          <w:tcPr>
            <w:tcW w:w="1427" w:type="dxa"/>
            <w:vAlign w:val="center"/>
          </w:tcPr>
          <w:p w14:paraId="129C3653">
            <w:pPr>
              <w:pStyle w:val="71"/>
              <w:spacing w:beforeLines="0" w:afterLines="0" w:line="240" w:lineRule="auto"/>
              <w:rPr>
                <w:rFonts w:ascii="Times New Roman"/>
                <w:snapToGrid w:val="0"/>
                <w:kern w:val="21"/>
                <w:szCs w:val="21"/>
              </w:rPr>
            </w:pPr>
            <w:r>
              <w:rPr>
                <w:rFonts w:ascii="Times New Roman"/>
                <w:snapToGrid w:val="0"/>
                <w:kern w:val="21"/>
                <w:szCs w:val="21"/>
              </w:rPr>
              <w:t>+0.88</w:t>
            </w:r>
          </w:p>
        </w:tc>
      </w:tr>
    </w:tbl>
    <w:p w14:paraId="5A09E581">
      <w:pPr>
        <w:pStyle w:val="71"/>
        <w:spacing w:before="192" w:beforeLines="80" w:after="24"/>
        <w:jc w:val="left"/>
        <w:rPr>
          <w:rFonts w:ascii="Times New Roman"/>
          <w:snapToGrid w:val="0"/>
          <w:spacing w:val="-6"/>
          <w:kern w:val="21"/>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Cambria Math" w:hAnsi="Cambria Math" w:cs="Cambria Math"/>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Cambria Math" w:hAnsi="Cambria Math" w:cs="Cambria Math"/>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Cambria Math" w:hAnsi="Cambria Math" w:cs="Cambria Math"/>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Cambria Math" w:hAnsi="Cambria Math" w:cs="Cambria Math"/>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Cambria Math" w:hAnsi="Cambria Math" w:cs="Cambria Math"/>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Cambria Math" w:hAnsi="Cambria Math" w:cs="Cambria Math"/>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Cambria Math" w:hAnsi="Cambria Math" w:cs="Cambria Math"/>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Cambria Math" w:hAnsi="Cambria Math" w:cs="Cambria Math"/>
          <w:szCs w:val="21"/>
        </w:rPr>
        <w:t>①</w:t>
      </w:r>
      <w:r>
        <w:rPr>
          <w:rFonts w:ascii="Times New Roman"/>
          <w:snapToGrid w:val="0"/>
          <w:spacing w:val="-6"/>
          <w:kern w:val="21"/>
          <w:szCs w:val="21"/>
        </w:rPr>
        <w:fldChar w:fldCharType="end"/>
      </w:r>
    </w:p>
    <w:p w14:paraId="78BD9974">
      <w:pPr>
        <w:pStyle w:val="9"/>
        <w:jc w:val="both"/>
        <w:rPr>
          <w:rFonts w:ascii="Times New Roman" w:hAnsi="Times New Roman"/>
          <w:color w:val="EE0000"/>
        </w:rPr>
      </w:pPr>
    </w:p>
    <w:sectPr>
      <w:footerReference r:id="rId7"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Impact">
    <w:panose1 w:val="020B0806030902050204"/>
    <w:charset w:val="00"/>
    <w:family w:val="swiss"/>
    <w:pitch w:val="default"/>
    <w:sig w:usb0="00000287" w:usb1="00000000" w:usb2="00000000" w:usb3="00000000" w:csb0="2000009F" w:csb1="DFD70000"/>
  </w:font>
  <w:font w:name="TimesNewRomanPSMT">
    <w:altName w:val="Times New Roman"/>
    <w:panose1 w:val="00000000000000000000"/>
    <w:charset w:val="00"/>
    <w:family w:val="roman"/>
    <w:pitch w:val="default"/>
    <w:sig w:usb0="00000000" w:usb1="00000000" w:usb2="00000010" w:usb3="00000000" w:csb0="0006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宋体"/>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ESRI AMFM Electric"/>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22AC">
    <w:pPr>
      <w:pStyle w:val="2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7672E">
    <w:pPr>
      <w:pStyle w:val="26"/>
      <w:framePr w:wrap="around" w:vAnchor="text" w:hAnchor="margin" w:xAlign="center" w:y="1"/>
      <w:rPr>
        <w:rStyle w:val="41"/>
      </w:rPr>
    </w:pPr>
    <w:r>
      <w:fldChar w:fldCharType="begin"/>
    </w:r>
    <w:r>
      <w:rPr>
        <w:rStyle w:val="41"/>
      </w:rPr>
      <w:instrText xml:space="preserve">PAGE  </w:instrText>
    </w:r>
    <w:r>
      <w:fldChar w:fldCharType="end"/>
    </w:r>
  </w:p>
  <w:p w14:paraId="72EE28CC">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897158"/>
    </w:sdtPr>
    <w:sdtContent>
      <w:p w14:paraId="35538C1F">
        <w:pPr>
          <w:pStyle w:val="26"/>
          <w:jc w:val="center"/>
        </w:pPr>
        <w:r>
          <w:fldChar w:fldCharType="begin"/>
        </w:r>
        <w:r>
          <w:instrText xml:space="preserve"> PAGE   \* MERGEFORMAT </w:instrText>
        </w:r>
        <w:r>
          <w:fldChar w:fldCharType="separate"/>
        </w:r>
        <w:r>
          <w:rPr>
            <w:lang w:val="zh-CN"/>
          </w:rPr>
          <w:t>10</w:t>
        </w:r>
        <w:r>
          <w:rPr>
            <w:lang w:val="zh-CN"/>
          </w:rPr>
          <w:fldChar w:fldCharType="end"/>
        </w:r>
      </w:p>
    </w:sdtContent>
  </w:sdt>
  <w:p w14:paraId="61335B79">
    <w:pPr>
      <w:pStyle w:val="2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897159"/>
    </w:sdtPr>
    <w:sdtContent>
      <w:p w14:paraId="332F57BE">
        <w:pPr>
          <w:pStyle w:val="26"/>
          <w:jc w:val="center"/>
        </w:pPr>
        <w:r>
          <w:fldChar w:fldCharType="begin"/>
        </w:r>
        <w:r>
          <w:instrText xml:space="preserve"> PAGE   \* MERGEFORMAT </w:instrText>
        </w:r>
        <w:r>
          <w:fldChar w:fldCharType="separate"/>
        </w:r>
        <w:r>
          <w:rPr>
            <w:lang w:val="zh-CN"/>
          </w:rPr>
          <w:t>13</w:t>
        </w:r>
        <w:r>
          <w:rPr>
            <w:lang w:val="zh-CN"/>
          </w:rPr>
          <w:fldChar w:fldCharType="end"/>
        </w:r>
      </w:p>
    </w:sdtContent>
  </w:sdt>
  <w:p w14:paraId="3A45E41F">
    <w:pPr>
      <w:pStyle w:val="26"/>
      <w:tabs>
        <w:tab w:val="center" w:pos="4422"/>
        <w:tab w:val="clear" w:pos="4153"/>
        <w:tab w:val="clear" w:pos="8306"/>
      </w:tabs>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883B">
    <w:pPr>
      <w:pStyle w:val="26"/>
      <w:jc w:val="center"/>
    </w:pPr>
    <w:r>
      <w:fldChar w:fldCharType="begin"/>
    </w:r>
    <w:r>
      <w:instrText xml:space="preserve">PAGE   \* MERGEFORMAT</w:instrText>
    </w:r>
    <w:r>
      <w:fldChar w:fldCharType="separate"/>
    </w:r>
    <w:r>
      <w:rPr>
        <w:lang w:val="zh-CN"/>
      </w:rPr>
      <w:t>85</w:t>
    </w:r>
    <w:r>
      <w:rPr>
        <w:lang w:val="zh-CN"/>
      </w:rPr>
      <w:fldChar w:fldCharType="end"/>
    </w:r>
  </w:p>
  <w:p w14:paraId="5EEA0AF6">
    <w:pPr>
      <w:pStyle w:val="26"/>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A0362"/>
    <w:multiLevelType w:val="singleLevel"/>
    <w:tmpl w:val="515A036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attachedTemplate r:id="rId1"/>
  <w:documentProtection w:edit="trackedChanges" w:enforcement="0"/>
  <w:defaultTabStop w:val="420"/>
  <w:noPunctuationKerning w:val="1"/>
  <w:characterSpacingControl w:val="doNotCompress"/>
  <w:compat>
    <w:doNotExpandShiftReturn/>
    <w:doNotWrapTextWithPunct/>
    <w:doNotUseEastAsianBreakRules/>
    <w:useFELayout/>
    <w:compatSetting w:name="compatibilityMode" w:uri="http://schemas.microsoft.com/office/word" w:val="12"/>
  </w:compat>
  <w:docVars>
    <w:docVar w:name="commondata" w:val="eyJoZGlkIjoiNWM3ZDM2YjU1ODM5OTU5YzNjYTdlY2NhMjM2YTYwYWQifQ=="/>
    <w:docVar w:name="KSO_WPS_MARK_KEY" w:val="e479ee06-dcbb-4ffc-80aa-1acd7781f674"/>
  </w:docVars>
  <w:rsids>
    <w:rsidRoot w:val="00A14947"/>
    <w:rsid w:val="00000A78"/>
    <w:rsid w:val="00000FB8"/>
    <w:rsid w:val="000014C7"/>
    <w:rsid w:val="000017AB"/>
    <w:rsid w:val="00001FED"/>
    <w:rsid w:val="00002775"/>
    <w:rsid w:val="00002B63"/>
    <w:rsid w:val="00002BF0"/>
    <w:rsid w:val="0000309F"/>
    <w:rsid w:val="00003D82"/>
    <w:rsid w:val="00004350"/>
    <w:rsid w:val="00004A1A"/>
    <w:rsid w:val="00005605"/>
    <w:rsid w:val="000060B3"/>
    <w:rsid w:val="00006A0C"/>
    <w:rsid w:val="00006A1B"/>
    <w:rsid w:val="0000718D"/>
    <w:rsid w:val="00007359"/>
    <w:rsid w:val="000073C8"/>
    <w:rsid w:val="0000747C"/>
    <w:rsid w:val="0001084E"/>
    <w:rsid w:val="00010AB9"/>
    <w:rsid w:val="00010DA5"/>
    <w:rsid w:val="00011583"/>
    <w:rsid w:val="00011D16"/>
    <w:rsid w:val="00012050"/>
    <w:rsid w:val="00012504"/>
    <w:rsid w:val="00012986"/>
    <w:rsid w:val="000131C6"/>
    <w:rsid w:val="0001428C"/>
    <w:rsid w:val="00015928"/>
    <w:rsid w:val="00015E09"/>
    <w:rsid w:val="0001686C"/>
    <w:rsid w:val="000175C8"/>
    <w:rsid w:val="000200CB"/>
    <w:rsid w:val="000206E5"/>
    <w:rsid w:val="00021391"/>
    <w:rsid w:val="000215B0"/>
    <w:rsid w:val="0002195A"/>
    <w:rsid w:val="0002196D"/>
    <w:rsid w:val="00021C43"/>
    <w:rsid w:val="0002289F"/>
    <w:rsid w:val="00022906"/>
    <w:rsid w:val="00022B06"/>
    <w:rsid w:val="00022F7E"/>
    <w:rsid w:val="000230A9"/>
    <w:rsid w:val="000237C5"/>
    <w:rsid w:val="00023F3D"/>
    <w:rsid w:val="00024052"/>
    <w:rsid w:val="00024073"/>
    <w:rsid w:val="0002447C"/>
    <w:rsid w:val="00025CFF"/>
    <w:rsid w:val="00025DDB"/>
    <w:rsid w:val="00026C1D"/>
    <w:rsid w:val="0002760E"/>
    <w:rsid w:val="0003047C"/>
    <w:rsid w:val="0003063E"/>
    <w:rsid w:val="0003095E"/>
    <w:rsid w:val="00030F1B"/>
    <w:rsid w:val="00031E36"/>
    <w:rsid w:val="00032A3B"/>
    <w:rsid w:val="000331F2"/>
    <w:rsid w:val="000333E7"/>
    <w:rsid w:val="0003369F"/>
    <w:rsid w:val="00033909"/>
    <w:rsid w:val="00034596"/>
    <w:rsid w:val="000355A5"/>
    <w:rsid w:val="00035FDA"/>
    <w:rsid w:val="0003665A"/>
    <w:rsid w:val="00036AE1"/>
    <w:rsid w:val="0003717A"/>
    <w:rsid w:val="00037B6B"/>
    <w:rsid w:val="00037DF8"/>
    <w:rsid w:val="000401E5"/>
    <w:rsid w:val="00040BE4"/>
    <w:rsid w:val="00040DE6"/>
    <w:rsid w:val="00041108"/>
    <w:rsid w:val="00042D9D"/>
    <w:rsid w:val="000430B4"/>
    <w:rsid w:val="0004364B"/>
    <w:rsid w:val="000439BB"/>
    <w:rsid w:val="000452CF"/>
    <w:rsid w:val="000461F1"/>
    <w:rsid w:val="000463B5"/>
    <w:rsid w:val="00046911"/>
    <w:rsid w:val="00046A17"/>
    <w:rsid w:val="00046BEB"/>
    <w:rsid w:val="00047663"/>
    <w:rsid w:val="000476C0"/>
    <w:rsid w:val="00050128"/>
    <w:rsid w:val="00050CA4"/>
    <w:rsid w:val="00050DAA"/>
    <w:rsid w:val="00051038"/>
    <w:rsid w:val="00051123"/>
    <w:rsid w:val="000516B8"/>
    <w:rsid w:val="00051D7B"/>
    <w:rsid w:val="00052225"/>
    <w:rsid w:val="000532F1"/>
    <w:rsid w:val="000541A5"/>
    <w:rsid w:val="000549D1"/>
    <w:rsid w:val="00054DB8"/>
    <w:rsid w:val="00054E93"/>
    <w:rsid w:val="00055866"/>
    <w:rsid w:val="00055ABE"/>
    <w:rsid w:val="00055B70"/>
    <w:rsid w:val="000565DA"/>
    <w:rsid w:val="00056AA8"/>
    <w:rsid w:val="00056CD4"/>
    <w:rsid w:val="00056F1D"/>
    <w:rsid w:val="00057301"/>
    <w:rsid w:val="00057614"/>
    <w:rsid w:val="00057623"/>
    <w:rsid w:val="0006191E"/>
    <w:rsid w:val="00061A46"/>
    <w:rsid w:val="00061B1F"/>
    <w:rsid w:val="00061ED3"/>
    <w:rsid w:val="00062409"/>
    <w:rsid w:val="00063A3D"/>
    <w:rsid w:val="00063D21"/>
    <w:rsid w:val="000641F4"/>
    <w:rsid w:val="0006441B"/>
    <w:rsid w:val="0006465A"/>
    <w:rsid w:val="0006583E"/>
    <w:rsid w:val="00066159"/>
    <w:rsid w:val="000663E8"/>
    <w:rsid w:val="00066DA1"/>
    <w:rsid w:val="00067087"/>
    <w:rsid w:val="00067383"/>
    <w:rsid w:val="0006760F"/>
    <w:rsid w:val="0006773B"/>
    <w:rsid w:val="0006796C"/>
    <w:rsid w:val="00067F00"/>
    <w:rsid w:val="000704BE"/>
    <w:rsid w:val="00070606"/>
    <w:rsid w:val="0007081A"/>
    <w:rsid w:val="00070CF7"/>
    <w:rsid w:val="00070D1D"/>
    <w:rsid w:val="00070E15"/>
    <w:rsid w:val="00070E6C"/>
    <w:rsid w:val="000712F3"/>
    <w:rsid w:val="00071486"/>
    <w:rsid w:val="00072A5C"/>
    <w:rsid w:val="000733C4"/>
    <w:rsid w:val="00073616"/>
    <w:rsid w:val="00073F1C"/>
    <w:rsid w:val="000742B9"/>
    <w:rsid w:val="00074783"/>
    <w:rsid w:val="00074B60"/>
    <w:rsid w:val="00075002"/>
    <w:rsid w:val="00075212"/>
    <w:rsid w:val="00075B71"/>
    <w:rsid w:val="00075E87"/>
    <w:rsid w:val="00076995"/>
    <w:rsid w:val="00077AD9"/>
    <w:rsid w:val="00077C9B"/>
    <w:rsid w:val="0008054B"/>
    <w:rsid w:val="000805D4"/>
    <w:rsid w:val="0008070B"/>
    <w:rsid w:val="000809BC"/>
    <w:rsid w:val="00080C31"/>
    <w:rsid w:val="000810AC"/>
    <w:rsid w:val="000812C0"/>
    <w:rsid w:val="00081A02"/>
    <w:rsid w:val="00081A50"/>
    <w:rsid w:val="00081AB9"/>
    <w:rsid w:val="00081B84"/>
    <w:rsid w:val="00081B89"/>
    <w:rsid w:val="00082231"/>
    <w:rsid w:val="00082311"/>
    <w:rsid w:val="00082925"/>
    <w:rsid w:val="0008361B"/>
    <w:rsid w:val="000836FB"/>
    <w:rsid w:val="00083CF4"/>
    <w:rsid w:val="00084B75"/>
    <w:rsid w:val="00084C3C"/>
    <w:rsid w:val="00085063"/>
    <w:rsid w:val="00085C73"/>
    <w:rsid w:val="0008605A"/>
    <w:rsid w:val="0008644A"/>
    <w:rsid w:val="000865DA"/>
    <w:rsid w:val="00086FC7"/>
    <w:rsid w:val="00087208"/>
    <w:rsid w:val="00087D62"/>
    <w:rsid w:val="0009025E"/>
    <w:rsid w:val="000902A8"/>
    <w:rsid w:val="0009090E"/>
    <w:rsid w:val="000909E1"/>
    <w:rsid w:val="00090A90"/>
    <w:rsid w:val="00090B60"/>
    <w:rsid w:val="0009130D"/>
    <w:rsid w:val="000923F6"/>
    <w:rsid w:val="00092D38"/>
    <w:rsid w:val="00092FB7"/>
    <w:rsid w:val="0009377B"/>
    <w:rsid w:val="00093A0E"/>
    <w:rsid w:val="00093D10"/>
    <w:rsid w:val="000941C0"/>
    <w:rsid w:val="000942A5"/>
    <w:rsid w:val="000946E2"/>
    <w:rsid w:val="00094868"/>
    <w:rsid w:val="00094DB0"/>
    <w:rsid w:val="0009546F"/>
    <w:rsid w:val="00095D39"/>
    <w:rsid w:val="00096ACE"/>
    <w:rsid w:val="00096C45"/>
    <w:rsid w:val="000974B5"/>
    <w:rsid w:val="000A02CE"/>
    <w:rsid w:val="000A09F4"/>
    <w:rsid w:val="000A20C9"/>
    <w:rsid w:val="000A21AF"/>
    <w:rsid w:val="000A239E"/>
    <w:rsid w:val="000A342A"/>
    <w:rsid w:val="000A3520"/>
    <w:rsid w:val="000A3B9A"/>
    <w:rsid w:val="000A5AF6"/>
    <w:rsid w:val="000A62B2"/>
    <w:rsid w:val="000A73AA"/>
    <w:rsid w:val="000A793F"/>
    <w:rsid w:val="000A7EC0"/>
    <w:rsid w:val="000B050E"/>
    <w:rsid w:val="000B058F"/>
    <w:rsid w:val="000B077E"/>
    <w:rsid w:val="000B0859"/>
    <w:rsid w:val="000B0876"/>
    <w:rsid w:val="000B0D27"/>
    <w:rsid w:val="000B19C2"/>
    <w:rsid w:val="000B1A14"/>
    <w:rsid w:val="000B2272"/>
    <w:rsid w:val="000B22A8"/>
    <w:rsid w:val="000B2B02"/>
    <w:rsid w:val="000B3DCD"/>
    <w:rsid w:val="000B43D4"/>
    <w:rsid w:val="000B4467"/>
    <w:rsid w:val="000B44FC"/>
    <w:rsid w:val="000B4D2D"/>
    <w:rsid w:val="000B4D2F"/>
    <w:rsid w:val="000B4DB9"/>
    <w:rsid w:val="000B5E08"/>
    <w:rsid w:val="000B68C0"/>
    <w:rsid w:val="000B6FFE"/>
    <w:rsid w:val="000B77C9"/>
    <w:rsid w:val="000C09AC"/>
    <w:rsid w:val="000C1423"/>
    <w:rsid w:val="000C1CDB"/>
    <w:rsid w:val="000C1DE0"/>
    <w:rsid w:val="000C22CC"/>
    <w:rsid w:val="000C2E29"/>
    <w:rsid w:val="000C3C19"/>
    <w:rsid w:val="000C3DB3"/>
    <w:rsid w:val="000C4F83"/>
    <w:rsid w:val="000C4F92"/>
    <w:rsid w:val="000C5516"/>
    <w:rsid w:val="000C5A80"/>
    <w:rsid w:val="000C5C69"/>
    <w:rsid w:val="000C6379"/>
    <w:rsid w:val="000C6CC1"/>
    <w:rsid w:val="000C7140"/>
    <w:rsid w:val="000C767F"/>
    <w:rsid w:val="000C7CAC"/>
    <w:rsid w:val="000C7EC2"/>
    <w:rsid w:val="000D0241"/>
    <w:rsid w:val="000D0934"/>
    <w:rsid w:val="000D0B8A"/>
    <w:rsid w:val="000D0F2C"/>
    <w:rsid w:val="000D1743"/>
    <w:rsid w:val="000D19D1"/>
    <w:rsid w:val="000D2044"/>
    <w:rsid w:val="000D2996"/>
    <w:rsid w:val="000D2FEE"/>
    <w:rsid w:val="000D32D3"/>
    <w:rsid w:val="000D3C74"/>
    <w:rsid w:val="000D3D1C"/>
    <w:rsid w:val="000D3D53"/>
    <w:rsid w:val="000D3D59"/>
    <w:rsid w:val="000D44D5"/>
    <w:rsid w:val="000D4B7F"/>
    <w:rsid w:val="000D5249"/>
    <w:rsid w:val="000D537A"/>
    <w:rsid w:val="000D5A44"/>
    <w:rsid w:val="000D6882"/>
    <w:rsid w:val="000D6DF3"/>
    <w:rsid w:val="000D70D9"/>
    <w:rsid w:val="000D7214"/>
    <w:rsid w:val="000D7582"/>
    <w:rsid w:val="000D7BD3"/>
    <w:rsid w:val="000E0177"/>
    <w:rsid w:val="000E0293"/>
    <w:rsid w:val="000E09AD"/>
    <w:rsid w:val="000E1488"/>
    <w:rsid w:val="000E304E"/>
    <w:rsid w:val="000E3ED2"/>
    <w:rsid w:val="000E41B0"/>
    <w:rsid w:val="000E443B"/>
    <w:rsid w:val="000E4556"/>
    <w:rsid w:val="000E488C"/>
    <w:rsid w:val="000E4C61"/>
    <w:rsid w:val="000E4FAD"/>
    <w:rsid w:val="000E5271"/>
    <w:rsid w:val="000E62A2"/>
    <w:rsid w:val="000E70BA"/>
    <w:rsid w:val="000E7D87"/>
    <w:rsid w:val="000F0428"/>
    <w:rsid w:val="000F085F"/>
    <w:rsid w:val="000F10A5"/>
    <w:rsid w:val="000F159B"/>
    <w:rsid w:val="000F262D"/>
    <w:rsid w:val="000F2B8E"/>
    <w:rsid w:val="000F2BDB"/>
    <w:rsid w:val="000F2C16"/>
    <w:rsid w:val="000F2EE6"/>
    <w:rsid w:val="000F3747"/>
    <w:rsid w:val="000F3FAB"/>
    <w:rsid w:val="000F4335"/>
    <w:rsid w:val="000F4B89"/>
    <w:rsid w:val="000F57C8"/>
    <w:rsid w:val="000F5F99"/>
    <w:rsid w:val="000F6085"/>
    <w:rsid w:val="000F6376"/>
    <w:rsid w:val="000F67BE"/>
    <w:rsid w:val="000F699E"/>
    <w:rsid w:val="000F750B"/>
    <w:rsid w:val="000F79B5"/>
    <w:rsid w:val="000F7A3E"/>
    <w:rsid w:val="00100CAE"/>
    <w:rsid w:val="001011A7"/>
    <w:rsid w:val="0010123B"/>
    <w:rsid w:val="00101926"/>
    <w:rsid w:val="00101C12"/>
    <w:rsid w:val="001021AE"/>
    <w:rsid w:val="0010277B"/>
    <w:rsid w:val="0010304D"/>
    <w:rsid w:val="00103310"/>
    <w:rsid w:val="001033A1"/>
    <w:rsid w:val="0010389C"/>
    <w:rsid w:val="00103DA9"/>
    <w:rsid w:val="00104764"/>
    <w:rsid w:val="00104CD3"/>
    <w:rsid w:val="00104EBA"/>
    <w:rsid w:val="001067EF"/>
    <w:rsid w:val="00106BDD"/>
    <w:rsid w:val="00106FB5"/>
    <w:rsid w:val="00107165"/>
    <w:rsid w:val="001077FE"/>
    <w:rsid w:val="00107A5D"/>
    <w:rsid w:val="00107EFC"/>
    <w:rsid w:val="00110343"/>
    <w:rsid w:val="0011061A"/>
    <w:rsid w:val="0011083E"/>
    <w:rsid w:val="0011160D"/>
    <w:rsid w:val="00111C33"/>
    <w:rsid w:val="001120AB"/>
    <w:rsid w:val="001124E4"/>
    <w:rsid w:val="001128C4"/>
    <w:rsid w:val="00112B78"/>
    <w:rsid w:val="00113A85"/>
    <w:rsid w:val="001151F5"/>
    <w:rsid w:val="0011661E"/>
    <w:rsid w:val="00117805"/>
    <w:rsid w:val="0011796B"/>
    <w:rsid w:val="0012005C"/>
    <w:rsid w:val="0012072F"/>
    <w:rsid w:val="00120964"/>
    <w:rsid w:val="00121014"/>
    <w:rsid w:val="001215A5"/>
    <w:rsid w:val="00121624"/>
    <w:rsid w:val="001216A3"/>
    <w:rsid w:val="0012171C"/>
    <w:rsid w:val="001218CA"/>
    <w:rsid w:val="001221F2"/>
    <w:rsid w:val="001224F4"/>
    <w:rsid w:val="00122EC7"/>
    <w:rsid w:val="00122F76"/>
    <w:rsid w:val="00123200"/>
    <w:rsid w:val="00123413"/>
    <w:rsid w:val="00123C79"/>
    <w:rsid w:val="001246F7"/>
    <w:rsid w:val="00124A2E"/>
    <w:rsid w:val="00125E24"/>
    <w:rsid w:val="00126365"/>
    <w:rsid w:val="00126382"/>
    <w:rsid w:val="001266C0"/>
    <w:rsid w:val="00126E1B"/>
    <w:rsid w:val="001273B7"/>
    <w:rsid w:val="00127438"/>
    <w:rsid w:val="00127B94"/>
    <w:rsid w:val="00130262"/>
    <w:rsid w:val="00130333"/>
    <w:rsid w:val="001307A2"/>
    <w:rsid w:val="001308E0"/>
    <w:rsid w:val="00130EA2"/>
    <w:rsid w:val="001317F5"/>
    <w:rsid w:val="00131B99"/>
    <w:rsid w:val="00131F42"/>
    <w:rsid w:val="001324D2"/>
    <w:rsid w:val="00132629"/>
    <w:rsid w:val="00132C7E"/>
    <w:rsid w:val="00132DFC"/>
    <w:rsid w:val="00132EDC"/>
    <w:rsid w:val="0013371B"/>
    <w:rsid w:val="00133996"/>
    <w:rsid w:val="001339BD"/>
    <w:rsid w:val="00134B35"/>
    <w:rsid w:val="001357F1"/>
    <w:rsid w:val="00136797"/>
    <w:rsid w:val="001368A2"/>
    <w:rsid w:val="00136939"/>
    <w:rsid w:val="00136A01"/>
    <w:rsid w:val="00136D5A"/>
    <w:rsid w:val="00137094"/>
    <w:rsid w:val="001371F7"/>
    <w:rsid w:val="00137356"/>
    <w:rsid w:val="001401DE"/>
    <w:rsid w:val="001406E8"/>
    <w:rsid w:val="00140FA8"/>
    <w:rsid w:val="00141FB3"/>
    <w:rsid w:val="00142892"/>
    <w:rsid w:val="00142FEB"/>
    <w:rsid w:val="00143A2D"/>
    <w:rsid w:val="00143A9F"/>
    <w:rsid w:val="001442F6"/>
    <w:rsid w:val="0014443C"/>
    <w:rsid w:val="00144DBF"/>
    <w:rsid w:val="00145403"/>
    <w:rsid w:val="0014554B"/>
    <w:rsid w:val="00145695"/>
    <w:rsid w:val="00145A41"/>
    <w:rsid w:val="00145E53"/>
    <w:rsid w:val="0014763D"/>
    <w:rsid w:val="00147BEA"/>
    <w:rsid w:val="00147FF4"/>
    <w:rsid w:val="001502F4"/>
    <w:rsid w:val="0015038A"/>
    <w:rsid w:val="001506DF"/>
    <w:rsid w:val="00151675"/>
    <w:rsid w:val="00151ED4"/>
    <w:rsid w:val="0015329C"/>
    <w:rsid w:val="00153D30"/>
    <w:rsid w:val="00153F43"/>
    <w:rsid w:val="001550DB"/>
    <w:rsid w:val="0015571A"/>
    <w:rsid w:val="0015586D"/>
    <w:rsid w:val="00155E22"/>
    <w:rsid w:val="00156475"/>
    <w:rsid w:val="00156DF8"/>
    <w:rsid w:val="00156EAE"/>
    <w:rsid w:val="00157435"/>
    <w:rsid w:val="001574A6"/>
    <w:rsid w:val="00157791"/>
    <w:rsid w:val="001577F9"/>
    <w:rsid w:val="001611A2"/>
    <w:rsid w:val="00161EC5"/>
    <w:rsid w:val="001643A1"/>
    <w:rsid w:val="001645B2"/>
    <w:rsid w:val="00164DB3"/>
    <w:rsid w:val="0016577A"/>
    <w:rsid w:val="001658F2"/>
    <w:rsid w:val="00165EAE"/>
    <w:rsid w:val="00166C4E"/>
    <w:rsid w:val="00166D21"/>
    <w:rsid w:val="001678CB"/>
    <w:rsid w:val="0017095B"/>
    <w:rsid w:val="001711A8"/>
    <w:rsid w:val="00171477"/>
    <w:rsid w:val="00171C57"/>
    <w:rsid w:val="00171CCF"/>
    <w:rsid w:val="0017291F"/>
    <w:rsid w:val="00172F4C"/>
    <w:rsid w:val="001730AE"/>
    <w:rsid w:val="00173497"/>
    <w:rsid w:val="00173BCC"/>
    <w:rsid w:val="001744BE"/>
    <w:rsid w:val="00174CAC"/>
    <w:rsid w:val="00174E3A"/>
    <w:rsid w:val="0017504D"/>
    <w:rsid w:val="00175141"/>
    <w:rsid w:val="001765D8"/>
    <w:rsid w:val="0017671A"/>
    <w:rsid w:val="00177422"/>
    <w:rsid w:val="00177BBC"/>
    <w:rsid w:val="00180892"/>
    <w:rsid w:val="0018113F"/>
    <w:rsid w:val="00182349"/>
    <w:rsid w:val="001823EB"/>
    <w:rsid w:val="00183F77"/>
    <w:rsid w:val="0018403A"/>
    <w:rsid w:val="0018404E"/>
    <w:rsid w:val="00184590"/>
    <w:rsid w:val="001848C4"/>
    <w:rsid w:val="00184A05"/>
    <w:rsid w:val="00185F07"/>
    <w:rsid w:val="001863B5"/>
    <w:rsid w:val="00186995"/>
    <w:rsid w:val="001870D1"/>
    <w:rsid w:val="0018781E"/>
    <w:rsid w:val="001901C7"/>
    <w:rsid w:val="001915B9"/>
    <w:rsid w:val="00191CA4"/>
    <w:rsid w:val="001925C2"/>
    <w:rsid w:val="0019262D"/>
    <w:rsid w:val="00192C69"/>
    <w:rsid w:val="00192D45"/>
    <w:rsid w:val="00193C64"/>
    <w:rsid w:val="0019424B"/>
    <w:rsid w:val="001944C7"/>
    <w:rsid w:val="00194AE9"/>
    <w:rsid w:val="00195495"/>
    <w:rsid w:val="00195593"/>
    <w:rsid w:val="00195A85"/>
    <w:rsid w:val="0019608E"/>
    <w:rsid w:val="001968C3"/>
    <w:rsid w:val="00196A2C"/>
    <w:rsid w:val="00196B83"/>
    <w:rsid w:val="00196D6C"/>
    <w:rsid w:val="00197C23"/>
    <w:rsid w:val="00197FD4"/>
    <w:rsid w:val="001A004E"/>
    <w:rsid w:val="001A0866"/>
    <w:rsid w:val="001A0C68"/>
    <w:rsid w:val="001A1AAD"/>
    <w:rsid w:val="001A1B35"/>
    <w:rsid w:val="001A1C2F"/>
    <w:rsid w:val="001A20FC"/>
    <w:rsid w:val="001A28F2"/>
    <w:rsid w:val="001A372E"/>
    <w:rsid w:val="001A43C9"/>
    <w:rsid w:val="001A4784"/>
    <w:rsid w:val="001A48A2"/>
    <w:rsid w:val="001A4917"/>
    <w:rsid w:val="001A4CCD"/>
    <w:rsid w:val="001A4D9B"/>
    <w:rsid w:val="001A557B"/>
    <w:rsid w:val="001A565F"/>
    <w:rsid w:val="001A591F"/>
    <w:rsid w:val="001A5A1D"/>
    <w:rsid w:val="001A6205"/>
    <w:rsid w:val="001A6457"/>
    <w:rsid w:val="001A6B1D"/>
    <w:rsid w:val="001A6F61"/>
    <w:rsid w:val="001A75BF"/>
    <w:rsid w:val="001A768E"/>
    <w:rsid w:val="001A797B"/>
    <w:rsid w:val="001A79AC"/>
    <w:rsid w:val="001B00F4"/>
    <w:rsid w:val="001B0C63"/>
    <w:rsid w:val="001B0DCD"/>
    <w:rsid w:val="001B141B"/>
    <w:rsid w:val="001B1831"/>
    <w:rsid w:val="001B1C40"/>
    <w:rsid w:val="001B2AC8"/>
    <w:rsid w:val="001B2E9F"/>
    <w:rsid w:val="001B2F8D"/>
    <w:rsid w:val="001B353A"/>
    <w:rsid w:val="001B3C07"/>
    <w:rsid w:val="001B44DE"/>
    <w:rsid w:val="001B4A4D"/>
    <w:rsid w:val="001B58BD"/>
    <w:rsid w:val="001B5918"/>
    <w:rsid w:val="001B6CBD"/>
    <w:rsid w:val="001B6E72"/>
    <w:rsid w:val="001B72B8"/>
    <w:rsid w:val="001B7534"/>
    <w:rsid w:val="001C00E0"/>
    <w:rsid w:val="001C021B"/>
    <w:rsid w:val="001C0250"/>
    <w:rsid w:val="001C14D4"/>
    <w:rsid w:val="001C1820"/>
    <w:rsid w:val="001C1909"/>
    <w:rsid w:val="001C1C54"/>
    <w:rsid w:val="001C1C7D"/>
    <w:rsid w:val="001C1E4D"/>
    <w:rsid w:val="001C2294"/>
    <w:rsid w:val="001C2893"/>
    <w:rsid w:val="001C2EE9"/>
    <w:rsid w:val="001C2FEA"/>
    <w:rsid w:val="001C369A"/>
    <w:rsid w:val="001C36B1"/>
    <w:rsid w:val="001C4036"/>
    <w:rsid w:val="001C4484"/>
    <w:rsid w:val="001C4948"/>
    <w:rsid w:val="001C6086"/>
    <w:rsid w:val="001C69B3"/>
    <w:rsid w:val="001C7287"/>
    <w:rsid w:val="001C7447"/>
    <w:rsid w:val="001C7CBE"/>
    <w:rsid w:val="001D0194"/>
    <w:rsid w:val="001D0CB3"/>
    <w:rsid w:val="001D0CC1"/>
    <w:rsid w:val="001D0F66"/>
    <w:rsid w:val="001D1882"/>
    <w:rsid w:val="001D2439"/>
    <w:rsid w:val="001D2A78"/>
    <w:rsid w:val="001D33CC"/>
    <w:rsid w:val="001D3543"/>
    <w:rsid w:val="001D4011"/>
    <w:rsid w:val="001D4B3F"/>
    <w:rsid w:val="001D4EB4"/>
    <w:rsid w:val="001D52D2"/>
    <w:rsid w:val="001D5591"/>
    <w:rsid w:val="001D5595"/>
    <w:rsid w:val="001D56F9"/>
    <w:rsid w:val="001D5AE2"/>
    <w:rsid w:val="001D613D"/>
    <w:rsid w:val="001D626E"/>
    <w:rsid w:val="001D6356"/>
    <w:rsid w:val="001D6653"/>
    <w:rsid w:val="001D67DB"/>
    <w:rsid w:val="001D67E3"/>
    <w:rsid w:val="001D6847"/>
    <w:rsid w:val="001D6C50"/>
    <w:rsid w:val="001D71E4"/>
    <w:rsid w:val="001D7848"/>
    <w:rsid w:val="001D7874"/>
    <w:rsid w:val="001D7B08"/>
    <w:rsid w:val="001D7DA7"/>
    <w:rsid w:val="001D7F22"/>
    <w:rsid w:val="001E00DC"/>
    <w:rsid w:val="001E0B09"/>
    <w:rsid w:val="001E1259"/>
    <w:rsid w:val="001E1EDF"/>
    <w:rsid w:val="001E303F"/>
    <w:rsid w:val="001E352E"/>
    <w:rsid w:val="001E43A2"/>
    <w:rsid w:val="001E47FE"/>
    <w:rsid w:val="001E4922"/>
    <w:rsid w:val="001E49F8"/>
    <w:rsid w:val="001E604D"/>
    <w:rsid w:val="001E7479"/>
    <w:rsid w:val="001E7529"/>
    <w:rsid w:val="001E7C27"/>
    <w:rsid w:val="001F06C2"/>
    <w:rsid w:val="001F06FF"/>
    <w:rsid w:val="001F0956"/>
    <w:rsid w:val="001F0B08"/>
    <w:rsid w:val="001F0ED1"/>
    <w:rsid w:val="001F0F17"/>
    <w:rsid w:val="001F12C3"/>
    <w:rsid w:val="001F1A7C"/>
    <w:rsid w:val="001F1AD7"/>
    <w:rsid w:val="001F23D2"/>
    <w:rsid w:val="001F297B"/>
    <w:rsid w:val="001F3347"/>
    <w:rsid w:val="001F36EB"/>
    <w:rsid w:val="001F372F"/>
    <w:rsid w:val="001F38EE"/>
    <w:rsid w:val="001F3943"/>
    <w:rsid w:val="001F3EB1"/>
    <w:rsid w:val="001F3F69"/>
    <w:rsid w:val="001F43BD"/>
    <w:rsid w:val="001F4D91"/>
    <w:rsid w:val="001F53EB"/>
    <w:rsid w:val="001F5A61"/>
    <w:rsid w:val="001F5DC3"/>
    <w:rsid w:val="001F5E70"/>
    <w:rsid w:val="001F629E"/>
    <w:rsid w:val="001F6566"/>
    <w:rsid w:val="001F69E4"/>
    <w:rsid w:val="001F7ABC"/>
    <w:rsid w:val="001F7CA1"/>
    <w:rsid w:val="001F7E12"/>
    <w:rsid w:val="00200530"/>
    <w:rsid w:val="00200F2A"/>
    <w:rsid w:val="0020171B"/>
    <w:rsid w:val="002019EF"/>
    <w:rsid w:val="00201D49"/>
    <w:rsid w:val="002023FD"/>
    <w:rsid w:val="00202C27"/>
    <w:rsid w:val="00202CBB"/>
    <w:rsid w:val="00203343"/>
    <w:rsid w:val="00203CFE"/>
    <w:rsid w:val="00203F96"/>
    <w:rsid w:val="0020416E"/>
    <w:rsid w:val="002041FC"/>
    <w:rsid w:val="002044D8"/>
    <w:rsid w:val="00204BEA"/>
    <w:rsid w:val="00205014"/>
    <w:rsid w:val="00205C8C"/>
    <w:rsid w:val="002067E9"/>
    <w:rsid w:val="00207422"/>
    <w:rsid w:val="00207660"/>
    <w:rsid w:val="00207872"/>
    <w:rsid w:val="002078D4"/>
    <w:rsid w:val="00207CEC"/>
    <w:rsid w:val="00210057"/>
    <w:rsid w:val="00210698"/>
    <w:rsid w:val="00210AEF"/>
    <w:rsid w:val="00211070"/>
    <w:rsid w:val="0021240A"/>
    <w:rsid w:val="00212469"/>
    <w:rsid w:val="00212583"/>
    <w:rsid w:val="002125B4"/>
    <w:rsid w:val="00212B8C"/>
    <w:rsid w:val="0021348C"/>
    <w:rsid w:val="00213B8A"/>
    <w:rsid w:val="00213F9D"/>
    <w:rsid w:val="00214D4A"/>
    <w:rsid w:val="002155B8"/>
    <w:rsid w:val="00215E3C"/>
    <w:rsid w:val="00216C8A"/>
    <w:rsid w:val="002177D4"/>
    <w:rsid w:val="00217AC7"/>
    <w:rsid w:val="00220363"/>
    <w:rsid w:val="002205A8"/>
    <w:rsid w:val="002217F8"/>
    <w:rsid w:val="00221965"/>
    <w:rsid w:val="00221D38"/>
    <w:rsid w:val="002224D9"/>
    <w:rsid w:val="002228DD"/>
    <w:rsid w:val="002228E9"/>
    <w:rsid w:val="002240DF"/>
    <w:rsid w:val="0022426E"/>
    <w:rsid w:val="002244A9"/>
    <w:rsid w:val="00224839"/>
    <w:rsid w:val="002249B2"/>
    <w:rsid w:val="00224DAB"/>
    <w:rsid w:val="002255E8"/>
    <w:rsid w:val="00225DB4"/>
    <w:rsid w:val="00226574"/>
    <w:rsid w:val="00226661"/>
    <w:rsid w:val="002267CD"/>
    <w:rsid w:val="002271EB"/>
    <w:rsid w:val="002278EC"/>
    <w:rsid w:val="00227C76"/>
    <w:rsid w:val="00230122"/>
    <w:rsid w:val="0023060E"/>
    <w:rsid w:val="00231050"/>
    <w:rsid w:val="00231EF9"/>
    <w:rsid w:val="00231FF3"/>
    <w:rsid w:val="0023280E"/>
    <w:rsid w:val="00232B40"/>
    <w:rsid w:val="002330D7"/>
    <w:rsid w:val="002331BA"/>
    <w:rsid w:val="002336F9"/>
    <w:rsid w:val="002338F2"/>
    <w:rsid w:val="00233BD0"/>
    <w:rsid w:val="00233E6A"/>
    <w:rsid w:val="00235517"/>
    <w:rsid w:val="002357F5"/>
    <w:rsid w:val="00235863"/>
    <w:rsid w:val="00235A7A"/>
    <w:rsid w:val="00235C58"/>
    <w:rsid w:val="002360C4"/>
    <w:rsid w:val="00236536"/>
    <w:rsid w:val="0023742A"/>
    <w:rsid w:val="002374AA"/>
    <w:rsid w:val="002377D1"/>
    <w:rsid w:val="00237B96"/>
    <w:rsid w:val="00237D85"/>
    <w:rsid w:val="00240124"/>
    <w:rsid w:val="00240F49"/>
    <w:rsid w:val="00241487"/>
    <w:rsid w:val="00242C0F"/>
    <w:rsid w:val="00242E03"/>
    <w:rsid w:val="00243308"/>
    <w:rsid w:val="0024363B"/>
    <w:rsid w:val="00243D62"/>
    <w:rsid w:val="00243D7B"/>
    <w:rsid w:val="00244378"/>
    <w:rsid w:val="00244421"/>
    <w:rsid w:val="002449A2"/>
    <w:rsid w:val="00244C18"/>
    <w:rsid w:val="00245FC3"/>
    <w:rsid w:val="00246D06"/>
    <w:rsid w:val="00250375"/>
    <w:rsid w:val="0025061B"/>
    <w:rsid w:val="00250678"/>
    <w:rsid w:val="002506BC"/>
    <w:rsid w:val="002513FC"/>
    <w:rsid w:val="002527B7"/>
    <w:rsid w:val="00252D70"/>
    <w:rsid w:val="002533BE"/>
    <w:rsid w:val="002537BA"/>
    <w:rsid w:val="002539F1"/>
    <w:rsid w:val="00253D3E"/>
    <w:rsid w:val="00254345"/>
    <w:rsid w:val="002543BC"/>
    <w:rsid w:val="002556BE"/>
    <w:rsid w:val="002577F8"/>
    <w:rsid w:val="00257EEB"/>
    <w:rsid w:val="00260A7F"/>
    <w:rsid w:val="00260F3F"/>
    <w:rsid w:val="00261A44"/>
    <w:rsid w:val="00261AF8"/>
    <w:rsid w:val="00261CB3"/>
    <w:rsid w:val="00261FB6"/>
    <w:rsid w:val="00262A66"/>
    <w:rsid w:val="00263ADD"/>
    <w:rsid w:val="00263E63"/>
    <w:rsid w:val="00264557"/>
    <w:rsid w:val="00264FC1"/>
    <w:rsid w:val="0026597C"/>
    <w:rsid w:val="0026658D"/>
    <w:rsid w:val="00266737"/>
    <w:rsid w:val="00266760"/>
    <w:rsid w:val="00266A20"/>
    <w:rsid w:val="00266E50"/>
    <w:rsid w:val="002671F1"/>
    <w:rsid w:val="0026787E"/>
    <w:rsid w:val="0027012B"/>
    <w:rsid w:val="002701D3"/>
    <w:rsid w:val="0027092D"/>
    <w:rsid w:val="00270A20"/>
    <w:rsid w:val="00270E04"/>
    <w:rsid w:val="002721CB"/>
    <w:rsid w:val="00272854"/>
    <w:rsid w:val="00272A7E"/>
    <w:rsid w:val="00273F2D"/>
    <w:rsid w:val="002741D3"/>
    <w:rsid w:val="00274C3F"/>
    <w:rsid w:val="00274E8D"/>
    <w:rsid w:val="002756C3"/>
    <w:rsid w:val="00275835"/>
    <w:rsid w:val="00275EEB"/>
    <w:rsid w:val="00275EF5"/>
    <w:rsid w:val="0027690E"/>
    <w:rsid w:val="00276EFE"/>
    <w:rsid w:val="002771BA"/>
    <w:rsid w:val="002805AB"/>
    <w:rsid w:val="00280BD5"/>
    <w:rsid w:val="00281815"/>
    <w:rsid w:val="00282772"/>
    <w:rsid w:val="0028296E"/>
    <w:rsid w:val="00282DB9"/>
    <w:rsid w:val="002831AE"/>
    <w:rsid w:val="0028389A"/>
    <w:rsid w:val="00283DF7"/>
    <w:rsid w:val="00284204"/>
    <w:rsid w:val="0028477E"/>
    <w:rsid w:val="002849D5"/>
    <w:rsid w:val="00284A22"/>
    <w:rsid w:val="00284B83"/>
    <w:rsid w:val="00284BD9"/>
    <w:rsid w:val="00284C1A"/>
    <w:rsid w:val="002852B2"/>
    <w:rsid w:val="00285654"/>
    <w:rsid w:val="0028698B"/>
    <w:rsid w:val="002869ED"/>
    <w:rsid w:val="0028708A"/>
    <w:rsid w:val="002879C6"/>
    <w:rsid w:val="00287BBD"/>
    <w:rsid w:val="00290B2E"/>
    <w:rsid w:val="00290BDA"/>
    <w:rsid w:val="00290C39"/>
    <w:rsid w:val="0029122F"/>
    <w:rsid w:val="00291773"/>
    <w:rsid w:val="00292168"/>
    <w:rsid w:val="002921D2"/>
    <w:rsid w:val="002928C4"/>
    <w:rsid w:val="0029347A"/>
    <w:rsid w:val="0029357C"/>
    <w:rsid w:val="00294173"/>
    <w:rsid w:val="00294702"/>
    <w:rsid w:val="00294950"/>
    <w:rsid w:val="00294B09"/>
    <w:rsid w:val="00294D94"/>
    <w:rsid w:val="00295EDC"/>
    <w:rsid w:val="00296630"/>
    <w:rsid w:val="00296AB5"/>
    <w:rsid w:val="00296E87"/>
    <w:rsid w:val="002973BC"/>
    <w:rsid w:val="00297725"/>
    <w:rsid w:val="00297D19"/>
    <w:rsid w:val="002A054D"/>
    <w:rsid w:val="002A07A8"/>
    <w:rsid w:val="002A0CB3"/>
    <w:rsid w:val="002A0E6D"/>
    <w:rsid w:val="002A0EFF"/>
    <w:rsid w:val="002A130F"/>
    <w:rsid w:val="002A168C"/>
    <w:rsid w:val="002A1DCA"/>
    <w:rsid w:val="002A2F8C"/>
    <w:rsid w:val="002A3063"/>
    <w:rsid w:val="002A33BD"/>
    <w:rsid w:val="002A3986"/>
    <w:rsid w:val="002A3C7A"/>
    <w:rsid w:val="002A3DC7"/>
    <w:rsid w:val="002A4559"/>
    <w:rsid w:val="002A55EA"/>
    <w:rsid w:val="002A588E"/>
    <w:rsid w:val="002A5FB2"/>
    <w:rsid w:val="002A681A"/>
    <w:rsid w:val="002A6A51"/>
    <w:rsid w:val="002A6F20"/>
    <w:rsid w:val="002A70A1"/>
    <w:rsid w:val="002A743A"/>
    <w:rsid w:val="002A743B"/>
    <w:rsid w:val="002A7DDE"/>
    <w:rsid w:val="002B0D74"/>
    <w:rsid w:val="002B116F"/>
    <w:rsid w:val="002B1A71"/>
    <w:rsid w:val="002B20C8"/>
    <w:rsid w:val="002B2A39"/>
    <w:rsid w:val="002B3186"/>
    <w:rsid w:val="002B3D46"/>
    <w:rsid w:val="002B3F46"/>
    <w:rsid w:val="002B44E9"/>
    <w:rsid w:val="002B47BF"/>
    <w:rsid w:val="002B49E2"/>
    <w:rsid w:val="002B50FE"/>
    <w:rsid w:val="002B5F80"/>
    <w:rsid w:val="002B6E6B"/>
    <w:rsid w:val="002B7051"/>
    <w:rsid w:val="002B72E7"/>
    <w:rsid w:val="002B73B5"/>
    <w:rsid w:val="002B7B00"/>
    <w:rsid w:val="002B7C24"/>
    <w:rsid w:val="002B7C44"/>
    <w:rsid w:val="002C04FC"/>
    <w:rsid w:val="002C09DC"/>
    <w:rsid w:val="002C0E99"/>
    <w:rsid w:val="002C2050"/>
    <w:rsid w:val="002C22A2"/>
    <w:rsid w:val="002C232D"/>
    <w:rsid w:val="002C2704"/>
    <w:rsid w:val="002C2B17"/>
    <w:rsid w:val="002C2CF1"/>
    <w:rsid w:val="002C32F7"/>
    <w:rsid w:val="002C41A3"/>
    <w:rsid w:val="002C4551"/>
    <w:rsid w:val="002C53B3"/>
    <w:rsid w:val="002C5533"/>
    <w:rsid w:val="002C56C2"/>
    <w:rsid w:val="002C5E79"/>
    <w:rsid w:val="002C61D1"/>
    <w:rsid w:val="002C62AD"/>
    <w:rsid w:val="002C7A08"/>
    <w:rsid w:val="002C7ECC"/>
    <w:rsid w:val="002D081F"/>
    <w:rsid w:val="002D0948"/>
    <w:rsid w:val="002D1813"/>
    <w:rsid w:val="002D1D35"/>
    <w:rsid w:val="002D215A"/>
    <w:rsid w:val="002D2197"/>
    <w:rsid w:val="002D2A23"/>
    <w:rsid w:val="002D3003"/>
    <w:rsid w:val="002D3245"/>
    <w:rsid w:val="002D34EA"/>
    <w:rsid w:val="002D3577"/>
    <w:rsid w:val="002D3DD0"/>
    <w:rsid w:val="002D429F"/>
    <w:rsid w:val="002D4786"/>
    <w:rsid w:val="002D55B4"/>
    <w:rsid w:val="002D5D02"/>
    <w:rsid w:val="002D60BD"/>
    <w:rsid w:val="002D6488"/>
    <w:rsid w:val="002D6A38"/>
    <w:rsid w:val="002D6C39"/>
    <w:rsid w:val="002D73D3"/>
    <w:rsid w:val="002D7B6E"/>
    <w:rsid w:val="002E0F46"/>
    <w:rsid w:val="002E0FFC"/>
    <w:rsid w:val="002E1095"/>
    <w:rsid w:val="002E176E"/>
    <w:rsid w:val="002E1BB4"/>
    <w:rsid w:val="002E1F3A"/>
    <w:rsid w:val="002E2512"/>
    <w:rsid w:val="002E298A"/>
    <w:rsid w:val="002E3924"/>
    <w:rsid w:val="002E3AE3"/>
    <w:rsid w:val="002E3CFF"/>
    <w:rsid w:val="002E3EFF"/>
    <w:rsid w:val="002E46AB"/>
    <w:rsid w:val="002E4A43"/>
    <w:rsid w:val="002E50E7"/>
    <w:rsid w:val="002E529E"/>
    <w:rsid w:val="002E56F8"/>
    <w:rsid w:val="002E5880"/>
    <w:rsid w:val="002E5B72"/>
    <w:rsid w:val="002E5DDB"/>
    <w:rsid w:val="002E645F"/>
    <w:rsid w:val="002E64D8"/>
    <w:rsid w:val="002E6C02"/>
    <w:rsid w:val="002E6D98"/>
    <w:rsid w:val="002E6F52"/>
    <w:rsid w:val="002E7562"/>
    <w:rsid w:val="002F0A23"/>
    <w:rsid w:val="002F1637"/>
    <w:rsid w:val="002F2A83"/>
    <w:rsid w:val="002F2B10"/>
    <w:rsid w:val="002F382D"/>
    <w:rsid w:val="002F4581"/>
    <w:rsid w:val="002F4627"/>
    <w:rsid w:val="002F4F6E"/>
    <w:rsid w:val="002F51BB"/>
    <w:rsid w:val="002F5253"/>
    <w:rsid w:val="002F62AF"/>
    <w:rsid w:val="002F6501"/>
    <w:rsid w:val="002F6787"/>
    <w:rsid w:val="002F6864"/>
    <w:rsid w:val="002F6AFF"/>
    <w:rsid w:val="002F6E2C"/>
    <w:rsid w:val="002F753D"/>
    <w:rsid w:val="002F755C"/>
    <w:rsid w:val="002F780B"/>
    <w:rsid w:val="00300CD9"/>
    <w:rsid w:val="00301978"/>
    <w:rsid w:val="00301DCC"/>
    <w:rsid w:val="00301F45"/>
    <w:rsid w:val="00302B2E"/>
    <w:rsid w:val="00302FD8"/>
    <w:rsid w:val="0030332C"/>
    <w:rsid w:val="00303455"/>
    <w:rsid w:val="0030381F"/>
    <w:rsid w:val="00303B63"/>
    <w:rsid w:val="00303F5E"/>
    <w:rsid w:val="00304113"/>
    <w:rsid w:val="00304767"/>
    <w:rsid w:val="003050A5"/>
    <w:rsid w:val="003051C2"/>
    <w:rsid w:val="00305E7D"/>
    <w:rsid w:val="0030633F"/>
    <w:rsid w:val="003064E2"/>
    <w:rsid w:val="00306588"/>
    <w:rsid w:val="003068DB"/>
    <w:rsid w:val="00306FE1"/>
    <w:rsid w:val="003077DC"/>
    <w:rsid w:val="00307ACD"/>
    <w:rsid w:val="00307B6B"/>
    <w:rsid w:val="00310018"/>
    <w:rsid w:val="00310969"/>
    <w:rsid w:val="00310E6C"/>
    <w:rsid w:val="0031136C"/>
    <w:rsid w:val="00311486"/>
    <w:rsid w:val="00311741"/>
    <w:rsid w:val="00311B0F"/>
    <w:rsid w:val="00312296"/>
    <w:rsid w:val="0031258B"/>
    <w:rsid w:val="00312BBC"/>
    <w:rsid w:val="00314756"/>
    <w:rsid w:val="00314D0A"/>
    <w:rsid w:val="00314E38"/>
    <w:rsid w:val="00314F0E"/>
    <w:rsid w:val="00315867"/>
    <w:rsid w:val="003159A5"/>
    <w:rsid w:val="003160A3"/>
    <w:rsid w:val="00316A24"/>
    <w:rsid w:val="00316E36"/>
    <w:rsid w:val="00317096"/>
    <w:rsid w:val="00317A35"/>
    <w:rsid w:val="003216C9"/>
    <w:rsid w:val="00321D8E"/>
    <w:rsid w:val="00322DA7"/>
    <w:rsid w:val="00323D58"/>
    <w:rsid w:val="00323D78"/>
    <w:rsid w:val="00325928"/>
    <w:rsid w:val="00326542"/>
    <w:rsid w:val="0032687B"/>
    <w:rsid w:val="003270AB"/>
    <w:rsid w:val="00327719"/>
    <w:rsid w:val="00327D9E"/>
    <w:rsid w:val="003300F8"/>
    <w:rsid w:val="00331A26"/>
    <w:rsid w:val="00331DC7"/>
    <w:rsid w:val="00331FEC"/>
    <w:rsid w:val="00332863"/>
    <w:rsid w:val="003332FE"/>
    <w:rsid w:val="003338E5"/>
    <w:rsid w:val="00334F42"/>
    <w:rsid w:val="0033599F"/>
    <w:rsid w:val="00335B72"/>
    <w:rsid w:val="00336205"/>
    <w:rsid w:val="003363E4"/>
    <w:rsid w:val="0033684D"/>
    <w:rsid w:val="003371D9"/>
    <w:rsid w:val="003375EA"/>
    <w:rsid w:val="00337B40"/>
    <w:rsid w:val="00337B42"/>
    <w:rsid w:val="00340025"/>
    <w:rsid w:val="0034069C"/>
    <w:rsid w:val="003407AB"/>
    <w:rsid w:val="00340956"/>
    <w:rsid w:val="0034153D"/>
    <w:rsid w:val="00341B42"/>
    <w:rsid w:val="00341F72"/>
    <w:rsid w:val="003431D7"/>
    <w:rsid w:val="0034348F"/>
    <w:rsid w:val="0034429D"/>
    <w:rsid w:val="003445FE"/>
    <w:rsid w:val="003446FB"/>
    <w:rsid w:val="00345195"/>
    <w:rsid w:val="0034672D"/>
    <w:rsid w:val="00346D80"/>
    <w:rsid w:val="00346E1C"/>
    <w:rsid w:val="00346E29"/>
    <w:rsid w:val="003471AB"/>
    <w:rsid w:val="00347369"/>
    <w:rsid w:val="003475FB"/>
    <w:rsid w:val="00347DE0"/>
    <w:rsid w:val="00350B06"/>
    <w:rsid w:val="0035126E"/>
    <w:rsid w:val="0035168C"/>
    <w:rsid w:val="003516D7"/>
    <w:rsid w:val="00352903"/>
    <w:rsid w:val="003531F6"/>
    <w:rsid w:val="00353708"/>
    <w:rsid w:val="00353AA0"/>
    <w:rsid w:val="00353E7D"/>
    <w:rsid w:val="003544CB"/>
    <w:rsid w:val="003547C0"/>
    <w:rsid w:val="00354AE3"/>
    <w:rsid w:val="00355E8C"/>
    <w:rsid w:val="003560E5"/>
    <w:rsid w:val="00356653"/>
    <w:rsid w:val="0035743F"/>
    <w:rsid w:val="00357BE2"/>
    <w:rsid w:val="00357FEE"/>
    <w:rsid w:val="003604A8"/>
    <w:rsid w:val="00360E1A"/>
    <w:rsid w:val="0036103E"/>
    <w:rsid w:val="0036170C"/>
    <w:rsid w:val="00361CF0"/>
    <w:rsid w:val="00361EA3"/>
    <w:rsid w:val="0036237B"/>
    <w:rsid w:val="0036246B"/>
    <w:rsid w:val="00362987"/>
    <w:rsid w:val="00362B1A"/>
    <w:rsid w:val="003635E9"/>
    <w:rsid w:val="00363987"/>
    <w:rsid w:val="00363A11"/>
    <w:rsid w:val="0036482F"/>
    <w:rsid w:val="00364A56"/>
    <w:rsid w:val="00364B22"/>
    <w:rsid w:val="0036609D"/>
    <w:rsid w:val="00366C95"/>
    <w:rsid w:val="00366CC4"/>
    <w:rsid w:val="00366E0F"/>
    <w:rsid w:val="0036731A"/>
    <w:rsid w:val="003679BF"/>
    <w:rsid w:val="00370B34"/>
    <w:rsid w:val="00371FA5"/>
    <w:rsid w:val="003732F7"/>
    <w:rsid w:val="00374056"/>
    <w:rsid w:val="00374254"/>
    <w:rsid w:val="0037433E"/>
    <w:rsid w:val="0037463E"/>
    <w:rsid w:val="00374892"/>
    <w:rsid w:val="003756C6"/>
    <w:rsid w:val="00375CE9"/>
    <w:rsid w:val="00377309"/>
    <w:rsid w:val="0037743F"/>
    <w:rsid w:val="003775C8"/>
    <w:rsid w:val="0037780B"/>
    <w:rsid w:val="00380C42"/>
    <w:rsid w:val="00380E67"/>
    <w:rsid w:val="003810CC"/>
    <w:rsid w:val="00381887"/>
    <w:rsid w:val="00381A72"/>
    <w:rsid w:val="00382081"/>
    <w:rsid w:val="003843D6"/>
    <w:rsid w:val="00384676"/>
    <w:rsid w:val="00385030"/>
    <w:rsid w:val="0038595F"/>
    <w:rsid w:val="00385CCF"/>
    <w:rsid w:val="00386356"/>
    <w:rsid w:val="003866A0"/>
    <w:rsid w:val="00386EB5"/>
    <w:rsid w:val="00387B3A"/>
    <w:rsid w:val="00387D24"/>
    <w:rsid w:val="003900C4"/>
    <w:rsid w:val="0039051F"/>
    <w:rsid w:val="00390589"/>
    <w:rsid w:val="00390857"/>
    <w:rsid w:val="00391856"/>
    <w:rsid w:val="00391DC3"/>
    <w:rsid w:val="003924FD"/>
    <w:rsid w:val="00392952"/>
    <w:rsid w:val="003933EC"/>
    <w:rsid w:val="003934DA"/>
    <w:rsid w:val="003936D2"/>
    <w:rsid w:val="00394344"/>
    <w:rsid w:val="00394E49"/>
    <w:rsid w:val="00395199"/>
    <w:rsid w:val="00395594"/>
    <w:rsid w:val="0039599F"/>
    <w:rsid w:val="003963A8"/>
    <w:rsid w:val="00396C16"/>
    <w:rsid w:val="00397A17"/>
    <w:rsid w:val="00397B8D"/>
    <w:rsid w:val="003A03E3"/>
    <w:rsid w:val="003A09EA"/>
    <w:rsid w:val="003A0B5C"/>
    <w:rsid w:val="003A10AA"/>
    <w:rsid w:val="003A1AE2"/>
    <w:rsid w:val="003A23BC"/>
    <w:rsid w:val="003A289F"/>
    <w:rsid w:val="003A2BDF"/>
    <w:rsid w:val="003A31A2"/>
    <w:rsid w:val="003A32C4"/>
    <w:rsid w:val="003A34BF"/>
    <w:rsid w:val="003A3F2F"/>
    <w:rsid w:val="003A4BF3"/>
    <w:rsid w:val="003A5107"/>
    <w:rsid w:val="003A531B"/>
    <w:rsid w:val="003A5651"/>
    <w:rsid w:val="003A568D"/>
    <w:rsid w:val="003A5BA1"/>
    <w:rsid w:val="003A6607"/>
    <w:rsid w:val="003A7805"/>
    <w:rsid w:val="003A7928"/>
    <w:rsid w:val="003A7D26"/>
    <w:rsid w:val="003B0557"/>
    <w:rsid w:val="003B066B"/>
    <w:rsid w:val="003B0756"/>
    <w:rsid w:val="003B083A"/>
    <w:rsid w:val="003B111F"/>
    <w:rsid w:val="003B1D9D"/>
    <w:rsid w:val="003B2B9E"/>
    <w:rsid w:val="003B2BC5"/>
    <w:rsid w:val="003B3376"/>
    <w:rsid w:val="003B36B5"/>
    <w:rsid w:val="003B420D"/>
    <w:rsid w:val="003B4266"/>
    <w:rsid w:val="003B43AB"/>
    <w:rsid w:val="003B5184"/>
    <w:rsid w:val="003B5AD3"/>
    <w:rsid w:val="003B6D17"/>
    <w:rsid w:val="003B6EE2"/>
    <w:rsid w:val="003C0BBA"/>
    <w:rsid w:val="003C22B8"/>
    <w:rsid w:val="003C2599"/>
    <w:rsid w:val="003C3757"/>
    <w:rsid w:val="003C388A"/>
    <w:rsid w:val="003C41A7"/>
    <w:rsid w:val="003C45A9"/>
    <w:rsid w:val="003C5086"/>
    <w:rsid w:val="003C5450"/>
    <w:rsid w:val="003C5514"/>
    <w:rsid w:val="003C5B17"/>
    <w:rsid w:val="003C5B20"/>
    <w:rsid w:val="003C5BCE"/>
    <w:rsid w:val="003C5CAE"/>
    <w:rsid w:val="003C60DC"/>
    <w:rsid w:val="003C6103"/>
    <w:rsid w:val="003C66D7"/>
    <w:rsid w:val="003C6A9B"/>
    <w:rsid w:val="003C6C16"/>
    <w:rsid w:val="003C6CB4"/>
    <w:rsid w:val="003C7C7B"/>
    <w:rsid w:val="003D0D14"/>
    <w:rsid w:val="003D0D1F"/>
    <w:rsid w:val="003D0EA5"/>
    <w:rsid w:val="003D1822"/>
    <w:rsid w:val="003D18C3"/>
    <w:rsid w:val="003D228D"/>
    <w:rsid w:val="003D231E"/>
    <w:rsid w:val="003D24F2"/>
    <w:rsid w:val="003D2796"/>
    <w:rsid w:val="003D2A44"/>
    <w:rsid w:val="003D2B10"/>
    <w:rsid w:val="003D3134"/>
    <w:rsid w:val="003D32B3"/>
    <w:rsid w:val="003D332B"/>
    <w:rsid w:val="003D3797"/>
    <w:rsid w:val="003D40CD"/>
    <w:rsid w:val="003D4576"/>
    <w:rsid w:val="003D54BD"/>
    <w:rsid w:val="003D654A"/>
    <w:rsid w:val="003D67A0"/>
    <w:rsid w:val="003D6C7B"/>
    <w:rsid w:val="003D6E12"/>
    <w:rsid w:val="003D701F"/>
    <w:rsid w:val="003D794D"/>
    <w:rsid w:val="003E06F8"/>
    <w:rsid w:val="003E123B"/>
    <w:rsid w:val="003E129F"/>
    <w:rsid w:val="003E16F5"/>
    <w:rsid w:val="003E23A9"/>
    <w:rsid w:val="003E3058"/>
    <w:rsid w:val="003E45A7"/>
    <w:rsid w:val="003E5A20"/>
    <w:rsid w:val="003E5D80"/>
    <w:rsid w:val="003E653C"/>
    <w:rsid w:val="003E6CAF"/>
    <w:rsid w:val="003E6EB8"/>
    <w:rsid w:val="003E75FB"/>
    <w:rsid w:val="003E76A9"/>
    <w:rsid w:val="003E7A95"/>
    <w:rsid w:val="003F0809"/>
    <w:rsid w:val="003F0BCF"/>
    <w:rsid w:val="003F1DDF"/>
    <w:rsid w:val="003F2CF4"/>
    <w:rsid w:val="003F2D8A"/>
    <w:rsid w:val="003F49B8"/>
    <w:rsid w:val="003F4C22"/>
    <w:rsid w:val="003F573D"/>
    <w:rsid w:val="003F5766"/>
    <w:rsid w:val="003F6A8C"/>
    <w:rsid w:val="003F755C"/>
    <w:rsid w:val="004007D7"/>
    <w:rsid w:val="00400C5F"/>
    <w:rsid w:val="00400E00"/>
    <w:rsid w:val="00400E5E"/>
    <w:rsid w:val="00400FA2"/>
    <w:rsid w:val="00401EB6"/>
    <w:rsid w:val="004028E1"/>
    <w:rsid w:val="00403027"/>
    <w:rsid w:val="00403B45"/>
    <w:rsid w:val="004042EA"/>
    <w:rsid w:val="004044DF"/>
    <w:rsid w:val="00405515"/>
    <w:rsid w:val="0040570D"/>
    <w:rsid w:val="004057EC"/>
    <w:rsid w:val="00405A35"/>
    <w:rsid w:val="00405DAD"/>
    <w:rsid w:val="00406649"/>
    <w:rsid w:val="00406DAE"/>
    <w:rsid w:val="00406F01"/>
    <w:rsid w:val="0041180C"/>
    <w:rsid w:val="004118E6"/>
    <w:rsid w:val="0041201A"/>
    <w:rsid w:val="00412FF8"/>
    <w:rsid w:val="0041317E"/>
    <w:rsid w:val="004131F5"/>
    <w:rsid w:val="00413697"/>
    <w:rsid w:val="004138E5"/>
    <w:rsid w:val="004150EA"/>
    <w:rsid w:val="00416782"/>
    <w:rsid w:val="00416C3F"/>
    <w:rsid w:val="00416D50"/>
    <w:rsid w:val="00416FD5"/>
    <w:rsid w:val="00416FDB"/>
    <w:rsid w:val="00417772"/>
    <w:rsid w:val="00417DBC"/>
    <w:rsid w:val="00417EEE"/>
    <w:rsid w:val="004201A3"/>
    <w:rsid w:val="00420954"/>
    <w:rsid w:val="00420E6A"/>
    <w:rsid w:val="0042146B"/>
    <w:rsid w:val="004214FE"/>
    <w:rsid w:val="00421B03"/>
    <w:rsid w:val="00421ED8"/>
    <w:rsid w:val="0042239F"/>
    <w:rsid w:val="004229AF"/>
    <w:rsid w:val="00422C41"/>
    <w:rsid w:val="00422D0B"/>
    <w:rsid w:val="004231DC"/>
    <w:rsid w:val="004232EC"/>
    <w:rsid w:val="00423447"/>
    <w:rsid w:val="004235CB"/>
    <w:rsid w:val="00424757"/>
    <w:rsid w:val="00425064"/>
    <w:rsid w:val="00425651"/>
    <w:rsid w:val="00425A9E"/>
    <w:rsid w:val="00425C73"/>
    <w:rsid w:val="0042654A"/>
    <w:rsid w:val="00426D6B"/>
    <w:rsid w:val="0042721F"/>
    <w:rsid w:val="004300B7"/>
    <w:rsid w:val="00430EA3"/>
    <w:rsid w:val="004318A3"/>
    <w:rsid w:val="00431E6C"/>
    <w:rsid w:val="0043202D"/>
    <w:rsid w:val="004323B6"/>
    <w:rsid w:val="00432BD9"/>
    <w:rsid w:val="00433CE7"/>
    <w:rsid w:val="00434226"/>
    <w:rsid w:val="0043535B"/>
    <w:rsid w:val="00435FB2"/>
    <w:rsid w:val="00436340"/>
    <w:rsid w:val="0043690E"/>
    <w:rsid w:val="0043703E"/>
    <w:rsid w:val="004373BD"/>
    <w:rsid w:val="004404A3"/>
    <w:rsid w:val="00440838"/>
    <w:rsid w:val="00440C1A"/>
    <w:rsid w:val="004410F0"/>
    <w:rsid w:val="00441772"/>
    <w:rsid w:val="00441AA7"/>
    <w:rsid w:val="00441C88"/>
    <w:rsid w:val="0044231E"/>
    <w:rsid w:val="00442AE6"/>
    <w:rsid w:val="00442D82"/>
    <w:rsid w:val="00443A55"/>
    <w:rsid w:val="00443C8D"/>
    <w:rsid w:val="0044403C"/>
    <w:rsid w:val="00444042"/>
    <w:rsid w:val="00444D8A"/>
    <w:rsid w:val="0044504D"/>
    <w:rsid w:val="00445272"/>
    <w:rsid w:val="00445859"/>
    <w:rsid w:val="004467B6"/>
    <w:rsid w:val="00446885"/>
    <w:rsid w:val="00447232"/>
    <w:rsid w:val="004503A4"/>
    <w:rsid w:val="00451562"/>
    <w:rsid w:val="00451EAB"/>
    <w:rsid w:val="00451FFB"/>
    <w:rsid w:val="00452738"/>
    <w:rsid w:val="00452E2F"/>
    <w:rsid w:val="0045333A"/>
    <w:rsid w:val="0045354C"/>
    <w:rsid w:val="00454468"/>
    <w:rsid w:val="004549E2"/>
    <w:rsid w:val="00454B0A"/>
    <w:rsid w:val="00455932"/>
    <w:rsid w:val="00456091"/>
    <w:rsid w:val="00456334"/>
    <w:rsid w:val="004566A8"/>
    <w:rsid w:val="00456A79"/>
    <w:rsid w:val="004576A8"/>
    <w:rsid w:val="00457B97"/>
    <w:rsid w:val="00460625"/>
    <w:rsid w:val="004607E0"/>
    <w:rsid w:val="00461071"/>
    <w:rsid w:val="004621FD"/>
    <w:rsid w:val="00462406"/>
    <w:rsid w:val="00462441"/>
    <w:rsid w:val="00462E22"/>
    <w:rsid w:val="00462EA3"/>
    <w:rsid w:val="004650C2"/>
    <w:rsid w:val="00466321"/>
    <w:rsid w:val="00466466"/>
    <w:rsid w:val="0046646E"/>
    <w:rsid w:val="00466F4A"/>
    <w:rsid w:val="00466FDC"/>
    <w:rsid w:val="00467B73"/>
    <w:rsid w:val="004706E8"/>
    <w:rsid w:val="00470733"/>
    <w:rsid w:val="004712FC"/>
    <w:rsid w:val="004719A6"/>
    <w:rsid w:val="00471CEE"/>
    <w:rsid w:val="00472220"/>
    <w:rsid w:val="00472595"/>
    <w:rsid w:val="00472884"/>
    <w:rsid w:val="00473117"/>
    <w:rsid w:val="00473275"/>
    <w:rsid w:val="00473A7F"/>
    <w:rsid w:val="004742AD"/>
    <w:rsid w:val="004742FB"/>
    <w:rsid w:val="00474698"/>
    <w:rsid w:val="00474C1C"/>
    <w:rsid w:val="0047507B"/>
    <w:rsid w:val="00475195"/>
    <w:rsid w:val="00476211"/>
    <w:rsid w:val="00476540"/>
    <w:rsid w:val="0047669E"/>
    <w:rsid w:val="00476D88"/>
    <w:rsid w:val="00476F84"/>
    <w:rsid w:val="0047732A"/>
    <w:rsid w:val="004802C0"/>
    <w:rsid w:val="004817FD"/>
    <w:rsid w:val="00481937"/>
    <w:rsid w:val="00481F3A"/>
    <w:rsid w:val="00481F4B"/>
    <w:rsid w:val="004821B6"/>
    <w:rsid w:val="0048268E"/>
    <w:rsid w:val="00482DC2"/>
    <w:rsid w:val="00482F3B"/>
    <w:rsid w:val="0048307D"/>
    <w:rsid w:val="00483403"/>
    <w:rsid w:val="00483EC9"/>
    <w:rsid w:val="0048444D"/>
    <w:rsid w:val="00484A44"/>
    <w:rsid w:val="00484B9B"/>
    <w:rsid w:val="00484CF0"/>
    <w:rsid w:val="004850A0"/>
    <w:rsid w:val="0048530C"/>
    <w:rsid w:val="004854F9"/>
    <w:rsid w:val="0048556E"/>
    <w:rsid w:val="004855B1"/>
    <w:rsid w:val="004855F6"/>
    <w:rsid w:val="004860F1"/>
    <w:rsid w:val="0048661E"/>
    <w:rsid w:val="00486766"/>
    <w:rsid w:val="004869E9"/>
    <w:rsid w:val="00487A05"/>
    <w:rsid w:val="004905ED"/>
    <w:rsid w:val="00490A3B"/>
    <w:rsid w:val="00490A4B"/>
    <w:rsid w:val="00491751"/>
    <w:rsid w:val="00492828"/>
    <w:rsid w:val="004932E1"/>
    <w:rsid w:val="0049393F"/>
    <w:rsid w:val="00493BB0"/>
    <w:rsid w:val="00493EA6"/>
    <w:rsid w:val="00493ED1"/>
    <w:rsid w:val="00494670"/>
    <w:rsid w:val="00494782"/>
    <w:rsid w:val="004949A4"/>
    <w:rsid w:val="00495AC3"/>
    <w:rsid w:val="00495E6F"/>
    <w:rsid w:val="00495F29"/>
    <w:rsid w:val="004961CF"/>
    <w:rsid w:val="00496280"/>
    <w:rsid w:val="004965EA"/>
    <w:rsid w:val="004969AA"/>
    <w:rsid w:val="00496F0D"/>
    <w:rsid w:val="00496FA2"/>
    <w:rsid w:val="00497151"/>
    <w:rsid w:val="0049718C"/>
    <w:rsid w:val="004A0E73"/>
    <w:rsid w:val="004A1067"/>
    <w:rsid w:val="004A162C"/>
    <w:rsid w:val="004A1647"/>
    <w:rsid w:val="004A16E5"/>
    <w:rsid w:val="004A1933"/>
    <w:rsid w:val="004A2373"/>
    <w:rsid w:val="004A23BA"/>
    <w:rsid w:val="004A24E6"/>
    <w:rsid w:val="004A3003"/>
    <w:rsid w:val="004A35FE"/>
    <w:rsid w:val="004A3823"/>
    <w:rsid w:val="004A3832"/>
    <w:rsid w:val="004A47D9"/>
    <w:rsid w:val="004A4833"/>
    <w:rsid w:val="004A4B07"/>
    <w:rsid w:val="004A5293"/>
    <w:rsid w:val="004A5446"/>
    <w:rsid w:val="004A749E"/>
    <w:rsid w:val="004A7900"/>
    <w:rsid w:val="004A7E72"/>
    <w:rsid w:val="004B0C1E"/>
    <w:rsid w:val="004B1169"/>
    <w:rsid w:val="004B1342"/>
    <w:rsid w:val="004B1E37"/>
    <w:rsid w:val="004B201F"/>
    <w:rsid w:val="004B22EC"/>
    <w:rsid w:val="004B28BC"/>
    <w:rsid w:val="004B2F1C"/>
    <w:rsid w:val="004B36C6"/>
    <w:rsid w:val="004B3915"/>
    <w:rsid w:val="004B3AAD"/>
    <w:rsid w:val="004B3CBB"/>
    <w:rsid w:val="004B4603"/>
    <w:rsid w:val="004B49AB"/>
    <w:rsid w:val="004B55D9"/>
    <w:rsid w:val="004B5776"/>
    <w:rsid w:val="004B5802"/>
    <w:rsid w:val="004B5F0B"/>
    <w:rsid w:val="004B6538"/>
    <w:rsid w:val="004B691A"/>
    <w:rsid w:val="004B76D3"/>
    <w:rsid w:val="004B7B30"/>
    <w:rsid w:val="004C1072"/>
    <w:rsid w:val="004C1101"/>
    <w:rsid w:val="004C15F3"/>
    <w:rsid w:val="004C2962"/>
    <w:rsid w:val="004C2C0E"/>
    <w:rsid w:val="004C2F8F"/>
    <w:rsid w:val="004C38AF"/>
    <w:rsid w:val="004C3C6F"/>
    <w:rsid w:val="004C4E58"/>
    <w:rsid w:val="004C4F82"/>
    <w:rsid w:val="004C5999"/>
    <w:rsid w:val="004C5D25"/>
    <w:rsid w:val="004C5E9B"/>
    <w:rsid w:val="004C7A9E"/>
    <w:rsid w:val="004D102D"/>
    <w:rsid w:val="004D124D"/>
    <w:rsid w:val="004D1983"/>
    <w:rsid w:val="004D313B"/>
    <w:rsid w:val="004D3478"/>
    <w:rsid w:val="004D3891"/>
    <w:rsid w:val="004D3EEC"/>
    <w:rsid w:val="004D475F"/>
    <w:rsid w:val="004D4FFA"/>
    <w:rsid w:val="004D69A0"/>
    <w:rsid w:val="004D6B44"/>
    <w:rsid w:val="004D6C8B"/>
    <w:rsid w:val="004D6F57"/>
    <w:rsid w:val="004D7AA7"/>
    <w:rsid w:val="004D7D20"/>
    <w:rsid w:val="004E051F"/>
    <w:rsid w:val="004E05FD"/>
    <w:rsid w:val="004E1D31"/>
    <w:rsid w:val="004E1DD3"/>
    <w:rsid w:val="004E235C"/>
    <w:rsid w:val="004E2644"/>
    <w:rsid w:val="004E2D1A"/>
    <w:rsid w:val="004E3701"/>
    <w:rsid w:val="004E3CCB"/>
    <w:rsid w:val="004E3EEF"/>
    <w:rsid w:val="004E4BFA"/>
    <w:rsid w:val="004E5D68"/>
    <w:rsid w:val="004E6153"/>
    <w:rsid w:val="004E61B8"/>
    <w:rsid w:val="004E636F"/>
    <w:rsid w:val="004E6946"/>
    <w:rsid w:val="004E69D7"/>
    <w:rsid w:val="004E6E61"/>
    <w:rsid w:val="004E6EB9"/>
    <w:rsid w:val="004E6F86"/>
    <w:rsid w:val="004E6FEF"/>
    <w:rsid w:val="004E774E"/>
    <w:rsid w:val="004E7EB5"/>
    <w:rsid w:val="004F0190"/>
    <w:rsid w:val="004F0E9D"/>
    <w:rsid w:val="004F115C"/>
    <w:rsid w:val="004F1AD8"/>
    <w:rsid w:val="004F1C1E"/>
    <w:rsid w:val="004F3315"/>
    <w:rsid w:val="004F37C5"/>
    <w:rsid w:val="004F4163"/>
    <w:rsid w:val="004F4843"/>
    <w:rsid w:val="004F4C86"/>
    <w:rsid w:val="004F51EA"/>
    <w:rsid w:val="004F5382"/>
    <w:rsid w:val="004F6077"/>
    <w:rsid w:val="004F611F"/>
    <w:rsid w:val="004F64B7"/>
    <w:rsid w:val="004F6628"/>
    <w:rsid w:val="004F6E92"/>
    <w:rsid w:val="00500111"/>
    <w:rsid w:val="0050083B"/>
    <w:rsid w:val="00500B66"/>
    <w:rsid w:val="00501422"/>
    <w:rsid w:val="005039CB"/>
    <w:rsid w:val="00504019"/>
    <w:rsid w:val="005040BA"/>
    <w:rsid w:val="00504F36"/>
    <w:rsid w:val="0050558F"/>
    <w:rsid w:val="00505B27"/>
    <w:rsid w:val="00505BAD"/>
    <w:rsid w:val="00505C6B"/>
    <w:rsid w:val="00506286"/>
    <w:rsid w:val="0050668B"/>
    <w:rsid w:val="00506776"/>
    <w:rsid w:val="00506BCB"/>
    <w:rsid w:val="00507A3E"/>
    <w:rsid w:val="00510813"/>
    <w:rsid w:val="00510E64"/>
    <w:rsid w:val="00511990"/>
    <w:rsid w:val="00511DE0"/>
    <w:rsid w:val="005127D1"/>
    <w:rsid w:val="00512B8C"/>
    <w:rsid w:val="00512BB3"/>
    <w:rsid w:val="0051483C"/>
    <w:rsid w:val="00514870"/>
    <w:rsid w:val="00514B9B"/>
    <w:rsid w:val="00515391"/>
    <w:rsid w:val="0051567D"/>
    <w:rsid w:val="005168FE"/>
    <w:rsid w:val="00516995"/>
    <w:rsid w:val="00516D24"/>
    <w:rsid w:val="00517602"/>
    <w:rsid w:val="0051779B"/>
    <w:rsid w:val="00517AEC"/>
    <w:rsid w:val="00517F02"/>
    <w:rsid w:val="0052191B"/>
    <w:rsid w:val="005219CF"/>
    <w:rsid w:val="0052229A"/>
    <w:rsid w:val="00522667"/>
    <w:rsid w:val="005229B6"/>
    <w:rsid w:val="00523269"/>
    <w:rsid w:val="005239AF"/>
    <w:rsid w:val="00524303"/>
    <w:rsid w:val="005246D6"/>
    <w:rsid w:val="00525797"/>
    <w:rsid w:val="005258A2"/>
    <w:rsid w:val="00525C7E"/>
    <w:rsid w:val="005262C6"/>
    <w:rsid w:val="00526C1E"/>
    <w:rsid w:val="00527B04"/>
    <w:rsid w:val="00530A34"/>
    <w:rsid w:val="00531847"/>
    <w:rsid w:val="00531D2D"/>
    <w:rsid w:val="0053202C"/>
    <w:rsid w:val="00532066"/>
    <w:rsid w:val="00532315"/>
    <w:rsid w:val="00532FCF"/>
    <w:rsid w:val="00533716"/>
    <w:rsid w:val="0053374E"/>
    <w:rsid w:val="00535036"/>
    <w:rsid w:val="005351CD"/>
    <w:rsid w:val="005351CE"/>
    <w:rsid w:val="00535BDA"/>
    <w:rsid w:val="00535D2B"/>
    <w:rsid w:val="00537A9E"/>
    <w:rsid w:val="005401AE"/>
    <w:rsid w:val="005402D1"/>
    <w:rsid w:val="00540A22"/>
    <w:rsid w:val="00540F12"/>
    <w:rsid w:val="00541433"/>
    <w:rsid w:val="00541E02"/>
    <w:rsid w:val="005421C0"/>
    <w:rsid w:val="00542B6F"/>
    <w:rsid w:val="00542E07"/>
    <w:rsid w:val="005435F1"/>
    <w:rsid w:val="00544A3F"/>
    <w:rsid w:val="00544AB8"/>
    <w:rsid w:val="00544B48"/>
    <w:rsid w:val="00544CC8"/>
    <w:rsid w:val="00545424"/>
    <w:rsid w:val="0054595B"/>
    <w:rsid w:val="00545C90"/>
    <w:rsid w:val="00547210"/>
    <w:rsid w:val="00547760"/>
    <w:rsid w:val="005505FE"/>
    <w:rsid w:val="005513C7"/>
    <w:rsid w:val="00551B77"/>
    <w:rsid w:val="00551DF5"/>
    <w:rsid w:val="00552292"/>
    <w:rsid w:val="005526EC"/>
    <w:rsid w:val="00552820"/>
    <w:rsid w:val="00552DC7"/>
    <w:rsid w:val="00552E20"/>
    <w:rsid w:val="0055370E"/>
    <w:rsid w:val="00553CCE"/>
    <w:rsid w:val="00554A7B"/>
    <w:rsid w:val="0055572C"/>
    <w:rsid w:val="005559A8"/>
    <w:rsid w:val="005560F5"/>
    <w:rsid w:val="005562FE"/>
    <w:rsid w:val="00556349"/>
    <w:rsid w:val="00557995"/>
    <w:rsid w:val="00557D84"/>
    <w:rsid w:val="005605D6"/>
    <w:rsid w:val="00560744"/>
    <w:rsid w:val="0056076C"/>
    <w:rsid w:val="00560B0A"/>
    <w:rsid w:val="0056106A"/>
    <w:rsid w:val="0056144B"/>
    <w:rsid w:val="00562AD0"/>
    <w:rsid w:val="00562EDB"/>
    <w:rsid w:val="00563261"/>
    <w:rsid w:val="00563E13"/>
    <w:rsid w:val="00564483"/>
    <w:rsid w:val="00564523"/>
    <w:rsid w:val="00564F9F"/>
    <w:rsid w:val="0056539F"/>
    <w:rsid w:val="00565B97"/>
    <w:rsid w:val="00565DA4"/>
    <w:rsid w:val="005666EB"/>
    <w:rsid w:val="005673CC"/>
    <w:rsid w:val="00567CDC"/>
    <w:rsid w:val="00570099"/>
    <w:rsid w:val="00570165"/>
    <w:rsid w:val="005704B9"/>
    <w:rsid w:val="00570FEF"/>
    <w:rsid w:val="005712E6"/>
    <w:rsid w:val="005715B8"/>
    <w:rsid w:val="005717AE"/>
    <w:rsid w:val="005718DA"/>
    <w:rsid w:val="00572029"/>
    <w:rsid w:val="005720AE"/>
    <w:rsid w:val="0057356E"/>
    <w:rsid w:val="00573B75"/>
    <w:rsid w:val="00573E19"/>
    <w:rsid w:val="0057490B"/>
    <w:rsid w:val="00575644"/>
    <w:rsid w:val="00576714"/>
    <w:rsid w:val="005768AB"/>
    <w:rsid w:val="00576964"/>
    <w:rsid w:val="00576D9A"/>
    <w:rsid w:val="005771C6"/>
    <w:rsid w:val="00577313"/>
    <w:rsid w:val="00577659"/>
    <w:rsid w:val="00577A38"/>
    <w:rsid w:val="00577AD2"/>
    <w:rsid w:val="005806A0"/>
    <w:rsid w:val="00580F2E"/>
    <w:rsid w:val="005815E8"/>
    <w:rsid w:val="0058289E"/>
    <w:rsid w:val="00582A72"/>
    <w:rsid w:val="005831F7"/>
    <w:rsid w:val="00583F28"/>
    <w:rsid w:val="005844B1"/>
    <w:rsid w:val="0058491A"/>
    <w:rsid w:val="00585057"/>
    <w:rsid w:val="005851FE"/>
    <w:rsid w:val="00585347"/>
    <w:rsid w:val="005857BC"/>
    <w:rsid w:val="005906AC"/>
    <w:rsid w:val="00590CE9"/>
    <w:rsid w:val="0059115E"/>
    <w:rsid w:val="00592349"/>
    <w:rsid w:val="00592FA1"/>
    <w:rsid w:val="00593EC3"/>
    <w:rsid w:val="00594D77"/>
    <w:rsid w:val="0059555A"/>
    <w:rsid w:val="00595F9D"/>
    <w:rsid w:val="0059653B"/>
    <w:rsid w:val="005969E4"/>
    <w:rsid w:val="00597013"/>
    <w:rsid w:val="005A06B7"/>
    <w:rsid w:val="005A08D4"/>
    <w:rsid w:val="005A0AFF"/>
    <w:rsid w:val="005A1220"/>
    <w:rsid w:val="005A155D"/>
    <w:rsid w:val="005A1759"/>
    <w:rsid w:val="005A1DC7"/>
    <w:rsid w:val="005A1E8B"/>
    <w:rsid w:val="005A2A67"/>
    <w:rsid w:val="005A32F3"/>
    <w:rsid w:val="005A33E5"/>
    <w:rsid w:val="005A348C"/>
    <w:rsid w:val="005A44CC"/>
    <w:rsid w:val="005A454E"/>
    <w:rsid w:val="005A4E46"/>
    <w:rsid w:val="005A5EE9"/>
    <w:rsid w:val="005A5FA9"/>
    <w:rsid w:val="005A6242"/>
    <w:rsid w:val="005A63B2"/>
    <w:rsid w:val="005A64A8"/>
    <w:rsid w:val="005A6581"/>
    <w:rsid w:val="005A68A7"/>
    <w:rsid w:val="005A72BC"/>
    <w:rsid w:val="005A7515"/>
    <w:rsid w:val="005A76C4"/>
    <w:rsid w:val="005A7929"/>
    <w:rsid w:val="005A7940"/>
    <w:rsid w:val="005A7A19"/>
    <w:rsid w:val="005B1EDC"/>
    <w:rsid w:val="005B2573"/>
    <w:rsid w:val="005B258E"/>
    <w:rsid w:val="005B2A11"/>
    <w:rsid w:val="005B2D4D"/>
    <w:rsid w:val="005B4C1C"/>
    <w:rsid w:val="005B541D"/>
    <w:rsid w:val="005B5435"/>
    <w:rsid w:val="005B57CC"/>
    <w:rsid w:val="005B5A80"/>
    <w:rsid w:val="005B62A5"/>
    <w:rsid w:val="005B64C9"/>
    <w:rsid w:val="005B7653"/>
    <w:rsid w:val="005B7751"/>
    <w:rsid w:val="005C0E81"/>
    <w:rsid w:val="005C123D"/>
    <w:rsid w:val="005C1E68"/>
    <w:rsid w:val="005C25C1"/>
    <w:rsid w:val="005C2DC6"/>
    <w:rsid w:val="005C31D4"/>
    <w:rsid w:val="005C35E7"/>
    <w:rsid w:val="005C3639"/>
    <w:rsid w:val="005C41E2"/>
    <w:rsid w:val="005C523A"/>
    <w:rsid w:val="005C5E10"/>
    <w:rsid w:val="005C64AF"/>
    <w:rsid w:val="005C69B9"/>
    <w:rsid w:val="005C6C97"/>
    <w:rsid w:val="005C734E"/>
    <w:rsid w:val="005C73DD"/>
    <w:rsid w:val="005C7C55"/>
    <w:rsid w:val="005D07F5"/>
    <w:rsid w:val="005D1576"/>
    <w:rsid w:val="005D3177"/>
    <w:rsid w:val="005D3245"/>
    <w:rsid w:val="005D36AB"/>
    <w:rsid w:val="005D3E16"/>
    <w:rsid w:val="005D40EE"/>
    <w:rsid w:val="005D4372"/>
    <w:rsid w:val="005D4815"/>
    <w:rsid w:val="005D4BBF"/>
    <w:rsid w:val="005D5895"/>
    <w:rsid w:val="005D5AC1"/>
    <w:rsid w:val="005D5D90"/>
    <w:rsid w:val="005D6CF3"/>
    <w:rsid w:val="005D6D55"/>
    <w:rsid w:val="005E0448"/>
    <w:rsid w:val="005E06EE"/>
    <w:rsid w:val="005E16DD"/>
    <w:rsid w:val="005E174D"/>
    <w:rsid w:val="005E17BC"/>
    <w:rsid w:val="005E199E"/>
    <w:rsid w:val="005E2262"/>
    <w:rsid w:val="005E2D23"/>
    <w:rsid w:val="005E340D"/>
    <w:rsid w:val="005E3428"/>
    <w:rsid w:val="005E35C0"/>
    <w:rsid w:val="005E3B95"/>
    <w:rsid w:val="005E3D43"/>
    <w:rsid w:val="005E406C"/>
    <w:rsid w:val="005E54A0"/>
    <w:rsid w:val="005E5663"/>
    <w:rsid w:val="005E63BA"/>
    <w:rsid w:val="005E6B57"/>
    <w:rsid w:val="005E6BEF"/>
    <w:rsid w:val="005F06CC"/>
    <w:rsid w:val="005F1E90"/>
    <w:rsid w:val="005F2629"/>
    <w:rsid w:val="005F2CC6"/>
    <w:rsid w:val="005F3235"/>
    <w:rsid w:val="005F3C47"/>
    <w:rsid w:val="005F3D41"/>
    <w:rsid w:val="005F42B0"/>
    <w:rsid w:val="005F51CA"/>
    <w:rsid w:val="005F571A"/>
    <w:rsid w:val="005F5819"/>
    <w:rsid w:val="005F5C84"/>
    <w:rsid w:val="005F5D71"/>
    <w:rsid w:val="005F6C5B"/>
    <w:rsid w:val="005F72F3"/>
    <w:rsid w:val="005F7C48"/>
    <w:rsid w:val="005F7F5B"/>
    <w:rsid w:val="0060000A"/>
    <w:rsid w:val="006002BE"/>
    <w:rsid w:val="00600BA0"/>
    <w:rsid w:val="00600E36"/>
    <w:rsid w:val="00601401"/>
    <w:rsid w:val="006015EF"/>
    <w:rsid w:val="0060163A"/>
    <w:rsid w:val="0060175C"/>
    <w:rsid w:val="0060195A"/>
    <w:rsid w:val="00601DCB"/>
    <w:rsid w:val="00601FE2"/>
    <w:rsid w:val="0060207D"/>
    <w:rsid w:val="00602520"/>
    <w:rsid w:val="0060259F"/>
    <w:rsid w:val="00602611"/>
    <w:rsid w:val="0060272A"/>
    <w:rsid w:val="0060357A"/>
    <w:rsid w:val="0060371D"/>
    <w:rsid w:val="006038EB"/>
    <w:rsid w:val="00603DBD"/>
    <w:rsid w:val="00604538"/>
    <w:rsid w:val="00604C7D"/>
    <w:rsid w:val="006057C8"/>
    <w:rsid w:val="00606216"/>
    <w:rsid w:val="00606F0F"/>
    <w:rsid w:val="00607DEB"/>
    <w:rsid w:val="006102EB"/>
    <w:rsid w:val="006104AB"/>
    <w:rsid w:val="00610600"/>
    <w:rsid w:val="00610764"/>
    <w:rsid w:val="00610E00"/>
    <w:rsid w:val="006128AF"/>
    <w:rsid w:val="00612A8B"/>
    <w:rsid w:val="00612E6E"/>
    <w:rsid w:val="00613703"/>
    <w:rsid w:val="0061404B"/>
    <w:rsid w:val="00614C3F"/>
    <w:rsid w:val="00615056"/>
    <w:rsid w:val="0061615C"/>
    <w:rsid w:val="006168C7"/>
    <w:rsid w:val="00617197"/>
    <w:rsid w:val="006171B5"/>
    <w:rsid w:val="00617CC3"/>
    <w:rsid w:val="00617DE4"/>
    <w:rsid w:val="00620139"/>
    <w:rsid w:val="00620312"/>
    <w:rsid w:val="00620462"/>
    <w:rsid w:val="00620D23"/>
    <w:rsid w:val="00623192"/>
    <w:rsid w:val="006234C9"/>
    <w:rsid w:val="00624497"/>
    <w:rsid w:val="00624AB7"/>
    <w:rsid w:val="00624EFA"/>
    <w:rsid w:val="00625112"/>
    <w:rsid w:val="006256DB"/>
    <w:rsid w:val="00625D55"/>
    <w:rsid w:val="00625D6F"/>
    <w:rsid w:val="006260C4"/>
    <w:rsid w:val="00626C79"/>
    <w:rsid w:val="00626E25"/>
    <w:rsid w:val="00627359"/>
    <w:rsid w:val="006274B1"/>
    <w:rsid w:val="006278F6"/>
    <w:rsid w:val="00631123"/>
    <w:rsid w:val="006313F1"/>
    <w:rsid w:val="006321D7"/>
    <w:rsid w:val="00632D49"/>
    <w:rsid w:val="00633425"/>
    <w:rsid w:val="0063367F"/>
    <w:rsid w:val="0063452A"/>
    <w:rsid w:val="00634A67"/>
    <w:rsid w:val="00635982"/>
    <w:rsid w:val="00636234"/>
    <w:rsid w:val="006370F6"/>
    <w:rsid w:val="0063738C"/>
    <w:rsid w:val="006377A6"/>
    <w:rsid w:val="00637A3D"/>
    <w:rsid w:val="00637CAC"/>
    <w:rsid w:val="00640AC2"/>
    <w:rsid w:val="00641152"/>
    <w:rsid w:val="006411EF"/>
    <w:rsid w:val="00641224"/>
    <w:rsid w:val="006417E1"/>
    <w:rsid w:val="00641F81"/>
    <w:rsid w:val="006430CB"/>
    <w:rsid w:val="00643164"/>
    <w:rsid w:val="00643350"/>
    <w:rsid w:val="00643FCF"/>
    <w:rsid w:val="0064438E"/>
    <w:rsid w:val="006452DA"/>
    <w:rsid w:val="0064535F"/>
    <w:rsid w:val="006466E4"/>
    <w:rsid w:val="006470CA"/>
    <w:rsid w:val="00647471"/>
    <w:rsid w:val="006521A8"/>
    <w:rsid w:val="00652A08"/>
    <w:rsid w:val="006535CF"/>
    <w:rsid w:val="006539A0"/>
    <w:rsid w:val="0065437F"/>
    <w:rsid w:val="00654611"/>
    <w:rsid w:val="00654D5D"/>
    <w:rsid w:val="006551C7"/>
    <w:rsid w:val="00655D71"/>
    <w:rsid w:val="00656277"/>
    <w:rsid w:val="006567AF"/>
    <w:rsid w:val="006567E0"/>
    <w:rsid w:val="00656EA6"/>
    <w:rsid w:val="00656EFE"/>
    <w:rsid w:val="00656FB3"/>
    <w:rsid w:val="00657CCD"/>
    <w:rsid w:val="00660A13"/>
    <w:rsid w:val="00660CE7"/>
    <w:rsid w:val="00661571"/>
    <w:rsid w:val="00661DD8"/>
    <w:rsid w:val="00661ECC"/>
    <w:rsid w:val="00663E3C"/>
    <w:rsid w:val="00663E6A"/>
    <w:rsid w:val="00663F1A"/>
    <w:rsid w:val="00664931"/>
    <w:rsid w:val="00665F05"/>
    <w:rsid w:val="006663DB"/>
    <w:rsid w:val="006671E3"/>
    <w:rsid w:val="00667202"/>
    <w:rsid w:val="00667E2B"/>
    <w:rsid w:val="00667F43"/>
    <w:rsid w:val="006703C8"/>
    <w:rsid w:val="00670634"/>
    <w:rsid w:val="00670726"/>
    <w:rsid w:val="00670744"/>
    <w:rsid w:val="006710F3"/>
    <w:rsid w:val="006716F0"/>
    <w:rsid w:val="00671B8C"/>
    <w:rsid w:val="00671F67"/>
    <w:rsid w:val="0067229F"/>
    <w:rsid w:val="00672415"/>
    <w:rsid w:val="006725D9"/>
    <w:rsid w:val="006726A5"/>
    <w:rsid w:val="00672B7B"/>
    <w:rsid w:val="006730C6"/>
    <w:rsid w:val="0067353F"/>
    <w:rsid w:val="0067382B"/>
    <w:rsid w:val="006744A7"/>
    <w:rsid w:val="006747BE"/>
    <w:rsid w:val="006748B8"/>
    <w:rsid w:val="00675204"/>
    <w:rsid w:val="00675437"/>
    <w:rsid w:val="006761AA"/>
    <w:rsid w:val="006775C3"/>
    <w:rsid w:val="00677AC3"/>
    <w:rsid w:val="00677C54"/>
    <w:rsid w:val="0068023B"/>
    <w:rsid w:val="00681A5B"/>
    <w:rsid w:val="00682504"/>
    <w:rsid w:val="00682A5C"/>
    <w:rsid w:val="00683948"/>
    <w:rsid w:val="006843F5"/>
    <w:rsid w:val="0068525C"/>
    <w:rsid w:val="00685714"/>
    <w:rsid w:val="006861CC"/>
    <w:rsid w:val="00686852"/>
    <w:rsid w:val="00686FC1"/>
    <w:rsid w:val="006876A3"/>
    <w:rsid w:val="006904FF"/>
    <w:rsid w:val="0069056F"/>
    <w:rsid w:val="00691041"/>
    <w:rsid w:val="00691A95"/>
    <w:rsid w:val="00691BBA"/>
    <w:rsid w:val="00691D33"/>
    <w:rsid w:val="00692147"/>
    <w:rsid w:val="00692904"/>
    <w:rsid w:val="0069290A"/>
    <w:rsid w:val="00692A30"/>
    <w:rsid w:val="0069342F"/>
    <w:rsid w:val="00693C07"/>
    <w:rsid w:val="00693D07"/>
    <w:rsid w:val="00694488"/>
    <w:rsid w:val="00694A8B"/>
    <w:rsid w:val="00695260"/>
    <w:rsid w:val="00695A38"/>
    <w:rsid w:val="00695E4A"/>
    <w:rsid w:val="00695FC7"/>
    <w:rsid w:val="00696581"/>
    <w:rsid w:val="00697407"/>
    <w:rsid w:val="0069775A"/>
    <w:rsid w:val="00697813"/>
    <w:rsid w:val="00697D04"/>
    <w:rsid w:val="006A07CB"/>
    <w:rsid w:val="006A106E"/>
    <w:rsid w:val="006A1C5F"/>
    <w:rsid w:val="006A2851"/>
    <w:rsid w:val="006A3EE8"/>
    <w:rsid w:val="006A421C"/>
    <w:rsid w:val="006A51DF"/>
    <w:rsid w:val="006A58E4"/>
    <w:rsid w:val="006A6456"/>
    <w:rsid w:val="006A6571"/>
    <w:rsid w:val="006A72BF"/>
    <w:rsid w:val="006B03F2"/>
    <w:rsid w:val="006B2D01"/>
    <w:rsid w:val="006B3518"/>
    <w:rsid w:val="006B37DC"/>
    <w:rsid w:val="006B3AA6"/>
    <w:rsid w:val="006B3C6E"/>
    <w:rsid w:val="006B404C"/>
    <w:rsid w:val="006B46D5"/>
    <w:rsid w:val="006B4877"/>
    <w:rsid w:val="006B4F68"/>
    <w:rsid w:val="006B5728"/>
    <w:rsid w:val="006B6031"/>
    <w:rsid w:val="006B6503"/>
    <w:rsid w:val="006B67D1"/>
    <w:rsid w:val="006B6C92"/>
    <w:rsid w:val="006B7341"/>
    <w:rsid w:val="006B798C"/>
    <w:rsid w:val="006C0592"/>
    <w:rsid w:val="006C11B2"/>
    <w:rsid w:val="006C18DD"/>
    <w:rsid w:val="006C18E2"/>
    <w:rsid w:val="006C2073"/>
    <w:rsid w:val="006C272E"/>
    <w:rsid w:val="006C28C8"/>
    <w:rsid w:val="006C2A78"/>
    <w:rsid w:val="006C41C4"/>
    <w:rsid w:val="006C481B"/>
    <w:rsid w:val="006C4E6A"/>
    <w:rsid w:val="006C4EE3"/>
    <w:rsid w:val="006C5236"/>
    <w:rsid w:val="006C5479"/>
    <w:rsid w:val="006C5628"/>
    <w:rsid w:val="006C6262"/>
    <w:rsid w:val="006C66B5"/>
    <w:rsid w:val="006C7257"/>
    <w:rsid w:val="006C796F"/>
    <w:rsid w:val="006C7FD9"/>
    <w:rsid w:val="006D04D5"/>
    <w:rsid w:val="006D0AE1"/>
    <w:rsid w:val="006D0BD5"/>
    <w:rsid w:val="006D10E7"/>
    <w:rsid w:val="006D1225"/>
    <w:rsid w:val="006D13B5"/>
    <w:rsid w:val="006D209B"/>
    <w:rsid w:val="006D2BCD"/>
    <w:rsid w:val="006D43CA"/>
    <w:rsid w:val="006D4900"/>
    <w:rsid w:val="006D4E6C"/>
    <w:rsid w:val="006D65B2"/>
    <w:rsid w:val="006D6832"/>
    <w:rsid w:val="006D693C"/>
    <w:rsid w:val="006D7119"/>
    <w:rsid w:val="006E00A5"/>
    <w:rsid w:val="006E01ED"/>
    <w:rsid w:val="006E1270"/>
    <w:rsid w:val="006E12FF"/>
    <w:rsid w:val="006E22FD"/>
    <w:rsid w:val="006E2801"/>
    <w:rsid w:val="006E30D7"/>
    <w:rsid w:val="006E343E"/>
    <w:rsid w:val="006E3CDB"/>
    <w:rsid w:val="006E4E7B"/>
    <w:rsid w:val="006E607E"/>
    <w:rsid w:val="006E64DD"/>
    <w:rsid w:val="006E6DA9"/>
    <w:rsid w:val="006E6DB4"/>
    <w:rsid w:val="006E754C"/>
    <w:rsid w:val="006E759E"/>
    <w:rsid w:val="006E7E5E"/>
    <w:rsid w:val="006F03F7"/>
    <w:rsid w:val="006F08D6"/>
    <w:rsid w:val="006F1444"/>
    <w:rsid w:val="006F14F4"/>
    <w:rsid w:val="006F15E9"/>
    <w:rsid w:val="006F1FC7"/>
    <w:rsid w:val="006F2C4F"/>
    <w:rsid w:val="006F2C7A"/>
    <w:rsid w:val="006F3DDE"/>
    <w:rsid w:val="006F5193"/>
    <w:rsid w:val="006F5E7F"/>
    <w:rsid w:val="006F688C"/>
    <w:rsid w:val="006F7144"/>
    <w:rsid w:val="006F78A8"/>
    <w:rsid w:val="006F7DD5"/>
    <w:rsid w:val="007000FF"/>
    <w:rsid w:val="00700147"/>
    <w:rsid w:val="00700B0B"/>
    <w:rsid w:val="007023DF"/>
    <w:rsid w:val="007025AE"/>
    <w:rsid w:val="007026EF"/>
    <w:rsid w:val="00702A6B"/>
    <w:rsid w:val="00703546"/>
    <w:rsid w:val="00704209"/>
    <w:rsid w:val="007044D4"/>
    <w:rsid w:val="00704B71"/>
    <w:rsid w:val="00704E81"/>
    <w:rsid w:val="0070534D"/>
    <w:rsid w:val="00705E91"/>
    <w:rsid w:val="00706815"/>
    <w:rsid w:val="00706C08"/>
    <w:rsid w:val="00706C5D"/>
    <w:rsid w:val="0070720F"/>
    <w:rsid w:val="00707BE9"/>
    <w:rsid w:val="00710576"/>
    <w:rsid w:val="00710C9D"/>
    <w:rsid w:val="007111D7"/>
    <w:rsid w:val="00711368"/>
    <w:rsid w:val="00711AF7"/>
    <w:rsid w:val="00712423"/>
    <w:rsid w:val="007125FB"/>
    <w:rsid w:val="007131A3"/>
    <w:rsid w:val="00713F62"/>
    <w:rsid w:val="00714892"/>
    <w:rsid w:val="00716DCC"/>
    <w:rsid w:val="00717178"/>
    <w:rsid w:val="007178A8"/>
    <w:rsid w:val="00720AB5"/>
    <w:rsid w:val="00724BD9"/>
    <w:rsid w:val="00724C52"/>
    <w:rsid w:val="00724F64"/>
    <w:rsid w:val="0072531E"/>
    <w:rsid w:val="00725D92"/>
    <w:rsid w:val="00726C31"/>
    <w:rsid w:val="00726D96"/>
    <w:rsid w:val="007270CE"/>
    <w:rsid w:val="00727378"/>
    <w:rsid w:val="007273AF"/>
    <w:rsid w:val="00731116"/>
    <w:rsid w:val="0073114B"/>
    <w:rsid w:val="0073222A"/>
    <w:rsid w:val="00732922"/>
    <w:rsid w:val="0073302F"/>
    <w:rsid w:val="007331C7"/>
    <w:rsid w:val="00733247"/>
    <w:rsid w:val="007332A7"/>
    <w:rsid w:val="0073379C"/>
    <w:rsid w:val="00733A95"/>
    <w:rsid w:val="00733AB9"/>
    <w:rsid w:val="00733DEB"/>
    <w:rsid w:val="00734629"/>
    <w:rsid w:val="00735C35"/>
    <w:rsid w:val="00735C84"/>
    <w:rsid w:val="007360FB"/>
    <w:rsid w:val="00736139"/>
    <w:rsid w:val="00736923"/>
    <w:rsid w:val="0073722B"/>
    <w:rsid w:val="0073749E"/>
    <w:rsid w:val="007379C5"/>
    <w:rsid w:val="00740647"/>
    <w:rsid w:val="00741759"/>
    <w:rsid w:val="00741915"/>
    <w:rsid w:val="00741C0E"/>
    <w:rsid w:val="00741CA6"/>
    <w:rsid w:val="00741D12"/>
    <w:rsid w:val="0074381D"/>
    <w:rsid w:val="007439C0"/>
    <w:rsid w:val="007451F9"/>
    <w:rsid w:val="007457CD"/>
    <w:rsid w:val="007459AC"/>
    <w:rsid w:val="00746D9A"/>
    <w:rsid w:val="00747710"/>
    <w:rsid w:val="00747AB8"/>
    <w:rsid w:val="007500D2"/>
    <w:rsid w:val="007508C8"/>
    <w:rsid w:val="00751337"/>
    <w:rsid w:val="007513B2"/>
    <w:rsid w:val="0075162E"/>
    <w:rsid w:val="007516C1"/>
    <w:rsid w:val="0075176D"/>
    <w:rsid w:val="00751A65"/>
    <w:rsid w:val="00751C60"/>
    <w:rsid w:val="00751C82"/>
    <w:rsid w:val="00751EB0"/>
    <w:rsid w:val="00752704"/>
    <w:rsid w:val="00752F9E"/>
    <w:rsid w:val="0075302D"/>
    <w:rsid w:val="00753CDF"/>
    <w:rsid w:val="00753E97"/>
    <w:rsid w:val="00754034"/>
    <w:rsid w:val="007554CD"/>
    <w:rsid w:val="00756556"/>
    <w:rsid w:val="00756DE1"/>
    <w:rsid w:val="00756F6E"/>
    <w:rsid w:val="007570CA"/>
    <w:rsid w:val="00757981"/>
    <w:rsid w:val="00757BD0"/>
    <w:rsid w:val="00757D8E"/>
    <w:rsid w:val="007606EF"/>
    <w:rsid w:val="0076114C"/>
    <w:rsid w:val="0076151D"/>
    <w:rsid w:val="0076172A"/>
    <w:rsid w:val="007618C4"/>
    <w:rsid w:val="00761BC5"/>
    <w:rsid w:val="00762B9F"/>
    <w:rsid w:val="007652B6"/>
    <w:rsid w:val="00765A63"/>
    <w:rsid w:val="00765AB2"/>
    <w:rsid w:val="00766617"/>
    <w:rsid w:val="00767980"/>
    <w:rsid w:val="00767A3B"/>
    <w:rsid w:val="00767B20"/>
    <w:rsid w:val="007702BA"/>
    <w:rsid w:val="007705D5"/>
    <w:rsid w:val="00770B19"/>
    <w:rsid w:val="00770E5D"/>
    <w:rsid w:val="007710FC"/>
    <w:rsid w:val="00771214"/>
    <w:rsid w:val="007716C3"/>
    <w:rsid w:val="00771C64"/>
    <w:rsid w:val="007721FE"/>
    <w:rsid w:val="007729CC"/>
    <w:rsid w:val="00772BB2"/>
    <w:rsid w:val="00772DC3"/>
    <w:rsid w:val="007739AD"/>
    <w:rsid w:val="00773DC5"/>
    <w:rsid w:val="007741E6"/>
    <w:rsid w:val="00774412"/>
    <w:rsid w:val="0077463F"/>
    <w:rsid w:val="00775038"/>
    <w:rsid w:val="00776064"/>
    <w:rsid w:val="0077615E"/>
    <w:rsid w:val="00776335"/>
    <w:rsid w:val="00776D82"/>
    <w:rsid w:val="00777148"/>
    <w:rsid w:val="00777D80"/>
    <w:rsid w:val="00780042"/>
    <w:rsid w:val="00780170"/>
    <w:rsid w:val="007801EB"/>
    <w:rsid w:val="00780CDC"/>
    <w:rsid w:val="00780F58"/>
    <w:rsid w:val="0078109A"/>
    <w:rsid w:val="00781430"/>
    <w:rsid w:val="00781742"/>
    <w:rsid w:val="00781832"/>
    <w:rsid w:val="007827C0"/>
    <w:rsid w:val="00782870"/>
    <w:rsid w:val="007836EA"/>
    <w:rsid w:val="00783A64"/>
    <w:rsid w:val="00783E42"/>
    <w:rsid w:val="00783FB5"/>
    <w:rsid w:val="00784CDA"/>
    <w:rsid w:val="00784F14"/>
    <w:rsid w:val="00784F8A"/>
    <w:rsid w:val="007851AD"/>
    <w:rsid w:val="00785ABE"/>
    <w:rsid w:val="00785B69"/>
    <w:rsid w:val="00786017"/>
    <w:rsid w:val="00786A1F"/>
    <w:rsid w:val="00786C2B"/>
    <w:rsid w:val="00787237"/>
    <w:rsid w:val="00787565"/>
    <w:rsid w:val="00790547"/>
    <w:rsid w:val="007906C4"/>
    <w:rsid w:val="00790A2D"/>
    <w:rsid w:val="00791202"/>
    <w:rsid w:val="00791C05"/>
    <w:rsid w:val="007920B5"/>
    <w:rsid w:val="0079223D"/>
    <w:rsid w:val="007926EA"/>
    <w:rsid w:val="00792B73"/>
    <w:rsid w:val="00792DDF"/>
    <w:rsid w:val="00793439"/>
    <w:rsid w:val="00793AA1"/>
    <w:rsid w:val="00793F2B"/>
    <w:rsid w:val="00793FD5"/>
    <w:rsid w:val="007940EA"/>
    <w:rsid w:val="00795C33"/>
    <w:rsid w:val="00795DA8"/>
    <w:rsid w:val="00796744"/>
    <w:rsid w:val="007967E8"/>
    <w:rsid w:val="00797AF2"/>
    <w:rsid w:val="007A0757"/>
    <w:rsid w:val="007A0B8E"/>
    <w:rsid w:val="007A0BDE"/>
    <w:rsid w:val="007A154C"/>
    <w:rsid w:val="007A1655"/>
    <w:rsid w:val="007A2170"/>
    <w:rsid w:val="007A22BF"/>
    <w:rsid w:val="007A31C1"/>
    <w:rsid w:val="007A32BB"/>
    <w:rsid w:val="007A3323"/>
    <w:rsid w:val="007A3AB3"/>
    <w:rsid w:val="007A3B9D"/>
    <w:rsid w:val="007A3C12"/>
    <w:rsid w:val="007A3ED8"/>
    <w:rsid w:val="007A4560"/>
    <w:rsid w:val="007A5574"/>
    <w:rsid w:val="007A570B"/>
    <w:rsid w:val="007A595B"/>
    <w:rsid w:val="007A5C37"/>
    <w:rsid w:val="007A5E67"/>
    <w:rsid w:val="007A6633"/>
    <w:rsid w:val="007A6B46"/>
    <w:rsid w:val="007A6DDA"/>
    <w:rsid w:val="007A7BD3"/>
    <w:rsid w:val="007B0654"/>
    <w:rsid w:val="007B0C26"/>
    <w:rsid w:val="007B2A89"/>
    <w:rsid w:val="007B3264"/>
    <w:rsid w:val="007B3BC1"/>
    <w:rsid w:val="007B4716"/>
    <w:rsid w:val="007B47ED"/>
    <w:rsid w:val="007B5622"/>
    <w:rsid w:val="007B704F"/>
    <w:rsid w:val="007B72B8"/>
    <w:rsid w:val="007B7604"/>
    <w:rsid w:val="007B7A58"/>
    <w:rsid w:val="007C0685"/>
    <w:rsid w:val="007C098C"/>
    <w:rsid w:val="007C1E69"/>
    <w:rsid w:val="007C21B5"/>
    <w:rsid w:val="007C2208"/>
    <w:rsid w:val="007C2A00"/>
    <w:rsid w:val="007C3689"/>
    <w:rsid w:val="007C446F"/>
    <w:rsid w:val="007C45AD"/>
    <w:rsid w:val="007C4940"/>
    <w:rsid w:val="007C53EE"/>
    <w:rsid w:val="007C59A3"/>
    <w:rsid w:val="007C59C2"/>
    <w:rsid w:val="007C5B17"/>
    <w:rsid w:val="007C64D1"/>
    <w:rsid w:val="007C64EE"/>
    <w:rsid w:val="007D01EF"/>
    <w:rsid w:val="007D0483"/>
    <w:rsid w:val="007D052D"/>
    <w:rsid w:val="007D08DC"/>
    <w:rsid w:val="007D0F98"/>
    <w:rsid w:val="007D1268"/>
    <w:rsid w:val="007D22B1"/>
    <w:rsid w:val="007D25BD"/>
    <w:rsid w:val="007D2A5F"/>
    <w:rsid w:val="007D2E8D"/>
    <w:rsid w:val="007D2EB9"/>
    <w:rsid w:val="007D3212"/>
    <w:rsid w:val="007D495D"/>
    <w:rsid w:val="007D4A15"/>
    <w:rsid w:val="007D553C"/>
    <w:rsid w:val="007D591C"/>
    <w:rsid w:val="007D59E3"/>
    <w:rsid w:val="007D5B0E"/>
    <w:rsid w:val="007D6497"/>
    <w:rsid w:val="007D7279"/>
    <w:rsid w:val="007E0C0C"/>
    <w:rsid w:val="007E1054"/>
    <w:rsid w:val="007E1B67"/>
    <w:rsid w:val="007E1CCA"/>
    <w:rsid w:val="007E2C50"/>
    <w:rsid w:val="007E2D5D"/>
    <w:rsid w:val="007E3186"/>
    <w:rsid w:val="007E3A79"/>
    <w:rsid w:val="007E481E"/>
    <w:rsid w:val="007E4BD2"/>
    <w:rsid w:val="007E4CC3"/>
    <w:rsid w:val="007E50CE"/>
    <w:rsid w:val="007E5804"/>
    <w:rsid w:val="007E6667"/>
    <w:rsid w:val="007E718E"/>
    <w:rsid w:val="007E7247"/>
    <w:rsid w:val="007E79E2"/>
    <w:rsid w:val="007F03A7"/>
    <w:rsid w:val="007F0F1D"/>
    <w:rsid w:val="007F1E75"/>
    <w:rsid w:val="007F312A"/>
    <w:rsid w:val="007F31A1"/>
    <w:rsid w:val="007F53B7"/>
    <w:rsid w:val="007F6528"/>
    <w:rsid w:val="007F71D4"/>
    <w:rsid w:val="007F7923"/>
    <w:rsid w:val="00801393"/>
    <w:rsid w:val="008016DC"/>
    <w:rsid w:val="0080175A"/>
    <w:rsid w:val="00801F90"/>
    <w:rsid w:val="008022B5"/>
    <w:rsid w:val="008022D4"/>
    <w:rsid w:val="00802F88"/>
    <w:rsid w:val="0080572C"/>
    <w:rsid w:val="008057F2"/>
    <w:rsid w:val="00805E20"/>
    <w:rsid w:val="008062DB"/>
    <w:rsid w:val="008063CA"/>
    <w:rsid w:val="00806838"/>
    <w:rsid w:val="008068D2"/>
    <w:rsid w:val="00806AF8"/>
    <w:rsid w:val="00806F1F"/>
    <w:rsid w:val="0080715B"/>
    <w:rsid w:val="008072FA"/>
    <w:rsid w:val="008073AE"/>
    <w:rsid w:val="0080790A"/>
    <w:rsid w:val="00807EE6"/>
    <w:rsid w:val="00810888"/>
    <w:rsid w:val="00810E11"/>
    <w:rsid w:val="00811623"/>
    <w:rsid w:val="00811647"/>
    <w:rsid w:val="00811996"/>
    <w:rsid w:val="00811A31"/>
    <w:rsid w:val="00811BAD"/>
    <w:rsid w:val="00811C32"/>
    <w:rsid w:val="0081293E"/>
    <w:rsid w:val="00812A67"/>
    <w:rsid w:val="00812B97"/>
    <w:rsid w:val="00813232"/>
    <w:rsid w:val="008132F4"/>
    <w:rsid w:val="0081332D"/>
    <w:rsid w:val="008137E4"/>
    <w:rsid w:val="00814A10"/>
    <w:rsid w:val="00814B98"/>
    <w:rsid w:val="00814E9C"/>
    <w:rsid w:val="008151CE"/>
    <w:rsid w:val="00815465"/>
    <w:rsid w:val="00815E55"/>
    <w:rsid w:val="00816786"/>
    <w:rsid w:val="008177AE"/>
    <w:rsid w:val="008177E0"/>
    <w:rsid w:val="00817D93"/>
    <w:rsid w:val="00817E9A"/>
    <w:rsid w:val="008208D0"/>
    <w:rsid w:val="00820AFC"/>
    <w:rsid w:val="008214E2"/>
    <w:rsid w:val="00821860"/>
    <w:rsid w:val="00821A47"/>
    <w:rsid w:val="00821DE8"/>
    <w:rsid w:val="00822417"/>
    <w:rsid w:val="008225D8"/>
    <w:rsid w:val="00822DD6"/>
    <w:rsid w:val="008234A8"/>
    <w:rsid w:val="0082351A"/>
    <w:rsid w:val="008240EB"/>
    <w:rsid w:val="0082466D"/>
    <w:rsid w:val="00824709"/>
    <w:rsid w:val="0082494B"/>
    <w:rsid w:val="00824987"/>
    <w:rsid w:val="00824DDE"/>
    <w:rsid w:val="008256A9"/>
    <w:rsid w:val="00826E28"/>
    <w:rsid w:val="008270E3"/>
    <w:rsid w:val="008306BD"/>
    <w:rsid w:val="008315BC"/>
    <w:rsid w:val="00831888"/>
    <w:rsid w:val="00831A80"/>
    <w:rsid w:val="00831D36"/>
    <w:rsid w:val="00832224"/>
    <w:rsid w:val="0083348D"/>
    <w:rsid w:val="00833743"/>
    <w:rsid w:val="008340A4"/>
    <w:rsid w:val="008347C6"/>
    <w:rsid w:val="00834925"/>
    <w:rsid w:val="00835060"/>
    <w:rsid w:val="00835C0E"/>
    <w:rsid w:val="00836670"/>
    <w:rsid w:val="0083754D"/>
    <w:rsid w:val="00837C3C"/>
    <w:rsid w:val="008400BF"/>
    <w:rsid w:val="00840A6F"/>
    <w:rsid w:val="00840D72"/>
    <w:rsid w:val="0084112E"/>
    <w:rsid w:val="00841C89"/>
    <w:rsid w:val="008423A7"/>
    <w:rsid w:val="00842628"/>
    <w:rsid w:val="00842CB7"/>
    <w:rsid w:val="00842E31"/>
    <w:rsid w:val="00844022"/>
    <w:rsid w:val="008442E6"/>
    <w:rsid w:val="00844614"/>
    <w:rsid w:val="00844D08"/>
    <w:rsid w:val="0084569A"/>
    <w:rsid w:val="0084578E"/>
    <w:rsid w:val="008463E7"/>
    <w:rsid w:val="00846966"/>
    <w:rsid w:val="00846BFB"/>
    <w:rsid w:val="00846F24"/>
    <w:rsid w:val="008472CF"/>
    <w:rsid w:val="008477F9"/>
    <w:rsid w:val="00847B5A"/>
    <w:rsid w:val="00847BB1"/>
    <w:rsid w:val="00851190"/>
    <w:rsid w:val="00851533"/>
    <w:rsid w:val="00851DAB"/>
    <w:rsid w:val="00852498"/>
    <w:rsid w:val="0085258E"/>
    <w:rsid w:val="00852CA6"/>
    <w:rsid w:val="008535E3"/>
    <w:rsid w:val="0085448B"/>
    <w:rsid w:val="00855331"/>
    <w:rsid w:val="00855B7B"/>
    <w:rsid w:val="00855C77"/>
    <w:rsid w:val="00855FBC"/>
    <w:rsid w:val="00856209"/>
    <w:rsid w:val="0085672B"/>
    <w:rsid w:val="0085705E"/>
    <w:rsid w:val="00857220"/>
    <w:rsid w:val="00857550"/>
    <w:rsid w:val="008575FF"/>
    <w:rsid w:val="00860021"/>
    <w:rsid w:val="008608F3"/>
    <w:rsid w:val="008611A6"/>
    <w:rsid w:val="008627BB"/>
    <w:rsid w:val="00864840"/>
    <w:rsid w:val="00865400"/>
    <w:rsid w:val="008665BC"/>
    <w:rsid w:val="00866809"/>
    <w:rsid w:val="0086686B"/>
    <w:rsid w:val="00867427"/>
    <w:rsid w:val="00867C56"/>
    <w:rsid w:val="0087135F"/>
    <w:rsid w:val="00871E49"/>
    <w:rsid w:val="008720DB"/>
    <w:rsid w:val="00872207"/>
    <w:rsid w:val="008725EA"/>
    <w:rsid w:val="00872658"/>
    <w:rsid w:val="00872C03"/>
    <w:rsid w:val="00872D94"/>
    <w:rsid w:val="008742AC"/>
    <w:rsid w:val="008745C7"/>
    <w:rsid w:val="00874BDA"/>
    <w:rsid w:val="008770E2"/>
    <w:rsid w:val="00877200"/>
    <w:rsid w:val="00877443"/>
    <w:rsid w:val="0087795F"/>
    <w:rsid w:val="00877A7A"/>
    <w:rsid w:val="00877F2F"/>
    <w:rsid w:val="00880364"/>
    <w:rsid w:val="00880390"/>
    <w:rsid w:val="008806FA"/>
    <w:rsid w:val="00881E05"/>
    <w:rsid w:val="00882324"/>
    <w:rsid w:val="00882519"/>
    <w:rsid w:val="008829E6"/>
    <w:rsid w:val="008836CF"/>
    <w:rsid w:val="00883886"/>
    <w:rsid w:val="00883CA4"/>
    <w:rsid w:val="008850B3"/>
    <w:rsid w:val="0088528F"/>
    <w:rsid w:val="0088564B"/>
    <w:rsid w:val="008859EE"/>
    <w:rsid w:val="00885A9E"/>
    <w:rsid w:val="00885ADD"/>
    <w:rsid w:val="00885B98"/>
    <w:rsid w:val="00885B9A"/>
    <w:rsid w:val="00885C80"/>
    <w:rsid w:val="00885CD3"/>
    <w:rsid w:val="00886139"/>
    <w:rsid w:val="0088622C"/>
    <w:rsid w:val="0088666B"/>
    <w:rsid w:val="00887162"/>
    <w:rsid w:val="0088730D"/>
    <w:rsid w:val="00887AA4"/>
    <w:rsid w:val="00887ABF"/>
    <w:rsid w:val="0089068F"/>
    <w:rsid w:val="00891592"/>
    <w:rsid w:val="00891E9E"/>
    <w:rsid w:val="00892BF1"/>
    <w:rsid w:val="00893A95"/>
    <w:rsid w:val="00893CC9"/>
    <w:rsid w:val="00894BE1"/>
    <w:rsid w:val="008950E5"/>
    <w:rsid w:val="0089623F"/>
    <w:rsid w:val="008966B8"/>
    <w:rsid w:val="00896D81"/>
    <w:rsid w:val="008975A1"/>
    <w:rsid w:val="008A03DD"/>
    <w:rsid w:val="008A178D"/>
    <w:rsid w:val="008A1F43"/>
    <w:rsid w:val="008A1FBA"/>
    <w:rsid w:val="008A2257"/>
    <w:rsid w:val="008A23BD"/>
    <w:rsid w:val="008A2F68"/>
    <w:rsid w:val="008A3235"/>
    <w:rsid w:val="008A3573"/>
    <w:rsid w:val="008A4588"/>
    <w:rsid w:val="008A47D6"/>
    <w:rsid w:val="008A4A91"/>
    <w:rsid w:val="008A53A3"/>
    <w:rsid w:val="008A5EDC"/>
    <w:rsid w:val="008A61A8"/>
    <w:rsid w:val="008A6558"/>
    <w:rsid w:val="008A70C9"/>
    <w:rsid w:val="008B02F9"/>
    <w:rsid w:val="008B03E0"/>
    <w:rsid w:val="008B0442"/>
    <w:rsid w:val="008B102F"/>
    <w:rsid w:val="008B1A15"/>
    <w:rsid w:val="008B2004"/>
    <w:rsid w:val="008B4051"/>
    <w:rsid w:val="008B470F"/>
    <w:rsid w:val="008B4FA6"/>
    <w:rsid w:val="008B5282"/>
    <w:rsid w:val="008B57A8"/>
    <w:rsid w:val="008B5D66"/>
    <w:rsid w:val="008B5E7F"/>
    <w:rsid w:val="008B7C17"/>
    <w:rsid w:val="008C11A5"/>
    <w:rsid w:val="008C1433"/>
    <w:rsid w:val="008C2D01"/>
    <w:rsid w:val="008C40E6"/>
    <w:rsid w:val="008C4B5A"/>
    <w:rsid w:val="008C60EF"/>
    <w:rsid w:val="008C6236"/>
    <w:rsid w:val="008C6B39"/>
    <w:rsid w:val="008C6E07"/>
    <w:rsid w:val="008C7DA5"/>
    <w:rsid w:val="008C7DEB"/>
    <w:rsid w:val="008C7E4C"/>
    <w:rsid w:val="008C7E6B"/>
    <w:rsid w:val="008D0009"/>
    <w:rsid w:val="008D0375"/>
    <w:rsid w:val="008D05D0"/>
    <w:rsid w:val="008D0717"/>
    <w:rsid w:val="008D0D28"/>
    <w:rsid w:val="008D0F7A"/>
    <w:rsid w:val="008D15C8"/>
    <w:rsid w:val="008D269E"/>
    <w:rsid w:val="008D2CC8"/>
    <w:rsid w:val="008D2F2B"/>
    <w:rsid w:val="008D390F"/>
    <w:rsid w:val="008D3DB0"/>
    <w:rsid w:val="008D482E"/>
    <w:rsid w:val="008D4A91"/>
    <w:rsid w:val="008D4BD3"/>
    <w:rsid w:val="008D5E22"/>
    <w:rsid w:val="008D65A7"/>
    <w:rsid w:val="008D68E4"/>
    <w:rsid w:val="008D6B3D"/>
    <w:rsid w:val="008D7217"/>
    <w:rsid w:val="008D753B"/>
    <w:rsid w:val="008E0506"/>
    <w:rsid w:val="008E055A"/>
    <w:rsid w:val="008E0692"/>
    <w:rsid w:val="008E079B"/>
    <w:rsid w:val="008E0CFF"/>
    <w:rsid w:val="008E1E0E"/>
    <w:rsid w:val="008E235C"/>
    <w:rsid w:val="008E23AC"/>
    <w:rsid w:val="008E2894"/>
    <w:rsid w:val="008E3A7F"/>
    <w:rsid w:val="008E3BA3"/>
    <w:rsid w:val="008E410E"/>
    <w:rsid w:val="008E4B6E"/>
    <w:rsid w:val="008E4F64"/>
    <w:rsid w:val="008E5D6B"/>
    <w:rsid w:val="008E5E4D"/>
    <w:rsid w:val="008E6F18"/>
    <w:rsid w:val="008E76F0"/>
    <w:rsid w:val="008E7897"/>
    <w:rsid w:val="008F04D5"/>
    <w:rsid w:val="008F070D"/>
    <w:rsid w:val="008F15FE"/>
    <w:rsid w:val="008F2A08"/>
    <w:rsid w:val="008F2D29"/>
    <w:rsid w:val="008F3490"/>
    <w:rsid w:val="008F4706"/>
    <w:rsid w:val="008F498E"/>
    <w:rsid w:val="008F49BF"/>
    <w:rsid w:val="008F5187"/>
    <w:rsid w:val="008F5A6B"/>
    <w:rsid w:val="008F60D8"/>
    <w:rsid w:val="008F6933"/>
    <w:rsid w:val="00900581"/>
    <w:rsid w:val="00901525"/>
    <w:rsid w:val="009016CD"/>
    <w:rsid w:val="00901AEA"/>
    <w:rsid w:val="0090257A"/>
    <w:rsid w:val="00902727"/>
    <w:rsid w:val="00902FBD"/>
    <w:rsid w:val="0090312B"/>
    <w:rsid w:val="0090390B"/>
    <w:rsid w:val="00903912"/>
    <w:rsid w:val="009044C5"/>
    <w:rsid w:val="00904E7E"/>
    <w:rsid w:val="00906D0F"/>
    <w:rsid w:val="00907A72"/>
    <w:rsid w:val="00910013"/>
    <w:rsid w:val="009100C7"/>
    <w:rsid w:val="009108D3"/>
    <w:rsid w:val="00912E11"/>
    <w:rsid w:val="009130E7"/>
    <w:rsid w:val="0091376E"/>
    <w:rsid w:val="00913E29"/>
    <w:rsid w:val="00913F27"/>
    <w:rsid w:val="00914639"/>
    <w:rsid w:val="00915DB6"/>
    <w:rsid w:val="009160CA"/>
    <w:rsid w:val="00917319"/>
    <w:rsid w:val="0091736D"/>
    <w:rsid w:val="009177C5"/>
    <w:rsid w:val="0091797C"/>
    <w:rsid w:val="009200BD"/>
    <w:rsid w:val="009209DD"/>
    <w:rsid w:val="00920AFB"/>
    <w:rsid w:val="00920D34"/>
    <w:rsid w:val="0092234C"/>
    <w:rsid w:val="009224F4"/>
    <w:rsid w:val="00922EEB"/>
    <w:rsid w:val="00922F74"/>
    <w:rsid w:val="0092380F"/>
    <w:rsid w:val="00923B0E"/>
    <w:rsid w:val="00923DA2"/>
    <w:rsid w:val="00924183"/>
    <w:rsid w:val="00924328"/>
    <w:rsid w:val="009251D7"/>
    <w:rsid w:val="00925503"/>
    <w:rsid w:val="009259A4"/>
    <w:rsid w:val="00926B91"/>
    <w:rsid w:val="009279CB"/>
    <w:rsid w:val="0093037A"/>
    <w:rsid w:val="0093049B"/>
    <w:rsid w:val="0093051F"/>
    <w:rsid w:val="009306E9"/>
    <w:rsid w:val="00930E52"/>
    <w:rsid w:val="00931701"/>
    <w:rsid w:val="00931CF2"/>
    <w:rsid w:val="009320ED"/>
    <w:rsid w:val="00932D9B"/>
    <w:rsid w:val="00933332"/>
    <w:rsid w:val="009335C2"/>
    <w:rsid w:val="00933EBF"/>
    <w:rsid w:val="0093475D"/>
    <w:rsid w:val="00935475"/>
    <w:rsid w:val="009357DD"/>
    <w:rsid w:val="00936009"/>
    <w:rsid w:val="009362F4"/>
    <w:rsid w:val="009366C1"/>
    <w:rsid w:val="00936986"/>
    <w:rsid w:val="009371E1"/>
    <w:rsid w:val="009404BB"/>
    <w:rsid w:val="00940741"/>
    <w:rsid w:val="00940BE5"/>
    <w:rsid w:val="0094127A"/>
    <w:rsid w:val="0094154D"/>
    <w:rsid w:val="009417B8"/>
    <w:rsid w:val="00941A1C"/>
    <w:rsid w:val="00941A24"/>
    <w:rsid w:val="00941AAA"/>
    <w:rsid w:val="00941AE5"/>
    <w:rsid w:val="009421B4"/>
    <w:rsid w:val="009429C0"/>
    <w:rsid w:val="00943133"/>
    <w:rsid w:val="00943C7C"/>
    <w:rsid w:val="00943FA5"/>
    <w:rsid w:val="0094450D"/>
    <w:rsid w:val="00944A5D"/>
    <w:rsid w:val="00945406"/>
    <w:rsid w:val="00945770"/>
    <w:rsid w:val="009458ED"/>
    <w:rsid w:val="00946323"/>
    <w:rsid w:val="00946AFA"/>
    <w:rsid w:val="00946E29"/>
    <w:rsid w:val="00950527"/>
    <w:rsid w:val="009508AF"/>
    <w:rsid w:val="00951193"/>
    <w:rsid w:val="0095155F"/>
    <w:rsid w:val="0095239C"/>
    <w:rsid w:val="00952471"/>
    <w:rsid w:val="00952536"/>
    <w:rsid w:val="009530D4"/>
    <w:rsid w:val="0095366B"/>
    <w:rsid w:val="0095385D"/>
    <w:rsid w:val="00954429"/>
    <w:rsid w:val="0095443F"/>
    <w:rsid w:val="00954629"/>
    <w:rsid w:val="009548E7"/>
    <w:rsid w:val="009550FC"/>
    <w:rsid w:val="00955348"/>
    <w:rsid w:val="009556B1"/>
    <w:rsid w:val="009563CE"/>
    <w:rsid w:val="00956415"/>
    <w:rsid w:val="009567D5"/>
    <w:rsid w:val="00956B5A"/>
    <w:rsid w:val="00956DF3"/>
    <w:rsid w:val="00957A1E"/>
    <w:rsid w:val="009609D9"/>
    <w:rsid w:val="00961641"/>
    <w:rsid w:val="0096171A"/>
    <w:rsid w:val="00961781"/>
    <w:rsid w:val="00961B3D"/>
    <w:rsid w:val="009621F7"/>
    <w:rsid w:val="00962274"/>
    <w:rsid w:val="00962E6A"/>
    <w:rsid w:val="00963C73"/>
    <w:rsid w:val="00964477"/>
    <w:rsid w:val="00964B58"/>
    <w:rsid w:val="00964F1A"/>
    <w:rsid w:val="0096515E"/>
    <w:rsid w:val="0096547C"/>
    <w:rsid w:val="009656A7"/>
    <w:rsid w:val="00965BCD"/>
    <w:rsid w:val="00965EB1"/>
    <w:rsid w:val="009668B5"/>
    <w:rsid w:val="00966E1A"/>
    <w:rsid w:val="00967323"/>
    <w:rsid w:val="0096738A"/>
    <w:rsid w:val="00967594"/>
    <w:rsid w:val="009708CA"/>
    <w:rsid w:val="00970954"/>
    <w:rsid w:val="00971773"/>
    <w:rsid w:val="009718FE"/>
    <w:rsid w:val="009721DA"/>
    <w:rsid w:val="009727A7"/>
    <w:rsid w:val="00972C67"/>
    <w:rsid w:val="00972D96"/>
    <w:rsid w:val="00972DA1"/>
    <w:rsid w:val="00973204"/>
    <w:rsid w:val="009733FD"/>
    <w:rsid w:val="0097437E"/>
    <w:rsid w:val="00974486"/>
    <w:rsid w:val="0097476D"/>
    <w:rsid w:val="00974E25"/>
    <w:rsid w:val="0097592C"/>
    <w:rsid w:val="009761CA"/>
    <w:rsid w:val="00976328"/>
    <w:rsid w:val="009765AD"/>
    <w:rsid w:val="0097680D"/>
    <w:rsid w:val="00977499"/>
    <w:rsid w:val="0097793F"/>
    <w:rsid w:val="00977B44"/>
    <w:rsid w:val="00977B65"/>
    <w:rsid w:val="00977D0F"/>
    <w:rsid w:val="009802AB"/>
    <w:rsid w:val="009802BE"/>
    <w:rsid w:val="00980A1B"/>
    <w:rsid w:val="00980F59"/>
    <w:rsid w:val="009810FF"/>
    <w:rsid w:val="00981268"/>
    <w:rsid w:val="0098149F"/>
    <w:rsid w:val="00981699"/>
    <w:rsid w:val="00981BC1"/>
    <w:rsid w:val="00981DF7"/>
    <w:rsid w:val="00981EEE"/>
    <w:rsid w:val="0098215A"/>
    <w:rsid w:val="00982438"/>
    <w:rsid w:val="00982EC7"/>
    <w:rsid w:val="00982EFD"/>
    <w:rsid w:val="009834E8"/>
    <w:rsid w:val="0098350D"/>
    <w:rsid w:val="0098404C"/>
    <w:rsid w:val="00984C57"/>
    <w:rsid w:val="00985283"/>
    <w:rsid w:val="0098549A"/>
    <w:rsid w:val="0098610A"/>
    <w:rsid w:val="009863ED"/>
    <w:rsid w:val="009866FA"/>
    <w:rsid w:val="009873CB"/>
    <w:rsid w:val="00987A32"/>
    <w:rsid w:val="0099074F"/>
    <w:rsid w:val="009915D0"/>
    <w:rsid w:val="00992560"/>
    <w:rsid w:val="009925B8"/>
    <w:rsid w:val="00992CE7"/>
    <w:rsid w:val="009932CC"/>
    <w:rsid w:val="00994A51"/>
    <w:rsid w:val="00994E08"/>
    <w:rsid w:val="0099506A"/>
    <w:rsid w:val="009953E1"/>
    <w:rsid w:val="009955F3"/>
    <w:rsid w:val="00995992"/>
    <w:rsid w:val="00995EA7"/>
    <w:rsid w:val="009964A0"/>
    <w:rsid w:val="00997180"/>
    <w:rsid w:val="009972E6"/>
    <w:rsid w:val="009A0010"/>
    <w:rsid w:val="009A03E5"/>
    <w:rsid w:val="009A0701"/>
    <w:rsid w:val="009A0F2D"/>
    <w:rsid w:val="009A0F3B"/>
    <w:rsid w:val="009A1BB4"/>
    <w:rsid w:val="009A2628"/>
    <w:rsid w:val="009A3200"/>
    <w:rsid w:val="009A3254"/>
    <w:rsid w:val="009A32EA"/>
    <w:rsid w:val="009A33AA"/>
    <w:rsid w:val="009A458C"/>
    <w:rsid w:val="009A5755"/>
    <w:rsid w:val="009A57A4"/>
    <w:rsid w:val="009A5DD7"/>
    <w:rsid w:val="009A61D2"/>
    <w:rsid w:val="009A648F"/>
    <w:rsid w:val="009A6CF2"/>
    <w:rsid w:val="009A6EF1"/>
    <w:rsid w:val="009A744B"/>
    <w:rsid w:val="009A79CE"/>
    <w:rsid w:val="009B004E"/>
    <w:rsid w:val="009B0186"/>
    <w:rsid w:val="009B0607"/>
    <w:rsid w:val="009B0819"/>
    <w:rsid w:val="009B0897"/>
    <w:rsid w:val="009B16BE"/>
    <w:rsid w:val="009B1C1A"/>
    <w:rsid w:val="009B278C"/>
    <w:rsid w:val="009B28DC"/>
    <w:rsid w:val="009B2DF6"/>
    <w:rsid w:val="009B31C6"/>
    <w:rsid w:val="009B4EE7"/>
    <w:rsid w:val="009B70CF"/>
    <w:rsid w:val="009B71C9"/>
    <w:rsid w:val="009B7978"/>
    <w:rsid w:val="009B7B8D"/>
    <w:rsid w:val="009B7BD9"/>
    <w:rsid w:val="009C0796"/>
    <w:rsid w:val="009C1442"/>
    <w:rsid w:val="009C2C3F"/>
    <w:rsid w:val="009C2D90"/>
    <w:rsid w:val="009C2E68"/>
    <w:rsid w:val="009C3697"/>
    <w:rsid w:val="009C417E"/>
    <w:rsid w:val="009C4BB0"/>
    <w:rsid w:val="009C54EB"/>
    <w:rsid w:val="009C5E4F"/>
    <w:rsid w:val="009C5F44"/>
    <w:rsid w:val="009C6993"/>
    <w:rsid w:val="009C77F2"/>
    <w:rsid w:val="009C7DD5"/>
    <w:rsid w:val="009C7E59"/>
    <w:rsid w:val="009C7E89"/>
    <w:rsid w:val="009D0395"/>
    <w:rsid w:val="009D0EBE"/>
    <w:rsid w:val="009D0FB5"/>
    <w:rsid w:val="009D1018"/>
    <w:rsid w:val="009D1D35"/>
    <w:rsid w:val="009D220F"/>
    <w:rsid w:val="009D2DC0"/>
    <w:rsid w:val="009D3680"/>
    <w:rsid w:val="009D4016"/>
    <w:rsid w:val="009D4DDB"/>
    <w:rsid w:val="009D5BAA"/>
    <w:rsid w:val="009D657E"/>
    <w:rsid w:val="009D66F3"/>
    <w:rsid w:val="009D77E9"/>
    <w:rsid w:val="009D7866"/>
    <w:rsid w:val="009D7867"/>
    <w:rsid w:val="009D7DEC"/>
    <w:rsid w:val="009E0585"/>
    <w:rsid w:val="009E07C4"/>
    <w:rsid w:val="009E0A1A"/>
    <w:rsid w:val="009E0A89"/>
    <w:rsid w:val="009E125D"/>
    <w:rsid w:val="009E13BC"/>
    <w:rsid w:val="009E16D6"/>
    <w:rsid w:val="009E1BE5"/>
    <w:rsid w:val="009E1DB5"/>
    <w:rsid w:val="009E227D"/>
    <w:rsid w:val="009E2918"/>
    <w:rsid w:val="009E2E12"/>
    <w:rsid w:val="009E2FFC"/>
    <w:rsid w:val="009E3D71"/>
    <w:rsid w:val="009E4464"/>
    <w:rsid w:val="009E497B"/>
    <w:rsid w:val="009E4F99"/>
    <w:rsid w:val="009E5019"/>
    <w:rsid w:val="009E62D1"/>
    <w:rsid w:val="009E63C0"/>
    <w:rsid w:val="009E6831"/>
    <w:rsid w:val="009E6C6B"/>
    <w:rsid w:val="009E6E14"/>
    <w:rsid w:val="009E79E2"/>
    <w:rsid w:val="009E7ACF"/>
    <w:rsid w:val="009E7C4C"/>
    <w:rsid w:val="009F0069"/>
    <w:rsid w:val="009F0C04"/>
    <w:rsid w:val="009F1D2A"/>
    <w:rsid w:val="009F2573"/>
    <w:rsid w:val="009F25D6"/>
    <w:rsid w:val="009F2802"/>
    <w:rsid w:val="009F2DD8"/>
    <w:rsid w:val="009F2FC2"/>
    <w:rsid w:val="009F30E6"/>
    <w:rsid w:val="009F36EF"/>
    <w:rsid w:val="009F4496"/>
    <w:rsid w:val="009F4BBC"/>
    <w:rsid w:val="009F6F61"/>
    <w:rsid w:val="009F712B"/>
    <w:rsid w:val="009F7479"/>
    <w:rsid w:val="009F7AEC"/>
    <w:rsid w:val="00A001B0"/>
    <w:rsid w:val="00A0035B"/>
    <w:rsid w:val="00A0042D"/>
    <w:rsid w:val="00A00D0A"/>
    <w:rsid w:val="00A021F4"/>
    <w:rsid w:val="00A0242C"/>
    <w:rsid w:val="00A02EA2"/>
    <w:rsid w:val="00A030FE"/>
    <w:rsid w:val="00A04859"/>
    <w:rsid w:val="00A04F16"/>
    <w:rsid w:val="00A04F1B"/>
    <w:rsid w:val="00A0501B"/>
    <w:rsid w:val="00A059C0"/>
    <w:rsid w:val="00A06CAC"/>
    <w:rsid w:val="00A070FB"/>
    <w:rsid w:val="00A07A12"/>
    <w:rsid w:val="00A10C24"/>
    <w:rsid w:val="00A10DA5"/>
    <w:rsid w:val="00A10DDC"/>
    <w:rsid w:val="00A10FB0"/>
    <w:rsid w:val="00A11135"/>
    <w:rsid w:val="00A1305D"/>
    <w:rsid w:val="00A1408B"/>
    <w:rsid w:val="00A143B2"/>
    <w:rsid w:val="00A14947"/>
    <w:rsid w:val="00A149BF"/>
    <w:rsid w:val="00A14F99"/>
    <w:rsid w:val="00A15000"/>
    <w:rsid w:val="00A15289"/>
    <w:rsid w:val="00A15731"/>
    <w:rsid w:val="00A16B2E"/>
    <w:rsid w:val="00A171A4"/>
    <w:rsid w:val="00A2082E"/>
    <w:rsid w:val="00A20990"/>
    <w:rsid w:val="00A20BA9"/>
    <w:rsid w:val="00A20F19"/>
    <w:rsid w:val="00A21658"/>
    <w:rsid w:val="00A2186E"/>
    <w:rsid w:val="00A21F2C"/>
    <w:rsid w:val="00A25831"/>
    <w:rsid w:val="00A2614F"/>
    <w:rsid w:val="00A265B0"/>
    <w:rsid w:val="00A266C2"/>
    <w:rsid w:val="00A273CF"/>
    <w:rsid w:val="00A27576"/>
    <w:rsid w:val="00A27952"/>
    <w:rsid w:val="00A27AE3"/>
    <w:rsid w:val="00A3014E"/>
    <w:rsid w:val="00A30367"/>
    <w:rsid w:val="00A30F6E"/>
    <w:rsid w:val="00A3114C"/>
    <w:rsid w:val="00A3146C"/>
    <w:rsid w:val="00A31C80"/>
    <w:rsid w:val="00A31CE6"/>
    <w:rsid w:val="00A32A83"/>
    <w:rsid w:val="00A33682"/>
    <w:rsid w:val="00A3399E"/>
    <w:rsid w:val="00A34375"/>
    <w:rsid w:val="00A3437E"/>
    <w:rsid w:val="00A34690"/>
    <w:rsid w:val="00A34878"/>
    <w:rsid w:val="00A35CEC"/>
    <w:rsid w:val="00A35D96"/>
    <w:rsid w:val="00A3637B"/>
    <w:rsid w:val="00A368DB"/>
    <w:rsid w:val="00A369A3"/>
    <w:rsid w:val="00A36A59"/>
    <w:rsid w:val="00A4030E"/>
    <w:rsid w:val="00A4189F"/>
    <w:rsid w:val="00A419C7"/>
    <w:rsid w:val="00A423AA"/>
    <w:rsid w:val="00A424E6"/>
    <w:rsid w:val="00A439F1"/>
    <w:rsid w:val="00A43BC5"/>
    <w:rsid w:val="00A43FCE"/>
    <w:rsid w:val="00A443BF"/>
    <w:rsid w:val="00A45532"/>
    <w:rsid w:val="00A46166"/>
    <w:rsid w:val="00A46336"/>
    <w:rsid w:val="00A46BCB"/>
    <w:rsid w:val="00A47D35"/>
    <w:rsid w:val="00A47D9C"/>
    <w:rsid w:val="00A5035D"/>
    <w:rsid w:val="00A50CB9"/>
    <w:rsid w:val="00A51F5D"/>
    <w:rsid w:val="00A530E3"/>
    <w:rsid w:val="00A53EC6"/>
    <w:rsid w:val="00A542D8"/>
    <w:rsid w:val="00A549EF"/>
    <w:rsid w:val="00A54BCB"/>
    <w:rsid w:val="00A55A90"/>
    <w:rsid w:val="00A55C0F"/>
    <w:rsid w:val="00A55D05"/>
    <w:rsid w:val="00A56008"/>
    <w:rsid w:val="00A56A7B"/>
    <w:rsid w:val="00A57CF2"/>
    <w:rsid w:val="00A57DB6"/>
    <w:rsid w:val="00A61056"/>
    <w:rsid w:val="00A61195"/>
    <w:rsid w:val="00A611E8"/>
    <w:rsid w:val="00A61202"/>
    <w:rsid w:val="00A61273"/>
    <w:rsid w:val="00A612F7"/>
    <w:rsid w:val="00A620F1"/>
    <w:rsid w:val="00A62243"/>
    <w:rsid w:val="00A622C8"/>
    <w:rsid w:val="00A62A7F"/>
    <w:rsid w:val="00A631C5"/>
    <w:rsid w:val="00A63FBD"/>
    <w:rsid w:val="00A64447"/>
    <w:rsid w:val="00A64928"/>
    <w:rsid w:val="00A6516D"/>
    <w:rsid w:val="00A66F92"/>
    <w:rsid w:val="00A70345"/>
    <w:rsid w:val="00A708AF"/>
    <w:rsid w:val="00A7121F"/>
    <w:rsid w:val="00A71A0B"/>
    <w:rsid w:val="00A71A93"/>
    <w:rsid w:val="00A7216D"/>
    <w:rsid w:val="00A72D50"/>
    <w:rsid w:val="00A73103"/>
    <w:rsid w:val="00A7590E"/>
    <w:rsid w:val="00A75B96"/>
    <w:rsid w:val="00A75BE9"/>
    <w:rsid w:val="00A7793C"/>
    <w:rsid w:val="00A800A5"/>
    <w:rsid w:val="00A807B8"/>
    <w:rsid w:val="00A81E24"/>
    <w:rsid w:val="00A81EF0"/>
    <w:rsid w:val="00A81F83"/>
    <w:rsid w:val="00A8231D"/>
    <w:rsid w:val="00A82C37"/>
    <w:rsid w:val="00A839CC"/>
    <w:rsid w:val="00A83BF8"/>
    <w:rsid w:val="00A83D35"/>
    <w:rsid w:val="00A846DF"/>
    <w:rsid w:val="00A84D48"/>
    <w:rsid w:val="00A8604C"/>
    <w:rsid w:val="00A86CAF"/>
    <w:rsid w:val="00A8713F"/>
    <w:rsid w:val="00A9035F"/>
    <w:rsid w:val="00A906E8"/>
    <w:rsid w:val="00A909E4"/>
    <w:rsid w:val="00A90BA1"/>
    <w:rsid w:val="00A90ECB"/>
    <w:rsid w:val="00A91352"/>
    <w:rsid w:val="00A91852"/>
    <w:rsid w:val="00A9196B"/>
    <w:rsid w:val="00A93DC0"/>
    <w:rsid w:val="00A942A2"/>
    <w:rsid w:val="00A94FC0"/>
    <w:rsid w:val="00A9511E"/>
    <w:rsid w:val="00A951BF"/>
    <w:rsid w:val="00A95324"/>
    <w:rsid w:val="00A95902"/>
    <w:rsid w:val="00A9600B"/>
    <w:rsid w:val="00A9682B"/>
    <w:rsid w:val="00A97A9A"/>
    <w:rsid w:val="00AA01A0"/>
    <w:rsid w:val="00AA0251"/>
    <w:rsid w:val="00AA0671"/>
    <w:rsid w:val="00AA1144"/>
    <w:rsid w:val="00AA124C"/>
    <w:rsid w:val="00AA139C"/>
    <w:rsid w:val="00AA1ECD"/>
    <w:rsid w:val="00AA1F15"/>
    <w:rsid w:val="00AA2531"/>
    <w:rsid w:val="00AA27D6"/>
    <w:rsid w:val="00AA27FA"/>
    <w:rsid w:val="00AA327F"/>
    <w:rsid w:val="00AA3A17"/>
    <w:rsid w:val="00AA3FE7"/>
    <w:rsid w:val="00AA459F"/>
    <w:rsid w:val="00AA4955"/>
    <w:rsid w:val="00AA4C13"/>
    <w:rsid w:val="00AA60A6"/>
    <w:rsid w:val="00AA6637"/>
    <w:rsid w:val="00AA7174"/>
    <w:rsid w:val="00AA7545"/>
    <w:rsid w:val="00AB0138"/>
    <w:rsid w:val="00AB05FB"/>
    <w:rsid w:val="00AB078C"/>
    <w:rsid w:val="00AB0E1F"/>
    <w:rsid w:val="00AB0F6F"/>
    <w:rsid w:val="00AB14A9"/>
    <w:rsid w:val="00AB1E09"/>
    <w:rsid w:val="00AB23AF"/>
    <w:rsid w:val="00AB2A9E"/>
    <w:rsid w:val="00AB2B48"/>
    <w:rsid w:val="00AB301F"/>
    <w:rsid w:val="00AB377B"/>
    <w:rsid w:val="00AB4E1B"/>
    <w:rsid w:val="00AB50B9"/>
    <w:rsid w:val="00AB5330"/>
    <w:rsid w:val="00AB5391"/>
    <w:rsid w:val="00AB56AD"/>
    <w:rsid w:val="00AB5889"/>
    <w:rsid w:val="00AB5C21"/>
    <w:rsid w:val="00AB5F1E"/>
    <w:rsid w:val="00AB61E4"/>
    <w:rsid w:val="00AB675D"/>
    <w:rsid w:val="00AB70D9"/>
    <w:rsid w:val="00AB748F"/>
    <w:rsid w:val="00AB7747"/>
    <w:rsid w:val="00AB7BD9"/>
    <w:rsid w:val="00AC11A7"/>
    <w:rsid w:val="00AC14CE"/>
    <w:rsid w:val="00AC1A64"/>
    <w:rsid w:val="00AC1C96"/>
    <w:rsid w:val="00AC1D99"/>
    <w:rsid w:val="00AC2720"/>
    <w:rsid w:val="00AC2A56"/>
    <w:rsid w:val="00AC2AB9"/>
    <w:rsid w:val="00AC2D31"/>
    <w:rsid w:val="00AC2F13"/>
    <w:rsid w:val="00AC2F2A"/>
    <w:rsid w:val="00AC5A5B"/>
    <w:rsid w:val="00AC6FA5"/>
    <w:rsid w:val="00AC6FDA"/>
    <w:rsid w:val="00AC71D2"/>
    <w:rsid w:val="00AC73AB"/>
    <w:rsid w:val="00AC7FF1"/>
    <w:rsid w:val="00AD055E"/>
    <w:rsid w:val="00AD0571"/>
    <w:rsid w:val="00AD05F6"/>
    <w:rsid w:val="00AD11A2"/>
    <w:rsid w:val="00AD223B"/>
    <w:rsid w:val="00AD3900"/>
    <w:rsid w:val="00AD3EC7"/>
    <w:rsid w:val="00AD47A7"/>
    <w:rsid w:val="00AD6EB6"/>
    <w:rsid w:val="00AD717B"/>
    <w:rsid w:val="00AD740B"/>
    <w:rsid w:val="00AD781F"/>
    <w:rsid w:val="00AE074C"/>
    <w:rsid w:val="00AE0F5D"/>
    <w:rsid w:val="00AE1355"/>
    <w:rsid w:val="00AE1409"/>
    <w:rsid w:val="00AE1BD4"/>
    <w:rsid w:val="00AE1D8B"/>
    <w:rsid w:val="00AE2336"/>
    <w:rsid w:val="00AE238B"/>
    <w:rsid w:val="00AE29DC"/>
    <w:rsid w:val="00AE2FE2"/>
    <w:rsid w:val="00AE43CB"/>
    <w:rsid w:val="00AE500B"/>
    <w:rsid w:val="00AE5438"/>
    <w:rsid w:val="00AE5531"/>
    <w:rsid w:val="00AE6143"/>
    <w:rsid w:val="00AE6C72"/>
    <w:rsid w:val="00AE6DB4"/>
    <w:rsid w:val="00AE6F5E"/>
    <w:rsid w:val="00AE71AC"/>
    <w:rsid w:val="00AE754D"/>
    <w:rsid w:val="00AF0CBF"/>
    <w:rsid w:val="00AF0D24"/>
    <w:rsid w:val="00AF257F"/>
    <w:rsid w:val="00AF2B01"/>
    <w:rsid w:val="00AF2DA4"/>
    <w:rsid w:val="00AF33CF"/>
    <w:rsid w:val="00AF4864"/>
    <w:rsid w:val="00AF4D45"/>
    <w:rsid w:val="00AF4D50"/>
    <w:rsid w:val="00AF4DF9"/>
    <w:rsid w:val="00AF6179"/>
    <w:rsid w:val="00AF7212"/>
    <w:rsid w:val="00AF7515"/>
    <w:rsid w:val="00AF769F"/>
    <w:rsid w:val="00AF76D4"/>
    <w:rsid w:val="00B006FF"/>
    <w:rsid w:val="00B00966"/>
    <w:rsid w:val="00B00C28"/>
    <w:rsid w:val="00B00D69"/>
    <w:rsid w:val="00B01709"/>
    <w:rsid w:val="00B01FC2"/>
    <w:rsid w:val="00B03182"/>
    <w:rsid w:val="00B037DA"/>
    <w:rsid w:val="00B048F6"/>
    <w:rsid w:val="00B073D4"/>
    <w:rsid w:val="00B0740F"/>
    <w:rsid w:val="00B102FA"/>
    <w:rsid w:val="00B103A7"/>
    <w:rsid w:val="00B10435"/>
    <w:rsid w:val="00B10CD1"/>
    <w:rsid w:val="00B11E52"/>
    <w:rsid w:val="00B120AC"/>
    <w:rsid w:val="00B1295A"/>
    <w:rsid w:val="00B12B7A"/>
    <w:rsid w:val="00B13165"/>
    <w:rsid w:val="00B137D9"/>
    <w:rsid w:val="00B1389F"/>
    <w:rsid w:val="00B1403A"/>
    <w:rsid w:val="00B14B01"/>
    <w:rsid w:val="00B14E7A"/>
    <w:rsid w:val="00B15111"/>
    <w:rsid w:val="00B15A44"/>
    <w:rsid w:val="00B160C8"/>
    <w:rsid w:val="00B169F1"/>
    <w:rsid w:val="00B17D61"/>
    <w:rsid w:val="00B17DF3"/>
    <w:rsid w:val="00B20A45"/>
    <w:rsid w:val="00B21220"/>
    <w:rsid w:val="00B214CF"/>
    <w:rsid w:val="00B226BD"/>
    <w:rsid w:val="00B22BFC"/>
    <w:rsid w:val="00B22C5C"/>
    <w:rsid w:val="00B23057"/>
    <w:rsid w:val="00B23F95"/>
    <w:rsid w:val="00B2441E"/>
    <w:rsid w:val="00B2467D"/>
    <w:rsid w:val="00B2476A"/>
    <w:rsid w:val="00B247B4"/>
    <w:rsid w:val="00B24F30"/>
    <w:rsid w:val="00B2520C"/>
    <w:rsid w:val="00B25354"/>
    <w:rsid w:val="00B262B6"/>
    <w:rsid w:val="00B2656F"/>
    <w:rsid w:val="00B266BA"/>
    <w:rsid w:val="00B26D63"/>
    <w:rsid w:val="00B2788E"/>
    <w:rsid w:val="00B27C07"/>
    <w:rsid w:val="00B305E3"/>
    <w:rsid w:val="00B31ABF"/>
    <w:rsid w:val="00B32250"/>
    <w:rsid w:val="00B326B5"/>
    <w:rsid w:val="00B32961"/>
    <w:rsid w:val="00B33585"/>
    <w:rsid w:val="00B33BE3"/>
    <w:rsid w:val="00B33D81"/>
    <w:rsid w:val="00B33FC9"/>
    <w:rsid w:val="00B343E9"/>
    <w:rsid w:val="00B34B38"/>
    <w:rsid w:val="00B34ECD"/>
    <w:rsid w:val="00B363A3"/>
    <w:rsid w:val="00B370DD"/>
    <w:rsid w:val="00B4008B"/>
    <w:rsid w:val="00B40BA9"/>
    <w:rsid w:val="00B41634"/>
    <w:rsid w:val="00B41ABF"/>
    <w:rsid w:val="00B41DBF"/>
    <w:rsid w:val="00B4290B"/>
    <w:rsid w:val="00B42A55"/>
    <w:rsid w:val="00B43C2D"/>
    <w:rsid w:val="00B43D24"/>
    <w:rsid w:val="00B4493D"/>
    <w:rsid w:val="00B458D5"/>
    <w:rsid w:val="00B466B6"/>
    <w:rsid w:val="00B46E63"/>
    <w:rsid w:val="00B47035"/>
    <w:rsid w:val="00B4782F"/>
    <w:rsid w:val="00B510C2"/>
    <w:rsid w:val="00B51373"/>
    <w:rsid w:val="00B51E3E"/>
    <w:rsid w:val="00B51EA5"/>
    <w:rsid w:val="00B5264A"/>
    <w:rsid w:val="00B52E46"/>
    <w:rsid w:val="00B53B5D"/>
    <w:rsid w:val="00B54229"/>
    <w:rsid w:val="00B5425F"/>
    <w:rsid w:val="00B547BA"/>
    <w:rsid w:val="00B54D05"/>
    <w:rsid w:val="00B553E7"/>
    <w:rsid w:val="00B55751"/>
    <w:rsid w:val="00B55A74"/>
    <w:rsid w:val="00B56229"/>
    <w:rsid w:val="00B566A7"/>
    <w:rsid w:val="00B5726D"/>
    <w:rsid w:val="00B574F0"/>
    <w:rsid w:val="00B5783B"/>
    <w:rsid w:val="00B57D0A"/>
    <w:rsid w:val="00B6017F"/>
    <w:rsid w:val="00B6055E"/>
    <w:rsid w:val="00B60AE8"/>
    <w:rsid w:val="00B61BAB"/>
    <w:rsid w:val="00B6317D"/>
    <w:rsid w:val="00B63832"/>
    <w:rsid w:val="00B63892"/>
    <w:rsid w:val="00B63A3A"/>
    <w:rsid w:val="00B64BE7"/>
    <w:rsid w:val="00B65B0C"/>
    <w:rsid w:val="00B661AD"/>
    <w:rsid w:val="00B661C3"/>
    <w:rsid w:val="00B66D08"/>
    <w:rsid w:val="00B67389"/>
    <w:rsid w:val="00B673E0"/>
    <w:rsid w:val="00B67D82"/>
    <w:rsid w:val="00B700E3"/>
    <w:rsid w:val="00B70748"/>
    <w:rsid w:val="00B71548"/>
    <w:rsid w:val="00B7182F"/>
    <w:rsid w:val="00B72251"/>
    <w:rsid w:val="00B7267C"/>
    <w:rsid w:val="00B72ED6"/>
    <w:rsid w:val="00B7365C"/>
    <w:rsid w:val="00B73665"/>
    <w:rsid w:val="00B7379D"/>
    <w:rsid w:val="00B73CFD"/>
    <w:rsid w:val="00B75999"/>
    <w:rsid w:val="00B75A1A"/>
    <w:rsid w:val="00B75DB7"/>
    <w:rsid w:val="00B763AD"/>
    <w:rsid w:val="00B7723F"/>
    <w:rsid w:val="00B77626"/>
    <w:rsid w:val="00B77661"/>
    <w:rsid w:val="00B77A53"/>
    <w:rsid w:val="00B77E93"/>
    <w:rsid w:val="00B80534"/>
    <w:rsid w:val="00B805E6"/>
    <w:rsid w:val="00B80620"/>
    <w:rsid w:val="00B806D5"/>
    <w:rsid w:val="00B80959"/>
    <w:rsid w:val="00B81286"/>
    <w:rsid w:val="00B81A28"/>
    <w:rsid w:val="00B81F42"/>
    <w:rsid w:val="00B82627"/>
    <w:rsid w:val="00B826AC"/>
    <w:rsid w:val="00B82761"/>
    <w:rsid w:val="00B827BB"/>
    <w:rsid w:val="00B828B1"/>
    <w:rsid w:val="00B82A18"/>
    <w:rsid w:val="00B82BF1"/>
    <w:rsid w:val="00B83712"/>
    <w:rsid w:val="00B83858"/>
    <w:rsid w:val="00B8433C"/>
    <w:rsid w:val="00B871AD"/>
    <w:rsid w:val="00B87491"/>
    <w:rsid w:val="00B87D89"/>
    <w:rsid w:val="00B904CF"/>
    <w:rsid w:val="00B90542"/>
    <w:rsid w:val="00B91BE9"/>
    <w:rsid w:val="00B9302D"/>
    <w:rsid w:val="00B93144"/>
    <w:rsid w:val="00B93699"/>
    <w:rsid w:val="00B93AFF"/>
    <w:rsid w:val="00B944D3"/>
    <w:rsid w:val="00B94C3D"/>
    <w:rsid w:val="00B95441"/>
    <w:rsid w:val="00B96080"/>
    <w:rsid w:val="00B9640F"/>
    <w:rsid w:val="00B967B0"/>
    <w:rsid w:val="00B96C7B"/>
    <w:rsid w:val="00B96F51"/>
    <w:rsid w:val="00B97116"/>
    <w:rsid w:val="00B97995"/>
    <w:rsid w:val="00BA03E1"/>
    <w:rsid w:val="00BA03E3"/>
    <w:rsid w:val="00BA0F94"/>
    <w:rsid w:val="00BA29E9"/>
    <w:rsid w:val="00BA3A58"/>
    <w:rsid w:val="00BA3E35"/>
    <w:rsid w:val="00BA51AC"/>
    <w:rsid w:val="00BA5305"/>
    <w:rsid w:val="00BA5F2E"/>
    <w:rsid w:val="00BA5FDF"/>
    <w:rsid w:val="00BA68BF"/>
    <w:rsid w:val="00BA7142"/>
    <w:rsid w:val="00BA7AA9"/>
    <w:rsid w:val="00BB0195"/>
    <w:rsid w:val="00BB046C"/>
    <w:rsid w:val="00BB13ED"/>
    <w:rsid w:val="00BB1816"/>
    <w:rsid w:val="00BB1D3F"/>
    <w:rsid w:val="00BB237C"/>
    <w:rsid w:val="00BB3033"/>
    <w:rsid w:val="00BB30CB"/>
    <w:rsid w:val="00BB355B"/>
    <w:rsid w:val="00BB41A3"/>
    <w:rsid w:val="00BB556D"/>
    <w:rsid w:val="00BB5AEC"/>
    <w:rsid w:val="00BB6597"/>
    <w:rsid w:val="00BC004D"/>
    <w:rsid w:val="00BC01E8"/>
    <w:rsid w:val="00BC06D4"/>
    <w:rsid w:val="00BC0B12"/>
    <w:rsid w:val="00BC242E"/>
    <w:rsid w:val="00BC2507"/>
    <w:rsid w:val="00BC325D"/>
    <w:rsid w:val="00BC32DC"/>
    <w:rsid w:val="00BC35B6"/>
    <w:rsid w:val="00BC3785"/>
    <w:rsid w:val="00BC42B0"/>
    <w:rsid w:val="00BC44EB"/>
    <w:rsid w:val="00BC46B6"/>
    <w:rsid w:val="00BC5231"/>
    <w:rsid w:val="00BC548D"/>
    <w:rsid w:val="00BC595B"/>
    <w:rsid w:val="00BC617E"/>
    <w:rsid w:val="00BC65BF"/>
    <w:rsid w:val="00BC718D"/>
    <w:rsid w:val="00BC71B8"/>
    <w:rsid w:val="00BC784D"/>
    <w:rsid w:val="00BC7E41"/>
    <w:rsid w:val="00BD058F"/>
    <w:rsid w:val="00BD062B"/>
    <w:rsid w:val="00BD1715"/>
    <w:rsid w:val="00BD1B51"/>
    <w:rsid w:val="00BD2825"/>
    <w:rsid w:val="00BD2C95"/>
    <w:rsid w:val="00BD4596"/>
    <w:rsid w:val="00BD5CC9"/>
    <w:rsid w:val="00BD5FB4"/>
    <w:rsid w:val="00BD62E8"/>
    <w:rsid w:val="00BD654C"/>
    <w:rsid w:val="00BE0AEC"/>
    <w:rsid w:val="00BE113A"/>
    <w:rsid w:val="00BE137E"/>
    <w:rsid w:val="00BE1405"/>
    <w:rsid w:val="00BE24BD"/>
    <w:rsid w:val="00BE2F50"/>
    <w:rsid w:val="00BE312D"/>
    <w:rsid w:val="00BE5D46"/>
    <w:rsid w:val="00BE6EE9"/>
    <w:rsid w:val="00BE6F66"/>
    <w:rsid w:val="00BE7659"/>
    <w:rsid w:val="00BE7A3A"/>
    <w:rsid w:val="00BE7C27"/>
    <w:rsid w:val="00BF00C2"/>
    <w:rsid w:val="00BF0F7A"/>
    <w:rsid w:val="00BF1C20"/>
    <w:rsid w:val="00BF2372"/>
    <w:rsid w:val="00BF33AF"/>
    <w:rsid w:val="00BF3696"/>
    <w:rsid w:val="00BF381E"/>
    <w:rsid w:val="00BF3C78"/>
    <w:rsid w:val="00BF4C75"/>
    <w:rsid w:val="00BF501A"/>
    <w:rsid w:val="00BF6E88"/>
    <w:rsid w:val="00BF72A2"/>
    <w:rsid w:val="00BF77F4"/>
    <w:rsid w:val="00C01821"/>
    <w:rsid w:val="00C019FC"/>
    <w:rsid w:val="00C02110"/>
    <w:rsid w:val="00C021C2"/>
    <w:rsid w:val="00C02558"/>
    <w:rsid w:val="00C02C1F"/>
    <w:rsid w:val="00C039F2"/>
    <w:rsid w:val="00C04704"/>
    <w:rsid w:val="00C049EE"/>
    <w:rsid w:val="00C052D4"/>
    <w:rsid w:val="00C05810"/>
    <w:rsid w:val="00C06380"/>
    <w:rsid w:val="00C067C7"/>
    <w:rsid w:val="00C06803"/>
    <w:rsid w:val="00C06FE3"/>
    <w:rsid w:val="00C07729"/>
    <w:rsid w:val="00C0773E"/>
    <w:rsid w:val="00C0792B"/>
    <w:rsid w:val="00C10125"/>
    <w:rsid w:val="00C102BD"/>
    <w:rsid w:val="00C10578"/>
    <w:rsid w:val="00C11383"/>
    <w:rsid w:val="00C11FCE"/>
    <w:rsid w:val="00C123CE"/>
    <w:rsid w:val="00C12794"/>
    <w:rsid w:val="00C12B6B"/>
    <w:rsid w:val="00C12CCC"/>
    <w:rsid w:val="00C12F04"/>
    <w:rsid w:val="00C12FB1"/>
    <w:rsid w:val="00C135BC"/>
    <w:rsid w:val="00C13971"/>
    <w:rsid w:val="00C144AE"/>
    <w:rsid w:val="00C14973"/>
    <w:rsid w:val="00C14C0E"/>
    <w:rsid w:val="00C15C95"/>
    <w:rsid w:val="00C16175"/>
    <w:rsid w:val="00C16FC8"/>
    <w:rsid w:val="00C2003A"/>
    <w:rsid w:val="00C2036E"/>
    <w:rsid w:val="00C20404"/>
    <w:rsid w:val="00C205F2"/>
    <w:rsid w:val="00C20757"/>
    <w:rsid w:val="00C212D4"/>
    <w:rsid w:val="00C2161B"/>
    <w:rsid w:val="00C219BA"/>
    <w:rsid w:val="00C21C6B"/>
    <w:rsid w:val="00C21E98"/>
    <w:rsid w:val="00C21F4D"/>
    <w:rsid w:val="00C22EC1"/>
    <w:rsid w:val="00C23023"/>
    <w:rsid w:val="00C23061"/>
    <w:rsid w:val="00C23102"/>
    <w:rsid w:val="00C249D2"/>
    <w:rsid w:val="00C25328"/>
    <w:rsid w:val="00C255E5"/>
    <w:rsid w:val="00C25862"/>
    <w:rsid w:val="00C2596A"/>
    <w:rsid w:val="00C259F3"/>
    <w:rsid w:val="00C25AEB"/>
    <w:rsid w:val="00C269FE"/>
    <w:rsid w:val="00C27537"/>
    <w:rsid w:val="00C276D0"/>
    <w:rsid w:val="00C278C3"/>
    <w:rsid w:val="00C27F7E"/>
    <w:rsid w:val="00C304AF"/>
    <w:rsid w:val="00C30543"/>
    <w:rsid w:val="00C32215"/>
    <w:rsid w:val="00C32524"/>
    <w:rsid w:val="00C32862"/>
    <w:rsid w:val="00C328FE"/>
    <w:rsid w:val="00C32D2C"/>
    <w:rsid w:val="00C332A9"/>
    <w:rsid w:val="00C332F0"/>
    <w:rsid w:val="00C33507"/>
    <w:rsid w:val="00C335AF"/>
    <w:rsid w:val="00C3477F"/>
    <w:rsid w:val="00C3504F"/>
    <w:rsid w:val="00C354D4"/>
    <w:rsid w:val="00C357C4"/>
    <w:rsid w:val="00C36056"/>
    <w:rsid w:val="00C36927"/>
    <w:rsid w:val="00C40D8F"/>
    <w:rsid w:val="00C4108A"/>
    <w:rsid w:val="00C41247"/>
    <w:rsid w:val="00C4287F"/>
    <w:rsid w:val="00C42909"/>
    <w:rsid w:val="00C43369"/>
    <w:rsid w:val="00C43ABB"/>
    <w:rsid w:val="00C43FF4"/>
    <w:rsid w:val="00C4409D"/>
    <w:rsid w:val="00C44101"/>
    <w:rsid w:val="00C44687"/>
    <w:rsid w:val="00C44E72"/>
    <w:rsid w:val="00C45A06"/>
    <w:rsid w:val="00C46000"/>
    <w:rsid w:val="00C462BD"/>
    <w:rsid w:val="00C46799"/>
    <w:rsid w:val="00C46A4C"/>
    <w:rsid w:val="00C46B73"/>
    <w:rsid w:val="00C46C2A"/>
    <w:rsid w:val="00C4704B"/>
    <w:rsid w:val="00C479A9"/>
    <w:rsid w:val="00C47E5B"/>
    <w:rsid w:val="00C50628"/>
    <w:rsid w:val="00C5065E"/>
    <w:rsid w:val="00C51091"/>
    <w:rsid w:val="00C51C84"/>
    <w:rsid w:val="00C522C1"/>
    <w:rsid w:val="00C52792"/>
    <w:rsid w:val="00C537AD"/>
    <w:rsid w:val="00C53DEF"/>
    <w:rsid w:val="00C53E3E"/>
    <w:rsid w:val="00C544E9"/>
    <w:rsid w:val="00C54919"/>
    <w:rsid w:val="00C54D7E"/>
    <w:rsid w:val="00C5500C"/>
    <w:rsid w:val="00C551BC"/>
    <w:rsid w:val="00C5525F"/>
    <w:rsid w:val="00C5579E"/>
    <w:rsid w:val="00C5590F"/>
    <w:rsid w:val="00C55B7E"/>
    <w:rsid w:val="00C56022"/>
    <w:rsid w:val="00C567EA"/>
    <w:rsid w:val="00C5686E"/>
    <w:rsid w:val="00C57422"/>
    <w:rsid w:val="00C60D67"/>
    <w:rsid w:val="00C61B2E"/>
    <w:rsid w:val="00C61E4B"/>
    <w:rsid w:val="00C62112"/>
    <w:rsid w:val="00C62B2E"/>
    <w:rsid w:val="00C62B9B"/>
    <w:rsid w:val="00C644C4"/>
    <w:rsid w:val="00C64562"/>
    <w:rsid w:val="00C64799"/>
    <w:rsid w:val="00C64831"/>
    <w:rsid w:val="00C64BFF"/>
    <w:rsid w:val="00C64DEC"/>
    <w:rsid w:val="00C64F74"/>
    <w:rsid w:val="00C65328"/>
    <w:rsid w:val="00C6554B"/>
    <w:rsid w:val="00C65567"/>
    <w:rsid w:val="00C65ABF"/>
    <w:rsid w:val="00C65B5A"/>
    <w:rsid w:val="00C66185"/>
    <w:rsid w:val="00C66FB0"/>
    <w:rsid w:val="00C670B6"/>
    <w:rsid w:val="00C67F98"/>
    <w:rsid w:val="00C704E9"/>
    <w:rsid w:val="00C706A4"/>
    <w:rsid w:val="00C70718"/>
    <w:rsid w:val="00C71217"/>
    <w:rsid w:val="00C718AF"/>
    <w:rsid w:val="00C71CE7"/>
    <w:rsid w:val="00C72065"/>
    <w:rsid w:val="00C735B1"/>
    <w:rsid w:val="00C73D79"/>
    <w:rsid w:val="00C73E1D"/>
    <w:rsid w:val="00C74119"/>
    <w:rsid w:val="00C753A0"/>
    <w:rsid w:val="00C7568D"/>
    <w:rsid w:val="00C760FC"/>
    <w:rsid w:val="00C763C9"/>
    <w:rsid w:val="00C768E8"/>
    <w:rsid w:val="00C76CA5"/>
    <w:rsid w:val="00C771DB"/>
    <w:rsid w:val="00C77697"/>
    <w:rsid w:val="00C778E7"/>
    <w:rsid w:val="00C80057"/>
    <w:rsid w:val="00C809A8"/>
    <w:rsid w:val="00C80E10"/>
    <w:rsid w:val="00C82232"/>
    <w:rsid w:val="00C82913"/>
    <w:rsid w:val="00C82AD2"/>
    <w:rsid w:val="00C83622"/>
    <w:rsid w:val="00C83721"/>
    <w:rsid w:val="00C83A61"/>
    <w:rsid w:val="00C83A9B"/>
    <w:rsid w:val="00C83D92"/>
    <w:rsid w:val="00C8419A"/>
    <w:rsid w:val="00C845F4"/>
    <w:rsid w:val="00C84A7A"/>
    <w:rsid w:val="00C84E66"/>
    <w:rsid w:val="00C8505D"/>
    <w:rsid w:val="00C85BBC"/>
    <w:rsid w:val="00C863C1"/>
    <w:rsid w:val="00C865C8"/>
    <w:rsid w:val="00C87161"/>
    <w:rsid w:val="00C87CC8"/>
    <w:rsid w:val="00C87ED3"/>
    <w:rsid w:val="00C87FC0"/>
    <w:rsid w:val="00C9038C"/>
    <w:rsid w:val="00C90904"/>
    <w:rsid w:val="00C90E07"/>
    <w:rsid w:val="00C9168F"/>
    <w:rsid w:val="00C939DE"/>
    <w:rsid w:val="00C94047"/>
    <w:rsid w:val="00C948F0"/>
    <w:rsid w:val="00C954B5"/>
    <w:rsid w:val="00C96505"/>
    <w:rsid w:val="00C968FD"/>
    <w:rsid w:val="00C96D77"/>
    <w:rsid w:val="00C971E0"/>
    <w:rsid w:val="00C972B1"/>
    <w:rsid w:val="00C97A1B"/>
    <w:rsid w:val="00C97D39"/>
    <w:rsid w:val="00CA13CC"/>
    <w:rsid w:val="00CA207C"/>
    <w:rsid w:val="00CA219E"/>
    <w:rsid w:val="00CA2CCE"/>
    <w:rsid w:val="00CA2DE6"/>
    <w:rsid w:val="00CA43FD"/>
    <w:rsid w:val="00CA671E"/>
    <w:rsid w:val="00CA69F6"/>
    <w:rsid w:val="00CA6B77"/>
    <w:rsid w:val="00CA7705"/>
    <w:rsid w:val="00CA7EF8"/>
    <w:rsid w:val="00CA7F46"/>
    <w:rsid w:val="00CB0337"/>
    <w:rsid w:val="00CB0DC0"/>
    <w:rsid w:val="00CB0FDC"/>
    <w:rsid w:val="00CB313F"/>
    <w:rsid w:val="00CB3EE0"/>
    <w:rsid w:val="00CB3F6A"/>
    <w:rsid w:val="00CB4237"/>
    <w:rsid w:val="00CB4689"/>
    <w:rsid w:val="00CB55DB"/>
    <w:rsid w:val="00CB561D"/>
    <w:rsid w:val="00CB6117"/>
    <w:rsid w:val="00CB6C13"/>
    <w:rsid w:val="00CB6C98"/>
    <w:rsid w:val="00CB71DC"/>
    <w:rsid w:val="00CB7297"/>
    <w:rsid w:val="00CB7324"/>
    <w:rsid w:val="00CB766F"/>
    <w:rsid w:val="00CC0A70"/>
    <w:rsid w:val="00CC0CF9"/>
    <w:rsid w:val="00CC14C4"/>
    <w:rsid w:val="00CC1A2D"/>
    <w:rsid w:val="00CC3278"/>
    <w:rsid w:val="00CC35F7"/>
    <w:rsid w:val="00CC36EC"/>
    <w:rsid w:val="00CC40A6"/>
    <w:rsid w:val="00CC489B"/>
    <w:rsid w:val="00CC4AC8"/>
    <w:rsid w:val="00CC4B5F"/>
    <w:rsid w:val="00CC4BAB"/>
    <w:rsid w:val="00CC53BC"/>
    <w:rsid w:val="00CC5CC8"/>
    <w:rsid w:val="00CC64F1"/>
    <w:rsid w:val="00CD05A8"/>
    <w:rsid w:val="00CD0BC6"/>
    <w:rsid w:val="00CD0ECA"/>
    <w:rsid w:val="00CD197E"/>
    <w:rsid w:val="00CD1D11"/>
    <w:rsid w:val="00CD2BCD"/>
    <w:rsid w:val="00CD337E"/>
    <w:rsid w:val="00CD3425"/>
    <w:rsid w:val="00CD3A4C"/>
    <w:rsid w:val="00CD509B"/>
    <w:rsid w:val="00CD58B7"/>
    <w:rsid w:val="00CD5D07"/>
    <w:rsid w:val="00CD66C7"/>
    <w:rsid w:val="00CD6B51"/>
    <w:rsid w:val="00CD75A9"/>
    <w:rsid w:val="00CD7700"/>
    <w:rsid w:val="00CD7E81"/>
    <w:rsid w:val="00CE04F3"/>
    <w:rsid w:val="00CE0DB7"/>
    <w:rsid w:val="00CE10E9"/>
    <w:rsid w:val="00CE2241"/>
    <w:rsid w:val="00CE2910"/>
    <w:rsid w:val="00CE2D4A"/>
    <w:rsid w:val="00CE2D9C"/>
    <w:rsid w:val="00CE2EBD"/>
    <w:rsid w:val="00CE3431"/>
    <w:rsid w:val="00CE3952"/>
    <w:rsid w:val="00CE3D51"/>
    <w:rsid w:val="00CE4215"/>
    <w:rsid w:val="00CE4282"/>
    <w:rsid w:val="00CE4503"/>
    <w:rsid w:val="00CE4D90"/>
    <w:rsid w:val="00CE5393"/>
    <w:rsid w:val="00CE5794"/>
    <w:rsid w:val="00CE5AF2"/>
    <w:rsid w:val="00CE6CEA"/>
    <w:rsid w:val="00CE6DAC"/>
    <w:rsid w:val="00CE708F"/>
    <w:rsid w:val="00CE779B"/>
    <w:rsid w:val="00CF01BA"/>
    <w:rsid w:val="00CF0974"/>
    <w:rsid w:val="00CF0D43"/>
    <w:rsid w:val="00CF2579"/>
    <w:rsid w:val="00CF2EB7"/>
    <w:rsid w:val="00CF36BE"/>
    <w:rsid w:val="00CF3DE5"/>
    <w:rsid w:val="00CF43B0"/>
    <w:rsid w:val="00CF5268"/>
    <w:rsid w:val="00CF5848"/>
    <w:rsid w:val="00CF6000"/>
    <w:rsid w:val="00CF7541"/>
    <w:rsid w:val="00CF7C0C"/>
    <w:rsid w:val="00D003F3"/>
    <w:rsid w:val="00D011A5"/>
    <w:rsid w:val="00D01308"/>
    <w:rsid w:val="00D017A8"/>
    <w:rsid w:val="00D01FA7"/>
    <w:rsid w:val="00D0242F"/>
    <w:rsid w:val="00D026AD"/>
    <w:rsid w:val="00D02CD0"/>
    <w:rsid w:val="00D0361B"/>
    <w:rsid w:val="00D0364F"/>
    <w:rsid w:val="00D03687"/>
    <w:rsid w:val="00D037AD"/>
    <w:rsid w:val="00D0444E"/>
    <w:rsid w:val="00D04BFF"/>
    <w:rsid w:val="00D054BB"/>
    <w:rsid w:val="00D055EE"/>
    <w:rsid w:val="00D05794"/>
    <w:rsid w:val="00D05DE1"/>
    <w:rsid w:val="00D0667E"/>
    <w:rsid w:val="00D06834"/>
    <w:rsid w:val="00D06C96"/>
    <w:rsid w:val="00D12815"/>
    <w:rsid w:val="00D12D83"/>
    <w:rsid w:val="00D141CF"/>
    <w:rsid w:val="00D14D04"/>
    <w:rsid w:val="00D1530F"/>
    <w:rsid w:val="00D15333"/>
    <w:rsid w:val="00D15C7D"/>
    <w:rsid w:val="00D15EA4"/>
    <w:rsid w:val="00D1608B"/>
    <w:rsid w:val="00D16AD9"/>
    <w:rsid w:val="00D1771F"/>
    <w:rsid w:val="00D179EB"/>
    <w:rsid w:val="00D17C93"/>
    <w:rsid w:val="00D20301"/>
    <w:rsid w:val="00D215A9"/>
    <w:rsid w:val="00D21F1F"/>
    <w:rsid w:val="00D226C1"/>
    <w:rsid w:val="00D22763"/>
    <w:rsid w:val="00D22C74"/>
    <w:rsid w:val="00D237F3"/>
    <w:rsid w:val="00D251BE"/>
    <w:rsid w:val="00D255D9"/>
    <w:rsid w:val="00D26494"/>
    <w:rsid w:val="00D26A21"/>
    <w:rsid w:val="00D26D61"/>
    <w:rsid w:val="00D26F51"/>
    <w:rsid w:val="00D276A7"/>
    <w:rsid w:val="00D27923"/>
    <w:rsid w:val="00D27F2E"/>
    <w:rsid w:val="00D304B2"/>
    <w:rsid w:val="00D308ED"/>
    <w:rsid w:val="00D30B8D"/>
    <w:rsid w:val="00D3175F"/>
    <w:rsid w:val="00D32647"/>
    <w:rsid w:val="00D32BED"/>
    <w:rsid w:val="00D35463"/>
    <w:rsid w:val="00D354AF"/>
    <w:rsid w:val="00D355D0"/>
    <w:rsid w:val="00D35F9F"/>
    <w:rsid w:val="00D361AD"/>
    <w:rsid w:val="00D36858"/>
    <w:rsid w:val="00D36BD4"/>
    <w:rsid w:val="00D36D86"/>
    <w:rsid w:val="00D4032D"/>
    <w:rsid w:val="00D40D88"/>
    <w:rsid w:val="00D41636"/>
    <w:rsid w:val="00D41976"/>
    <w:rsid w:val="00D42383"/>
    <w:rsid w:val="00D42576"/>
    <w:rsid w:val="00D428AA"/>
    <w:rsid w:val="00D429BB"/>
    <w:rsid w:val="00D42A04"/>
    <w:rsid w:val="00D43560"/>
    <w:rsid w:val="00D4365D"/>
    <w:rsid w:val="00D4377B"/>
    <w:rsid w:val="00D43796"/>
    <w:rsid w:val="00D438B3"/>
    <w:rsid w:val="00D43EFE"/>
    <w:rsid w:val="00D43F75"/>
    <w:rsid w:val="00D45238"/>
    <w:rsid w:val="00D45305"/>
    <w:rsid w:val="00D455B5"/>
    <w:rsid w:val="00D463AE"/>
    <w:rsid w:val="00D4655C"/>
    <w:rsid w:val="00D47524"/>
    <w:rsid w:val="00D476F5"/>
    <w:rsid w:val="00D47C20"/>
    <w:rsid w:val="00D50503"/>
    <w:rsid w:val="00D50A34"/>
    <w:rsid w:val="00D50C51"/>
    <w:rsid w:val="00D50CFD"/>
    <w:rsid w:val="00D50E39"/>
    <w:rsid w:val="00D51195"/>
    <w:rsid w:val="00D515A5"/>
    <w:rsid w:val="00D51BA5"/>
    <w:rsid w:val="00D523C8"/>
    <w:rsid w:val="00D53CD2"/>
    <w:rsid w:val="00D53EFA"/>
    <w:rsid w:val="00D545E1"/>
    <w:rsid w:val="00D55A15"/>
    <w:rsid w:val="00D5727C"/>
    <w:rsid w:val="00D5785A"/>
    <w:rsid w:val="00D57FCC"/>
    <w:rsid w:val="00D604E9"/>
    <w:rsid w:val="00D61373"/>
    <w:rsid w:val="00D61701"/>
    <w:rsid w:val="00D619A3"/>
    <w:rsid w:val="00D61B5E"/>
    <w:rsid w:val="00D61B77"/>
    <w:rsid w:val="00D61D05"/>
    <w:rsid w:val="00D6252B"/>
    <w:rsid w:val="00D6256C"/>
    <w:rsid w:val="00D627D9"/>
    <w:rsid w:val="00D6297C"/>
    <w:rsid w:val="00D62EF1"/>
    <w:rsid w:val="00D630D2"/>
    <w:rsid w:val="00D633A7"/>
    <w:rsid w:val="00D637C5"/>
    <w:rsid w:val="00D63894"/>
    <w:rsid w:val="00D64094"/>
    <w:rsid w:val="00D6414A"/>
    <w:rsid w:val="00D6499C"/>
    <w:rsid w:val="00D6512C"/>
    <w:rsid w:val="00D658A6"/>
    <w:rsid w:val="00D6757D"/>
    <w:rsid w:val="00D6781D"/>
    <w:rsid w:val="00D67907"/>
    <w:rsid w:val="00D67FA5"/>
    <w:rsid w:val="00D70C30"/>
    <w:rsid w:val="00D70EA8"/>
    <w:rsid w:val="00D70F44"/>
    <w:rsid w:val="00D71C35"/>
    <w:rsid w:val="00D7247A"/>
    <w:rsid w:val="00D72526"/>
    <w:rsid w:val="00D72560"/>
    <w:rsid w:val="00D72E6C"/>
    <w:rsid w:val="00D72EF6"/>
    <w:rsid w:val="00D732A6"/>
    <w:rsid w:val="00D735F9"/>
    <w:rsid w:val="00D74436"/>
    <w:rsid w:val="00D74B68"/>
    <w:rsid w:val="00D75FD4"/>
    <w:rsid w:val="00D77629"/>
    <w:rsid w:val="00D776C2"/>
    <w:rsid w:val="00D800C8"/>
    <w:rsid w:val="00D80A04"/>
    <w:rsid w:val="00D80A87"/>
    <w:rsid w:val="00D8143B"/>
    <w:rsid w:val="00D81A00"/>
    <w:rsid w:val="00D81BA4"/>
    <w:rsid w:val="00D81C6C"/>
    <w:rsid w:val="00D81CA6"/>
    <w:rsid w:val="00D822DC"/>
    <w:rsid w:val="00D82535"/>
    <w:rsid w:val="00D826A3"/>
    <w:rsid w:val="00D82AD1"/>
    <w:rsid w:val="00D82AF6"/>
    <w:rsid w:val="00D83C6C"/>
    <w:rsid w:val="00D84116"/>
    <w:rsid w:val="00D84DBF"/>
    <w:rsid w:val="00D86333"/>
    <w:rsid w:val="00D874C0"/>
    <w:rsid w:val="00D87699"/>
    <w:rsid w:val="00D87757"/>
    <w:rsid w:val="00D87831"/>
    <w:rsid w:val="00D90526"/>
    <w:rsid w:val="00D905BE"/>
    <w:rsid w:val="00D90BB2"/>
    <w:rsid w:val="00D912BE"/>
    <w:rsid w:val="00D913CB"/>
    <w:rsid w:val="00D917B6"/>
    <w:rsid w:val="00D91C04"/>
    <w:rsid w:val="00D91C86"/>
    <w:rsid w:val="00D93407"/>
    <w:rsid w:val="00D93A49"/>
    <w:rsid w:val="00D942D4"/>
    <w:rsid w:val="00D9453E"/>
    <w:rsid w:val="00D94A5E"/>
    <w:rsid w:val="00D94A7C"/>
    <w:rsid w:val="00D94F2B"/>
    <w:rsid w:val="00D95242"/>
    <w:rsid w:val="00D95360"/>
    <w:rsid w:val="00D95896"/>
    <w:rsid w:val="00D95C21"/>
    <w:rsid w:val="00D96BB6"/>
    <w:rsid w:val="00D96F66"/>
    <w:rsid w:val="00DA10AD"/>
    <w:rsid w:val="00DA14A3"/>
    <w:rsid w:val="00DA2376"/>
    <w:rsid w:val="00DA3B1E"/>
    <w:rsid w:val="00DA4157"/>
    <w:rsid w:val="00DA505C"/>
    <w:rsid w:val="00DA5394"/>
    <w:rsid w:val="00DA5573"/>
    <w:rsid w:val="00DA56B5"/>
    <w:rsid w:val="00DA6B76"/>
    <w:rsid w:val="00DA6CED"/>
    <w:rsid w:val="00DA7394"/>
    <w:rsid w:val="00DA7B0B"/>
    <w:rsid w:val="00DA7BD4"/>
    <w:rsid w:val="00DB0365"/>
    <w:rsid w:val="00DB040F"/>
    <w:rsid w:val="00DB1034"/>
    <w:rsid w:val="00DB115D"/>
    <w:rsid w:val="00DB11F4"/>
    <w:rsid w:val="00DB194A"/>
    <w:rsid w:val="00DB1E34"/>
    <w:rsid w:val="00DB2983"/>
    <w:rsid w:val="00DB29E7"/>
    <w:rsid w:val="00DB39B8"/>
    <w:rsid w:val="00DB3C15"/>
    <w:rsid w:val="00DB449C"/>
    <w:rsid w:val="00DB5403"/>
    <w:rsid w:val="00DB55B8"/>
    <w:rsid w:val="00DB5CAC"/>
    <w:rsid w:val="00DB6697"/>
    <w:rsid w:val="00DC073B"/>
    <w:rsid w:val="00DC1257"/>
    <w:rsid w:val="00DC213F"/>
    <w:rsid w:val="00DC2DAD"/>
    <w:rsid w:val="00DC3A8E"/>
    <w:rsid w:val="00DC3AD1"/>
    <w:rsid w:val="00DC3DC0"/>
    <w:rsid w:val="00DC3DC2"/>
    <w:rsid w:val="00DC41FD"/>
    <w:rsid w:val="00DC429E"/>
    <w:rsid w:val="00DC4A93"/>
    <w:rsid w:val="00DC5B2B"/>
    <w:rsid w:val="00DC5CB9"/>
    <w:rsid w:val="00DC7222"/>
    <w:rsid w:val="00DD02DC"/>
    <w:rsid w:val="00DD1072"/>
    <w:rsid w:val="00DD14E3"/>
    <w:rsid w:val="00DD1744"/>
    <w:rsid w:val="00DD2819"/>
    <w:rsid w:val="00DD2A0F"/>
    <w:rsid w:val="00DD2EAC"/>
    <w:rsid w:val="00DD318D"/>
    <w:rsid w:val="00DD3325"/>
    <w:rsid w:val="00DD3543"/>
    <w:rsid w:val="00DD3632"/>
    <w:rsid w:val="00DD386C"/>
    <w:rsid w:val="00DD3A10"/>
    <w:rsid w:val="00DD41C1"/>
    <w:rsid w:val="00DD47E6"/>
    <w:rsid w:val="00DD4A5E"/>
    <w:rsid w:val="00DD4B97"/>
    <w:rsid w:val="00DD4D6B"/>
    <w:rsid w:val="00DD5B6B"/>
    <w:rsid w:val="00DD69E0"/>
    <w:rsid w:val="00DE003E"/>
    <w:rsid w:val="00DE14B5"/>
    <w:rsid w:val="00DE3340"/>
    <w:rsid w:val="00DE40AA"/>
    <w:rsid w:val="00DE48E0"/>
    <w:rsid w:val="00DE4929"/>
    <w:rsid w:val="00DE4C8C"/>
    <w:rsid w:val="00DE505B"/>
    <w:rsid w:val="00DE5251"/>
    <w:rsid w:val="00DE5420"/>
    <w:rsid w:val="00DE5764"/>
    <w:rsid w:val="00DE58F5"/>
    <w:rsid w:val="00DE5DA5"/>
    <w:rsid w:val="00DE6929"/>
    <w:rsid w:val="00DE6B27"/>
    <w:rsid w:val="00DE7FC6"/>
    <w:rsid w:val="00DF00CC"/>
    <w:rsid w:val="00DF0552"/>
    <w:rsid w:val="00DF0721"/>
    <w:rsid w:val="00DF10D7"/>
    <w:rsid w:val="00DF110B"/>
    <w:rsid w:val="00DF15B4"/>
    <w:rsid w:val="00DF195F"/>
    <w:rsid w:val="00DF1D71"/>
    <w:rsid w:val="00DF1EC3"/>
    <w:rsid w:val="00DF2A60"/>
    <w:rsid w:val="00DF2BD5"/>
    <w:rsid w:val="00DF2E12"/>
    <w:rsid w:val="00DF3E7B"/>
    <w:rsid w:val="00DF4152"/>
    <w:rsid w:val="00DF454C"/>
    <w:rsid w:val="00DF514A"/>
    <w:rsid w:val="00DF5A52"/>
    <w:rsid w:val="00DF6690"/>
    <w:rsid w:val="00DF6804"/>
    <w:rsid w:val="00DF717E"/>
    <w:rsid w:val="00DF78BA"/>
    <w:rsid w:val="00DF7B34"/>
    <w:rsid w:val="00E002EE"/>
    <w:rsid w:val="00E003BF"/>
    <w:rsid w:val="00E009D5"/>
    <w:rsid w:val="00E01714"/>
    <w:rsid w:val="00E01999"/>
    <w:rsid w:val="00E0232B"/>
    <w:rsid w:val="00E02384"/>
    <w:rsid w:val="00E02613"/>
    <w:rsid w:val="00E02A81"/>
    <w:rsid w:val="00E0358D"/>
    <w:rsid w:val="00E03DA6"/>
    <w:rsid w:val="00E040A6"/>
    <w:rsid w:val="00E04323"/>
    <w:rsid w:val="00E0455B"/>
    <w:rsid w:val="00E04B7A"/>
    <w:rsid w:val="00E04CD0"/>
    <w:rsid w:val="00E04F07"/>
    <w:rsid w:val="00E05D60"/>
    <w:rsid w:val="00E070A2"/>
    <w:rsid w:val="00E073F3"/>
    <w:rsid w:val="00E07408"/>
    <w:rsid w:val="00E07555"/>
    <w:rsid w:val="00E078F9"/>
    <w:rsid w:val="00E10E82"/>
    <w:rsid w:val="00E112A2"/>
    <w:rsid w:val="00E11500"/>
    <w:rsid w:val="00E124D0"/>
    <w:rsid w:val="00E129FD"/>
    <w:rsid w:val="00E13151"/>
    <w:rsid w:val="00E13AF4"/>
    <w:rsid w:val="00E13D62"/>
    <w:rsid w:val="00E13EAD"/>
    <w:rsid w:val="00E143C9"/>
    <w:rsid w:val="00E14B8E"/>
    <w:rsid w:val="00E14D23"/>
    <w:rsid w:val="00E14F2E"/>
    <w:rsid w:val="00E15860"/>
    <w:rsid w:val="00E15882"/>
    <w:rsid w:val="00E15BE0"/>
    <w:rsid w:val="00E15FF3"/>
    <w:rsid w:val="00E160E1"/>
    <w:rsid w:val="00E16A63"/>
    <w:rsid w:val="00E17763"/>
    <w:rsid w:val="00E17881"/>
    <w:rsid w:val="00E20DBC"/>
    <w:rsid w:val="00E210BF"/>
    <w:rsid w:val="00E21277"/>
    <w:rsid w:val="00E2229E"/>
    <w:rsid w:val="00E2360F"/>
    <w:rsid w:val="00E239E4"/>
    <w:rsid w:val="00E23C9C"/>
    <w:rsid w:val="00E25607"/>
    <w:rsid w:val="00E26179"/>
    <w:rsid w:val="00E26411"/>
    <w:rsid w:val="00E2656A"/>
    <w:rsid w:val="00E266A1"/>
    <w:rsid w:val="00E27116"/>
    <w:rsid w:val="00E27EA4"/>
    <w:rsid w:val="00E301AC"/>
    <w:rsid w:val="00E30356"/>
    <w:rsid w:val="00E30B87"/>
    <w:rsid w:val="00E310D7"/>
    <w:rsid w:val="00E315B5"/>
    <w:rsid w:val="00E31A0E"/>
    <w:rsid w:val="00E31D1E"/>
    <w:rsid w:val="00E32126"/>
    <w:rsid w:val="00E323B4"/>
    <w:rsid w:val="00E32A23"/>
    <w:rsid w:val="00E33DB8"/>
    <w:rsid w:val="00E34090"/>
    <w:rsid w:val="00E343FE"/>
    <w:rsid w:val="00E344BD"/>
    <w:rsid w:val="00E345B2"/>
    <w:rsid w:val="00E362A8"/>
    <w:rsid w:val="00E3635D"/>
    <w:rsid w:val="00E36BC7"/>
    <w:rsid w:val="00E3786E"/>
    <w:rsid w:val="00E37C69"/>
    <w:rsid w:val="00E37D6A"/>
    <w:rsid w:val="00E406B5"/>
    <w:rsid w:val="00E412D0"/>
    <w:rsid w:val="00E4160D"/>
    <w:rsid w:val="00E41B52"/>
    <w:rsid w:val="00E41E99"/>
    <w:rsid w:val="00E42497"/>
    <w:rsid w:val="00E43210"/>
    <w:rsid w:val="00E43B32"/>
    <w:rsid w:val="00E43C7C"/>
    <w:rsid w:val="00E4406B"/>
    <w:rsid w:val="00E44AAA"/>
    <w:rsid w:val="00E44AF6"/>
    <w:rsid w:val="00E457FE"/>
    <w:rsid w:val="00E45925"/>
    <w:rsid w:val="00E46012"/>
    <w:rsid w:val="00E46C1C"/>
    <w:rsid w:val="00E471B1"/>
    <w:rsid w:val="00E4792A"/>
    <w:rsid w:val="00E50172"/>
    <w:rsid w:val="00E50236"/>
    <w:rsid w:val="00E50F12"/>
    <w:rsid w:val="00E51654"/>
    <w:rsid w:val="00E52A9A"/>
    <w:rsid w:val="00E52F6A"/>
    <w:rsid w:val="00E535AC"/>
    <w:rsid w:val="00E53C4D"/>
    <w:rsid w:val="00E53C89"/>
    <w:rsid w:val="00E54134"/>
    <w:rsid w:val="00E544FB"/>
    <w:rsid w:val="00E5533C"/>
    <w:rsid w:val="00E55A4C"/>
    <w:rsid w:val="00E56322"/>
    <w:rsid w:val="00E56469"/>
    <w:rsid w:val="00E566D0"/>
    <w:rsid w:val="00E566E6"/>
    <w:rsid w:val="00E56D4D"/>
    <w:rsid w:val="00E56D66"/>
    <w:rsid w:val="00E5793A"/>
    <w:rsid w:val="00E60575"/>
    <w:rsid w:val="00E60982"/>
    <w:rsid w:val="00E60E8A"/>
    <w:rsid w:val="00E626C3"/>
    <w:rsid w:val="00E62C62"/>
    <w:rsid w:val="00E6521D"/>
    <w:rsid w:val="00E65263"/>
    <w:rsid w:val="00E654C1"/>
    <w:rsid w:val="00E65AB2"/>
    <w:rsid w:val="00E65D97"/>
    <w:rsid w:val="00E66EA9"/>
    <w:rsid w:val="00E67319"/>
    <w:rsid w:val="00E67638"/>
    <w:rsid w:val="00E67EF4"/>
    <w:rsid w:val="00E67F22"/>
    <w:rsid w:val="00E70078"/>
    <w:rsid w:val="00E70D06"/>
    <w:rsid w:val="00E71A8D"/>
    <w:rsid w:val="00E71ADE"/>
    <w:rsid w:val="00E71AEF"/>
    <w:rsid w:val="00E71CDA"/>
    <w:rsid w:val="00E72895"/>
    <w:rsid w:val="00E72A5A"/>
    <w:rsid w:val="00E732CA"/>
    <w:rsid w:val="00E73354"/>
    <w:rsid w:val="00E73396"/>
    <w:rsid w:val="00E73554"/>
    <w:rsid w:val="00E7443A"/>
    <w:rsid w:val="00E748CA"/>
    <w:rsid w:val="00E74B2A"/>
    <w:rsid w:val="00E74B4C"/>
    <w:rsid w:val="00E74C54"/>
    <w:rsid w:val="00E7614F"/>
    <w:rsid w:val="00E7640C"/>
    <w:rsid w:val="00E76835"/>
    <w:rsid w:val="00E769B1"/>
    <w:rsid w:val="00E76EA6"/>
    <w:rsid w:val="00E7701A"/>
    <w:rsid w:val="00E80709"/>
    <w:rsid w:val="00E80E18"/>
    <w:rsid w:val="00E81D5C"/>
    <w:rsid w:val="00E82124"/>
    <w:rsid w:val="00E82409"/>
    <w:rsid w:val="00E83571"/>
    <w:rsid w:val="00E837EC"/>
    <w:rsid w:val="00E83C56"/>
    <w:rsid w:val="00E841AA"/>
    <w:rsid w:val="00E84960"/>
    <w:rsid w:val="00E855D1"/>
    <w:rsid w:val="00E856B9"/>
    <w:rsid w:val="00E856C6"/>
    <w:rsid w:val="00E85FC1"/>
    <w:rsid w:val="00E86023"/>
    <w:rsid w:val="00E86753"/>
    <w:rsid w:val="00E868DB"/>
    <w:rsid w:val="00E86B1D"/>
    <w:rsid w:val="00E86FC5"/>
    <w:rsid w:val="00E901BE"/>
    <w:rsid w:val="00E90E18"/>
    <w:rsid w:val="00E91143"/>
    <w:rsid w:val="00E91207"/>
    <w:rsid w:val="00E9168D"/>
    <w:rsid w:val="00E91D5A"/>
    <w:rsid w:val="00E9242D"/>
    <w:rsid w:val="00E925CB"/>
    <w:rsid w:val="00E927F8"/>
    <w:rsid w:val="00E928F7"/>
    <w:rsid w:val="00E94638"/>
    <w:rsid w:val="00E94B3D"/>
    <w:rsid w:val="00E95175"/>
    <w:rsid w:val="00E95704"/>
    <w:rsid w:val="00E967A8"/>
    <w:rsid w:val="00E97C61"/>
    <w:rsid w:val="00EA0E35"/>
    <w:rsid w:val="00EA0F1F"/>
    <w:rsid w:val="00EA1051"/>
    <w:rsid w:val="00EA114F"/>
    <w:rsid w:val="00EA12A6"/>
    <w:rsid w:val="00EA158A"/>
    <w:rsid w:val="00EA2372"/>
    <w:rsid w:val="00EA2734"/>
    <w:rsid w:val="00EA3FC1"/>
    <w:rsid w:val="00EA4A05"/>
    <w:rsid w:val="00EA52A9"/>
    <w:rsid w:val="00EA5CB6"/>
    <w:rsid w:val="00EA5D6F"/>
    <w:rsid w:val="00EA5DA3"/>
    <w:rsid w:val="00EA69B2"/>
    <w:rsid w:val="00EB0107"/>
    <w:rsid w:val="00EB0118"/>
    <w:rsid w:val="00EB0961"/>
    <w:rsid w:val="00EB0992"/>
    <w:rsid w:val="00EB115D"/>
    <w:rsid w:val="00EB1645"/>
    <w:rsid w:val="00EB1B17"/>
    <w:rsid w:val="00EB1E34"/>
    <w:rsid w:val="00EB2161"/>
    <w:rsid w:val="00EB2665"/>
    <w:rsid w:val="00EB2D3E"/>
    <w:rsid w:val="00EB34F5"/>
    <w:rsid w:val="00EB3815"/>
    <w:rsid w:val="00EB39D7"/>
    <w:rsid w:val="00EB3EB6"/>
    <w:rsid w:val="00EB4330"/>
    <w:rsid w:val="00EB5255"/>
    <w:rsid w:val="00EB5C47"/>
    <w:rsid w:val="00EB5D3F"/>
    <w:rsid w:val="00EB687F"/>
    <w:rsid w:val="00EB6EDD"/>
    <w:rsid w:val="00EB7EED"/>
    <w:rsid w:val="00EC02AC"/>
    <w:rsid w:val="00EC0C8A"/>
    <w:rsid w:val="00EC0E10"/>
    <w:rsid w:val="00EC0FD4"/>
    <w:rsid w:val="00EC1D51"/>
    <w:rsid w:val="00EC1E93"/>
    <w:rsid w:val="00EC24C5"/>
    <w:rsid w:val="00EC2A5D"/>
    <w:rsid w:val="00EC2E77"/>
    <w:rsid w:val="00EC3086"/>
    <w:rsid w:val="00EC30DD"/>
    <w:rsid w:val="00EC393F"/>
    <w:rsid w:val="00EC3E1F"/>
    <w:rsid w:val="00EC43C9"/>
    <w:rsid w:val="00EC517A"/>
    <w:rsid w:val="00EC5AF7"/>
    <w:rsid w:val="00EC60D7"/>
    <w:rsid w:val="00EC645B"/>
    <w:rsid w:val="00EC66F9"/>
    <w:rsid w:val="00EC71E1"/>
    <w:rsid w:val="00EC7A19"/>
    <w:rsid w:val="00ED0223"/>
    <w:rsid w:val="00ED0639"/>
    <w:rsid w:val="00ED0F93"/>
    <w:rsid w:val="00ED0FE7"/>
    <w:rsid w:val="00ED1362"/>
    <w:rsid w:val="00ED1B3F"/>
    <w:rsid w:val="00ED3DF0"/>
    <w:rsid w:val="00ED40C9"/>
    <w:rsid w:val="00ED4ED3"/>
    <w:rsid w:val="00ED55F5"/>
    <w:rsid w:val="00ED5A03"/>
    <w:rsid w:val="00ED6370"/>
    <w:rsid w:val="00ED65F1"/>
    <w:rsid w:val="00ED6631"/>
    <w:rsid w:val="00ED6698"/>
    <w:rsid w:val="00ED73AE"/>
    <w:rsid w:val="00ED77CD"/>
    <w:rsid w:val="00EE003C"/>
    <w:rsid w:val="00EE08CF"/>
    <w:rsid w:val="00EE0C28"/>
    <w:rsid w:val="00EE0F92"/>
    <w:rsid w:val="00EE3110"/>
    <w:rsid w:val="00EE354A"/>
    <w:rsid w:val="00EE4379"/>
    <w:rsid w:val="00EE5005"/>
    <w:rsid w:val="00EE532E"/>
    <w:rsid w:val="00EE5A77"/>
    <w:rsid w:val="00EE5E30"/>
    <w:rsid w:val="00EE67CD"/>
    <w:rsid w:val="00EE69D6"/>
    <w:rsid w:val="00EE7515"/>
    <w:rsid w:val="00EE7E48"/>
    <w:rsid w:val="00EE7E4C"/>
    <w:rsid w:val="00EF001F"/>
    <w:rsid w:val="00EF04A5"/>
    <w:rsid w:val="00EF0AF4"/>
    <w:rsid w:val="00EF164A"/>
    <w:rsid w:val="00EF19FA"/>
    <w:rsid w:val="00EF1C6E"/>
    <w:rsid w:val="00EF2430"/>
    <w:rsid w:val="00EF34D7"/>
    <w:rsid w:val="00EF4755"/>
    <w:rsid w:val="00EF4974"/>
    <w:rsid w:val="00EF4CCB"/>
    <w:rsid w:val="00EF7135"/>
    <w:rsid w:val="00F00FF5"/>
    <w:rsid w:val="00F01406"/>
    <w:rsid w:val="00F01558"/>
    <w:rsid w:val="00F01EB3"/>
    <w:rsid w:val="00F02407"/>
    <w:rsid w:val="00F024EB"/>
    <w:rsid w:val="00F0277E"/>
    <w:rsid w:val="00F027DB"/>
    <w:rsid w:val="00F03651"/>
    <w:rsid w:val="00F06960"/>
    <w:rsid w:val="00F07DB9"/>
    <w:rsid w:val="00F1065E"/>
    <w:rsid w:val="00F10BA2"/>
    <w:rsid w:val="00F11C0C"/>
    <w:rsid w:val="00F11E82"/>
    <w:rsid w:val="00F124E6"/>
    <w:rsid w:val="00F1252D"/>
    <w:rsid w:val="00F1260E"/>
    <w:rsid w:val="00F12AE6"/>
    <w:rsid w:val="00F12D26"/>
    <w:rsid w:val="00F13610"/>
    <w:rsid w:val="00F13A35"/>
    <w:rsid w:val="00F14A7A"/>
    <w:rsid w:val="00F14CA3"/>
    <w:rsid w:val="00F14EA4"/>
    <w:rsid w:val="00F1532A"/>
    <w:rsid w:val="00F159F5"/>
    <w:rsid w:val="00F15D8E"/>
    <w:rsid w:val="00F16190"/>
    <w:rsid w:val="00F167ED"/>
    <w:rsid w:val="00F16E6D"/>
    <w:rsid w:val="00F17327"/>
    <w:rsid w:val="00F174D7"/>
    <w:rsid w:val="00F17D7B"/>
    <w:rsid w:val="00F200DF"/>
    <w:rsid w:val="00F207A2"/>
    <w:rsid w:val="00F20804"/>
    <w:rsid w:val="00F210E2"/>
    <w:rsid w:val="00F21398"/>
    <w:rsid w:val="00F22757"/>
    <w:rsid w:val="00F22985"/>
    <w:rsid w:val="00F22B6D"/>
    <w:rsid w:val="00F233F9"/>
    <w:rsid w:val="00F237DE"/>
    <w:rsid w:val="00F23A8A"/>
    <w:rsid w:val="00F23BD8"/>
    <w:rsid w:val="00F24887"/>
    <w:rsid w:val="00F24AEF"/>
    <w:rsid w:val="00F25162"/>
    <w:rsid w:val="00F26921"/>
    <w:rsid w:val="00F26A77"/>
    <w:rsid w:val="00F278DD"/>
    <w:rsid w:val="00F27982"/>
    <w:rsid w:val="00F27F19"/>
    <w:rsid w:val="00F300D4"/>
    <w:rsid w:val="00F31314"/>
    <w:rsid w:val="00F31BE0"/>
    <w:rsid w:val="00F32AF0"/>
    <w:rsid w:val="00F32F04"/>
    <w:rsid w:val="00F32F69"/>
    <w:rsid w:val="00F3358C"/>
    <w:rsid w:val="00F3383E"/>
    <w:rsid w:val="00F33916"/>
    <w:rsid w:val="00F343DB"/>
    <w:rsid w:val="00F34AC4"/>
    <w:rsid w:val="00F35AE0"/>
    <w:rsid w:val="00F35F94"/>
    <w:rsid w:val="00F374AA"/>
    <w:rsid w:val="00F37510"/>
    <w:rsid w:val="00F378DC"/>
    <w:rsid w:val="00F400DF"/>
    <w:rsid w:val="00F404FA"/>
    <w:rsid w:val="00F410E7"/>
    <w:rsid w:val="00F4130C"/>
    <w:rsid w:val="00F41C6B"/>
    <w:rsid w:val="00F41EC1"/>
    <w:rsid w:val="00F422A2"/>
    <w:rsid w:val="00F42323"/>
    <w:rsid w:val="00F42F91"/>
    <w:rsid w:val="00F42FAE"/>
    <w:rsid w:val="00F43666"/>
    <w:rsid w:val="00F436BB"/>
    <w:rsid w:val="00F43AFE"/>
    <w:rsid w:val="00F43DD6"/>
    <w:rsid w:val="00F44F47"/>
    <w:rsid w:val="00F450F3"/>
    <w:rsid w:val="00F45300"/>
    <w:rsid w:val="00F465A7"/>
    <w:rsid w:val="00F4697A"/>
    <w:rsid w:val="00F46FC1"/>
    <w:rsid w:val="00F47012"/>
    <w:rsid w:val="00F47932"/>
    <w:rsid w:val="00F50A37"/>
    <w:rsid w:val="00F50B7C"/>
    <w:rsid w:val="00F50C15"/>
    <w:rsid w:val="00F518CF"/>
    <w:rsid w:val="00F51BFE"/>
    <w:rsid w:val="00F52EFC"/>
    <w:rsid w:val="00F535A8"/>
    <w:rsid w:val="00F535EA"/>
    <w:rsid w:val="00F54E6E"/>
    <w:rsid w:val="00F54EA1"/>
    <w:rsid w:val="00F54FB9"/>
    <w:rsid w:val="00F54FE4"/>
    <w:rsid w:val="00F550E6"/>
    <w:rsid w:val="00F5576D"/>
    <w:rsid w:val="00F558F7"/>
    <w:rsid w:val="00F56215"/>
    <w:rsid w:val="00F56B35"/>
    <w:rsid w:val="00F614BF"/>
    <w:rsid w:val="00F61921"/>
    <w:rsid w:val="00F61E7D"/>
    <w:rsid w:val="00F61ED9"/>
    <w:rsid w:val="00F622D3"/>
    <w:rsid w:val="00F628ED"/>
    <w:rsid w:val="00F62F0F"/>
    <w:rsid w:val="00F633E1"/>
    <w:rsid w:val="00F63E2A"/>
    <w:rsid w:val="00F64465"/>
    <w:rsid w:val="00F64493"/>
    <w:rsid w:val="00F64F32"/>
    <w:rsid w:val="00F65178"/>
    <w:rsid w:val="00F6545C"/>
    <w:rsid w:val="00F65C8A"/>
    <w:rsid w:val="00F66232"/>
    <w:rsid w:val="00F66A05"/>
    <w:rsid w:val="00F66C08"/>
    <w:rsid w:val="00F66C8E"/>
    <w:rsid w:val="00F67E33"/>
    <w:rsid w:val="00F7007D"/>
    <w:rsid w:val="00F70682"/>
    <w:rsid w:val="00F71854"/>
    <w:rsid w:val="00F719A8"/>
    <w:rsid w:val="00F72595"/>
    <w:rsid w:val="00F72BA9"/>
    <w:rsid w:val="00F73237"/>
    <w:rsid w:val="00F73FC0"/>
    <w:rsid w:val="00F7427B"/>
    <w:rsid w:val="00F74345"/>
    <w:rsid w:val="00F743DD"/>
    <w:rsid w:val="00F751F7"/>
    <w:rsid w:val="00F75E89"/>
    <w:rsid w:val="00F76426"/>
    <w:rsid w:val="00F764C7"/>
    <w:rsid w:val="00F76E58"/>
    <w:rsid w:val="00F77241"/>
    <w:rsid w:val="00F773EE"/>
    <w:rsid w:val="00F77DA2"/>
    <w:rsid w:val="00F800E1"/>
    <w:rsid w:val="00F8017F"/>
    <w:rsid w:val="00F80A0A"/>
    <w:rsid w:val="00F80A21"/>
    <w:rsid w:val="00F80FCB"/>
    <w:rsid w:val="00F81614"/>
    <w:rsid w:val="00F82B19"/>
    <w:rsid w:val="00F8344E"/>
    <w:rsid w:val="00F83944"/>
    <w:rsid w:val="00F839E8"/>
    <w:rsid w:val="00F83CF2"/>
    <w:rsid w:val="00F8424C"/>
    <w:rsid w:val="00F84B21"/>
    <w:rsid w:val="00F855BB"/>
    <w:rsid w:val="00F859CB"/>
    <w:rsid w:val="00F86BD3"/>
    <w:rsid w:val="00F86D5F"/>
    <w:rsid w:val="00F87270"/>
    <w:rsid w:val="00F90AF1"/>
    <w:rsid w:val="00F914A5"/>
    <w:rsid w:val="00F9212D"/>
    <w:rsid w:val="00F9216A"/>
    <w:rsid w:val="00F927A8"/>
    <w:rsid w:val="00F933AD"/>
    <w:rsid w:val="00F93F58"/>
    <w:rsid w:val="00F946DD"/>
    <w:rsid w:val="00F94DF5"/>
    <w:rsid w:val="00F95381"/>
    <w:rsid w:val="00F957CE"/>
    <w:rsid w:val="00F95ED7"/>
    <w:rsid w:val="00F9611E"/>
    <w:rsid w:val="00F965DA"/>
    <w:rsid w:val="00F96CA3"/>
    <w:rsid w:val="00F96F56"/>
    <w:rsid w:val="00F96FC8"/>
    <w:rsid w:val="00F97872"/>
    <w:rsid w:val="00F97B37"/>
    <w:rsid w:val="00FA0CA9"/>
    <w:rsid w:val="00FA10BB"/>
    <w:rsid w:val="00FA1139"/>
    <w:rsid w:val="00FA1A5A"/>
    <w:rsid w:val="00FA2414"/>
    <w:rsid w:val="00FA406A"/>
    <w:rsid w:val="00FA4253"/>
    <w:rsid w:val="00FA5C3F"/>
    <w:rsid w:val="00FA6311"/>
    <w:rsid w:val="00FA6384"/>
    <w:rsid w:val="00FA6529"/>
    <w:rsid w:val="00FA661D"/>
    <w:rsid w:val="00FA75C0"/>
    <w:rsid w:val="00FA7A38"/>
    <w:rsid w:val="00FA7EBA"/>
    <w:rsid w:val="00FB066D"/>
    <w:rsid w:val="00FB0961"/>
    <w:rsid w:val="00FB0A61"/>
    <w:rsid w:val="00FB101E"/>
    <w:rsid w:val="00FB1690"/>
    <w:rsid w:val="00FB1C07"/>
    <w:rsid w:val="00FB28C5"/>
    <w:rsid w:val="00FB3074"/>
    <w:rsid w:val="00FB338E"/>
    <w:rsid w:val="00FB33C2"/>
    <w:rsid w:val="00FB33D0"/>
    <w:rsid w:val="00FB35CE"/>
    <w:rsid w:val="00FB3650"/>
    <w:rsid w:val="00FB3911"/>
    <w:rsid w:val="00FB448B"/>
    <w:rsid w:val="00FB469C"/>
    <w:rsid w:val="00FB48D4"/>
    <w:rsid w:val="00FB4A2C"/>
    <w:rsid w:val="00FB4CA2"/>
    <w:rsid w:val="00FB503A"/>
    <w:rsid w:val="00FB516C"/>
    <w:rsid w:val="00FB517A"/>
    <w:rsid w:val="00FB5326"/>
    <w:rsid w:val="00FB539C"/>
    <w:rsid w:val="00FB593B"/>
    <w:rsid w:val="00FB5BC2"/>
    <w:rsid w:val="00FB6117"/>
    <w:rsid w:val="00FB6456"/>
    <w:rsid w:val="00FB68DA"/>
    <w:rsid w:val="00FB6ACC"/>
    <w:rsid w:val="00FC0161"/>
    <w:rsid w:val="00FC0297"/>
    <w:rsid w:val="00FC0DC2"/>
    <w:rsid w:val="00FC2FFC"/>
    <w:rsid w:val="00FC30BE"/>
    <w:rsid w:val="00FC33DA"/>
    <w:rsid w:val="00FC3D30"/>
    <w:rsid w:val="00FC3DB9"/>
    <w:rsid w:val="00FC4016"/>
    <w:rsid w:val="00FC45E8"/>
    <w:rsid w:val="00FC5791"/>
    <w:rsid w:val="00FC5A0F"/>
    <w:rsid w:val="00FC5E2F"/>
    <w:rsid w:val="00FC6420"/>
    <w:rsid w:val="00FC6DB2"/>
    <w:rsid w:val="00FC6FFA"/>
    <w:rsid w:val="00FC7206"/>
    <w:rsid w:val="00FD0165"/>
    <w:rsid w:val="00FD0236"/>
    <w:rsid w:val="00FD1652"/>
    <w:rsid w:val="00FD16FE"/>
    <w:rsid w:val="00FD18F4"/>
    <w:rsid w:val="00FD1A10"/>
    <w:rsid w:val="00FD1C3E"/>
    <w:rsid w:val="00FD2FDA"/>
    <w:rsid w:val="00FD37B7"/>
    <w:rsid w:val="00FD3C88"/>
    <w:rsid w:val="00FD48EF"/>
    <w:rsid w:val="00FD4C7B"/>
    <w:rsid w:val="00FD54DB"/>
    <w:rsid w:val="00FD5A89"/>
    <w:rsid w:val="00FD619F"/>
    <w:rsid w:val="00FD64B8"/>
    <w:rsid w:val="00FD6E64"/>
    <w:rsid w:val="00FD7143"/>
    <w:rsid w:val="00FD76B5"/>
    <w:rsid w:val="00FD7EA2"/>
    <w:rsid w:val="00FE1444"/>
    <w:rsid w:val="00FE15E1"/>
    <w:rsid w:val="00FE1846"/>
    <w:rsid w:val="00FE286E"/>
    <w:rsid w:val="00FE2EAD"/>
    <w:rsid w:val="00FE3541"/>
    <w:rsid w:val="00FE3D33"/>
    <w:rsid w:val="00FE3F65"/>
    <w:rsid w:val="00FE40E7"/>
    <w:rsid w:val="00FE49A4"/>
    <w:rsid w:val="00FE508C"/>
    <w:rsid w:val="00FE5413"/>
    <w:rsid w:val="00FE5E82"/>
    <w:rsid w:val="00FE6F3D"/>
    <w:rsid w:val="00FE6FF9"/>
    <w:rsid w:val="00FE775D"/>
    <w:rsid w:val="00FE7A15"/>
    <w:rsid w:val="00FE7DE3"/>
    <w:rsid w:val="00FF0095"/>
    <w:rsid w:val="00FF087E"/>
    <w:rsid w:val="00FF0B44"/>
    <w:rsid w:val="00FF1008"/>
    <w:rsid w:val="00FF1970"/>
    <w:rsid w:val="00FF29D5"/>
    <w:rsid w:val="00FF2EBF"/>
    <w:rsid w:val="00FF2EE3"/>
    <w:rsid w:val="00FF34E7"/>
    <w:rsid w:val="00FF367D"/>
    <w:rsid w:val="00FF3C1F"/>
    <w:rsid w:val="00FF48A6"/>
    <w:rsid w:val="00FF4D69"/>
    <w:rsid w:val="00FF544E"/>
    <w:rsid w:val="00FF55C1"/>
    <w:rsid w:val="00FF5AAC"/>
    <w:rsid w:val="00FF6B19"/>
    <w:rsid w:val="00FF78CE"/>
    <w:rsid w:val="00FF7B02"/>
    <w:rsid w:val="01290F7E"/>
    <w:rsid w:val="015D1E09"/>
    <w:rsid w:val="01C60A7F"/>
    <w:rsid w:val="021473CB"/>
    <w:rsid w:val="02613BBD"/>
    <w:rsid w:val="02697903"/>
    <w:rsid w:val="02F96569"/>
    <w:rsid w:val="03D251BA"/>
    <w:rsid w:val="03EA7B21"/>
    <w:rsid w:val="046A4A87"/>
    <w:rsid w:val="051D00FF"/>
    <w:rsid w:val="05F83EAE"/>
    <w:rsid w:val="06284FC0"/>
    <w:rsid w:val="063E7D85"/>
    <w:rsid w:val="07293586"/>
    <w:rsid w:val="07295285"/>
    <w:rsid w:val="07636392"/>
    <w:rsid w:val="076E3F95"/>
    <w:rsid w:val="07770C56"/>
    <w:rsid w:val="078367FE"/>
    <w:rsid w:val="092217DD"/>
    <w:rsid w:val="093A7294"/>
    <w:rsid w:val="097E3B1F"/>
    <w:rsid w:val="09A568A9"/>
    <w:rsid w:val="09BB25BF"/>
    <w:rsid w:val="0A263993"/>
    <w:rsid w:val="0A2D3AC2"/>
    <w:rsid w:val="0AA755DF"/>
    <w:rsid w:val="0AF22332"/>
    <w:rsid w:val="0B120D44"/>
    <w:rsid w:val="0B675D7F"/>
    <w:rsid w:val="0B8F5F98"/>
    <w:rsid w:val="0BBFA55E"/>
    <w:rsid w:val="0BD27BF6"/>
    <w:rsid w:val="0BEB02F0"/>
    <w:rsid w:val="0C3B3C7D"/>
    <w:rsid w:val="0C5D5800"/>
    <w:rsid w:val="0CAB2EAE"/>
    <w:rsid w:val="0CAD5984"/>
    <w:rsid w:val="0CCE1A53"/>
    <w:rsid w:val="0D244D79"/>
    <w:rsid w:val="0D621C7D"/>
    <w:rsid w:val="0E73034D"/>
    <w:rsid w:val="0E876FE9"/>
    <w:rsid w:val="0E8C6C9F"/>
    <w:rsid w:val="0EB83E21"/>
    <w:rsid w:val="0F13775A"/>
    <w:rsid w:val="0F365B9A"/>
    <w:rsid w:val="0F3F3662"/>
    <w:rsid w:val="0F504384"/>
    <w:rsid w:val="0F5F45FE"/>
    <w:rsid w:val="0F9A112B"/>
    <w:rsid w:val="106D2F64"/>
    <w:rsid w:val="10B63710"/>
    <w:rsid w:val="10DF095E"/>
    <w:rsid w:val="10F10820"/>
    <w:rsid w:val="111C2F7A"/>
    <w:rsid w:val="11665CA1"/>
    <w:rsid w:val="117D077F"/>
    <w:rsid w:val="11E921A6"/>
    <w:rsid w:val="11ED3312"/>
    <w:rsid w:val="132727B1"/>
    <w:rsid w:val="136BAFC0"/>
    <w:rsid w:val="13845320"/>
    <w:rsid w:val="13951726"/>
    <w:rsid w:val="13AB5463"/>
    <w:rsid w:val="14396509"/>
    <w:rsid w:val="14DD2C3C"/>
    <w:rsid w:val="16087E1D"/>
    <w:rsid w:val="16301A95"/>
    <w:rsid w:val="164203DD"/>
    <w:rsid w:val="166267AC"/>
    <w:rsid w:val="174F69DB"/>
    <w:rsid w:val="17701D14"/>
    <w:rsid w:val="17735226"/>
    <w:rsid w:val="177408F5"/>
    <w:rsid w:val="17DB1E2A"/>
    <w:rsid w:val="17E84E03"/>
    <w:rsid w:val="189F624C"/>
    <w:rsid w:val="191D1DA6"/>
    <w:rsid w:val="1A1C66C0"/>
    <w:rsid w:val="1A42393B"/>
    <w:rsid w:val="1A966865"/>
    <w:rsid w:val="1AAD45DE"/>
    <w:rsid w:val="1AD34A6A"/>
    <w:rsid w:val="1AFB9C6D"/>
    <w:rsid w:val="1B046F80"/>
    <w:rsid w:val="1B3267B5"/>
    <w:rsid w:val="1B3D371F"/>
    <w:rsid w:val="1B40161D"/>
    <w:rsid w:val="1B441859"/>
    <w:rsid w:val="1B6606B1"/>
    <w:rsid w:val="1BF336FB"/>
    <w:rsid w:val="1C5E7925"/>
    <w:rsid w:val="1CA9066D"/>
    <w:rsid w:val="1CFD070F"/>
    <w:rsid w:val="1D5F6196"/>
    <w:rsid w:val="1D6132A5"/>
    <w:rsid w:val="1D8E56D5"/>
    <w:rsid w:val="1E416922"/>
    <w:rsid w:val="1E7A43DA"/>
    <w:rsid w:val="1EAE34B7"/>
    <w:rsid w:val="1F2F61E2"/>
    <w:rsid w:val="1FBB7B15"/>
    <w:rsid w:val="1FE17F14"/>
    <w:rsid w:val="1FE7539E"/>
    <w:rsid w:val="2005668C"/>
    <w:rsid w:val="20671BE0"/>
    <w:rsid w:val="20963CB8"/>
    <w:rsid w:val="20A81A1B"/>
    <w:rsid w:val="20B07FB6"/>
    <w:rsid w:val="20B646FB"/>
    <w:rsid w:val="21183EC0"/>
    <w:rsid w:val="213B74B1"/>
    <w:rsid w:val="21517A46"/>
    <w:rsid w:val="215A2310"/>
    <w:rsid w:val="218C419F"/>
    <w:rsid w:val="21C17B33"/>
    <w:rsid w:val="21D01AD7"/>
    <w:rsid w:val="21D37AE2"/>
    <w:rsid w:val="21DE318A"/>
    <w:rsid w:val="21EF5B80"/>
    <w:rsid w:val="22087AAA"/>
    <w:rsid w:val="223267F2"/>
    <w:rsid w:val="22576990"/>
    <w:rsid w:val="22F47480"/>
    <w:rsid w:val="234E1BC8"/>
    <w:rsid w:val="23DE1C48"/>
    <w:rsid w:val="240210CD"/>
    <w:rsid w:val="247FE6D9"/>
    <w:rsid w:val="24BF09F7"/>
    <w:rsid w:val="25297F82"/>
    <w:rsid w:val="252D53FE"/>
    <w:rsid w:val="253F27FB"/>
    <w:rsid w:val="25EC2D81"/>
    <w:rsid w:val="27495DBA"/>
    <w:rsid w:val="27601ACD"/>
    <w:rsid w:val="277057A2"/>
    <w:rsid w:val="27FC72FC"/>
    <w:rsid w:val="27FF4B0B"/>
    <w:rsid w:val="28CC3966"/>
    <w:rsid w:val="28E026ED"/>
    <w:rsid w:val="28F2772E"/>
    <w:rsid w:val="29206EB8"/>
    <w:rsid w:val="29485A43"/>
    <w:rsid w:val="29595666"/>
    <w:rsid w:val="29802F8C"/>
    <w:rsid w:val="29874881"/>
    <w:rsid w:val="29AE6424"/>
    <w:rsid w:val="29B91343"/>
    <w:rsid w:val="29D047A7"/>
    <w:rsid w:val="29E325E0"/>
    <w:rsid w:val="2A452503"/>
    <w:rsid w:val="2AE80EC0"/>
    <w:rsid w:val="2AF7F0F4"/>
    <w:rsid w:val="2B1C2BA1"/>
    <w:rsid w:val="2B685156"/>
    <w:rsid w:val="2BA936A8"/>
    <w:rsid w:val="2C315A5A"/>
    <w:rsid w:val="2C4B1C25"/>
    <w:rsid w:val="2D495B75"/>
    <w:rsid w:val="2D9E56F5"/>
    <w:rsid w:val="2DAB00D1"/>
    <w:rsid w:val="2DC61A53"/>
    <w:rsid w:val="2DE73F83"/>
    <w:rsid w:val="2E583A4D"/>
    <w:rsid w:val="2E667F96"/>
    <w:rsid w:val="2E8226AB"/>
    <w:rsid w:val="2FD065E6"/>
    <w:rsid w:val="2FD64E66"/>
    <w:rsid w:val="2FD96870"/>
    <w:rsid w:val="304C303F"/>
    <w:rsid w:val="30580BC9"/>
    <w:rsid w:val="309D69B1"/>
    <w:rsid w:val="30C11F9F"/>
    <w:rsid w:val="30C2221E"/>
    <w:rsid w:val="311E2ED7"/>
    <w:rsid w:val="312E3E4D"/>
    <w:rsid w:val="315619EE"/>
    <w:rsid w:val="315C449C"/>
    <w:rsid w:val="31993661"/>
    <w:rsid w:val="31B82709"/>
    <w:rsid w:val="31D05482"/>
    <w:rsid w:val="31FF5BF1"/>
    <w:rsid w:val="32400B34"/>
    <w:rsid w:val="32830977"/>
    <w:rsid w:val="329E6876"/>
    <w:rsid w:val="333015F2"/>
    <w:rsid w:val="334B6320"/>
    <w:rsid w:val="33990232"/>
    <w:rsid w:val="33D934D4"/>
    <w:rsid w:val="33FE2F6A"/>
    <w:rsid w:val="340E07E5"/>
    <w:rsid w:val="34235BF7"/>
    <w:rsid w:val="343A6AA4"/>
    <w:rsid w:val="34A17702"/>
    <w:rsid w:val="35602476"/>
    <w:rsid w:val="358C5FA8"/>
    <w:rsid w:val="35C15DF1"/>
    <w:rsid w:val="35DF4D17"/>
    <w:rsid w:val="35EF9240"/>
    <w:rsid w:val="36074A7F"/>
    <w:rsid w:val="363711A3"/>
    <w:rsid w:val="36400433"/>
    <w:rsid w:val="36923549"/>
    <w:rsid w:val="36B75FBF"/>
    <w:rsid w:val="36BD0C45"/>
    <w:rsid w:val="375B272F"/>
    <w:rsid w:val="375DD9F4"/>
    <w:rsid w:val="375F3395"/>
    <w:rsid w:val="377C1237"/>
    <w:rsid w:val="379B4170"/>
    <w:rsid w:val="37B71A92"/>
    <w:rsid w:val="37E00298"/>
    <w:rsid w:val="37FB49F1"/>
    <w:rsid w:val="38534C44"/>
    <w:rsid w:val="38983B75"/>
    <w:rsid w:val="38B302F9"/>
    <w:rsid w:val="38F12CD3"/>
    <w:rsid w:val="38F94775"/>
    <w:rsid w:val="392971ED"/>
    <w:rsid w:val="39325651"/>
    <w:rsid w:val="39CF29E0"/>
    <w:rsid w:val="3A064DE8"/>
    <w:rsid w:val="3A872856"/>
    <w:rsid w:val="3B2F5CCB"/>
    <w:rsid w:val="3B3763D1"/>
    <w:rsid w:val="3B7C4491"/>
    <w:rsid w:val="3B886AAC"/>
    <w:rsid w:val="3BDA5FA5"/>
    <w:rsid w:val="3C2F6E1E"/>
    <w:rsid w:val="3C4F64BA"/>
    <w:rsid w:val="3C673C37"/>
    <w:rsid w:val="3C7B0C54"/>
    <w:rsid w:val="3CDA245A"/>
    <w:rsid w:val="3D015D3A"/>
    <w:rsid w:val="3D1E06B7"/>
    <w:rsid w:val="3D622E13"/>
    <w:rsid w:val="3D7585B3"/>
    <w:rsid w:val="3E155C1D"/>
    <w:rsid w:val="3E7D3030"/>
    <w:rsid w:val="3EDA0523"/>
    <w:rsid w:val="3EEE8BA6"/>
    <w:rsid w:val="3F471380"/>
    <w:rsid w:val="3F901CCD"/>
    <w:rsid w:val="3FF7C921"/>
    <w:rsid w:val="400B3F55"/>
    <w:rsid w:val="40515B1E"/>
    <w:rsid w:val="407A6407"/>
    <w:rsid w:val="410F5371"/>
    <w:rsid w:val="41A03D74"/>
    <w:rsid w:val="41A835E5"/>
    <w:rsid w:val="4200449D"/>
    <w:rsid w:val="4209378D"/>
    <w:rsid w:val="423A3BCC"/>
    <w:rsid w:val="424E57D2"/>
    <w:rsid w:val="426C3C56"/>
    <w:rsid w:val="42B26C49"/>
    <w:rsid w:val="433A6FE6"/>
    <w:rsid w:val="43480868"/>
    <w:rsid w:val="4350713C"/>
    <w:rsid w:val="436653E0"/>
    <w:rsid w:val="43C4431A"/>
    <w:rsid w:val="445F1CC4"/>
    <w:rsid w:val="44B951CC"/>
    <w:rsid w:val="44C61473"/>
    <w:rsid w:val="44CD14E0"/>
    <w:rsid w:val="44F20B0B"/>
    <w:rsid w:val="452E5F4C"/>
    <w:rsid w:val="45612018"/>
    <w:rsid w:val="458946E9"/>
    <w:rsid w:val="45A47C0E"/>
    <w:rsid w:val="45F96955"/>
    <w:rsid w:val="460F1B34"/>
    <w:rsid w:val="464078D3"/>
    <w:rsid w:val="46577FD6"/>
    <w:rsid w:val="466505BB"/>
    <w:rsid w:val="46D955A7"/>
    <w:rsid w:val="46FC2DC8"/>
    <w:rsid w:val="47133957"/>
    <w:rsid w:val="47A07E0C"/>
    <w:rsid w:val="47B265AF"/>
    <w:rsid w:val="4870272E"/>
    <w:rsid w:val="49AF1948"/>
    <w:rsid w:val="49DC7715"/>
    <w:rsid w:val="4A023139"/>
    <w:rsid w:val="4A7162AD"/>
    <w:rsid w:val="4A7B576F"/>
    <w:rsid w:val="4AA20B5D"/>
    <w:rsid w:val="4AE64D12"/>
    <w:rsid w:val="4AF561A9"/>
    <w:rsid w:val="4BEB2CDB"/>
    <w:rsid w:val="4BFF7CE3"/>
    <w:rsid w:val="4C2C2250"/>
    <w:rsid w:val="4C39104D"/>
    <w:rsid w:val="4C396B7C"/>
    <w:rsid w:val="4C4A0649"/>
    <w:rsid w:val="4C7224CD"/>
    <w:rsid w:val="4C7E5ECA"/>
    <w:rsid w:val="4C876AA5"/>
    <w:rsid w:val="4CD00572"/>
    <w:rsid w:val="4CDE7D90"/>
    <w:rsid w:val="4D0E00FB"/>
    <w:rsid w:val="4D106251"/>
    <w:rsid w:val="4D176606"/>
    <w:rsid w:val="4D26782E"/>
    <w:rsid w:val="4D2C20FF"/>
    <w:rsid w:val="4D5B1B2E"/>
    <w:rsid w:val="4DB5469C"/>
    <w:rsid w:val="4DBA79CC"/>
    <w:rsid w:val="4DEC4FB0"/>
    <w:rsid w:val="4E075D8A"/>
    <w:rsid w:val="4E3D5499"/>
    <w:rsid w:val="4EC00FAD"/>
    <w:rsid w:val="4EE80B08"/>
    <w:rsid w:val="4F3777B6"/>
    <w:rsid w:val="4F7FA9B3"/>
    <w:rsid w:val="4F835A08"/>
    <w:rsid w:val="4F8C77BF"/>
    <w:rsid w:val="4F9843DC"/>
    <w:rsid w:val="4FC62A8C"/>
    <w:rsid w:val="4FDF3165"/>
    <w:rsid w:val="4FE20F0D"/>
    <w:rsid w:val="4FE51552"/>
    <w:rsid w:val="4FFF4E15"/>
    <w:rsid w:val="50504C4B"/>
    <w:rsid w:val="509C6E7C"/>
    <w:rsid w:val="50C84C1F"/>
    <w:rsid w:val="50F14A66"/>
    <w:rsid w:val="51352ED7"/>
    <w:rsid w:val="5162104E"/>
    <w:rsid w:val="521F5B44"/>
    <w:rsid w:val="52216ECB"/>
    <w:rsid w:val="523014EA"/>
    <w:rsid w:val="528154FB"/>
    <w:rsid w:val="52C12C88"/>
    <w:rsid w:val="52EB45CE"/>
    <w:rsid w:val="532847CA"/>
    <w:rsid w:val="53A039CC"/>
    <w:rsid w:val="53A1505A"/>
    <w:rsid w:val="53D7295A"/>
    <w:rsid w:val="53E22366"/>
    <w:rsid w:val="54063E08"/>
    <w:rsid w:val="543437E8"/>
    <w:rsid w:val="54F73313"/>
    <w:rsid w:val="54F80955"/>
    <w:rsid w:val="555170A7"/>
    <w:rsid w:val="5587536D"/>
    <w:rsid w:val="559B174B"/>
    <w:rsid w:val="55BF6BDF"/>
    <w:rsid w:val="55CE0CF4"/>
    <w:rsid w:val="563C3449"/>
    <w:rsid w:val="56997BCD"/>
    <w:rsid w:val="56B22A9C"/>
    <w:rsid w:val="56C67981"/>
    <w:rsid w:val="56DC7990"/>
    <w:rsid w:val="56FCD7C9"/>
    <w:rsid w:val="57B72A76"/>
    <w:rsid w:val="57C3426C"/>
    <w:rsid w:val="57CE1F93"/>
    <w:rsid w:val="57D84B40"/>
    <w:rsid w:val="57DF8F5D"/>
    <w:rsid w:val="57FBC15F"/>
    <w:rsid w:val="57FEE061"/>
    <w:rsid w:val="588743D1"/>
    <w:rsid w:val="5887701A"/>
    <w:rsid w:val="5893651C"/>
    <w:rsid w:val="58B4660D"/>
    <w:rsid w:val="58CE2501"/>
    <w:rsid w:val="591D6844"/>
    <w:rsid w:val="59C0439F"/>
    <w:rsid w:val="5A2E4F45"/>
    <w:rsid w:val="5A354C14"/>
    <w:rsid w:val="5ABE2233"/>
    <w:rsid w:val="5AF3FF1D"/>
    <w:rsid w:val="5AF9916E"/>
    <w:rsid w:val="5BDF5D95"/>
    <w:rsid w:val="5BE80D3F"/>
    <w:rsid w:val="5BFE7528"/>
    <w:rsid w:val="5CC63E9E"/>
    <w:rsid w:val="5D0C00C9"/>
    <w:rsid w:val="5D2F5046"/>
    <w:rsid w:val="5D5BAF81"/>
    <w:rsid w:val="5DB9B2CD"/>
    <w:rsid w:val="5E2467F1"/>
    <w:rsid w:val="5E2F05F3"/>
    <w:rsid w:val="5E4C5F03"/>
    <w:rsid w:val="5E6A153A"/>
    <w:rsid w:val="5E875894"/>
    <w:rsid w:val="5EF60385"/>
    <w:rsid w:val="5F1A2B43"/>
    <w:rsid w:val="5F3B10E0"/>
    <w:rsid w:val="5F5C5FB8"/>
    <w:rsid w:val="5FAE0151"/>
    <w:rsid w:val="5FB837BB"/>
    <w:rsid w:val="5FB94532"/>
    <w:rsid w:val="5FF2B653"/>
    <w:rsid w:val="5FF36E88"/>
    <w:rsid w:val="5FF70BCF"/>
    <w:rsid w:val="5FFB9875"/>
    <w:rsid w:val="5FFD784C"/>
    <w:rsid w:val="60AB34C3"/>
    <w:rsid w:val="60CC405A"/>
    <w:rsid w:val="60D77487"/>
    <w:rsid w:val="61A82296"/>
    <w:rsid w:val="61E215D8"/>
    <w:rsid w:val="61FE0917"/>
    <w:rsid w:val="621B3775"/>
    <w:rsid w:val="622F6CCD"/>
    <w:rsid w:val="62364782"/>
    <w:rsid w:val="637C1A2E"/>
    <w:rsid w:val="6394356A"/>
    <w:rsid w:val="63C61B2C"/>
    <w:rsid w:val="63D40BE9"/>
    <w:rsid w:val="63FFEF3D"/>
    <w:rsid w:val="64102431"/>
    <w:rsid w:val="64287A75"/>
    <w:rsid w:val="64815609"/>
    <w:rsid w:val="64A5243A"/>
    <w:rsid w:val="64F531DE"/>
    <w:rsid w:val="64FC1A1A"/>
    <w:rsid w:val="65373578"/>
    <w:rsid w:val="659153C6"/>
    <w:rsid w:val="65B702D5"/>
    <w:rsid w:val="65BF4DFB"/>
    <w:rsid w:val="65D8304D"/>
    <w:rsid w:val="66B549AE"/>
    <w:rsid w:val="66C84C7D"/>
    <w:rsid w:val="671E54A6"/>
    <w:rsid w:val="671F124A"/>
    <w:rsid w:val="673CF1C9"/>
    <w:rsid w:val="677A33C6"/>
    <w:rsid w:val="67D93D26"/>
    <w:rsid w:val="681F6961"/>
    <w:rsid w:val="68610A2F"/>
    <w:rsid w:val="68805514"/>
    <w:rsid w:val="68C56C64"/>
    <w:rsid w:val="69316E2F"/>
    <w:rsid w:val="694E2071"/>
    <w:rsid w:val="69571A8B"/>
    <w:rsid w:val="69766163"/>
    <w:rsid w:val="697A3B33"/>
    <w:rsid w:val="69CE1BE9"/>
    <w:rsid w:val="69D44760"/>
    <w:rsid w:val="69D670A9"/>
    <w:rsid w:val="69D932A0"/>
    <w:rsid w:val="69EB8E21"/>
    <w:rsid w:val="6A520EC7"/>
    <w:rsid w:val="6A775B5A"/>
    <w:rsid w:val="6AC33D12"/>
    <w:rsid w:val="6AEF8CD7"/>
    <w:rsid w:val="6AF87E20"/>
    <w:rsid w:val="6B322639"/>
    <w:rsid w:val="6B437188"/>
    <w:rsid w:val="6B676F48"/>
    <w:rsid w:val="6BB333A7"/>
    <w:rsid w:val="6BCFF5CF"/>
    <w:rsid w:val="6C4309CF"/>
    <w:rsid w:val="6C636C38"/>
    <w:rsid w:val="6C6A5E4C"/>
    <w:rsid w:val="6CEA61D4"/>
    <w:rsid w:val="6D5C1814"/>
    <w:rsid w:val="6D7F452D"/>
    <w:rsid w:val="6DB34098"/>
    <w:rsid w:val="6DB545B6"/>
    <w:rsid w:val="6DE02FB4"/>
    <w:rsid w:val="6E514CED"/>
    <w:rsid w:val="6E6E4ACF"/>
    <w:rsid w:val="6E79D8F0"/>
    <w:rsid w:val="6E7E8ADC"/>
    <w:rsid w:val="6E810487"/>
    <w:rsid w:val="6EB563D5"/>
    <w:rsid w:val="6ED92677"/>
    <w:rsid w:val="6EE94850"/>
    <w:rsid w:val="6EFE1948"/>
    <w:rsid w:val="6F225983"/>
    <w:rsid w:val="6F356B4F"/>
    <w:rsid w:val="6F481F03"/>
    <w:rsid w:val="6F796F13"/>
    <w:rsid w:val="6FB6188C"/>
    <w:rsid w:val="6FB93E77"/>
    <w:rsid w:val="6FC84535"/>
    <w:rsid w:val="6FFB77F2"/>
    <w:rsid w:val="6FFB98D0"/>
    <w:rsid w:val="6FFC5590"/>
    <w:rsid w:val="6FFFEBC1"/>
    <w:rsid w:val="706D1DD0"/>
    <w:rsid w:val="70813829"/>
    <w:rsid w:val="70856B87"/>
    <w:rsid w:val="70AC7790"/>
    <w:rsid w:val="70BA0517"/>
    <w:rsid w:val="70D527EE"/>
    <w:rsid w:val="715B5300"/>
    <w:rsid w:val="71D27F8A"/>
    <w:rsid w:val="71FE4F21"/>
    <w:rsid w:val="72553024"/>
    <w:rsid w:val="72804535"/>
    <w:rsid w:val="72AC6A05"/>
    <w:rsid w:val="72F86A8A"/>
    <w:rsid w:val="73122968"/>
    <w:rsid w:val="731F5D5E"/>
    <w:rsid w:val="734D7AE3"/>
    <w:rsid w:val="73C51AD5"/>
    <w:rsid w:val="73DD61A5"/>
    <w:rsid w:val="740D0F08"/>
    <w:rsid w:val="741E793C"/>
    <w:rsid w:val="745E3944"/>
    <w:rsid w:val="74777242"/>
    <w:rsid w:val="74887570"/>
    <w:rsid w:val="74916F96"/>
    <w:rsid w:val="74BD1D1E"/>
    <w:rsid w:val="74BF7C20"/>
    <w:rsid w:val="753F452D"/>
    <w:rsid w:val="756F54AE"/>
    <w:rsid w:val="75FCE14D"/>
    <w:rsid w:val="76005D78"/>
    <w:rsid w:val="7630430B"/>
    <w:rsid w:val="7635099D"/>
    <w:rsid w:val="76A25C5D"/>
    <w:rsid w:val="76BA5190"/>
    <w:rsid w:val="76FF65A3"/>
    <w:rsid w:val="774F24EF"/>
    <w:rsid w:val="77762421"/>
    <w:rsid w:val="777F331A"/>
    <w:rsid w:val="77B56B1F"/>
    <w:rsid w:val="77BB96FC"/>
    <w:rsid w:val="77DF064B"/>
    <w:rsid w:val="77EF6E6F"/>
    <w:rsid w:val="77FD0E69"/>
    <w:rsid w:val="780F09F4"/>
    <w:rsid w:val="78A90480"/>
    <w:rsid w:val="79B1777A"/>
    <w:rsid w:val="79C03657"/>
    <w:rsid w:val="79C3514A"/>
    <w:rsid w:val="79C8214B"/>
    <w:rsid w:val="79DD80F0"/>
    <w:rsid w:val="7A1C7734"/>
    <w:rsid w:val="7A364017"/>
    <w:rsid w:val="7A8265E1"/>
    <w:rsid w:val="7A8FA385"/>
    <w:rsid w:val="7AD94257"/>
    <w:rsid w:val="7B1840FF"/>
    <w:rsid w:val="7B1A69CB"/>
    <w:rsid w:val="7B311B77"/>
    <w:rsid w:val="7B347C96"/>
    <w:rsid w:val="7B686D42"/>
    <w:rsid w:val="7B7610C6"/>
    <w:rsid w:val="7B7B2BEF"/>
    <w:rsid w:val="7B841746"/>
    <w:rsid w:val="7BE54614"/>
    <w:rsid w:val="7BE6C811"/>
    <w:rsid w:val="7C4D230C"/>
    <w:rsid w:val="7C63309F"/>
    <w:rsid w:val="7C6C5AC7"/>
    <w:rsid w:val="7CAA0DAB"/>
    <w:rsid w:val="7CC241EA"/>
    <w:rsid w:val="7CC6544B"/>
    <w:rsid w:val="7D0239FF"/>
    <w:rsid w:val="7D5E40CD"/>
    <w:rsid w:val="7DCD56F2"/>
    <w:rsid w:val="7E1DB7D0"/>
    <w:rsid w:val="7EEC2054"/>
    <w:rsid w:val="7F001CE7"/>
    <w:rsid w:val="7F594C7D"/>
    <w:rsid w:val="7F5F3C36"/>
    <w:rsid w:val="7F6FF50C"/>
    <w:rsid w:val="7F7A3E25"/>
    <w:rsid w:val="7F9E17FF"/>
    <w:rsid w:val="7FAD217D"/>
    <w:rsid w:val="7FBB5631"/>
    <w:rsid w:val="7FC53CF6"/>
    <w:rsid w:val="7FDA9A96"/>
    <w:rsid w:val="7FDF934E"/>
    <w:rsid w:val="7FE47E50"/>
    <w:rsid w:val="7FF7E81F"/>
    <w:rsid w:val="7FFD2EA4"/>
    <w:rsid w:val="7FFEAFD4"/>
    <w:rsid w:val="7FFF3908"/>
    <w:rsid w:val="9DF1DDED"/>
    <w:rsid w:val="A5FD3AC2"/>
    <w:rsid w:val="AC1F49DD"/>
    <w:rsid w:val="AEFA8E0A"/>
    <w:rsid w:val="B67FE99B"/>
    <w:rsid w:val="B6FFC3B7"/>
    <w:rsid w:val="B9DF1AC6"/>
    <w:rsid w:val="BBEF3F6B"/>
    <w:rsid w:val="BCBF4D0A"/>
    <w:rsid w:val="BDEDF7E1"/>
    <w:rsid w:val="BDFE3655"/>
    <w:rsid w:val="BE16E2CD"/>
    <w:rsid w:val="BE7F5E36"/>
    <w:rsid w:val="BEEBF100"/>
    <w:rsid w:val="BEFFB819"/>
    <w:rsid w:val="BF79F7E0"/>
    <w:rsid w:val="BFA64888"/>
    <w:rsid w:val="BFFF0FCF"/>
    <w:rsid w:val="BFFF6F76"/>
    <w:rsid w:val="C7BB624D"/>
    <w:rsid w:val="CBFFC8B1"/>
    <w:rsid w:val="D9D15DBB"/>
    <w:rsid w:val="DB95300D"/>
    <w:rsid w:val="DBF720FD"/>
    <w:rsid w:val="DBFE8F75"/>
    <w:rsid w:val="DC365654"/>
    <w:rsid w:val="DD4D43A1"/>
    <w:rsid w:val="DD7F6499"/>
    <w:rsid w:val="DDF3DBCD"/>
    <w:rsid w:val="DE7F0DDE"/>
    <w:rsid w:val="DEF5BE21"/>
    <w:rsid w:val="DF5E80C2"/>
    <w:rsid w:val="DFF77F2A"/>
    <w:rsid w:val="DFFE49E3"/>
    <w:rsid w:val="DFFEF36F"/>
    <w:rsid w:val="E176A558"/>
    <w:rsid w:val="E6FF912F"/>
    <w:rsid w:val="E97F39BD"/>
    <w:rsid w:val="EA7F5E6D"/>
    <w:rsid w:val="EB2BD8EE"/>
    <w:rsid w:val="EDCF37BF"/>
    <w:rsid w:val="EEFF749F"/>
    <w:rsid w:val="EF6CC87D"/>
    <w:rsid w:val="EFBFE737"/>
    <w:rsid w:val="EFF7C39D"/>
    <w:rsid w:val="F1F695B4"/>
    <w:rsid w:val="F38D61A5"/>
    <w:rsid w:val="F3DF82FD"/>
    <w:rsid w:val="F5DF0AC4"/>
    <w:rsid w:val="F677FBCC"/>
    <w:rsid w:val="F6D73F8B"/>
    <w:rsid w:val="F6EF20E4"/>
    <w:rsid w:val="F73BC972"/>
    <w:rsid w:val="F7D96652"/>
    <w:rsid w:val="F7FF3AF0"/>
    <w:rsid w:val="F7FFC5FE"/>
    <w:rsid w:val="F8BF08F6"/>
    <w:rsid w:val="F8FF31B2"/>
    <w:rsid w:val="F9AF7CDE"/>
    <w:rsid w:val="FA5E17C5"/>
    <w:rsid w:val="FB7A6081"/>
    <w:rsid w:val="FBCD54B2"/>
    <w:rsid w:val="FBDF113A"/>
    <w:rsid w:val="FBE7AC80"/>
    <w:rsid w:val="FBFEC65C"/>
    <w:rsid w:val="FD17D4CA"/>
    <w:rsid w:val="FD77A648"/>
    <w:rsid w:val="FDCF6922"/>
    <w:rsid w:val="FEEEC0C8"/>
    <w:rsid w:val="FEF5FE2D"/>
    <w:rsid w:val="FF2B3E60"/>
    <w:rsid w:val="FF7F6220"/>
    <w:rsid w:val="FFB4F994"/>
    <w:rsid w:val="FFD7183F"/>
    <w:rsid w:val="FFDE4F3A"/>
    <w:rsid w:val="FFDF0DD2"/>
    <w:rsid w:val="FFEB72B6"/>
    <w:rsid w:val="FFFB9FE6"/>
    <w:rsid w:val="FFFBFFE4"/>
    <w:rsid w:val="FFFDD0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AutoShape 438"/>
        <o:r id="V:Rule2" type="connector" idref="#AutoShape 437"/>
        <o:r id="V:Rule3" type="connector" idref="#AutoShape 434"/>
        <o:r id="V:Rule4" type="connector" idref="#AutoShape 432"/>
        <o:r id="V:Rule5" type="connector" idref="#AutoShape 430"/>
        <o:r id="V:Rule6" type="connector" idref="#AutoShape 426"/>
        <o:r id="V:Rule7" type="connector" idref="#AutoShape 423"/>
        <o:r id="V:Rule8" type="connector" idref="#AutoShape 421"/>
        <o:r id="V:Rule9" type="connector" idref="#AutoShape 420"/>
        <o:r id="V:Rule10" type="connector" idref="#AutoShape 414"/>
        <o:r id="V:Rule11" type="connector" idref="#AutoShape 412"/>
        <o:r id="V:Rule12" type="connector" idref="#AutoShape 410"/>
        <o:r id="V:Rule13" type="connector" idref="#AutoShape 409"/>
        <o:r id="V:Rule14" type="connector" idref="#AutoShape 407"/>
        <o:r id="V:Rule15" type="connector" idref="#AutoShape 406"/>
        <o:r id="V:Rule16" type="connector" idref="#AutoShape 404"/>
        <o:r id="V:Rule17" type="connector" idref="#AutoShape 403"/>
        <o:r id="V:Rule18" type="connector" idref="#AutoShape 402"/>
        <o:r id="V:Rule19" type="connector" idref="#AutoShape 398"/>
        <o:r id="V:Rule20" type="connector" idref="#AutoShape 393"/>
        <o:r id="V:Rule21" type="connector" idref="#AutoShape 388"/>
        <o:r id="V:Rule22" type="connector" idref="#AutoShape 341"/>
        <o:r id="V:Rule23" type="connector" idref="#_x0000_s2350"/>
        <o:r id="V:Rule24" type="connector" idref="#_x0000_s2351"/>
        <o:r id="V:Rule25" type="connector" idref="#_x0000_s2353"/>
        <o:r id="V:Rule26" type="connector" idref="#_x0000_s2355"/>
        <o:r id="V:Rule27" type="connector" idref="#_x0000_s2359"/>
        <o:r id="V:Rule28" type="connector" idref="#_x0000_s2360"/>
        <o:r id="V:Rule29" type="connector" idref="#_x0000_s2361"/>
        <o:r id="V:Rule30" type="connector" idref="#_x0000_s2363"/>
        <o:r id="V:Rule31" type="connector" idref="#_x0000_s2364"/>
        <o:r id="V:Rule32" type="connector" idref="#_x0000_s2365"/>
        <o:r id="V:Rule33" type="connector" idref="#AutoShape 434"/>
        <o:r id="V:Rule34" type="connector" idref="#_x0000_s2369"/>
        <o:r id="V:Rule35" type="connector" idref="#_x0000_s2370"/>
        <o:r id="V:Rule36" type="connector" idref="#_x0000_s2371"/>
        <o:r id="V:Rule37" type="connector" idref="#自选图形 1509"/>
        <o:r id="V:Rule38" type="connector" idref="#自选图形 1457"/>
        <o:r id="V:Rule39" type="connector" idref="#自选图形 1512"/>
        <o:r id="V:Rule40" type="connector" idref="#自选图形 1514"/>
        <o:r id="V:Rule41" type="connector" idref="#自选图形 1519"/>
        <o:r id="V:Rule42" type="connector" idref="#自选图形 1458"/>
        <o:r id="V:Rule43" type="connector" idref="#自选图形 1458"/>
        <o:r id="V:Rule44" type="connector" idref="#自选图形 1512"/>
        <o:r id="V:Rule45" type="connector" idref="#自选图形 1519"/>
        <o:r id="V:Rule46" type="connector" idref="#自选图形 1458"/>
        <o:r id="V:Rule47" type="connector" idref="#自选图形 1512"/>
        <o:r id="V:Rule48" type="connector" idref="#自选图形 1458"/>
        <o:r id="V:Rule49" type="connector" idref="#自选图形 1458"/>
        <o:r id="V:Rule50" type="connector" idref="#自选图形 1458"/>
        <o:r id="V:Rule51" type="connector" idref="#自选图形 1461"/>
        <o:r id="V:Rule52" type="connector" idref="#自选图形 1458"/>
        <o:r id="V:Rule53" type="connector" idref="#自选图形 1512"/>
        <o:r id="V:Rule54" type="connector" idref="#自选图形 1519"/>
        <o:r id="V:Rule55" type="connector" idref="#自选图形 135"/>
        <o:r id="V:Rule56" type="connector" idref="#自选图形 136"/>
        <o:r id="V:Rule57" type="connector" idref="#自选图形 1458"/>
        <o:r id="V:Rule58" type="connector" idref="#_x0000_s2476"/>
        <o:r id="V:Rule59" type="connector" idref="#自选图形 135"/>
        <o:r id="V:Rule60" type="connector" idref="#自选图形 1458"/>
        <o:r id="V:Rule61" type="connector" idref="#_x0000_s2483"/>
        <o:r id="V:Rule62" type="connector" idref="#自选图形 136"/>
        <o:r id="V:Rule63" type="connector" idref="#_x0000_s2485"/>
        <o:r id="V:Rule64" type="connector" idref="#_x0000_s2486"/>
        <o:r id="V:Rule65" type="connector" idref="#_x0000_s2487"/>
        <o:r id="V:Rule66" type="connector" idref="#_x0000_s2488"/>
        <o:r id="V:Rule67" type="connector" idref="#_x0000_s2489"/>
        <o:r id="V:Rule68" type="connector" idref="#_x0000_s2505"/>
        <o:r id="V:Rule69" type="connector" idref="#_x0000_s2506"/>
        <o:r id="V:Rule70" type="connector" idref="#_x0000_s2507"/>
        <o:r id="V:Rule71" type="connector" idref="#AutoShape 403"/>
        <o:r id="V:Rule72" type="connector" idref="#_x0000_s2518"/>
        <o:r id="V:Rule73" type="connector" idref="#AutoShape 404"/>
        <o:r id="V:Rule74" type="connector" idref="#AutoShape 404"/>
        <o:r id="V:Rule75" type="connector" idref="#AutoShape 432"/>
        <o:r id="V:Rule76" type="connector" idref="#_x0000_s2530"/>
        <o:r id="V:Rule77" type="connector" idref="#_x0000_s2534"/>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1"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nhideWhenUsed="0" w:uiPriority="1" w:semiHidden="0" w:name="heading 6" w:locked="1"/>
    <w:lsdException w:qFormat="1" w:unhideWhenUsed="0" w:uiPriority="9" w:semiHidden="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99" w:semiHidden="0" w:name="table of authorities" w:locked="1"/>
    <w:lsdException w:qFormat="1"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unhideWhenUsed="0" w:uiPriority="0" w:semiHidden="0" w:name="Body Text 2" w:locked="1"/>
    <w:lsdException w:qFormat="1" w:uiPriority="0" w:semiHidden="0" w:name="Body Text 3" w:locked="1"/>
    <w:lsdException w:qFormat="1" w:unhideWhenUsed="0" w:uiPriority="0" w:semiHidden="0" w:name="Body Text Indent 2" w:locked="1"/>
    <w:lsdException w:unhideWhenUsed="0" w:uiPriority="0" w:semiHidden="0" w:name="Body Text Indent 3" w:locked="1"/>
    <w:lsdException w:qFormat="1" w:uiPriority="99" w:semiHidden="0" w:name="Block Text" w:locked="1"/>
    <w:lsdException w:qFormat="1" w:uiPriority="99" w:semiHidden="0" w:name="Hyperlink" w:locked="1"/>
    <w:lsdException w:qFormat="1" w:uiPriority="99" w:semiHidden="0"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sdException w:uiPriority="0" w:name="Table Theme" w:locked="1"/>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48"/>
    <w:qFormat/>
    <w:locked/>
    <w:uiPriority w:val="1"/>
    <w:pPr>
      <w:keepNext/>
      <w:keepLines/>
      <w:spacing w:before="260" w:after="260" w:line="416" w:lineRule="auto"/>
      <w:outlineLvl w:val="1"/>
    </w:pPr>
    <w:rPr>
      <w:rFonts w:ascii="Cambria" w:hAnsi="Cambria"/>
      <w:b/>
      <w:bCs/>
      <w:sz w:val="32"/>
      <w:szCs w:val="32"/>
    </w:rPr>
  </w:style>
  <w:style w:type="paragraph" w:styleId="5">
    <w:name w:val="heading 3"/>
    <w:basedOn w:val="1"/>
    <w:next w:val="1"/>
    <w:link w:val="46"/>
    <w:qFormat/>
    <w:locked/>
    <w:uiPriority w:val="0"/>
    <w:pPr>
      <w:keepNext/>
      <w:keepLines/>
      <w:spacing w:before="260" w:after="260" w:line="416" w:lineRule="auto"/>
      <w:outlineLvl w:val="2"/>
    </w:pPr>
    <w:rPr>
      <w:b/>
      <w:bCs/>
      <w:sz w:val="32"/>
      <w:szCs w:val="32"/>
    </w:rPr>
  </w:style>
  <w:style w:type="paragraph" w:styleId="6">
    <w:name w:val="heading 4"/>
    <w:basedOn w:val="1"/>
    <w:next w:val="1"/>
    <w:link w:val="263"/>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link w:val="273"/>
    <w:qFormat/>
    <w:locked/>
    <w:uiPriority w:val="1"/>
    <w:pPr>
      <w:autoSpaceDE w:val="0"/>
      <w:autoSpaceDN w:val="0"/>
      <w:adjustRightInd w:val="0"/>
      <w:ind w:left="117"/>
      <w:jc w:val="left"/>
      <w:outlineLvl w:val="5"/>
    </w:pPr>
    <w:rPr>
      <w:rFonts w:ascii="楷体_GB2312" w:eastAsia="楷体_GB2312" w:cs="楷体_GB2312"/>
      <w:b/>
      <w:bCs/>
      <w:kern w:val="0"/>
      <w:sz w:val="28"/>
      <w:szCs w:val="28"/>
    </w:rPr>
  </w:style>
  <w:style w:type="paragraph" w:styleId="8">
    <w:name w:val="heading 7"/>
    <w:basedOn w:val="1"/>
    <w:next w:val="1"/>
    <w:link w:val="49"/>
    <w:qFormat/>
    <w:locked/>
    <w:uiPriority w:val="9"/>
    <w:pPr>
      <w:keepNext/>
      <w:keepLines/>
      <w:spacing w:before="240" w:after="64" w:line="319" w:lineRule="auto"/>
      <w:outlineLvl w:val="6"/>
    </w:pPr>
    <w:rPr>
      <w:rFonts w:ascii="Calibri" w:hAnsi="Calibri"/>
      <w:b/>
      <w:bCs/>
      <w:sz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macro"/>
    <w:link w:val="255"/>
    <w:qFormat/>
    <w:locked/>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9">
    <w:name w:val="List 3"/>
    <w:basedOn w:val="1"/>
    <w:next w:val="1"/>
    <w:unhideWhenUsed/>
    <w:qFormat/>
    <w:locked/>
    <w:uiPriority w:val="0"/>
    <w:pPr>
      <w:jc w:val="center"/>
    </w:pPr>
    <w:rPr>
      <w:rFonts w:ascii="Calibri" w:hAnsi="Calibri"/>
    </w:rPr>
  </w:style>
  <w:style w:type="paragraph" w:styleId="10">
    <w:name w:val="table of authorities"/>
    <w:basedOn w:val="1"/>
    <w:next w:val="1"/>
    <w:qFormat/>
    <w:locked/>
    <w:uiPriority w:val="99"/>
    <w:pPr>
      <w:ind w:left="420" w:leftChars="200"/>
    </w:pPr>
    <w:rPr>
      <w:rFonts w:ascii="Calibri" w:hAnsi="Calibri"/>
    </w:rPr>
  </w:style>
  <w:style w:type="paragraph" w:styleId="11">
    <w:name w:val="Note Heading"/>
    <w:basedOn w:val="1"/>
    <w:next w:val="1"/>
    <w:link w:val="253"/>
    <w:qFormat/>
    <w:locked/>
    <w:uiPriority w:val="0"/>
    <w:pPr>
      <w:jc w:val="center"/>
    </w:pPr>
  </w:style>
  <w:style w:type="paragraph" w:styleId="12">
    <w:name w:val="Normal Indent"/>
    <w:basedOn w:val="1"/>
    <w:next w:val="1"/>
    <w:link w:val="50"/>
    <w:unhideWhenUsed/>
    <w:qFormat/>
    <w:locked/>
    <w:uiPriority w:val="0"/>
    <w:pPr>
      <w:ind w:firstLine="420"/>
    </w:pPr>
    <w:rPr>
      <w:szCs w:val="20"/>
    </w:rPr>
  </w:style>
  <w:style w:type="paragraph" w:styleId="13">
    <w:name w:val="caption"/>
    <w:basedOn w:val="1"/>
    <w:next w:val="1"/>
    <w:qFormat/>
    <w:locked/>
    <w:uiPriority w:val="0"/>
    <w:rPr>
      <w:rFonts w:ascii="Arial" w:hAnsi="Arial" w:eastAsia="黑体" w:cs="Arial"/>
      <w:sz w:val="20"/>
      <w:szCs w:val="20"/>
    </w:rPr>
  </w:style>
  <w:style w:type="paragraph" w:styleId="14">
    <w:name w:val="Document Map"/>
    <w:basedOn w:val="1"/>
    <w:link w:val="51"/>
    <w:qFormat/>
    <w:locked/>
    <w:uiPriority w:val="0"/>
    <w:rPr>
      <w:rFonts w:ascii="宋体"/>
      <w:sz w:val="18"/>
      <w:szCs w:val="18"/>
    </w:rPr>
  </w:style>
  <w:style w:type="paragraph" w:styleId="15">
    <w:name w:val="annotation text"/>
    <w:basedOn w:val="1"/>
    <w:link w:val="52"/>
    <w:qFormat/>
    <w:uiPriority w:val="0"/>
    <w:pPr>
      <w:jc w:val="left"/>
    </w:pPr>
    <w:rPr>
      <w:kern w:val="0"/>
      <w:sz w:val="24"/>
      <w:szCs w:val="20"/>
    </w:rPr>
  </w:style>
  <w:style w:type="paragraph" w:styleId="16">
    <w:name w:val="Body Text 3"/>
    <w:basedOn w:val="1"/>
    <w:link w:val="53"/>
    <w:unhideWhenUsed/>
    <w:qFormat/>
    <w:locked/>
    <w:uiPriority w:val="0"/>
    <w:pPr>
      <w:spacing w:after="120"/>
    </w:pPr>
    <w:rPr>
      <w:sz w:val="16"/>
      <w:szCs w:val="16"/>
    </w:rPr>
  </w:style>
  <w:style w:type="paragraph" w:styleId="17">
    <w:name w:val="Body Text"/>
    <w:basedOn w:val="1"/>
    <w:next w:val="18"/>
    <w:link w:val="54"/>
    <w:qFormat/>
    <w:uiPriority w:val="0"/>
    <w:pPr>
      <w:widowControl/>
      <w:snapToGrid w:val="0"/>
      <w:spacing w:before="60" w:after="160" w:line="259" w:lineRule="auto"/>
      <w:ind w:right="113"/>
    </w:pPr>
    <w:rPr>
      <w:kern w:val="0"/>
      <w:sz w:val="18"/>
      <w:szCs w:val="20"/>
    </w:rPr>
  </w:style>
  <w:style w:type="paragraph" w:customStyle="1" w:styleId="18">
    <w:name w:val="Body Text 2_050de59c-084d-4175-9105-ef8c1c28e700"/>
    <w:basedOn w:val="1"/>
    <w:qFormat/>
    <w:uiPriority w:val="0"/>
    <w:pPr>
      <w:spacing w:after="120" w:line="480" w:lineRule="auto"/>
    </w:pPr>
  </w:style>
  <w:style w:type="paragraph" w:styleId="19">
    <w:name w:val="Body Text Indent"/>
    <w:basedOn w:val="1"/>
    <w:next w:val="20"/>
    <w:link w:val="55"/>
    <w:qFormat/>
    <w:uiPriority w:val="0"/>
    <w:pPr>
      <w:spacing w:after="120"/>
      <w:ind w:left="420" w:leftChars="200"/>
    </w:pPr>
    <w:rPr>
      <w:kern w:val="0"/>
      <w:sz w:val="24"/>
      <w:szCs w:val="20"/>
    </w:rPr>
  </w:style>
  <w:style w:type="paragraph" w:customStyle="1" w:styleId="20">
    <w:name w:val="样式 正文文本缩进 + 行距: 1.5 倍行距"/>
    <w:basedOn w:val="1"/>
    <w:qFormat/>
    <w:uiPriority w:val="0"/>
    <w:pPr>
      <w:spacing w:after="120" w:line="360" w:lineRule="auto"/>
      <w:ind w:left="90" w:leftChars="32" w:firstLine="560" w:firstLineChars="200"/>
    </w:pPr>
    <w:rPr>
      <w:rFonts w:cs="宋体"/>
      <w:sz w:val="24"/>
      <w:szCs w:val="20"/>
    </w:rPr>
  </w:style>
  <w:style w:type="paragraph" w:styleId="21">
    <w:name w:val="Block Text"/>
    <w:basedOn w:val="1"/>
    <w:next w:val="1"/>
    <w:unhideWhenUsed/>
    <w:qFormat/>
    <w:locked/>
    <w:uiPriority w:val="99"/>
    <w:pPr>
      <w:snapToGrid w:val="0"/>
      <w:spacing w:line="408" w:lineRule="auto"/>
      <w:ind w:left="-113" w:right="-510" w:firstLine="510"/>
    </w:pPr>
    <w:rPr>
      <w:rFonts w:ascii="Calibri" w:hAnsi="Calibri"/>
      <w:sz w:val="24"/>
      <w:szCs w:val="20"/>
    </w:rPr>
  </w:style>
  <w:style w:type="paragraph" w:styleId="22">
    <w:name w:val="Plain Text"/>
    <w:basedOn w:val="1"/>
    <w:link w:val="56"/>
    <w:unhideWhenUsed/>
    <w:qFormat/>
    <w:locked/>
    <w:uiPriority w:val="0"/>
    <w:pPr>
      <w:spacing w:before="120" w:after="120"/>
      <w:ind w:firstLine="629"/>
    </w:pPr>
    <w:rPr>
      <w:rFonts w:ascii="宋体" w:hAnsi="Courier New"/>
      <w:sz w:val="30"/>
      <w:szCs w:val="20"/>
    </w:rPr>
  </w:style>
  <w:style w:type="paragraph" w:styleId="23">
    <w:name w:val="Date"/>
    <w:basedOn w:val="1"/>
    <w:next w:val="1"/>
    <w:link w:val="57"/>
    <w:qFormat/>
    <w:uiPriority w:val="0"/>
    <w:pPr>
      <w:ind w:left="100" w:leftChars="2500"/>
    </w:pPr>
    <w:rPr>
      <w:kern w:val="0"/>
      <w:sz w:val="24"/>
      <w:szCs w:val="20"/>
    </w:rPr>
  </w:style>
  <w:style w:type="paragraph" w:styleId="24">
    <w:name w:val="Body Text Indent 2"/>
    <w:basedOn w:val="1"/>
    <w:link w:val="58"/>
    <w:qFormat/>
    <w:locked/>
    <w:uiPriority w:val="0"/>
    <w:pPr>
      <w:spacing w:after="120" w:line="480" w:lineRule="auto"/>
      <w:ind w:left="420" w:leftChars="200"/>
    </w:pPr>
  </w:style>
  <w:style w:type="paragraph" w:styleId="25">
    <w:name w:val="Balloon Text"/>
    <w:basedOn w:val="1"/>
    <w:link w:val="59"/>
    <w:qFormat/>
    <w:uiPriority w:val="0"/>
    <w:rPr>
      <w:kern w:val="0"/>
      <w:sz w:val="18"/>
      <w:szCs w:val="20"/>
    </w:rPr>
  </w:style>
  <w:style w:type="paragraph" w:styleId="26">
    <w:name w:val="footer"/>
    <w:basedOn w:val="1"/>
    <w:link w:val="60"/>
    <w:qFormat/>
    <w:uiPriority w:val="99"/>
    <w:pPr>
      <w:tabs>
        <w:tab w:val="center" w:pos="4153"/>
        <w:tab w:val="right" w:pos="8306"/>
      </w:tabs>
      <w:snapToGrid w:val="0"/>
      <w:jc w:val="left"/>
    </w:pPr>
    <w:rPr>
      <w:kern w:val="0"/>
      <w:sz w:val="18"/>
      <w:szCs w:val="20"/>
    </w:rPr>
  </w:style>
  <w:style w:type="paragraph" w:styleId="27">
    <w:name w:val="header"/>
    <w:basedOn w:val="1"/>
    <w:link w:val="61"/>
    <w:qFormat/>
    <w:uiPriority w:val="99"/>
    <w:pPr>
      <w:pBdr>
        <w:bottom w:val="single" w:color="auto" w:sz="6" w:space="1"/>
      </w:pBdr>
      <w:tabs>
        <w:tab w:val="center" w:pos="4153"/>
        <w:tab w:val="right" w:pos="8306"/>
      </w:tabs>
      <w:snapToGrid w:val="0"/>
      <w:jc w:val="center"/>
    </w:pPr>
    <w:rPr>
      <w:kern w:val="0"/>
      <w:sz w:val="18"/>
      <w:szCs w:val="20"/>
    </w:rPr>
  </w:style>
  <w:style w:type="paragraph" w:styleId="28">
    <w:name w:val="toc 1"/>
    <w:basedOn w:val="1"/>
    <w:next w:val="1"/>
    <w:autoRedefine/>
    <w:locked/>
    <w:uiPriority w:val="39"/>
  </w:style>
  <w:style w:type="paragraph" w:styleId="29">
    <w:name w:val="Subtitle"/>
    <w:basedOn w:val="1"/>
    <w:next w:val="1"/>
    <w:link w:val="62"/>
    <w:qFormat/>
    <w:locked/>
    <w:uiPriority w:val="0"/>
    <w:pPr>
      <w:spacing w:line="360" w:lineRule="auto"/>
      <w:ind w:firstLine="200" w:firstLineChars="200"/>
      <w:outlineLvl w:val="1"/>
    </w:pPr>
    <w:rPr>
      <w:bCs/>
      <w:kern w:val="28"/>
      <w:sz w:val="24"/>
      <w:szCs w:val="32"/>
    </w:rPr>
  </w:style>
  <w:style w:type="paragraph" w:styleId="30">
    <w:name w:val="List"/>
    <w:basedOn w:val="1"/>
    <w:next w:val="1"/>
    <w:qFormat/>
    <w:locked/>
    <w:uiPriority w:val="0"/>
    <w:pPr>
      <w:ind w:left="200" w:hanging="200" w:hangingChars="200"/>
      <w:contextualSpacing/>
    </w:pPr>
  </w:style>
  <w:style w:type="paragraph" w:styleId="31">
    <w:name w:val="toc 2"/>
    <w:basedOn w:val="1"/>
    <w:next w:val="1"/>
    <w:unhideWhenUsed/>
    <w:qFormat/>
    <w:locked/>
    <w:uiPriority w:val="39"/>
    <w:pPr>
      <w:ind w:left="420" w:leftChars="200"/>
    </w:pPr>
    <w:rPr>
      <w:rFonts w:ascii="Calibri" w:hAnsi="Calibri"/>
    </w:rPr>
  </w:style>
  <w:style w:type="paragraph" w:styleId="32">
    <w:name w:val="Normal (Web)"/>
    <w:basedOn w:val="1"/>
    <w:link w:val="63"/>
    <w:qFormat/>
    <w:uiPriority w:val="0"/>
    <w:pPr>
      <w:widowControl/>
      <w:spacing w:before="100" w:beforeAutospacing="1" w:after="100" w:afterAutospacing="1"/>
      <w:jc w:val="left"/>
    </w:pPr>
    <w:rPr>
      <w:rFonts w:ascii="宋体" w:hAnsi="宋体"/>
      <w:kern w:val="0"/>
      <w:sz w:val="24"/>
      <w:szCs w:val="20"/>
    </w:rPr>
  </w:style>
  <w:style w:type="paragraph" w:styleId="33">
    <w:name w:val="Title"/>
    <w:basedOn w:val="1"/>
    <w:next w:val="1"/>
    <w:link w:val="276"/>
    <w:qFormat/>
    <w:locked/>
    <w:uiPriority w:val="0"/>
    <w:pPr>
      <w:spacing w:line="520" w:lineRule="exact"/>
      <w:jc w:val="center"/>
    </w:pPr>
    <w:rPr>
      <w:rFonts w:ascii="Cambria" w:hAnsi="Cambria"/>
      <w:b/>
      <w:bCs/>
      <w:sz w:val="24"/>
      <w:szCs w:val="32"/>
    </w:rPr>
  </w:style>
  <w:style w:type="paragraph" w:styleId="34">
    <w:name w:val="annotation subject"/>
    <w:basedOn w:val="15"/>
    <w:next w:val="15"/>
    <w:link w:val="64"/>
    <w:qFormat/>
    <w:uiPriority w:val="0"/>
    <w:rPr>
      <w:b/>
      <w:kern w:val="2"/>
    </w:rPr>
  </w:style>
  <w:style w:type="paragraph" w:styleId="35">
    <w:name w:val="Body Text First Indent"/>
    <w:basedOn w:val="17"/>
    <w:next w:val="36"/>
    <w:link w:val="277"/>
    <w:qFormat/>
    <w:locked/>
    <w:uiPriority w:val="0"/>
    <w:pPr>
      <w:widowControl w:val="0"/>
      <w:snapToGrid/>
      <w:spacing w:before="0" w:after="120" w:line="360" w:lineRule="auto"/>
      <w:ind w:right="0" w:firstLine="420" w:firstLineChars="100"/>
    </w:pPr>
    <w:rPr>
      <w:rFonts w:ascii="宋体"/>
      <w:kern w:val="2"/>
      <w:sz w:val="24"/>
      <w:szCs w:val="24"/>
    </w:rPr>
  </w:style>
  <w:style w:type="paragraph" w:styleId="36">
    <w:name w:val="Body Text First Indent 2"/>
    <w:basedOn w:val="19"/>
    <w:next w:val="1"/>
    <w:link w:val="278"/>
    <w:qFormat/>
    <w:locked/>
    <w:uiPriority w:val="0"/>
    <w:pPr>
      <w:ind w:firstLine="420" w:firstLineChars="200"/>
    </w:pPr>
    <w:rPr>
      <w:sz w:val="21"/>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locked/>
    <w:uiPriority w:val="22"/>
    <w:rPr>
      <w:b/>
      <w:bCs/>
    </w:rPr>
  </w:style>
  <w:style w:type="character" w:styleId="41">
    <w:name w:val="page number"/>
    <w:qFormat/>
    <w:locked/>
    <w:uiPriority w:val="0"/>
  </w:style>
  <w:style w:type="character" w:styleId="42">
    <w:name w:val="FollowedHyperlink"/>
    <w:unhideWhenUsed/>
    <w:qFormat/>
    <w:locked/>
    <w:uiPriority w:val="99"/>
    <w:rPr>
      <w:color w:val="800080"/>
      <w:u w:val="single"/>
    </w:rPr>
  </w:style>
  <w:style w:type="character" w:styleId="43">
    <w:name w:val="Emphasis"/>
    <w:qFormat/>
    <w:locked/>
    <w:uiPriority w:val="20"/>
    <w:rPr>
      <w:i/>
    </w:rPr>
  </w:style>
  <w:style w:type="character" w:styleId="44">
    <w:name w:val="Hyperlink"/>
    <w:unhideWhenUsed/>
    <w:qFormat/>
    <w:locked/>
    <w:uiPriority w:val="99"/>
    <w:rPr>
      <w:color w:val="0000FF"/>
      <w:u w:val="single"/>
    </w:rPr>
  </w:style>
  <w:style w:type="character" w:styleId="45">
    <w:name w:val="annotation reference"/>
    <w:qFormat/>
    <w:uiPriority w:val="99"/>
    <w:rPr>
      <w:sz w:val="21"/>
    </w:rPr>
  </w:style>
  <w:style w:type="character" w:customStyle="1" w:styleId="46">
    <w:name w:val="标题 3 字符"/>
    <w:link w:val="5"/>
    <w:qFormat/>
    <w:uiPriority w:val="0"/>
    <w:rPr>
      <w:b/>
      <w:bCs/>
      <w:kern w:val="2"/>
      <w:sz w:val="32"/>
      <w:szCs w:val="32"/>
    </w:rPr>
  </w:style>
  <w:style w:type="character" w:customStyle="1" w:styleId="47">
    <w:name w:val="标题 1 字符"/>
    <w:link w:val="3"/>
    <w:qFormat/>
    <w:uiPriority w:val="99"/>
    <w:rPr>
      <w:rFonts w:eastAsia="黑体"/>
      <w:b/>
      <w:bCs/>
      <w:color w:val="000000"/>
      <w:kern w:val="44"/>
      <w:sz w:val="30"/>
      <w:szCs w:val="30"/>
    </w:rPr>
  </w:style>
  <w:style w:type="character" w:customStyle="1" w:styleId="48">
    <w:name w:val="标题 2 字符"/>
    <w:link w:val="4"/>
    <w:qFormat/>
    <w:uiPriority w:val="1"/>
    <w:rPr>
      <w:rFonts w:ascii="Cambria" w:hAnsi="Cambria" w:eastAsia="宋体" w:cs="Times New Roman"/>
      <w:b/>
      <w:bCs/>
      <w:kern w:val="2"/>
      <w:sz w:val="32"/>
      <w:szCs w:val="32"/>
    </w:rPr>
  </w:style>
  <w:style w:type="character" w:customStyle="1" w:styleId="49">
    <w:name w:val="标题 7 字符"/>
    <w:link w:val="8"/>
    <w:qFormat/>
    <w:uiPriority w:val="9"/>
    <w:rPr>
      <w:rFonts w:ascii="Calibri" w:hAnsi="Calibri"/>
      <w:b/>
      <w:bCs/>
      <w:kern w:val="2"/>
      <w:sz w:val="24"/>
      <w:szCs w:val="24"/>
    </w:rPr>
  </w:style>
  <w:style w:type="character" w:customStyle="1" w:styleId="50">
    <w:name w:val="正文缩进 字符"/>
    <w:link w:val="12"/>
    <w:qFormat/>
    <w:locked/>
    <w:uiPriority w:val="99"/>
    <w:rPr>
      <w:kern w:val="2"/>
      <w:sz w:val="21"/>
    </w:rPr>
  </w:style>
  <w:style w:type="character" w:customStyle="1" w:styleId="51">
    <w:name w:val="文档结构图 字符"/>
    <w:link w:val="14"/>
    <w:qFormat/>
    <w:uiPriority w:val="0"/>
    <w:rPr>
      <w:rFonts w:ascii="宋体"/>
      <w:kern w:val="2"/>
      <w:sz w:val="18"/>
      <w:szCs w:val="18"/>
    </w:rPr>
  </w:style>
  <w:style w:type="character" w:customStyle="1" w:styleId="52">
    <w:name w:val="批注文字 字符"/>
    <w:link w:val="15"/>
    <w:qFormat/>
    <w:locked/>
    <w:uiPriority w:val="0"/>
    <w:rPr>
      <w:rFonts w:ascii="Times New Roman" w:hAnsi="Times New Roman" w:eastAsia="宋体"/>
      <w:sz w:val="24"/>
    </w:rPr>
  </w:style>
  <w:style w:type="character" w:customStyle="1" w:styleId="53">
    <w:name w:val="正文文本 3 字符"/>
    <w:link w:val="16"/>
    <w:qFormat/>
    <w:uiPriority w:val="0"/>
    <w:rPr>
      <w:kern w:val="2"/>
      <w:sz w:val="16"/>
      <w:szCs w:val="16"/>
    </w:rPr>
  </w:style>
  <w:style w:type="character" w:customStyle="1" w:styleId="54">
    <w:name w:val="正文文本 字符"/>
    <w:link w:val="17"/>
    <w:qFormat/>
    <w:locked/>
    <w:uiPriority w:val="0"/>
    <w:rPr>
      <w:sz w:val="18"/>
    </w:rPr>
  </w:style>
  <w:style w:type="character" w:customStyle="1" w:styleId="55">
    <w:name w:val="正文文本缩进 字符"/>
    <w:link w:val="19"/>
    <w:qFormat/>
    <w:locked/>
    <w:uiPriority w:val="0"/>
    <w:rPr>
      <w:rFonts w:ascii="Times New Roman" w:hAnsi="Times New Roman" w:eastAsia="宋体"/>
      <w:sz w:val="24"/>
    </w:rPr>
  </w:style>
  <w:style w:type="character" w:customStyle="1" w:styleId="56">
    <w:name w:val="纯文本 字符"/>
    <w:link w:val="22"/>
    <w:qFormat/>
    <w:uiPriority w:val="0"/>
    <w:rPr>
      <w:rFonts w:ascii="宋体" w:hAnsi="Courier New"/>
      <w:kern w:val="2"/>
      <w:sz w:val="30"/>
    </w:rPr>
  </w:style>
  <w:style w:type="character" w:customStyle="1" w:styleId="57">
    <w:name w:val="日期 字符1"/>
    <w:link w:val="23"/>
    <w:qFormat/>
    <w:locked/>
    <w:uiPriority w:val="0"/>
    <w:rPr>
      <w:rFonts w:ascii="Times New Roman" w:hAnsi="Times New Roman" w:eastAsia="宋体"/>
      <w:sz w:val="24"/>
    </w:rPr>
  </w:style>
  <w:style w:type="character" w:customStyle="1" w:styleId="58">
    <w:name w:val="正文文本缩进 2 字符"/>
    <w:link w:val="24"/>
    <w:qFormat/>
    <w:uiPriority w:val="0"/>
    <w:rPr>
      <w:kern w:val="2"/>
      <w:sz w:val="21"/>
      <w:szCs w:val="24"/>
    </w:rPr>
  </w:style>
  <w:style w:type="character" w:customStyle="1" w:styleId="59">
    <w:name w:val="批注框文本 字符"/>
    <w:link w:val="25"/>
    <w:qFormat/>
    <w:locked/>
    <w:uiPriority w:val="0"/>
    <w:rPr>
      <w:rFonts w:ascii="Times New Roman" w:hAnsi="Times New Roman" w:eastAsia="宋体"/>
      <w:sz w:val="18"/>
    </w:rPr>
  </w:style>
  <w:style w:type="character" w:customStyle="1" w:styleId="60">
    <w:name w:val="页脚 字符1"/>
    <w:link w:val="26"/>
    <w:qFormat/>
    <w:locked/>
    <w:uiPriority w:val="99"/>
    <w:rPr>
      <w:sz w:val="18"/>
    </w:rPr>
  </w:style>
  <w:style w:type="character" w:customStyle="1" w:styleId="61">
    <w:name w:val="页眉 字符"/>
    <w:link w:val="27"/>
    <w:qFormat/>
    <w:locked/>
    <w:uiPriority w:val="99"/>
    <w:rPr>
      <w:sz w:val="18"/>
    </w:rPr>
  </w:style>
  <w:style w:type="character" w:customStyle="1" w:styleId="62">
    <w:name w:val="副标题 字符"/>
    <w:link w:val="29"/>
    <w:qFormat/>
    <w:uiPriority w:val="0"/>
    <w:rPr>
      <w:bCs/>
      <w:kern w:val="28"/>
      <w:sz w:val="24"/>
      <w:szCs w:val="32"/>
    </w:rPr>
  </w:style>
  <w:style w:type="character" w:customStyle="1" w:styleId="63">
    <w:name w:val="普通(网站) 字符"/>
    <w:link w:val="32"/>
    <w:qFormat/>
    <w:locked/>
    <w:uiPriority w:val="0"/>
    <w:rPr>
      <w:rFonts w:ascii="宋体" w:hAnsi="宋体" w:eastAsia="宋体"/>
      <w:sz w:val="24"/>
    </w:rPr>
  </w:style>
  <w:style w:type="character" w:customStyle="1" w:styleId="64">
    <w:name w:val="批注主题 字符"/>
    <w:link w:val="34"/>
    <w:qFormat/>
    <w:locked/>
    <w:uiPriority w:val="0"/>
    <w:rPr>
      <w:rFonts w:ascii="Times New Roman" w:hAnsi="Times New Roman" w:eastAsia="宋体"/>
      <w:b/>
      <w:kern w:val="2"/>
      <w:sz w:val="24"/>
    </w:rPr>
  </w:style>
  <w:style w:type="character" w:customStyle="1" w:styleId="65">
    <w:name w:val="普通(网站) 字符1"/>
    <w:qFormat/>
    <w:uiPriority w:val="0"/>
    <w:rPr>
      <w:rFonts w:hint="eastAsia" w:ascii="宋体" w:hAnsi="宋体" w:eastAsia="宋体" w:cs="宋体"/>
      <w:sz w:val="24"/>
    </w:rPr>
  </w:style>
  <w:style w:type="paragraph" w:customStyle="1" w:styleId="66">
    <w:name w:val="Default"/>
    <w:basedOn w:val="67"/>
    <w:next w:val="9"/>
    <w:link w:val="289"/>
    <w:qFormat/>
    <w:uiPriority w:val="0"/>
    <w:pPr>
      <w:autoSpaceDE w:val="0"/>
      <w:autoSpaceDN w:val="0"/>
      <w:adjustRightInd w:val="0"/>
      <w:jc w:val="center"/>
    </w:pPr>
    <w:rPr>
      <w:color w:val="000000"/>
      <w:sz w:val="24"/>
    </w:rPr>
  </w:style>
  <w:style w:type="paragraph" w:customStyle="1" w:styleId="67">
    <w:name w:val="纯文本1"/>
    <w:basedOn w:val="1"/>
    <w:qFormat/>
    <w:uiPriority w:val="0"/>
    <w:rPr>
      <w:rFonts w:ascii="宋体" w:hAnsi="Courier New"/>
      <w:szCs w:val="21"/>
    </w:rPr>
  </w:style>
  <w:style w:type="character" w:customStyle="1" w:styleId="68">
    <w:name w:val="页脚 字符"/>
    <w:qFormat/>
    <w:uiPriority w:val="99"/>
  </w:style>
  <w:style w:type="character" w:customStyle="1" w:styleId="69">
    <w:name w:val="正文文本 字符1"/>
    <w:qFormat/>
    <w:uiPriority w:val="0"/>
    <w:rPr>
      <w:rFonts w:ascii="Times New Roman" w:hAnsi="Times New Roman" w:eastAsia="宋体"/>
      <w:sz w:val="24"/>
    </w:rPr>
  </w:style>
  <w:style w:type="character" w:customStyle="1" w:styleId="70">
    <w:name w:val="表格 Char"/>
    <w:link w:val="71"/>
    <w:qFormat/>
    <w:locked/>
    <w:uiPriority w:val="0"/>
    <w:rPr>
      <w:rFonts w:ascii="宋体"/>
      <w:sz w:val="21"/>
    </w:rPr>
  </w:style>
  <w:style w:type="paragraph" w:customStyle="1" w:styleId="71">
    <w:name w:val="表格"/>
    <w:basedOn w:val="1"/>
    <w:next w:val="1"/>
    <w:link w:val="70"/>
    <w:qFormat/>
    <w:uiPriority w:val="0"/>
    <w:pPr>
      <w:adjustRightInd w:val="0"/>
      <w:snapToGrid w:val="0"/>
      <w:spacing w:beforeLines="10" w:afterLines="10" w:line="259" w:lineRule="auto"/>
      <w:jc w:val="center"/>
    </w:pPr>
    <w:rPr>
      <w:rFonts w:ascii="宋体"/>
      <w:kern w:val="0"/>
      <w:szCs w:val="20"/>
    </w:rPr>
  </w:style>
  <w:style w:type="character" w:customStyle="1" w:styleId="72">
    <w:name w:val="日期 字符"/>
    <w:semiHidden/>
    <w:qFormat/>
    <w:uiPriority w:val="0"/>
    <w:rPr>
      <w:rFonts w:ascii="Times New Roman" w:hAnsi="Times New Roman" w:eastAsia="宋体"/>
      <w:sz w:val="24"/>
    </w:rPr>
  </w:style>
  <w:style w:type="character" w:customStyle="1" w:styleId="73">
    <w:name w:val="批注文字 字符1"/>
    <w:semiHidden/>
    <w:qFormat/>
    <w:uiPriority w:val="0"/>
    <w:rPr>
      <w:rFonts w:ascii="Times New Roman" w:hAnsi="Times New Roman" w:eastAsia="宋体"/>
      <w:sz w:val="24"/>
    </w:rPr>
  </w:style>
  <w:style w:type="paragraph" w:customStyle="1" w:styleId="7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76">
    <w:name w:val="正文文本缩进 2 Char1"/>
    <w:qFormat/>
    <w:locked/>
    <w:uiPriority w:val="0"/>
    <w:rPr>
      <w:sz w:val="24"/>
    </w:rPr>
  </w:style>
  <w:style w:type="character" w:customStyle="1" w:styleId="77">
    <w:name w:val="列表(L) Char"/>
    <w:link w:val="78"/>
    <w:qFormat/>
    <w:locked/>
    <w:uiPriority w:val="0"/>
    <w:rPr>
      <w:rFonts w:ascii="宋体" w:hAnsi="宋体" w:cs="宋体"/>
      <w:kern w:val="2"/>
      <w:sz w:val="21"/>
    </w:rPr>
  </w:style>
  <w:style w:type="paragraph" w:customStyle="1" w:styleId="78">
    <w:name w:val="列表(L)"/>
    <w:basedOn w:val="30"/>
    <w:link w:val="77"/>
    <w:qFormat/>
    <w:uiPriority w:val="0"/>
    <w:pPr>
      <w:snapToGrid w:val="0"/>
      <w:ind w:left="0" w:firstLine="0" w:firstLineChars="0"/>
    </w:pPr>
    <w:rPr>
      <w:rFonts w:ascii="宋体" w:hAnsi="宋体"/>
      <w:szCs w:val="20"/>
    </w:rPr>
  </w:style>
  <w:style w:type="character" w:customStyle="1" w:styleId="79">
    <w:name w:val="fontstyle01"/>
    <w:qFormat/>
    <w:uiPriority w:val="0"/>
    <w:rPr>
      <w:rFonts w:hint="eastAsia" w:ascii="宋体" w:hAnsi="宋体" w:eastAsia="宋体"/>
      <w:color w:val="000000"/>
      <w:sz w:val="22"/>
      <w:szCs w:val="22"/>
    </w:rPr>
  </w:style>
  <w:style w:type="character" w:customStyle="1" w:styleId="80">
    <w:name w:val="表格 32 Char Char"/>
    <w:link w:val="81"/>
    <w:qFormat/>
    <w:locked/>
    <w:uiPriority w:val="0"/>
    <w:rPr>
      <w:rFonts w:ascii="宋体" w:hAnsi="Impact"/>
      <w:kern w:val="24"/>
      <w:sz w:val="24"/>
    </w:rPr>
  </w:style>
  <w:style w:type="paragraph" w:customStyle="1" w:styleId="81">
    <w:name w:val="表格 32"/>
    <w:basedOn w:val="1"/>
    <w:link w:val="80"/>
    <w:qFormat/>
    <w:uiPriority w:val="0"/>
    <w:pPr>
      <w:autoSpaceDE w:val="0"/>
      <w:autoSpaceDN w:val="0"/>
      <w:adjustRightInd w:val="0"/>
      <w:jc w:val="center"/>
    </w:pPr>
    <w:rPr>
      <w:rFonts w:ascii="宋体" w:hAnsi="Impact"/>
      <w:kern w:val="24"/>
      <w:sz w:val="24"/>
      <w:szCs w:val="20"/>
    </w:rPr>
  </w:style>
  <w:style w:type="paragraph" w:customStyle="1" w:styleId="82">
    <w:name w:val="Table Paragraph"/>
    <w:basedOn w:val="1"/>
    <w:qFormat/>
    <w:uiPriority w:val="1"/>
    <w:pPr>
      <w:autoSpaceDE w:val="0"/>
      <w:autoSpaceDN w:val="0"/>
      <w:adjustRightInd w:val="0"/>
      <w:jc w:val="left"/>
    </w:pPr>
    <w:rPr>
      <w:kern w:val="0"/>
      <w:sz w:val="24"/>
    </w:rPr>
  </w:style>
  <w:style w:type="paragraph" w:customStyle="1" w:styleId="83">
    <w:name w:val="正文1"/>
    <w:link w:val="280"/>
    <w:qFormat/>
    <w:uiPriority w:val="0"/>
    <w:pPr>
      <w:jc w:val="both"/>
    </w:pPr>
    <w:rPr>
      <w:rFonts w:ascii="Calibri" w:hAnsi="Calibri" w:eastAsia="宋体" w:cs="Calibri"/>
      <w:kern w:val="2"/>
      <w:sz w:val="21"/>
      <w:szCs w:val="21"/>
      <w:lang w:val="en-US" w:eastAsia="zh-CN" w:bidi="ar-SA"/>
    </w:rPr>
  </w:style>
  <w:style w:type="character" w:customStyle="1" w:styleId="84">
    <w:name w:val="fontstyle21"/>
    <w:qFormat/>
    <w:uiPriority w:val="0"/>
    <w:rPr>
      <w:rFonts w:hint="default" w:ascii="TimesNewRomanPSMT" w:hAnsi="TimesNewRomanPSMT"/>
      <w:color w:val="000000"/>
      <w:sz w:val="24"/>
      <w:szCs w:val="24"/>
    </w:rPr>
  </w:style>
  <w:style w:type="paragraph" w:customStyle="1" w:styleId="85">
    <w:name w:val="Char3"/>
    <w:basedOn w:val="1"/>
    <w:qFormat/>
    <w:uiPriority w:val="0"/>
    <w:pPr>
      <w:snapToGrid w:val="0"/>
      <w:spacing w:line="360" w:lineRule="auto"/>
      <w:ind w:firstLine="529" w:firstLineChars="200"/>
    </w:pPr>
    <w:rPr>
      <w:rFonts w:ascii="宋体" w:hAnsi="宋体"/>
      <w:b/>
    </w:rPr>
  </w:style>
  <w:style w:type="paragraph" w:customStyle="1" w:styleId="86">
    <w:name w:val="Char"/>
    <w:basedOn w:val="1"/>
    <w:qFormat/>
    <w:uiPriority w:val="0"/>
    <w:pPr>
      <w:snapToGrid w:val="0"/>
      <w:spacing w:line="360" w:lineRule="auto"/>
      <w:ind w:firstLine="529" w:firstLineChars="200"/>
    </w:pPr>
    <w:rPr>
      <w:rFonts w:ascii="宋体" w:hAnsi="宋体"/>
      <w:b/>
    </w:rPr>
  </w:style>
  <w:style w:type="character" w:customStyle="1" w:styleId="87">
    <w:name w:val="表格 32 Char"/>
    <w:qFormat/>
    <w:locked/>
    <w:uiPriority w:val="0"/>
    <w:rPr>
      <w:rFonts w:ascii="宋体" w:hAnsi="Impact"/>
      <w:kern w:val="24"/>
      <w:sz w:val="24"/>
    </w:rPr>
  </w:style>
  <w:style w:type="character" w:customStyle="1" w:styleId="88">
    <w:name w:val="缩进 Char Char"/>
    <w:link w:val="89"/>
    <w:qFormat/>
    <w:locked/>
    <w:uiPriority w:val="0"/>
    <w:rPr>
      <w:kern w:val="2"/>
      <w:sz w:val="24"/>
    </w:rPr>
  </w:style>
  <w:style w:type="paragraph" w:customStyle="1" w:styleId="89">
    <w:name w:val="缩进"/>
    <w:basedOn w:val="1"/>
    <w:link w:val="88"/>
    <w:qFormat/>
    <w:uiPriority w:val="0"/>
    <w:pPr>
      <w:autoSpaceDE w:val="0"/>
      <w:autoSpaceDN w:val="0"/>
      <w:adjustRightInd w:val="0"/>
      <w:spacing w:line="400" w:lineRule="atLeast"/>
      <w:ind w:firstLine="480" w:firstLineChars="200"/>
    </w:pPr>
    <w:rPr>
      <w:sz w:val="24"/>
      <w:szCs w:val="20"/>
    </w:rPr>
  </w:style>
  <w:style w:type="table" w:customStyle="1" w:styleId="90">
    <w:name w:val="网格型1"/>
    <w:basedOn w:val="37"/>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92">
    <w:name w:val="Huo 表内文字"/>
    <w:basedOn w:val="1"/>
    <w:qFormat/>
    <w:uiPriority w:val="0"/>
    <w:pPr>
      <w:spacing w:line="360" w:lineRule="exact"/>
      <w:jc w:val="center"/>
    </w:pPr>
    <w:rPr>
      <w:szCs w:val="21"/>
    </w:rPr>
  </w:style>
  <w:style w:type="paragraph" w:customStyle="1" w:styleId="93">
    <w:name w:val="段落A"/>
    <w:basedOn w:val="1"/>
    <w:qFormat/>
    <w:uiPriority w:val="0"/>
    <w:pPr>
      <w:spacing w:line="400" w:lineRule="exact"/>
      <w:ind w:firstLine="480" w:firstLineChars="200"/>
    </w:pPr>
    <w:rPr>
      <w:sz w:val="24"/>
    </w:rPr>
  </w:style>
  <w:style w:type="paragraph" w:customStyle="1" w:styleId="94">
    <w:name w:val="Huo 小四缩进2"/>
    <w:basedOn w:val="1"/>
    <w:qFormat/>
    <w:uiPriority w:val="0"/>
    <w:pPr>
      <w:spacing w:line="360" w:lineRule="auto"/>
      <w:ind w:firstLine="200" w:firstLineChars="200"/>
    </w:pPr>
    <w:rPr>
      <w:sz w:val="24"/>
    </w:rPr>
  </w:style>
  <w:style w:type="paragraph" w:customStyle="1" w:styleId="95">
    <w:name w:val="Huo 表序"/>
    <w:basedOn w:val="1"/>
    <w:next w:val="1"/>
    <w:qFormat/>
    <w:uiPriority w:val="0"/>
    <w:pPr>
      <w:adjustRightInd w:val="0"/>
      <w:spacing w:line="300" w:lineRule="exact"/>
      <w:jc w:val="center"/>
    </w:pPr>
    <w:rPr>
      <w:rFonts w:eastAsia="黑体" w:cs="仿宋_GB2312"/>
    </w:rPr>
  </w:style>
  <w:style w:type="character" w:customStyle="1" w:styleId="96">
    <w:name w:val="fontstyle11"/>
    <w:qFormat/>
    <w:uiPriority w:val="0"/>
    <w:rPr>
      <w:rFonts w:hint="eastAsia" w:ascii="宋体" w:hAnsi="宋体" w:eastAsia="宋体"/>
      <w:color w:val="000000"/>
      <w:sz w:val="24"/>
      <w:szCs w:val="24"/>
    </w:rPr>
  </w:style>
  <w:style w:type="table" w:customStyle="1" w:styleId="97">
    <w:name w:val="网格型16"/>
    <w:basedOn w:val="3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0">
    <w:name w:val="font7"/>
    <w:basedOn w:val="1"/>
    <w:qFormat/>
    <w:uiPriority w:val="0"/>
    <w:pPr>
      <w:widowControl/>
      <w:spacing w:before="100" w:beforeAutospacing="1" w:after="100" w:afterAutospacing="1"/>
      <w:jc w:val="left"/>
    </w:pPr>
    <w:rPr>
      <w:color w:val="000000"/>
      <w:kern w:val="0"/>
      <w:sz w:val="22"/>
      <w:szCs w:val="22"/>
    </w:rPr>
  </w:style>
  <w:style w:type="paragraph" w:customStyle="1" w:styleId="101">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10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10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0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0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0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1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pPr>
    <w:rPr>
      <w:kern w:val="0"/>
      <w:sz w:val="24"/>
    </w:rPr>
  </w:style>
  <w:style w:type="paragraph" w:customStyle="1" w:styleId="11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cs="宋体"/>
      <w:kern w:val="0"/>
      <w:sz w:val="24"/>
    </w:rPr>
  </w:style>
  <w:style w:type="paragraph" w:customStyle="1" w:styleId="11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pPr>
    <w:rPr>
      <w:color w:val="000000"/>
      <w:kern w:val="0"/>
      <w:sz w:val="24"/>
    </w:rPr>
  </w:style>
  <w:style w:type="paragraph" w:customStyle="1" w:styleId="11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pPr>
    <w:rPr>
      <w:color w:val="000000"/>
      <w:kern w:val="0"/>
      <w:sz w:val="24"/>
    </w:rPr>
  </w:style>
  <w:style w:type="paragraph" w:customStyle="1" w:styleId="11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pPr>
    <w:rPr>
      <w:kern w:val="0"/>
      <w:sz w:val="24"/>
    </w:rPr>
  </w:style>
  <w:style w:type="paragraph" w:customStyle="1" w:styleId="11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18">
    <w:name w:val="xl79"/>
    <w:basedOn w:val="1"/>
    <w:qFormat/>
    <w:uiPriority w:val="0"/>
    <w:pPr>
      <w:widowControl/>
      <w:pBdr>
        <w:left w:val="single" w:color="auto" w:sz="4" w:space="0"/>
        <w:right w:val="single" w:color="auto" w:sz="4" w:space="0"/>
      </w:pBdr>
      <w:spacing w:before="100" w:beforeAutospacing="1" w:after="100" w:afterAutospacing="1"/>
      <w:jc w:val="center"/>
    </w:pPr>
    <w:rPr>
      <w:color w:val="000000"/>
      <w:kern w:val="0"/>
      <w:sz w:val="24"/>
    </w:rPr>
  </w:style>
  <w:style w:type="paragraph" w:customStyle="1" w:styleId="119">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2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21">
    <w:name w:val="xl82"/>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kern w:val="0"/>
      <w:sz w:val="24"/>
    </w:rPr>
  </w:style>
  <w:style w:type="paragraph" w:customStyle="1" w:styleId="122">
    <w:name w:val="xl83"/>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kern w:val="0"/>
      <w:sz w:val="24"/>
    </w:rPr>
  </w:style>
  <w:style w:type="paragraph" w:customStyle="1" w:styleId="123">
    <w:name w:val="xl84"/>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4">
    <w:name w:val="xl8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5">
    <w:name w:val="xl8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26">
    <w:name w:val="xl87"/>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color w:val="000000"/>
      <w:kern w:val="0"/>
      <w:sz w:val="24"/>
    </w:rPr>
  </w:style>
  <w:style w:type="paragraph" w:customStyle="1" w:styleId="127">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28">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29">
    <w:name w:val="xl9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kern w:val="0"/>
      <w:sz w:val="24"/>
    </w:rPr>
  </w:style>
  <w:style w:type="paragraph" w:customStyle="1" w:styleId="130">
    <w:name w:val="xl91"/>
    <w:basedOn w:val="1"/>
    <w:qFormat/>
    <w:uiPriority w:val="0"/>
    <w:pPr>
      <w:widowControl/>
      <w:pBdr>
        <w:left w:val="single" w:color="auto" w:sz="8" w:space="0"/>
        <w:right w:val="single" w:color="auto" w:sz="4" w:space="0"/>
      </w:pBdr>
      <w:spacing w:before="100" w:beforeAutospacing="1" w:after="100" w:afterAutospacing="1"/>
      <w:jc w:val="center"/>
    </w:pPr>
    <w:rPr>
      <w:kern w:val="0"/>
      <w:sz w:val="24"/>
    </w:rPr>
  </w:style>
  <w:style w:type="paragraph" w:customStyle="1" w:styleId="131">
    <w:name w:val="xl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4"/>
    </w:rPr>
  </w:style>
  <w:style w:type="paragraph" w:customStyle="1" w:styleId="132">
    <w:name w:val="xl93"/>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kern w:val="0"/>
      <w:sz w:val="24"/>
    </w:rPr>
  </w:style>
  <w:style w:type="paragraph" w:customStyle="1" w:styleId="133">
    <w:name w:val="xl9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4"/>
    </w:rPr>
  </w:style>
  <w:style w:type="paragraph" w:customStyle="1" w:styleId="134">
    <w:name w:val="xl95"/>
    <w:basedOn w:val="1"/>
    <w:qFormat/>
    <w:uiPriority w:val="0"/>
    <w:pPr>
      <w:widowControl/>
      <w:pBdr>
        <w:top w:val="single" w:color="auto" w:sz="4" w:space="0"/>
        <w:left w:val="single" w:color="auto" w:sz="8" w:space="0"/>
        <w:bottom w:val="single" w:color="auto" w:sz="4" w:space="0"/>
        <w:right w:val="single" w:color="auto" w:sz="4" w:space="0"/>
      </w:pBdr>
      <w:shd w:val="clear" w:color="000000" w:fill="C5D9F1"/>
      <w:spacing w:before="100" w:beforeAutospacing="1" w:after="100" w:afterAutospacing="1"/>
      <w:jc w:val="center"/>
    </w:pPr>
    <w:rPr>
      <w:kern w:val="0"/>
      <w:sz w:val="24"/>
    </w:rPr>
  </w:style>
  <w:style w:type="paragraph" w:customStyle="1" w:styleId="135">
    <w:name w:val="xl96"/>
    <w:basedOn w:val="1"/>
    <w:qFormat/>
    <w:uiPriority w:val="0"/>
    <w:pPr>
      <w:widowControl/>
      <w:pBdr>
        <w:top w:val="single" w:color="auto" w:sz="4" w:space="0"/>
        <w:left w:val="single" w:color="auto" w:sz="4" w:space="0"/>
        <w:bottom w:val="single" w:color="auto" w:sz="4" w:space="0"/>
        <w:right w:val="single" w:color="auto" w:sz="8" w:space="0"/>
      </w:pBdr>
      <w:shd w:val="clear" w:color="000000" w:fill="C5D9F1"/>
      <w:spacing w:before="100" w:beforeAutospacing="1" w:after="100" w:afterAutospacing="1"/>
      <w:jc w:val="center"/>
    </w:pPr>
    <w:rPr>
      <w:kern w:val="0"/>
      <w:sz w:val="24"/>
    </w:rPr>
  </w:style>
  <w:style w:type="paragraph" w:customStyle="1" w:styleId="136">
    <w:name w:val="xl9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kern w:val="0"/>
      <w:sz w:val="24"/>
    </w:rPr>
  </w:style>
  <w:style w:type="paragraph" w:customStyle="1" w:styleId="137">
    <w:name w:val="xl9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38">
    <w:name w:val="xl9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39">
    <w:name w:val="xl10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0">
    <w:name w:val="xl10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141">
    <w:name w:val="xl102"/>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kern w:val="0"/>
      <w:sz w:val="24"/>
    </w:rPr>
  </w:style>
  <w:style w:type="paragraph" w:customStyle="1" w:styleId="142">
    <w:name w:val="xl10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kern w:val="0"/>
      <w:sz w:val="24"/>
    </w:rPr>
  </w:style>
  <w:style w:type="paragraph" w:customStyle="1" w:styleId="143">
    <w:name w:val="xl10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kern w:val="0"/>
      <w:sz w:val="24"/>
    </w:rPr>
  </w:style>
  <w:style w:type="paragraph" w:customStyle="1" w:styleId="144">
    <w:name w:val="xl10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45">
    <w:name w:val="xl10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color w:val="000000"/>
      <w:kern w:val="0"/>
      <w:sz w:val="24"/>
    </w:rPr>
  </w:style>
  <w:style w:type="paragraph" w:customStyle="1" w:styleId="146">
    <w:name w:val="xl10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kern w:val="0"/>
      <w:sz w:val="24"/>
    </w:rPr>
  </w:style>
  <w:style w:type="paragraph" w:customStyle="1" w:styleId="147">
    <w:name w:val="xl10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kern w:val="0"/>
      <w:sz w:val="24"/>
    </w:rPr>
  </w:style>
  <w:style w:type="paragraph" w:customStyle="1" w:styleId="148">
    <w:name w:val="xl109"/>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kern w:val="0"/>
      <w:sz w:val="24"/>
    </w:rPr>
  </w:style>
  <w:style w:type="paragraph" w:customStyle="1" w:styleId="149">
    <w:name w:val="xl110"/>
    <w:basedOn w:val="1"/>
    <w:qFormat/>
    <w:uiPriority w:val="0"/>
    <w:pPr>
      <w:widowControl/>
      <w:pBdr>
        <w:top w:val="single" w:color="auto" w:sz="4" w:space="0"/>
        <w:left w:val="single" w:color="auto" w:sz="8" w:space="0"/>
        <w:right w:val="single" w:color="auto" w:sz="4" w:space="0"/>
      </w:pBdr>
      <w:shd w:val="clear" w:color="000000" w:fill="C5D9F1"/>
      <w:spacing w:before="100" w:beforeAutospacing="1" w:after="100" w:afterAutospacing="1"/>
      <w:jc w:val="center"/>
    </w:pPr>
    <w:rPr>
      <w:kern w:val="0"/>
      <w:sz w:val="24"/>
    </w:rPr>
  </w:style>
  <w:style w:type="paragraph" w:customStyle="1" w:styleId="150">
    <w:name w:val="xl111"/>
    <w:basedOn w:val="1"/>
    <w:qFormat/>
    <w:uiPriority w:val="0"/>
    <w:pPr>
      <w:widowControl/>
      <w:pBdr>
        <w:top w:val="single" w:color="auto" w:sz="4" w:space="0"/>
        <w:left w:val="single" w:color="auto" w:sz="4" w:space="0"/>
        <w:right w:val="single" w:color="auto" w:sz="4" w:space="0"/>
      </w:pBdr>
      <w:shd w:val="clear" w:color="000000" w:fill="C5D9F1"/>
      <w:spacing w:before="100" w:beforeAutospacing="1" w:after="100" w:afterAutospacing="1"/>
      <w:jc w:val="center"/>
    </w:pPr>
    <w:rPr>
      <w:kern w:val="0"/>
      <w:sz w:val="24"/>
    </w:rPr>
  </w:style>
  <w:style w:type="paragraph" w:customStyle="1" w:styleId="151">
    <w:name w:val="xl112"/>
    <w:basedOn w:val="1"/>
    <w:qFormat/>
    <w:uiPriority w:val="0"/>
    <w:pPr>
      <w:widowControl/>
      <w:pBdr>
        <w:top w:val="single" w:color="auto" w:sz="4" w:space="0"/>
        <w:left w:val="single" w:color="auto" w:sz="4" w:space="0"/>
        <w:right w:val="single" w:color="auto" w:sz="4" w:space="0"/>
      </w:pBdr>
      <w:shd w:val="clear" w:color="000000" w:fill="C5D9F1"/>
      <w:spacing w:before="100" w:beforeAutospacing="1" w:after="100" w:afterAutospacing="1"/>
      <w:jc w:val="center"/>
    </w:pPr>
    <w:rPr>
      <w:rFonts w:ascii="宋体" w:hAnsi="宋体" w:cs="宋体"/>
      <w:kern w:val="0"/>
      <w:sz w:val="24"/>
    </w:rPr>
  </w:style>
  <w:style w:type="paragraph" w:customStyle="1" w:styleId="152">
    <w:name w:val="xl113"/>
    <w:basedOn w:val="1"/>
    <w:qFormat/>
    <w:uiPriority w:val="0"/>
    <w:pPr>
      <w:widowControl/>
      <w:pBdr>
        <w:top w:val="single" w:color="auto" w:sz="4" w:space="0"/>
        <w:left w:val="single" w:color="auto" w:sz="4" w:space="0"/>
        <w:right w:val="single" w:color="auto" w:sz="4" w:space="0"/>
      </w:pBdr>
      <w:shd w:val="clear" w:color="000000" w:fill="C5D9F1"/>
      <w:spacing w:before="100" w:beforeAutospacing="1" w:after="100" w:afterAutospacing="1"/>
      <w:jc w:val="center"/>
    </w:pPr>
    <w:rPr>
      <w:color w:val="000000"/>
      <w:kern w:val="0"/>
      <w:sz w:val="24"/>
    </w:rPr>
  </w:style>
  <w:style w:type="paragraph" w:customStyle="1" w:styleId="153">
    <w:name w:val="xl114"/>
    <w:basedOn w:val="1"/>
    <w:qFormat/>
    <w:uiPriority w:val="0"/>
    <w:pPr>
      <w:widowControl/>
      <w:pBdr>
        <w:top w:val="single" w:color="auto" w:sz="4" w:space="0"/>
        <w:left w:val="single" w:color="auto" w:sz="4" w:space="0"/>
        <w:right w:val="single" w:color="auto" w:sz="4" w:space="0"/>
      </w:pBdr>
      <w:shd w:val="clear" w:color="000000" w:fill="C5D9F1"/>
      <w:spacing w:before="100" w:beforeAutospacing="1" w:after="100" w:afterAutospacing="1"/>
      <w:jc w:val="center"/>
    </w:pPr>
    <w:rPr>
      <w:color w:val="000000"/>
      <w:kern w:val="0"/>
      <w:sz w:val="24"/>
    </w:rPr>
  </w:style>
  <w:style w:type="paragraph" w:customStyle="1" w:styleId="154">
    <w:name w:val="xl115"/>
    <w:basedOn w:val="1"/>
    <w:qFormat/>
    <w:uiPriority w:val="0"/>
    <w:pPr>
      <w:widowControl/>
      <w:pBdr>
        <w:top w:val="single" w:color="auto" w:sz="4" w:space="0"/>
        <w:left w:val="single" w:color="auto" w:sz="4" w:space="0"/>
        <w:right w:val="single" w:color="auto" w:sz="4" w:space="0"/>
      </w:pBdr>
      <w:shd w:val="clear" w:color="000000" w:fill="C5D9F1"/>
      <w:spacing w:before="100" w:beforeAutospacing="1" w:after="100" w:afterAutospacing="1"/>
      <w:jc w:val="center"/>
    </w:pPr>
    <w:rPr>
      <w:kern w:val="0"/>
      <w:sz w:val="24"/>
    </w:rPr>
  </w:style>
  <w:style w:type="paragraph" w:customStyle="1" w:styleId="155">
    <w:name w:val="xl116"/>
    <w:basedOn w:val="1"/>
    <w:qFormat/>
    <w:uiPriority w:val="0"/>
    <w:pPr>
      <w:widowControl/>
      <w:pBdr>
        <w:top w:val="single" w:color="auto" w:sz="4" w:space="0"/>
        <w:left w:val="single" w:color="auto" w:sz="4" w:space="0"/>
        <w:right w:val="single" w:color="auto" w:sz="8" w:space="0"/>
      </w:pBdr>
      <w:shd w:val="clear" w:color="000000" w:fill="C5D9F1"/>
      <w:spacing w:before="100" w:beforeAutospacing="1" w:after="100" w:afterAutospacing="1"/>
      <w:jc w:val="center"/>
    </w:pPr>
    <w:rPr>
      <w:kern w:val="0"/>
      <w:sz w:val="24"/>
    </w:rPr>
  </w:style>
  <w:style w:type="paragraph" w:customStyle="1" w:styleId="15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5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color w:val="000000"/>
      <w:kern w:val="0"/>
      <w:szCs w:val="21"/>
    </w:rPr>
  </w:style>
  <w:style w:type="paragraph" w:customStyle="1" w:styleId="158">
    <w:name w:val="xl11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59">
    <w:name w:val="xl12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kern w:val="0"/>
      <w:sz w:val="24"/>
    </w:rPr>
  </w:style>
  <w:style w:type="paragraph" w:customStyle="1" w:styleId="160">
    <w:name w:val="xl12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4"/>
    </w:rPr>
  </w:style>
  <w:style w:type="paragraph" w:customStyle="1" w:styleId="161">
    <w:name w:val="xl12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top"/>
    </w:pPr>
    <w:rPr>
      <w:color w:val="000000"/>
      <w:kern w:val="0"/>
      <w:szCs w:val="21"/>
    </w:rPr>
  </w:style>
  <w:style w:type="paragraph" w:customStyle="1" w:styleId="162">
    <w:name w:val="xl12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kern w:val="0"/>
      <w:sz w:val="24"/>
    </w:rPr>
  </w:style>
  <w:style w:type="paragraph" w:customStyle="1" w:styleId="163">
    <w:name w:val="xl12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kern w:val="0"/>
      <w:sz w:val="24"/>
    </w:rPr>
  </w:style>
  <w:style w:type="paragraph" w:customStyle="1" w:styleId="164">
    <w:name w:val="xl125"/>
    <w:basedOn w:val="1"/>
    <w:qFormat/>
    <w:uiPriority w:val="0"/>
    <w:pPr>
      <w:widowControl/>
      <w:pBdr>
        <w:left w:val="single" w:color="auto" w:sz="4" w:space="0"/>
        <w:right w:val="single" w:color="auto" w:sz="4" w:space="0"/>
      </w:pBdr>
      <w:spacing w:before="100" w:beforeAutospacing="1" w:after="100" w:afterAutospacing="1"/>
      <w:jc w:val="center"/>
    </w:pPr>
    <w:rPr>
      <w:kern w:val="0"/>
      <w:sz w:val="24"/>
    </w:rPr>
  </w:style>
  <w:style w:type="paragraph" w:customStyle="1" w:styleId="165">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rPr>
  </w:style>
  <w:style w:type="paragraph" w:customStyle="1" w:styleId="166">
    <w:name w:val="xl127"/>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kern w:val="0"/>
      <w:sz w:val="24"/>
    </w:rPr>
  </w:style>
  <w:style w:type="paragraph" w:customStyle="1" w:styleId="167">
    <w:name w:val="xl128"/>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kern w:val="0"/>
      <w:sz w:val="24"/>
    </w:rPr>
  </w:style>
  <w:style w:type="paragraph" w:customStyle="1" w:styleId="168">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9">
    <w:name w:val="xl13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xl13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171">
    <w:name w:val="xl1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172">
    <w:name w:val="xl13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kern w:val="0"/>
      <w:szCs w:val="21"/>
    </w:rPr>
  </w:style>
  <w:style w:type="paragraph" w:customStyle="1" w:styleId="173">
    <w:name w:val="xl1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color w:val="000000"/>
      <w:kern w:val="0"/>
      <w:szCs w:val="21"/>
    </w:rPr>
  </w:style>
  <w:style w:type="paragraph" w:customStyle="1" w:styleId="174">
    <w:name w:val="xl1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xl1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17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7">
    <w:name w:val="xl13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top"/>
    </w:pPr>
    <w:rPr>
      <w:color w:val="000000"/>
      <w:kern w:val="0"/>
      <w:szCs w:val="21"/>
    </w:rPr>
  </w:style>
  <w:style w:type="paragraph" w:customStyle="1" w:styleId="178">
    <w:name w:val="xl1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9">
    <w:name w:val="xl14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styleId="180">
    <w:name w:val="List Paragraph"/>
    <w:basedOn w:val="1"/>
    <w:qFormat/>
    <w:uiPriority w:val="34"/>
    <w:pPr>
      <w:ind w:firstLine="420" w:firstLineChars="200"/>
    </w:pPr>
    <w:rPr>
      <w:rFonts w:ascii="Calibri" w:hAnsi="Calibri"/>
      <w:szCs w:val="22"/>
    </w:rPr>
  </w:style>
  <w:style w:type="paragraph" w:customStyle="1" w:styleId="181">
    <w:name w:val="样式12"/>
    <w:basedOn w:val="1"/>
    <w:qFormat/>
    <w:uiPriority w:val="0"/>
    <w:pPr>
      <w:spacing w:line="360" w:lineRule="auto"/>
    </w:pPr>
    <w:rPr>
      <w:rFonts w:ascii="Arial" w:hAnsi="Arial" w:cs="Arial"/>
      <w:b/>
      <w:bCs/>
      <w:sz w:val="24"/>
    </w:rPr>
  </w:style>
  <w:style w:type="paragraph" w:customStyle="1" w:styleId="18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83">
    <w:name w:val="正文q"/>
    <w:basedOn w:val="1"/>
    <w:qFormat/>
    <w:uiPriority w:val="0"/>
    <w:pPr>
      <w:spacing w:line="360" w:lineRule="auto"/>
      <w:ind w:firstLine="200" w:firstLineChars="200"/>
    </w:pPr>
    <w:rPr>
      <w:sz w:val="24"/>
      <w:szCs w:val="22"/>
    </w:rPr>
  </w:style>
  <w:style w:type="paragraph" w:customStyle="1" w:styleId="184">
    <w:name w:val="正文文本，表格"/>
    <w:basedOn w:val="1"/>
    <w:qFormat/>
    <w:uiPriority w:val="0"/>
    <w:pPr>
      <w:jc w:val="center"/>
    </w:pPr>
    <w:rPr>
      <w:rFonts w:ascii="Calibri" w:hAnsi="Calibri"/>
      <w:szCs w:val="21"/>
    </w:rPr>
  </w:style>
  <w:style w:type="paragraph" w:customStyle="1" w:styleId="185">
    <w:name w:val="常用正文样式"/>
    <w:basedOn w:val="1"/>
    <w:qFormat/>
    <w:uiPriority w:val="0"/>
    <w:pPr>
      <w:spacing w:line="360" w:lineRule="auto"/>
      <w:ind w:firstLine="480" w:firstLineChars="200"/>
    </w:pPr>
    <w:rPr>
      <w:rFonts w:ascii="宋体" w:hAnsi="宋体"/>
      <w:bCs/>
      <w:kern w:val="28"/>
      <w:sz w:val="24"/>
      <w:szCs w:val="20"/>
    </w:rPr>
  </w:style>
  <w:style w:type="paragraph" w:customStyle="1" w:styleId="186">
    <w:name w:val="铭洁 缩进三字符"/>
    <w:basedOn w:val="1"/>
    <w:qFormat/>
    <w:uiPriority w:val="0"/>
    <w:pPr>
      <w:spacing w:before="20" w:after="20" w:line="420" w:lineRule="auto"/>
      <w:ind w:firstLine="300" w:firstLineChars="300"/>
    </w:pPr>
    <w:rPr>
      <w:rFonts w:ascii="Calibri" w:hAnsi="Calibri"/>
      <w:color w:val="0000FF"/>
      <w:sz w:val="24"/>
    </w:rPr>
  </w:style>
  <w:style w:type="paragraph" w:customStyle="1" w:styleId="187">
    <w:name w:val="正文内容"/>
    <w:basedOn w:val="1"/>
    <w:qFormat/>
    <w:uiPriority w:val="0"/>
    <w:pPr>
      <w:spacing w:line="360" w:lineRule="auto"/>
      <w:ind w:firstLine="454"/>
    </w:pPr>
    <w:rPr>
      <w:rFonts w:ascii="Calibri" w:hAnsi="Calibri"/>
      <w:sz w:val="24"/>
      <w:szCs w:val="22"/>
    </w:rPr>
  </w:style>
  <w:style w:type="paragraph" w:customStyle="1" w:styleId="188">
    <w:name w:val="表格文字"/>
    <w:basedOn w:val="17"/>
    <w:next w:val="1"/>
    <w:link w:val="252"/>
    <w:qFormat/>
    <w:uiPriority w:val="0"/>
    <w:pPr>
      <w:widowControl w:val="0"/>
      <w:snapToGrid/>
      <w:spacing w:before="0" w:after="0" w:line="320" w:lineRule="exact"/>
      <w:ind w:right="0"/>
      <w:jc w:val="center"/>
    </w:pPr>
    <w:rPr>
      <w:rFonts w:ascii="宋体"/>
      <w:kern w:val="2"/>
      <w:sz w:val="21"/>
      <w:szCs w:val="24"/>
    </w:rPr>
  </w:style>
  <w:style w:type="paragraph" w:customStyle="1" w:styleId="189">
    <w:name w:val="蓝森正文"/>
    <w:basedOn w:val="1"/>
    <w:qFormat/>
    <w:uiPriority w:val="0"/>
    <w:pPr>
      <w:spacing w:before="20" w:after="20" w:line="520" w:lineRule="exact"/>
      <w:ind w:firstLine="480" w:firstLineChars="200"/>
    </w:pPr>
    <w:rPr>
      <w:rFonts w:ascii="Calibri" w:hAnsi="Calibri"/>
      <w:bCs/>
      <w:kern w:val="0"/>
      <w:sz w:val="24"/>
    </w:rPr>
  </w:style>
  <w:style w:type="paragraph" w:customStyle="1" w:styleId="190">
    <w:name w:val="样式 小四 行距: 1.5 倍行距 首行缩进:  2 字符"/>
    <w:basedOn w:val="1"/>
    <w:qFormat/>
    <w:uiPriority w:val="0"/>
    <w:pPr>
      <w:spacing w:line="360" w:lineRule="auto"/>
      <w:ind w:firstLine="200" w:firstLineChars="200"/>
    </w:pPr>
    <w:rPr>
      <w:rFonts w:cs="宋体"/>
      <w:sz w:val="24"/>
    </w:rPr>
  </w:style>
  <w:style w:type="paragraph" w:customStyle="1" w:styleId="191">
    <w:name w:val="cqq表格"/>
    <w:basedOn w:val="1"/>
    <w:next w:val="1"/>
    <w:qFormat/>
    <w:uiPriority w:val="0"/>
    <w:pPr>
      <w:widowControl/>
      <w:adjustRightInd w:val="0"/>
      <w:snapToGrid w:val="0"/>
      <w:jc w:val="center"/>
    </w:pPr>
    <w:rPr>
      <w:kern w:val="0"/>
      <w:szCs w:val="21"/>
    </w:rPr>
  </w:style>
  <w:style w:type="paragraph" w:customStyle="1" w:styleId="192">
    <w:name w:val="铭洁正文 小四 浅蓝 段前: 1 磅 段后: 1 磅 行距: 多倍行距 1.75 字行"/>
    <w:basedOn w:val="1"/>
    <w:qFormat/>
    <w:uiPriority w:val="0"/>
    <w:pPr>
      <w:widowControl/>
      <w:spacing w:before="20" w:after="20" w:line="420" w:lineRule="auto"/>
      <w:ind w:firstLine="200" w:firstLineChars="200"/>
    </w:pPr>
    <w:rPr>
      <w:rFonts w:ascii="Calibri" w:hAnsi="Calibri" w:cs="宋体"/>
      <w:color w:val="3366FF"/>
      <w:sz w:val="24"/>
      <w:szCs w:val="20"/>
    </w:rPr>
  </w:style>
  <w:style w:type="paragraph" w:customStyle="1" w:styleId="19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94">
    <w:name w:val="表格内容居中"/>
    <w:qFormat/>
    <w:uiPriority w:val="0"/>
    <w:pPr>
      <w:adjustRightInd w:val="0"/>
      <w:snapToGrid w:val="0"/>
      <w:jc w:val="center"/>
    </w:pPr>
    <w:rPr>
      <w:rFonts w:ascii="Times New Roman" w:hAnsi="Times New Roman" w:eastAsia="宋体" w:cs="Times New Roman"/>
      <w:kern w:val="2"/>
      <w:sz w:val="21"/>
      <w:szCs w:val="21"/>
      <w:lang w:val="en-US" w:eastAsia="zh-CN" w:bidi="ar-SA"/>
    </w:rPr>
  </w:style>
  <w:style w:type="paragraph" w:customStyle="1" w:styleId="195">
    <w:name w:val="铭洁 不缩进"/>
    <w:basedOn w:val="1"/>
    <w:qFormat/>
    <w:uiPriority w:val="0"/>
    <w:pPr>
      <w:spacing w:before="20" w:after="20" w:line="420" w:lineRule="auto"/>
    </w:pPr>
    <w:rPr>
      <w:rFonts w:ascii="Calibri" w:hAnsi="Calibri"/>
      <w:color w:val="0000FF"/>
      <w:sz w:val="24"/>
    </w:rPr>
  </w:style>
  <w:style w:type="paragraph" w:customStyle="1" w:styleId="196">
    <w:name w:val="！正文"/>
    <w:basedOn w:val="1"/>
    <w:qFormat/>
    <w:uiPriority w:val="0"/>
    <w:pPr>
      <w:spacing w:line="360" w:lineRule="auto"/>
      <w:ind w:firstLine="200" w:firstLineChars="200"/>
    </w:pPr>
    <w:rPr>
      <w:rFonts w:ascii="Calibri" w:hAnsi="Calibri" w:cs="宋体"/>
      <w:sz w:val="24"/>
    </w:rPr>
  </w:style>
  <w:style w:type="paragraph" w:customStyle="1" w:styleId="197">
    <w:name w:val="铭洁 公式"/>
    <w:basedOn w:val="1"/>
    <w:qFormat/>
    <w:uiPriority w:val="0"/>
    <w:pPr>
      <w:spacing w:before="20" w:after="20" w:line="420" w:lineRule="auto"/>
      <w:ind w:firstLine="600" w:firstLineChars="600"/>
    </w:pPr>
    <w:rPr>
      <w:rFonts w:ascii="Calibri" w:hAnsi="Calibri"/>
      <w:sz w:val="24"/>
    </w:rPr>
  </w:style>
  <w:style w:type="paragraph" w:customStyle="1" w:styleId="198">
    <w:name w:val="表格文字（小四、居中）"/>
    <w:basedOn w:val="1"/>
    <w:qFormat/>
    <w:uiPriority w:val="0"/>
    <w:pPr>
      <w:spacing w:before="60" w:after="60" w:line="360" w:lineRule="auto"/>
      <w:jc w:val="center"/>
    </w:pPr>
    <w:rPr>
      <w:rFonts w:ascii="Calibri" w:hAnsi="Calibri"/>
      <w:bCs/>
      <w:color w:val="FF0000"/>
      <w:spacing w:val="-10"/>
      <w:sz w:val="24"/>
    </w:rPr>
  </w:style>
  <w:style w:type="paragraph" w:customStyle="1" w:styleId="199">
    <w:name w:val="章标题"/>
    <w:next w:val="1"/>
    <w:qFormat/>
    <w:uiPriority w:val="0"/>
    <w:pPr>
      <w:spacing w:beforeLines="50"/>
      <w:jc w:val="both"/>
      <w:outlineLvl w:val="1"/>
    </w:pPr>
    <w:rPr>
      <w:rFonts w:ascii="黑体" w:hAnsi="Times New Roman" w:eastAsia="黑体" w:cs="Times New Roman"/>
      <w:sz w:val="21"/>
      <w:lang w:val="en-US" w:eastAsia="zh-CN" w:bidi="ar-SA"/>
    </w:rPr>
  </w:style>
  <w:style w:type="paragraph" w:customStyle="1" w:styleId="200">
    <w:name w:val="TT正文"/>
    <w:basedOn w:val="1"/>
    <w:qFormat/>
    <w:uiPriority w:val="0"/>
    <w:pPr>
      <w:spacing w:line="360" w:lineRule="auto"/>
      <w:ind w:firstLine="200" w:firstLineChars="200"/>
    </w:pPr>
    <w:rPr>
      <w:sz w:val="24"/>
    </w:rPr>
  </w:style>
  <w:style w:type="paragraph" w:customStyle="1" w:styleId="201">
    <w:name w:val="1表头q"/>
    <w:qFormat/>
    <w:uiPriority w:val="0"/>
    <w:pPr>
      <w:spacing w:line="312" w:lineRule="auto"/>
      <w:jc w:val="center"/>
    </w:pPr>
    <w:rPr>
      <w:rFonts w:ascii="Times New Roman" w:hAnsi="Times New Roman" w:eastAsia="宋体" w:cs="Times New Roman"/>
      <w:b/>
      <w:color w:val="000000"/>
      <w:kern w:val="2"/>
      <w:sz w:val="22"/>
      <w:szCs w:val="24"/>
      <w:lang w:val="en-US" w:eastAsia="zh-CN" w:bidi="ar-SA"/>
    </w:rPr>
  </w:style>
  <w:style w:type="paragraph" w:customStyle="1" w:styleId="202">
    <w:name w:val="正文_9"/>
    <w:qFormat/>
    <w:uiPriority w:val="0"/>
    <w:pPr>
      <w:widowControl w:val="0"/>
      <w:jc w:val="both"/>
    </w:pPr>
    <w:rPr>
      <w:rFonts w:ascii="Calibri" w:hAnsi="Calibri" w:eastAsia="宋体" w:cs="Times New Roman"/>
      <w:kern w:val="2"/>
      <w:sz w:val="21"/>
      <w:lang w:val="en-US" w:eastAsia="zh-CN" w:bidi="ar-SA"/>
    </w:rPr>
  </w:style>
  <w:style w:type="paragraph" w:customStyle="1" w:styleId="203">
    <w:name w:val="表格内容"/>
    <w:basedOn w:val="1"/>
    <w:qFormat/>
    <w:uiPriority w:val="0"/>
    <w:pPr>
      <w:widowControl/>
      <w:jc w:val="center"/>
    </w:pPr>
    <w:rPr>
      <w:rFonts w:ascii="Calibri" w:hAnsi="Calibri"/>
      <w:kern w:val="0"/>
      <w:lang w:eastAsia="en-US" w:bidi="en-US"/>
    </w:rPr>
  </w:style>
  <w:style w:type="paragraph" w:customStyle="1" w:styleId="204">
    <w:name w:val="表内字"/>
    <w:qFormat/>
    <w:uiPriority w:val="0"/>
    <w:pPr>
      <w:spacing w:line="360" w:lineRule="exact"/>
      <w:jc w:val="center"/>
    </w:pPr>
    <w:rPr>
      <w:rFonts w:ascii="Times New Roman" w:hAnsi="Times New Roman" w:eastAsia="宋体" w:cs="Times New Roman"/>
      <w:bCs/>
      <w:szCs w:val="21"/>
      <w:lang w:val="en-US" w:eastAsia="zh-CN" w:bidi="ar-SA"/>
    </w:rPr>
  </w:style>
  <w:style w:type="paragraph" w:customStyle="1" w:styleId="205">
    <w:name w:val="正文 03"/>
    <w:basedOn w:val="1"/>
    <w:link w:val="206"/>
    <w:qFormat/>
    <w:uiPriority w:val="0"/>
    <w:pPr>
      <w:autoSpaceDE w:val="0"/>
      <w:autoSpaceDN w:val="0"/>
      <w:adjustRightInd w:val="0"/>
    </w:pPr>
    <w:rPr>
      <w:rFonts w:ascii="Calibri" w:hAnsi="Calibri" w:eastAsia="楷体_GB2312"/>
      <w:kern w:val="0"/>
      <w:sz w:val="24"/>
      <w:szCs w:val="20"/>
    </w:rPr>
  </w:style>
  <w:style w:type="character" w:customStyle="1" w:styleId="206">
    <w:name w:val="正文 03 Char"/>
    <w:link w:val="205"/>
    <w:qFormat/>
    <w:locked/>
    <w:uiPriority w:val="0"/>
    <w:rPr>
      <w:rFonts w:ascii="Calibri" w:hAnsi="Calibri" w:eastAsia="楷体_GB2312"/>
      <w:sz w:val="24"/>
    </w:rPr>
  </w:style>
  <w:style w:type="paragraph" w:customStyle="1" w:styleId="207">
    <w:name w:val="表格填充1"/>
    <w:basedOn w:val="1"/>
    <w:qFormat/>
    <w:uiPriority w:val="0"/>
    <w:pPr>
      <w:adjustRightInd w:val="0"/>
      <w:snapToGrid w:val="0"/>
      <w:spacing w:line="400" w:lineRule="exact"/>
      <w:jc w:val="center"/>
    </w:pPr>
    <w:rPr>
      <w:rFonts w:ascii="Calibri" w:hAnsi="Calibri"/>
      <w:kern w:val="0"/>
      <w:szCs w:val="18"/>
    </w:rPr>
  </w:style>
  <w:style w:type="character" w:customStyle="1" w:styleId="208">
    <w:name w:val="NormalCharacter"/>
    <w:link w:val="209"/>
    <w:qFormat/>
    <w:locked/>
    <w:uiPriority w:val="0"/>
  </w:style>
  <w:style w:type="paragraph" w:customStyle="1" w:styleId="209">
    <w:name w:val="UserStyle_41"/>
    <w:basedOn w:val="1"/>
    <w:link w:val="208"/>
    <w:qFormat/>
    <w:uiPriority w:val="0"/>
    <w:pPr>
      <w:widowControl/>
    </w:pPr>
    <w:rPr>
      <w:kern w:val="0"/>
      <w:sz w:val="20"/>
      <w:szCs w:val="20"/>
    </w:rPr>
  </w:style>
  <w:style w:type="paragraph" w:customStyle="1" w:styleId="210">
    <w:name w:val="Char Char Char Char Char Char Char Char Char1"/>
    <w:basedOn w:val="1"/>
    <w:qFormat/>
    <w:uiPriority w:val="0"/>
    <w:pPr>
      <w:snapToGrid w:val="0"/>
      <w:spacing w:line="360" w:lineRule="auto"/>
      <w:ind w:firstLine="529" w:firstLineChars="200"/>
    </w:pPr>
    <w:rPr>
      <w:rFonts w:ascii="宋体" w:hAnsi="宋体"/>
      <w:b/>
    </w:rPr>
  </w:style>
  <w:style w:type="paragraph" w:customStyle="1" w:styleId="211">
    <w:name w:val="字元 字元"/>
    <w:basedOn w:val="1"/>
    <w:qFormat/>
    <w:uiPriority w:val="0"/>
    <w:rPr>
      <w:rFonts w:ascii="Calibri" w:hAnsi="Calibri"/>
      <w:szCs w:val="21"/>
    </w:rPr>
  </w:style>
  <w:style w:type="paragraph" w:customStyle="1" w:styleId="212">
    <w:name w:val="Char Char Char Char Char Char1 Char"/>
    <w:basedOn w:val="1"/>
    <w:qFormat/>
    <w:uiPriority w:val="0"/>
    <w:pPr>
      <w:snapToGrid w:val="0"/>
      <w:spacing w:line="360" w:lineRule="auto"/>
      <w:ind w:firstLine="529" w:firstLineChars="200"/>
    </w:pPr>
    <w:rPr>
      <w:rFonts w:ascii="宋体" w:hAnsi="宋体"/>
      <w:b/>
    </w:rPr>
  </w:style>
  <w:style w:type="paragraph" w:customStyle="1" w:styleId="213">
    <w:name w:val="报告"/>
    <w:basedOn w:val="1"/>
    <w:qFormat/>
    <w:uiPriority w:val="0"/>
    <w:pPr>
      <w:widowControl/>
      <w:overflowPunct w:val="0"/>
      <w:autoSpaceDE w:val="0"/>
      <w:autoSpaceDN w:val="0"/>
      <w:adjustRightInd w:val="0"/>
      <w:spacing w:beforeLines="30" w:line="400" w:lineRule="atLeast"/>
      <w:ind w:firstLine="200" w:firstLineChars="200"/>
      <w:jc w:val="left"/>
    </w:pPr>
    <w:rPr>
      <w:rFonts w:ascii="Calibri" w:hAnsi="Calibri"/>
      <w:kern w:val="0"/>
      <w:sz w:val="24"/>
      <w:szCs w:val="20"/>
    </w:rPr>
  </w:style>
  <w:style w:type="character" w:customStyle="1" w:styleId="214">
    <w:name w:val="表格2 Char"/>
    <w:link w:val="215"/>
    <w:qFormat/>
    <w:locked/>
    <w:uiPriority w:val="99"/>
    <w:rPr>
      <w:rFonts w:ascii="宋体" w:hAnsi="Impact"/>
      <w:kern w:val="24"/>
      <w:position w:val="-28"/>
      <w:sz w:val="21"/>
    </w:rPr>
  </w:style>
  <w:style w:type="paragraph" w:customStyle="1" w:styleId="215">
    <w:name w:val="表格2"/>
    <w:basedOn w:val="1"/>
    <w:next w:val="1"/>
    <w:link w:val="214"/>
    <w:qFormat/>
    <w:uiPriority w:val="99"/>
    <w:pPr>
      <w:topLinePunct/>
      <w:autoSpaceDE w:val="0"/>
      <w:autoSpaceDN w:val="0"/>
      <w:adjustRightInd w:val="0"/>
      <w:jc w:val="center"/>
    </w:pPr>
    <w:rPr>
      <w:rFonts w:ascii="宋体" w:hAnsi="Impact"/>
      <w:kern w:val="24"/>
      <w:position w:val="-28"/>
      <w:szCs w:val="20"/>
    </w:rPr>
  </w:style>
  <w:style w:type="character" w:customStyle="1" w:styleId="216">
    <w:name w:val="B正文 Char"/>
    <w:link w:val="217"/>
    <w:qFormat/>
    <w:locked/>
    <w:uiPriority w:val="99"/>
    <w:rPr>
      <w:rFonts w:ascii="黑体" w:hAnsi="黑体" w:eastAsia="黑体"/>
      <w:color w:val="000000"/>
      <w:kern w:val="2"/>
      <w:sz w:val="24"/>
      <w:szCs w:val="24"/>
    </w:rPr>
  </w:style>
  <w:style w:type="paragraph" w:customStyle="1" w:styleId="217">
    <w:name w:val="B正文"/>
    <w:basedOn w:val="1"/>
    <w:link w:val="216"/>
    <w:qFormat/>
    <w:uiPriority w:val="99"/>
    <w:pPr>
      <w:spacing w:line="360" w:lineRule="auto"/>
      <w:ind w:firstLine="200" w:firstLineChars="200"/>
      <w:jc w:val="left"/>
    </w:pPr>
    <w:rPr>
      <w:rFonts w:ascii="黑体" w:hAnsi="黑体" w:eastAsia="黑体"/>
      <w:color w:val="000000"/>
      <w:sz w:val="24"/>
    </w:rPr>
  </w:style>
  <w:style w:type="character" w:customStyle="1" w:styleId="218">
    <w:name w:val="表格1 Char Char"/>
    <w:link w:val="219"/>
    <w:qFormat/>
    <w:locked/>
    <w:uiPriority w:val="99"/>
    <w:rPr>
      <w:rFonts w:ascii="宋体" w:hAnsi="Impact"/>
      <w:kern w:val="24"/>
      <w:sz w:val="28"/>
    </w:rPr>
  </w:style>
  <w:style w:type="paragraph" w:customStyle="1" w:styleId="219">
    <w:name w:val="表格1"/>
    <w:basedOn w:val="1"/>
    <w:next w:val="1"/>
    <w:link w:val="218"/>
    <w:qFormat/>
    <w:uiPriority w:val="99"/>
    <w:pPr>
      <w:topLinePunct/>
      <w:autoSpaceDE w:val="0"/>
      <w:autoSpaceDN w:val="0"/>
      <w:adjustRightInd w:val="0"/>
      <w:jc w:val="center"/>
    </w:pPr>
    <w:rPr>
      <w:rFonts w:ascii="宋体" w:hAnsi="Impact"/>
      <w:kern w:val="24"/>
      <w:sz w:val="28"/>
      <w:szCs w:val="20"/>
    </w:rPr>
  </w:style>
  <w:style w:type="paragraph" w:customStyle="1" w:styleId="220">
    <w:name w:val="Char1"/>
    <w:basedOn w:val="1"/>
    <w:qFormat/>
    <w:uiPriority w:val="99"/>
    <w:pPr>
      <w:snapToGrid w:val="0"/>
      <w:spacing w:line="360" w:lineRule="auto"/>
      <w:ind w:firstLine="529" w:firstLineChars="200"/>
    </w:pPr>
    <w:rPr>
      <w:rFonts w:ascii="宋体" w:hAnsi="宋体"/>
      <w:b/>
    </w:rPr>
  </w:style>
  <w:style w:type="character" w:customStyle="1" w:styleId="221">
    <w:name w:val="px141"/>
    <w:qFormat/>
    <w:uiPriority w:val="0"/>
    <w:rPr>
      <w:rFonts w:hint="default" w:ascii="_x000B__x000C_" w:hAnsi="_x000B__x000C_"/>
      <w:sz w:val="21"/>
      <w:szCs w:val="21"/>
    </w:rPr>
  </w:style>
  <w:style w:type="character" w:customStyle="1" w:styleId="222">
    <w:name w:val="铭洁 右对齐表头"/>
    <w:qFormat/>
    <w:uiPriority w:val="0"/>
    <w:rPr>
      <w:rFonts w:hint="default" w:ascii="Times New Roman" w:hAnsi="Times New Roman" w:eastAsia="黑体" w:cs="Times New Roman"/>
      <w:color w:val="FF00FF"/>
      <w:sz w:val="24"/>
      <w:szCs w:val="24"/>
    </w:rPr>
  </w:style>
  <w:style w:type="character" w:customStyle="1" w:styleId="223">
    <w:name w:val="p141"/>
    <w:qFormat/>
    <w:uiPriority w:val="0"/>
    <w:rPr>
      <w:color w:val="333333"/>
      <w:sz w:val="21"/>
      <w:szCs w:val="21"/>
    </w:rPr>
  </w:style>
  <w:style w:type="paragraph" w:customStyle="1" w:styleId="224">
    <w:name w:val="样式5"/>
    <w:basedOn w:val="181"/>
    <w:qFormat/>
    <w:uiPriority w:val="0"/>
    <w:pPr>
      <w:tabs>
        <w:tab w:val="left" w:pos="360"/>
        <w:tab w:val="left" w:pos="567"/>
      </w:tabs>
    </w:pPr>
  </w:style>
  <w:style w:type="paragraph" w:customStyle="1" w:styleId="225">
    <w:name w:val="样式21"/>
    <w:basedOn w:val="224"/>
    <w:qFormat/>
    <w:uiPriority w:val="0"/>
    <w:pPr>
      <w:spacing w:before="120" w:after="120"/>
      <w:ind w:hanging="992"/>
    </w:pPr>
  </w:style>
  <w:style w:type="paragraph" w:customStyle="1" w:styleId="226">
    <w:name w:val="样式26"/>
    <w:basedOn w:val="225"/>
    <w:qFormat/>
    <w:uiPriority w:val="0"/>
    <w:pPr>
      <w:tabs>
        <w:tab w:val="left" w:pos="0"/>
        <w:tab w:val="left" w:pos="540"/>
      </w:tabs>
    </w:pPr>
  </w:style>
  <w:style w:type="paragraph" w:customStyle="1" w:styleId="227">
    <w:name w:val="样式35"/>
    <w:basedOn w:val="226"/>
    <w:next w:val="99"/>
    <w:qFormat/>
    <w:uiPriority w:val="0"/>
    <w:pPr>
      <w:spacing w:line="312" w:lineRule="auto"/>
      <w:ind w:firstLine="567"/>
    </w:pPr>
    <w:rPr>
      <w:rFonts w:ascii="宋体" w:hAnsi="Times New Roman" w:cs="Times New Roman"/>
      <w:sz w:val="21"/>
      <w:szCs w:val="22"/>
    </w:rPr>
  </w:style>
  <w:style w:type="paragraph" w:customStyle="1" w:styleId="228">
    <w:name w:val="表头样式"/>
    <w:basedOn w:val="187"/>
    <w:qFormat/>
    <w:uiPriority w:val="0"/>
    <w:pPr>
      <w:ind w:left="420" w:hanging="132"/>
      <w:jc w:val="center"/>
    </w:pPr>
    <w:rPr>
      <w:rFonts w:ascii="Times New Roman" w:hAnsi="Times New Roman" w:eastAsia="黑体"/>
      <w:kern w:val="0"/>
      <w:szCs w:val="24"/>
    </w:rPr>
  </w:style>
  <w:style w:type="character" w:customStyle="1" w:styleId="229">
    <w:name w:val="c-color-gray2"/>
    <w:qFormat/>
    <w:uiPriority w:val="0"/>
  </w:style>
  <w:style w:type="character" w:customStyle="1" w:styleId="230">
    <w:name w:val="content-right_8zs40"/>
    <w:qFormat/>
    <w:uiPriority w:val="0"/>
  </w:style>
  <w:style w:type="paragraph" w:customStyle="1" w:styleId="231">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32">
    <w:name w:val="表格1 Char1"/>
    <w:qFormat/>
    <w:locked/>
    <w:uiPriority w:val="0"/>
    <w:rPr>
      <w:rFonts w:ascii="宋体" w:hAnsi="Impact"/>
      <w:kern w:val="24"/>
      <w:sz w:val="28"/>
    </w:rPr>
  </w:style>
  <w:style w:type="paragraph" w:customStyle="1" w:styleId="233">
    <w:name w:val="表格 21"/>
    <w:qFormat/>
    <w:uiPriority w:val="0"/>
    <w:pPr>
      <w:widowControl w:val="0"/>
      <w:autoSpaceDE w:val="0"/>
      <w:autoSpaceDN w:val="0"/>
      <w:adjustRightInd w:val="0"/>
      <w:jc w:val="center"/>
    </w:pPr>
    <w:rPr>
      <w:rFonts w:ascii="Calibri" w:hAnsi="Calibri" w:eastAsia="仿宋体" w:cs="Times New Roman"/>
      <w:sz w:val="28"/>
      <w:lang w:val="en-US" w:eastAsia="zh-CN" w:bidi="ar-SA"/>
    </w:rPr>
  </w:style>
  <w:style w:type="character" w:customStyle="1" w:styleId="234">
    <w:name w:val="纯文本 Char1"/>
    <w:qFormat/>
    <w:locked/>
    <w:uiPriority w:val="0"/>
    <w:rPr>
      <w:rFonts w:ascii="宋体" w:hAnsi="Courier New"/>
      <w:kern w:val="2"/>
      <w:sz w:val="21"/>
    </w:rPr>
  </w:style>
  <w:style w:type="character" w:customStyle="1" w:styleId="235">
    <w:name w:val="font21"/>
    <w:qFormat/>
    <w:uiPriority w:val="0"/>
    <w:rPr>
      <w:rFonts w:hint="eastAsia" w:ascii="宋体" w:hAnsi="宋体" w:eastAsia="宋体" w:cs="宋体"/>
      <w:color w:val="000000"/>
      <w:sz w:val="22"/>
      <w:szCs w:val="22"/>
      <w:u w:val="none"/>
    </w:rPr>
  </w:style>
  <w:style w:type="character" w:customStyle="1" w:styleId="236">
    <w:name w:val="正文文本缩进 2 Char"/>
    <w:qFormat/>
    <w:uiPriority w:val="0"/>
    <w:rPr>
      <w:rFonts w:ascii="Calibri" w:hAnsi="Calibri"/>
      <w:kern w:val="2"/>
      <w:sz w:val="21"/>
      <w:szCs w:val="24"/>
    </w:rPr>
  </w:style>
  <w:style w:type="character" w:customStyle="1" w:styleId="237">
    <w:name w:val="批注文字 Char"/>
    <w:semiHidden/>
    <w:qFormat/>
    <w:uiPriority w:val="99"/>
    <w:rPr>
      <w:sz w:val="24"/>
    </w:rPr>
  </w:style>
  <w:style w:type="character" w:customStyle="1" w:styleId="238">
    <w:name w:val="fontstyle31"/>
    <w:qFormat/>
    <w:uiPriority w:val="0"/>
    <w:rPr>
      <w:rFonts w:hint="default" w:ascii="TimesNewRomanPSMT" w:hAnsi="TimesNewRomanPSMT"/>
      <w:color w:val="000000"/>
      <w:sz w:val="24"/>
      <w:szCs w:val="24"/>
    </w:rPr>
  </w:style>
  <w:style w:type="paragraph" w:customStyle="1" w:styleId="239">
    <w:name w:val="Char Char Char Char Char Char1 Char1"/>
    <w:basedOn w:val="1"/>
    <w:qFormat/>
    <w:uiPriority w:val="0"/>
    <w:pPr>
      <w:snapToGrid w:val="0"/>
      <w:spacing w:line="360" w:lineRule="auto"/>
      <w:ind w:firstLine="529" w:firstLineChars="200"/>
    </w:pPr>
    <w:rPr>
      <w:rFonts w:ascii="宋体" w:hAnsi="宋体"/>
      <w:b/>
    </w:rPr>
  </w:style>
  <w:style w:type="paragraph" w:customStyle="1" w:styleId="240">
    <w:name w:val="首行缩进2个字符"/>
    <w:basedOn w:val="1"/>
    <w:qFormat/>
    <w:uiPriority w:val="0"/>
    <w:pPr>
      <w:spacing w:line="360" w:lineRule="auto"/>
      <w:ind w:firstLine="200" w:firstLineChars="200"/>
    </w:pPr>
    <w:rPr>
      <w:rFonts w:ascii="宋体"/>
      <w:kern w:val="28"/>
      <w:sz w:val="28"/>
      <w:szCs w:val="28"/>
    </w:rPr>
  </w:style>
  <w:style w:type="character" w:customStyle="1" w:styleId="241">
    <w:name w:val="font11"/>
    <w:qFormat/>
    <w:uiPriority w:val="0"/>
    <w:rPr>
      <w:rFonts w:hint="eastAsia" w:ascii="宋体" w:hAnsi="宋体" w:eastAsia="宋体" w:cs="宋体"/>
      <w:color w:val="000000"/>
      <w:sz w:val="21"/>
      <w:szCs w:val="21"/>
      <w:u w:val="none"/>
    </w:rPr>
  </w:style>
  <w:style w:type="character" w:customStyle="1" w:styleId="242">
    <w:name w:val="表格 Char1"/>
    <w:qFormat/>
    <w:uiPriority w:val="0"/>
    <w:rPr>
      <w:rFonts w:hint="eastAsia" w:ascii="宋体" w:hAnsi="宋体" w:eastAsia="宋体" w:cs="宋体"/>
      <w:sz w:val="21"/>
    </w:rPr>
  </w:style>
  <w:style w:type="paragraph" w:customStyle="1" w:styleId="243">
    <w:name w:val="05正文"/>
    <w:qFormat/>
    <w:uiPriority w:val="0"/>
    <w:pPr>
      <w:snapToGrid w:val="0"/>
      <w:spacing w:line="520" w:lineRule="exact"/>
      <w:ind w:firstLine="200" w:firstLineChars="200"/>
    </w:pPr>
    <w:rPr>
      <w:rFonts w:ascii="Times New Roman" w:hAnsi="Times New Roman" w:eastAsia="宋体" w:cs="Courier New"/>
      <w:kern w:val="2"/>
      <w:sz w:val="24"/>
      <w:szCs w:val="21"/>
      <w:lang w:val="en-US" w:eastAsia="zh-CN" w:bidi="ar-SA"/>
    </w:rPr>
  </w:style>
  <w:style w:type="paragraph" w:customStyle="1" w:styleId="244">
    <w:name w:val="5正文"/>
    <w:basedOn w:val="1"/>
    <w:qFormat/>
    <w:uiPriority w:val="0"/>
    <w:pPr>
      <w:spacing w:line="520" w:lineRule="exact"/>
      <w:ind w:firstLine="200" w:firstLineChars="200"/>
    </w:pPr>
    <w:rPr>
      <w:sz w:val="24"/>
    </w:rPr>
  </w:style>
  <w:style w:type="paragraph" w:customStyle="1" w:styleId="245">
    <w:name w:val="06表头"/>
    <w:basedOn w:val="243"/>
    <w:next w:val="243"/>
    <w:qFormat/>
    <w:uiPriority w:val="0"/>
    <w:pPr>
      <w:ind w:firstLine="480"/>
    </w:pPr>
    <w:rPr>
      <w:rFonts w:eastAsia="黑体" w:cs="Times New Roman"/>
      <w:szCs w:val="24"/>
    </w:rPr>
  </w:style>
  <w:style w:type="character" w:customStyle="1" w:styleId="246">
    <w:name w:val="6表头 Char"/>
    <w:qFormat/>
    <w:locked/>
    <w:uiPriority w:val="0"/>
    <w:rPr>
      <w:rFonts w:hint="eastAsia" w:ascii="黑体" w:hAnsi="黑体" w:eastAsia="黑体"/>
      <w:sz w:val="24"/>
      <w:szCs w:val="24"/>
    </w:rPr>
  </w:style>
  <w:style w:type="paragraph" w:customStyle="1" w:styleId="247">
    <w:name w:val="07表格内容"/>
    <w:basedOn w:val="22"/>
    <w:qFormat/>
    <w:uiPriority w:val="0"/>
    <w:pPr>
      <w:spacing w:line="360" w:lineRule="exact"/>
      <w:jc w:val="center"/>
    </w:pPr>
    <w:rPr>
      <w:rFonts w:ascii="Times New Roman" w:hAnsi="Times New Roman"/>
      <w:szCs w:val="24"/>
    </w:rPr>
  </w:style>
  <w:style w:type="character" w:customStyle="1" w:styleId="248">
    <w:name w:val="未处理的提及1"/>
    <w:basedOn w:val="39"/>
    <w:semiHidden/>
    <w:unhideWhenUsed/>
    <w:qFormat/>
    <w:uiPriority w:val="99"/>
    <w:rPr>
      <w:color w:val="605E5C"/>
      <w:shd w:val="clear" w:color="auto" w:fill="E1DFDD"/>
    </w:rPr>
  </w:style>
  <w:style w:type="paragraph" w:customStyle="1" w:styleId="249">
    <w:name w:val="表内 定"/>
    <w:basedOn w:val="1"/>
    <w:link w:val="250"/>
    <w:qFormat/>
    <w:uiPriority w:val="0"/>
    <w:pPr>
      <w:jc w:val="left"/>
    </w:pPr>
    <w:rPr>
      <w:rFonts w:eastAsia="仿宋"/>
      <w:snapToGrid w:val="0"/>
      <w:color w:val="000000"/>
      <w:kern w:val="0"/>
      <w:sz w:val="20"/>
      <w:szCs w:val="22"/>
    </w:rPr>
  </w:style>
  <w:style w:type="character" w:customStyle="1" w:styleId="250">
    <w:name w:val="表内 定 Char"/>
    <w:basedOn w:val="39"/>
    <w:link w:val="249"/>
    <w:qFormat/>
    <w:uiPriority w:val="0"/>
    <w:rPr>
      <w:rFonts w:eastAsia="仿宋"/>
      <w:snapToGrid w:val="0"/>
      <w:color w:val="000000"/>
      <w:szCs w:val="22"/>
    </w:rPr>
  </w:style>
  <w:style w:type="character" w:customStyle="1" w:styleId="251">
    <w:name w:val="正文缩进 Char"/>
    <w:qFormat/>
    <w:uiPriority w:val="0"/>
    <w:rPr>
      <w:kern w:val="2"/>
      <w:sz w:val="21"/>
      <w:szCs w:val="24"/>
    </w:rPr>
  </w:style>
  <w:style w:type="character" w:customStyle="1" w:styleId="252">
    <w:name w:val="表格文字 Char"/>
    <w:link w:val="188"/>
    <w:qFormat/>
    <w:locked/>
    <w:uiPriority w:val="0"/>
    <w:rPr>
      <w:rFonts w:ascii="宋体"/>
      <w:kern w:val="2"/>
      <w:sz w:val="21"/>
      <w:szCs w:val="24"/>
    </w:rPr>
  </w:style>
  <w:style w:type="character" w:customStyle="1" w:styleId="253">
    <w:name w:val="注释标题 字符"/>
    <w:basedOn w:val="39"/>
    <w:link w:val="11"/>
    <w:qFormat/>
    <w:uiPriority w:val="0"/>
    <w:rPr>
      <w:kern w:val="2"/>
      <w:sz w:val="21"/>
      <w:szCs w:val="24"/>
    </w:rPr>
  </w:style>
  <w:style w:type="paragraph" w:customStyle="1" w:styleId="254">
    <w:name w:val="00"/>
    <w:basedOn w:val="1"/>
    <w:next w:val="2"/>
    <w:link w:val="281"/>
    <w:qFormat/>
    <w:uiPriority w:val="0"/>
    <w:pPr>
      <w:spacing w:line="520" w:lineRule="exact"/>
      <w:ind w:firstLine="200" w:firstLineChars="200"/>
    </w:pPr>
    <w:rPr>
      <w:rFonts w:ascii="宋体" w:hAnsi="宋体" w:cs="宋体"/>
      <w:sz w:val="24"/>
      <w:szCs w:val="20"/>
    </w:rPr>
  </w:style>
  <w:style w:type="character" w:customStyle="1" w:styleId="255">
    <w:name w:val="宏文本 字符"/>
    <w:basedOn w:val="39"/>
    <w:link w:val="2"/>
    <w:qFormat/>
    <w:uiPriority w:val="0"/>
    <w:rPr>
      <w:rFonts w:ascii="Courier New" w:hAnsi="Courier New" w:cs="Courier New"/>
      <w:kern w:val="2"/>
      <w:sz w:val="24"/>
      <w:szCs w:val="24"/>
    </w:rPr>
  </w:style>
  <w:style w:type="character" w:customStyle="1" w:styleId="256">
    <w:name w:val="普通(网站) Char1"/>
    <w:qFormat/>
    <w:locked/>
    <w:uiPriority w:val="0"/>
    <w:rPr>
      <w:rFonts w:ascii="宋体" w:hAnsi="宋体" w:eastAsia="宋体"/>
      <w:sz w:val="24"/>
    </w:rPr>
  </w:style>
  <w:style w:type="character" w:customStyle="1" w:styleId="257">
    <w:name w:val="普通(网站) Char"/>
    <w:qFormat/>
    <w:locked/>
    <w:uiPriority w:val="0"/>
    <w:rPr>
      <w:rFonts w:ascii="宋体" w:hAnsi="宋体" w:eastAsia="宋体"/>
      <w:sz w:val="24"/>
    </w:rPr>
  </w:style>
  <w:style w:type="character" w:customStyle="1" w:styleId="258">
    <w:name w:val="页脚 Char"/>
    <w:qFormat/>
    <w:locked/>
    <w:uiPriority w:val="99"/>
    <w:rPr>
      <w:sz w:val="18"/>
    </w:rPr>
  </w:style>
  <w:style w:type="character" w:customStyle="1" w:styleId="259">
    <w:name w:val="正文文本 Char"/>
    <w:qFormat/>
    <w:locked/>
    <w:uiPriority w:val="0"/>
    <w:rPr>
      <w:sz w:val="18"/>
    </w:rPr>
  </w:style>
  <w:style w:type="paragraph" w:customStyle="1" w:styleId="2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1">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62">
    <w:name w:val="未处理的提及2"/>
    <w:basedOn w:val="39"/>
    <w:semiHidden/>
    <w:unhideWhenUsed/>
    <w:qFormat/>
    <w:uiPriority w:val="99"/>
    <w:rPr>
      <w:color w:val="605E5C"/>
      <w:shd w:val="clear" w:color="auto" w:fill="E1DFDD"/>
    </w:rPr>
  </w:style>
  <w:style w:type="character" w:customStyle="1" w:styleId="263">
    <w:name w:val="标题 4 字符"/>
    <w:basedOn w:val="39"/>
    <w:link w:val="6"/>
    <w:semiHidden/>
    <w:qFormat/>
    <w:uiPriority w:val="0"/>
    <w:rPr>
      <w:rFonts w:asciiTheme="majorHAnsi" w:hAnsiTheme="majorHAnsi" w:eastAsiaTheme="majorEastAsia" w:cstheme="majorBidi"/>
      <w:b/>
      <w:bCs/>
      <w:kern w:val="2"/>
      <w:sz w:val="28"/>
      <w:szCs w:val="28"/>
    </w:rPr>
  </w:style>
  <w:style w:type="paragraph" w:customStyle="1" w:styleId="264">
    <w:name w:val="Revision"/>
    <w:hidden/>
    <w:unhideWhenUsed/>
    <w:uiPriority w:val="99"/>
    <w:rPr>
      <w:rFonts w:ascii="Times New Roman" w:hAnsi="Times New Roman" w:eastAsia="宋体" w:cs="Times New Roman"/>
      <w:kern w:val="2"/>
      <w:sz w:val="21"/>
      <w:szCs w:val="24"/>
      <w:lang w:val="en-US" w:eastAsia="zh-CN" w:bidi="ar-SA"/>
    </w:rPr>
  </w:style>
  <w:style w:type="paragraph" w:customStyle="1" w:styleId="265">
    <w:name w:val="列出段落1"/>
    <w:basedOn w:val="1"/>
    <w:qFormat/>
    <w:uiPriority w:val="99"/>
    <w:pPr>
      <w:widowControl/>
      <w:adjustRightInd w:val="0"/>
      <w:snapToGrid w:val="0"/>
      <w:spacing w:line="360" w:lineRule="auto"/>
      <w:ind w:firstLine="420" w:firstLineChars="200"/>
      <w:jc w:val="left"/>
    </w:pPr>
    <w:rPr>
      <w:rFonts w:ascii="Cambria Math" w:hAnsi="Cambria Math" w:cs="Cambria"/>
      <w:sz w:val="24"/>
      <w:szCs w:val="20"/>
    </w:rPr>
  </w:style>
  <w:style w:type="character" w:customStyle="1" w:styleId="266">
    <w:name w:val="22"/>
    <w:qFormat/>
    <w:uiPriority w:val="0"/>
    <w:rPr>
      <w:rFonts w:hint="default" w:ascii="Times New Roman" w:hAnsi="Times New Roman" w:cs="Times New Roman"/>
      <w:color w:val="000000"/>
      <w:sz w:val="21"/>
      <w:szCs w:val="21"/>
    </w:rPr>
  </w:style>
  <w:style w:type="character" w:customStyle="1" w:styleId="267">
    <w:name w:val="18"/>
    <w:uiPriority w:val="0"/>
    <w:rPr>
      <w:rFonts w:hint="eastAsia" w:ascii="宋体" w:hAnsi="宋体" w:eastAsia="宋体" w:cs="宋体"/>
      <w:color w:val="000000"/>
      <w:sz w:val="20"/>
      <w:szCs w:val="20"/>
    </w:rPr>
  </w:style>
  <w:style w:type="character" w:customStyle="1" w:styleId="268">
    <w:name w:val="16"/>
    <w:uiPriority w:val="0"/>
    <w:rPr>
      <w:rFonts w:hint="eastAsia" w:ascii="宋体" w:hAnsi="宋体" w:eastAsia="宋体" w:cs="宋体"/>
      <w:color w:val="000000"/>
      <w:sz w:val="20"/>
      <w:szCs w:val="20"/>
    </w:rPr>
  </w:style>
  <w:style w:type="character" w:customStyle="1" w:styleId="269">
    <w:name w:val="17"/>
    <w:qFormat/>
    <w:uiPriority w:val="0"/>
    <w:rPr>
      <w:rFonts w:hint="default" w:ascii="Times New Roman" w:hAnsi="Times New Roman" w:cs="Times New Roman"/>
      <w:color w:val="000000"/>
      <w:sz w:val="22"/>
      <w:szCs w:val="22"/>
      <w:vertAlign w:val="superscript"/>
    </w:rPr>
  </w:style>
  <w:style w:type="character" w:customStyle="1" w:styleId="270">
    <w:name w:val="15"/>
    <w:uiPriority w:val="0"/>
    <w:rPr>
      <w:rFonts w:hint="eastAsia" w:ascii="宋体" w:hAnsi="宋体" w:eastAsia="宋体" w:cs="宋体"/>
      <w:color w:val="000000"/>
      <w:sz w:val="20"/>
      <w:szCs w:val="20"/>
    </w:rPr>
  </w:style>
  <w:style w:type="paragraph" w:customStyle="1" w:styleId="271">
    <w:name w:val="鸿达表格文字"/>
    <w:basedOn w:val="1"/>
    <w:qFormat/>
    <w:uiPriority w:val="0"/>
    <w:pPr>
      <w:contextualSpacing/>
      <w:jc w:val="center"/>
      <w:textAlignment w:val="baseline"/>
    </w:pPr>
    <w:rPr>
      <w:color w:val="000000"/>
      <w:kern w:val="0"/>
      <w:szCs w:val="21"/>
    </w:rPr>
  </w:style>
  <w:style w:type="paragraph" w:customStyle="1" w:styleId="272">
    <w:name w:val="TOC Heading"/>
    <w:basedOn w:val="3"/>
    <w:next w:val="1"/>
    <w:unhideWhenUsed/>
    <w:qFormat/>
    <w:uiPriority w:val="39"/>
    <w:pPr>
      <w:keepLines/>
      <w:widowControl/>
      <w:overflowPunct/>
      <w:snapToGrid/>
      <w:spacing w:before="240" w:after="0"/>
      <w:ind w:left="0" w:firstLine="0"/>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273">
    <w:name w:val="标题 6 字符"/>
    <w:basedOn w:val="39"/>
    <w:link w:val="7"/>
    <w:uiPriority w:val="1"/>
    <w:rPr>
      <w:rFonts w:ascii="楷体_GB2312" w:eastAsia="楷体_GB2312" w:cs="楷体_GB2312"/>
      <w:b/>
      <w:bCs/>
      <w:sz w:val="28"/>
      <w:szCs w:val="28"/>
    </w:rPr>
  </w:style>
  <w:style w:type="character" w:customStyle="1" w:styleId="274">
    <w:name w:val="标题 4 字符1"/>
    <w:qFormat/>
    <w:uiPriority w:val="9"/>
    <w:rPr>
      <w:rFonts w:ascii="等线 Light" w:hAnsi="等线 Light" w:eastAsia="等线 Light" w:cs="Times New Roman"/>
      <w:b/>
      <w:bCs/>
      <w:sz w:val="28"/>
      <w:szCs w:val="28"/>
    </w:rPr>
  </w:style>
  <w:style w:type="character" w:customStyle="1" w:styleId="275">
    <w:name w:val="正文缩进 字符1"/>
    <w:qFormat/>
    <w:uiPriority w:val="0"/>
    <w:rPr>
      <w:rFonts w:ascii="Times New Roman" w:hAnsi="Times New Roman" w:eastAsia="宋体" w:cs="Times New Roman"/>
      <w:szCs w:val="20"/>
    </w:rPr>
  </w:style>
  <w:style w:type="character" w:customStyle="1" w:styleId="276">
    <w:name w:val="标题 字符"/>
    <w:basedOn w:val="39"/>
    <w:link w:val="33"/>
    <w:qFormat/>
    <w:uiPriority w:val="0"/>
    <w:rPr>
      <w:rFonts w:ascii="Cambria" w:hAnsi="Cambria"/>
      <w:b/>
      <w:bCs/>
      <w:kern w:val="2"/>
      <w:sz w:val="24"/>
      <w:szCs w:val="32"/>
    </w:rPr>
  </w:style>
  <w:style w:type="character" w:customStyle="1" w:styleId="277">
    <w:name w:val="正文文本首行缩进 字符"/>
    <w:basedOn w:val="54"/>
    <w:link w:val="35"/>
    <w:qFormat/>
    <w:uiPriority w:val="0"/>
    <w:rPr>
      <w:rFonts w:ascii="宋体"/>
      <w:kern w:val="2"/>
      <w:sz w:val="24"/>
      <w:szCs w:val="24"/>
    </w:rPr>
  </w:style>
  <w:style w:type="character" w:customStyle="1" w:styleId="278">
    <w:name w:val="正文文本首行缩进 2 字符"/>
    <w:basedOn w:val="55"/>
    <w:link w:val="36"/>
    <w:uiPriority w:val="0"/>
    <w:rPr>
      <w:rFonts w:ascii="Times New Roman" w:hAnsi="Times New Roman" w:eastAsia="宋体"/>
      <w:sz w:val="21"/>
    </w:rPr>
  </w:style>
  <w:style w:type="character" w:customStyle="1" w:styleId="279">
    <w:name w:val="标题 字符1"/>
    <w:uiPriority w:val="10"/>
    <w:rPr>
      <w:rFonts w:ascii="等线 Light" w:hAnsi="等线 Light" w:eastAsia="宋体" w:cs="Times New Roman"/>
      <w:b/>
      <w:bCs/>
      <w:kern w:val="2"/>
      <w:sz w:val="32"/>
      <w:szCs w:val="32"/>
    </w:rPr>
  </w:style>
  <w:style w:type="character" w:customStyle="1" w:styleId="280">
    <w:name w:val="正文1 Char"/>
    <w:link w:val="83"/>
    <w:qFormat/>
    <w:uiPriority w:val="0"/>
    <w:rPr>
      <w:rFonts w:ascii="Calibri" w:hAnsi="Calibri" w:cs="Calibri"/>
      <w:kern w:val="2"/>
      <w:sz w:val="21"/>
      <w:szCs w:val="21"/>
    </w:rPr>
  </w:style>
  <w:style w:type="character" w:customStyle="1" w:styleId="281">
    <w:name w:val="00 Char"/>
    <w:link w:val="254"/>
    <w:qFormat/>
    <w:uiPriority w:val="0"/>
    <w:rPr>
      <w:rFonts w:ascii="宋体" w:hAnsi="宋体" w:cs="宋体"/>
      <w:kern w:val="2"/>
      <w:sz w:val="24"/>
    </w:rPr>
  </w:style>
  <w:style w:type="paragraph" w:customStyle="1" w:styleId="282">
    <w:name w:val="表格字体"/>
    <w:basedOn w:val="1"/>
    <w:qFormat/>
    <w:uiPriority w:val="0"/>
    <w:pPr>
      <w:adjustRightInd w:val="0"/>
      <w:spacing w:line="320" w:lineRule="exact"/>
      <w:jc w:val="center"/>
    </w:pPr>
    <w:rPr>
      <w:color w:val="000000"/>
      <w:szCs w:val="20"/>
    </w:rPr>
  </w:style>
  <w:style w:type="paragraph" w:customStyle="1" w:styleId="283">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284">
    <w:name w:val="陶瓷表格"/>
    <w:basedOn w:val="1"/>
    <w:uiPriority w:val="0"/>
    <w:pPr>
      <w:autoSpaceDE w:val="0"/>
      <w:autoSpaceDN w:val="0"/>
      <w:adjustRightInd w:val="0"/>
      <w:snapToGrid w:val="0"/>
      <w:jc w:val="center"/>
      <w:textAlignment w:val="bottom"/>
    </w:pPr>
    <w:rPr>
      <w:rFonts w:ascii="宋体" w:hAnsi="宋体"/>
      <w:color w:val="000000"/>
      <w:szCs w:val="21"/>
    </w:rPr>
  </w:style>
  <w:style w:type="paragraph" w:customStyle="1" w:styleId="2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6">
    <w:name w:val="表头文字"/>
    <w:basedOn w:val="1"/>
    <w:qFormat/>
    <w:uiPriority w:val="0"/>
    <w:pPr>
      <w:widowControl/>
      <w:adjustRightInd w:val="0"/>
      <w:snapToGrid w:val="0"/>
      <w:spacing w:line="360" w:lineRule="exact"/>
      <w:ind w:firstLine="480" w:firstLineChars="200"/>
    </w:pPr>
    <w:rPr>
      <w:b/>
      <w:kern w:val="0"/>
      <w:sz w:val="24"/>
      <w:szCs w:val="20"/>
    </w:rPr>
  </w:style>
  <w:style w:type="paragraph" w:customStyle="1" w:styleId="287">
    <w:name w:val="磷矿正文"/>
    <w:basedOn w:val="1"/>
    <w:uiPriority w:val="0"/>
    <w:pPr>
      <w:autoSpaceDE w:val="0"/>
      <w:autoSpaceDN w:val="0"/>
      <w:adjustRightInd w:val="0"/>
      <w:spacing w:before="100" w:beforeAutospacing="1" w:after="100" w:afterAutospacing="1" w:line="360" w:lineRule="auto"/>
      <w:ind w:left="105" w:leftChars="50" w:right="105" w:rightChars="50" w:firstLine="200" w:firstLineChars="200"/>
    </w:pPr>
    <w:rPr>
      <w:sz w:val="24"/>
    </w:rPr>
  </w:style>
  <w:style w:type="paragraph" w:customStyle="1" w:styleId="288">
    <w:name w:val="1文章"/>
    <w:basedOn w:val="1"/>
    <w:qFormat/>
    <w:uiPriority w:val="0"/>
    <w:pPr>
      <w:snapToGrid w:val="0"/>
      <w:spacing w:line="360" w:lineRule="auto"/>
      <w:ind w:firstLine="573"/>
    </w:pPr>
    <w:rPr>
      <w:rFonts w:eastAsia="仿宋_GB2312"/>
    </w:rPr>
  </w:style>
  <w:style w:type="character" w:customStyle="1" w:styleId="289">
    <w:name w:val="Default Char"/>
    <w:link w:val="66"/>
    <w:qFormat/>
    <w:uiPriority w:val="0"/>
    <w:rPr>
      <w:rFonts w:ascii="宋体" w:hAnsi="Courier New"/>
      <w:color w:val="000000"/>
      <w:kern w:val="2"/>
      <w:sz w:val="24"/>
      <w:szCs w:val="21"/>
    </w:rPr>
  </w:style>
  <w:style w:type="paragraph" w:customStyle="1" w:styleId="290">
    <w:name w:val="富士康正文"/>
    <w:basedOn w:val="1"/>
    <w:qFormat/>
    <w:uiPriority w:val="99"/>
    <w:pPr>
      <w:tabs>
        <w:tab w:val="left" w:pos="2700"/>
      </w:tabs>
      <w:spacing w:beforeLines="30" w:line="360" w:lineRule="auto"/>
      <w:ind w:firstLine="200" w:firstLineChars="200"/>
    </w:pPr>
    <w:rPr>
      <w:sz w:val="24"/>
    </w:rPr>
  </w:style>
  <w:style w:type="paragraph" w:customStyle="1" w:styleId="291">
    <w:name w:val="Char Char1 Char"/>
    <w:basedOn w:val="1"/>
    <w:qFormat/>
    <w:uiPriority w:val="0"/>
    <w:pPr>
      <w:widowControl/>
      <w:spacing w:line="360" w:lineRule="auto"/>
      <w:ind w:firstLine="200" w:firstLineChars="200"/>
      <w:jc w:val="left"/>
    </w:pPr>
    <w:rPr>
      <w:rFonts w:ascii="宋体" w:hAnsi="宋体" w:cs="宋体"/>
      <w:color w:val="000000"/>
      <w:kern w:val="0"/>
      <w:sz w:val="20"/>
    </w:rPr>
  </w:style>
  <w:style w:type="paragraph" w:customStyle="1" w:styleId="292">
    <w:name w:val="Char Char Char Char1"/>
    <w:basedOn w:val="1"/>
    <w:qFormat/>
    <w:uiPriority w:val="0"/>
    <w:pPr>
      <w:spacing w:beforeLines="20" w:line="440" w:lineRule="atLeast"/>
      <w:ind w:firstLine="200" w:firstLineChars="200"/>
    </w:pPr>
    <w:rPr>
      <w:sz w:val="24"/>
      <w:szCs w:val="20"/>
    </w:rPr>
  </w:style>
  <w:style w:type="paragraph" w:customStyle="1" w:styleId="293">
    <w:name w:val="000"/>
    <w:basedOn w:val="254"/>
    <w:qFormat/>
    <w:uiPriority w:val="0"/>
    <w:pPr>
      <w:snapToGrid w:val="0"/>
    </w:pPr>
    <w:rPr>
      <w:szCs w:val="24"/>
    </w:rPr>
  </w:style>
  <w:style w:type="character" w:customStyle="1" w:styleId="294">
    <w:name w:val="正文文本 字符2"/>
    <w:uiPriority w:val="99"/>
    <w:rPr>
      <w:kern w:val="2"/>
      <w:sz w:val="21"/>
      <w:szCs w:val="22"/>
    </w:rPr>
  </w:style>
  <w:style w:type="character" w:customStyle="1" w:styleId="295">
    <w:name w:val="1正文 Char"/>
    <w:link w:val="296"/>
    <w:qFormat/>
    <w:uiPriority w:val="0"/>
    <w:rPr>
      <w:sz w:val="24"/>
      <w:szCs w:val="24"/>
    </w:rPr>
  </w:style>
  <w:style w:type="paragraph" w:customStyle="1" w:styleId="296">
    <w:name w:val="1正文"/>
    <w:link w:val="295"/>
    <w:qFormat/>
    <w:uiPriority w:val="0"/>
    <w:pPr>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297">
    <w:name w:val="font41"/>
    <w:qFormat/>
    <w:uiPriority w:val="0"/>
    <w:rPr>
      <w:rFonts w:ascii="Arial Unicode MS" w:hAnsi="Arial Unicode MS" w:eastAsia="Arial Unicode MS" w:cs="Arial Unicode MS"/>
      <w:color w:val="000000"/>
      <w:sz w:val="22"/>
      <w:szCs w:val="22"/>
      <w:u w:val="none"/>
    </w:rPr>
  </w:style>
  <w:style w:type="character" w:styleId="298">
    <w:name w:val="Placeholder Text"/>
    <w:unhideWhenUsed/>
    <w:qFormat/>
    <w:uiPriority w:val="99"/>
    <w:rPr>
      <w:color w:val="808080"/>
    </w:rPr>
  </w:style>
  <w:style w:type="character" w:customStyle="1" w:styleId="299">
    <w:name w:val="25"/>
    <w:qFormat/>
    <w:uiPriority w:val="0"/>
    <w:rPr>
      <w:rFonts w:hint="default" w:ascii="Times New Roman" w:hAnsi="Times New Roman" w:cs="Times New Roman"/>
      <w:color w:val="000000"/>
      <w:sz w:val="21"/>
      <w:szCs w:val="21"/>
    </w:rPr>
  </w:style>
  <w:style w:type="character" w:customStyle="1" w:styleId="300">
    <w:name w:val="font01"/>
    <w:qFormat/>
    <w:uiPriority w:val="0"/>
    <w:rPr>
      <w:rFonts w:hint="eastAsia" w:ascii="宋体" w:hAnsi="宋体" w:eastAsia="宋体" w:cs="宋体"/>
      <w:color w:val="000000"/>
      <w:sz w:val="22"/>
      <w:szCs w:val="22"/>
      <w:u w:val="none"/>
    </w:rPr>
  </w:style>
  <w:style w:type="paragraph" w:customStyle="1" w:styleId="301">
    <w:name w:val="段前2字符"/>
    <w:basedOn w:val="1"/>
    <w:qFormat/>
    <w:uiPriority w:val="0"/>
    <w:pPr>
      <w:ind w:firstLine="480" w:firstLineChars="200"/>
      <w:jc w:val="left"/>
    </w:pPr>
    <w:rPr>
      <w:rFonts w:ascii="Calibri" w:hAnsi="Calibri" w:cs="宋体"/>
      <w:kern w:val="0"/>
      <w:szCs w:val="20"/>
    </w:rPr>
  </w:style>
  <w:style w:type="paragraph" w:customStyle="1" w:styleId="302">
    <w:name w:val="表文字"/>
    <w:basedOn w:val="1"/>
    <w:qFormat/>
    <w:uiPriority w:val="0"/>
    <w:pPr>
      <w:widowControl/>
      <w:snapToGrid w:val="0"/>
      <w:jc w:val="center"/>
    </w:pPr>
    <w:rPr>
      <w:color w:val="000000"/>
      <w:kern w:val="0"/>
      <w:sz w:val="20"/>
      <w:szCs w:val="21"/>
    </w:rPr>
  </w:style>
  <w:style w:type="paragraph" w:customStyle="1" w:styleId="303">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304">
    <w:name w:val="正文缩进 字符2"/>
    <w:qFormat/>
    <w:uiPriority w:val="0"/>
    <w:rPr>
      <w:kern w:val="2"/>
      <w:sz w:val="21"/>
    </w:rPr>
  </w:style>
  <w:style w:type="paragraph" w:styleId="305">
    <w:name w:val="No Spacing"/>
    <w:qFormat/>
    <w:uiPriority w:val="1"/>
    <w:pPr>
      <w:widowControl w:val="0"/>
      <w:adjustRightInd w:val="0"/>
      <w:snapToGrid w:val="0"/>
      <w:spacing w:line="360" w:lineRule="auto"/>
      <w:jc w:val="center"/>
    </w:pPr>
    <w:rPr>
      <w:rFonts w:ascii="Calibri" w:hAnsi="Calibri" w:eastAsia="宋体" w:cs="Times New Roman"/>
      <w:kern w:val="2"/>
      <w:sz w:val="21"/>
      <w:szCs w:val="22"/>
      <w:lang w:val="en-US" w:eastAsia="zh-CN" w:bidi="ar-SA"/>
    </w:rPr>
  </w:style>
  <w:style w:type="character" w:customStyle="1" w:styleId="306">
    <w:name w:val="font91"/>
    <w:qFormat/>
    <w:uiPriority w:val="0"/>
    <w:rPr>
      <w:rFonts w:hint="default" w:ascii="Times New Roman" w:hAnsi="Times New Roman" w:cs="Times New Roman"/>
      <w:color w:val="FF0000"/>
      <w:sz w:val="21"/>
      <w:szCs w:val="21"/>
      <w:u w:val="none"/>
    </w:rPr>
  </w:style>
  <w:style w:type="paragraph" w:customStyle="1" w:styleId="307">
    <w:name w:val="01表格正文"/>
    <w:basedOn w:val="1"/>
    <w:qFormat/>
    <w:uiPriority w:val="0"/>
    <w:pPr>
      <w:jc w:val="center"/>
    </w:pPr>
    <w:rPr>
      <w:rFonts w:ascii="Calibri" w:hAnsi="Calibri"/>
      <w:szCs w:val="21"/>
    </w:rPr>
  </w:style>
  <w:style w:type="paragraph" w:customStyle="1" w:styleId="308">
    <w:name w:val="表格_正文"/>
    <w:qFormat/>
    <w:uiPriority w:val="0"/>
    <w:pPr>
      <w:widowControl w:val="0"/>
      <w:adjustRightInd w:val="0"/>
      <w:snapToGrid w:val="0"/>
      <w:jc w:val="center"/>
    </w:pPr>
    <w:rPr>
      <w:rFonts w:ascii="Times New Roman" w:hAnsi="Times New Roman" w:eastAsia="宋体" w:cs="Times New Roman"/>
      <w:bCs/>
      <w:color w:val="000000"/>
      <w:sz w:val="21"/>
      <w:szCs w:val="21"/>
      <w:lang w:val="en-US" w:eastAsia="zh-CN" w:bidi="ar-SA"/>
    </w:rPr>
  </w:style>
  <w:style w:type="paragraph" w:customStyle="1" w:styleId="309">
    <w:name w:val="表格  内容"/>
    <w:basedOn w:val="29"/>
    <w:link w:val="310"/>
    <w:qFormat/>
    <w:uiPriority w:val="0"/>
    <w:pPr>
      <w:autoSpaceDE w:val="0"/>
      <w:autoSpaceDN w:val="0"/>
      <w:adjustRightInd w:val="0"/>
      <w:spacing w:line="240" w:lineRule="auto"/>
      <w:ind w:firstLine="0" w:firstLineChars="0"/>
      <w:jc w:val="center"/>
      <w:outlineLvl w:val="9"/>
    </w:pPr>
    <w:rPr>
      <w:bCs w:val="0"/>
      <w:kern w:val="0"/>
      <w:sz w:val="21"/>
      <w:szCs w:val="18"/>
      <w:lang w:val="zh-CN"/>
    </w:rPr>
  </w:style>
  <w:style w:type="character" w:customStyle="1" w:styleId="310">
    <w:name w:val="表格  内容 Char"/>
    <w:link w:val="309"/>
    <w:qFormat/>
    <w:uiPriority w:val="0"/>
    <w:rPr>
      <w:sz w:val="21"/>
      <w:szCs w:val="18"/>
      <w:lang w:val="zh-CN"/>
    </w:rPr>
  </w:style>
  <w:style w:type="paragraph" w:customStyle="1" w:styleId="311">
    <w:name w:val="我-表格内文字"/>
    <w:basedOn w:val="1"/>
    <w:next w:val="1"/>
    <w:link w:val="314"/>
    <w:qFormat/>
    <w:uiPriority w:val="0"/>
    <w:pPr>
      <w:tabs>
        <w:tab w:val="left" w:pos="0"/>
      </w:tabs>
      <w:jc w:val="center"/>
    </w:pPr>
    <w:rPr>
      <w:rFonts w:cstheme="minorBidi"/>
      <w:szCs w:val="22"/>
    </w:rPr>
  </w:style>
  <w:style w:type="paragraph" w:customStyle="1" w:styleId="312">
    <w:name w:val="我-图表标题"/>
    <w:basedOn w:val="1"/>
    <w:next w:val="1"/>
    <w:link w:val="313"/>
    <w:qFormat/>
    <w:uiPriority w:val="0"/>
    <w:pPr>
      <w:spacing w:line="520" w:lineRule="exact"/>
      <w:jc w:val="center"/>
    </w:pPr>
    <w:rPr>
      <w:rFonts w:eastAsia="黑体" w:cstheme="minorBidi"/>
      <w:sz w:val="24"/>
      <w:szCs w:val="22"/>
    </w:rPr>
  </w:style>
  <w:style w:type="character" w:customStyle="1" w:styleId="313">
    <w:name w:val="我-图表标题 Char"/>
    <w:link w:val="312"/>
    <w:qFormat/>
    <w:uiPriority w:val="0"/>
    <w:rPr>
      <w:rFonts w:eastAsia="黑体" w:cstheme="minorBidi"/>
      <w:kern w:val="2"/>
      <w:sz w:val="24"/>
      <w:szCs w:val="22"/>
    </w:rPr>
  </w:style>
  <w:style w:type="character" w:customStyle="1" w:styleId="314">
    <w:name w:val="我-表格内文字 Char"/>
    <w:link w:val="311"/>
    <w:qFormat/>
    <w:uiPriority w:val="0"/>
    <w:rPr>
      <w:rFonts w:cstheme="minorBidi"/>
      <w:kern w:val="2"/>
      <w:sz w:val="21"/>
      <w:szCs w:val="22"/>
    </w:rPr>
  </w:style>
  <w:style w:type="paragraph" w:customStyle="1" w:styleId="315">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311"/>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5"/>
    <customShpInfo spid="_x0000_s2496"/>
    <customShpInfo spid="_x0000_s2529"/>
    <customShpInfo spid="_x0000_s2530"/>
    <customShpInfo spid="_x0000_s2534"/>
    <customShpInfo spid="_x0000_s2535"/>
    <customShpInfo spid="_x0000_s2204"/>
    <customShpInfo spid="_x0000_s2266"/>
    <customShpInfo spid="_x0000_s2264"/>
    <customShpInfo spid="_x0000_s2262"/>
    <customShpInfo spid="_x0000_s2261"/>
    <customShpInfo spid="_x0000_s2260"/>
    <customShpInfo spid="_x0000_s2259"/>
    <customShpInfo spid="_x0000_s2258"/>
    <customShpInfo spid="_x0000_s2257"/>
    <customShpInfo spid="_x0000_s2255"/>
    <customShpInfo spid="_x0000_s2254"/>
    <customShpInfo spid="_x0000_s2253"/>
    <customShpInfo spid="_x0000_s2252"/>
    <customShpInfo spid="_x0000_s2251"/>
    <customShpInfo spid="_x0000_s2250"/>
    <customShpInfo spid="_x0000_s2249"/>
    <customShpInfo spid="_x0000_s2248"/>
    <customShpInfo spid="_x0000_s2246"/>
    <customShpInfo spid="_x0000_s2245"/>
    <customShpInfo spid="_x0000_s2243"/>
    <customShpInfo spid="_x0000_s2242"/>
    <customShpInfo spid="_x0000_s2241"/>
    <customShpInfo spid="_x0000_s2240"/>
    <customShpInfo spid="_x0000_s2239"/>
    <customShpInfo spid="_x0000_s2238"/>
    <customShpInfo spid="_x0000_s2237"/>
    <customShpInfo spid="_x0000_s2235"/>
    <customShpInfo spid="_x0000_s2232"/>
    <customShpInfo spid="_x0000_s2231"/>
    <customShpInfo spid="_x0000_s2230"/>
    <customShpInfo spid="_x0000_s2229"/>
    <customShpInfo spid="_x0000_s2226"/>
    <customShpInfo spid="_x0000_s2225"/>
    <customShpInfo spid="_x0000_s2222"/>
    <customShpInfo spid="_x0000_s2221"/>
    <customShpInfo spid="_x0000_s2220"/>
    <customShpInfo spid="_x0000_s2219"/>
    <customShpInfo spid="_x0000_s2218"/>
    <customShpInfo spid="_x0000_s2217"/>
    <customShpInfo spid="_x0000_s2215"/>
    <customShpInfo spid="_x0000_s2214"/>
    <customShpInfo spid="_x0000_s2212"/>
    <customShpInfo spid="_x0000_s2211"/>
    <customShpInfo spid="_x0000_s2210"/>
    <customShpInfo spid="_x0000_s2209"/>
    <customShpInfo spid="_x0000_s2208"/>
    <customShpInfo spid="_x0000_s2350"/>
    <customShpInfo spid="_x0000_s2351"/>
    <customShpInfo spid="_x0000_s2352"/>
    <customShpInfo spid="_x0000_s2353"/>
    <customShpInfo spid="_x0000_s2354"/>
    <customShpInfo spid="_x0000_s2355"/>
    <customShpInfo spid="_x0000_s2356"/>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505"/>
    <customShpInfo spid="_x0000_s2506"/>
    <customShpInfo spid="_x0000_s2507"/>
    <customShpInfo spid="_x0000_s2508"/>
    <customShpInfo spid="_x0000_s2513"/>
    <customShpInfo spid="_x0000_s2515"/>
    <customShpInfo spid="_x0000_s2518"/>
    <customShpInfo spid="_x0000_s2519"/>
    <customShpInfo spid="_x0000_s2520"/>
    <customShpInfo spid="_x0000_s2521"/>
    <customShpInfo spid="_x0000_s2522"/>
    <customShpInfo spid="_x0000_s252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48E3A-6EB0-402C-8D17-FAAE1C6F147A}">
  <ds:schemaRefs/>
</ds:datastoreItem>
</file>

<file path=docProps/app.xml><?xml version="1.0" encoding="utf-8"?>
<Properties xmlns="http://schemas.openxmlformats.org/officeDocument/2006/extended-properties" xmlns:vt="http://schemas.openxmlformats.org/officeDocument/2006/docPropsVTypes">
  <Template>wdzx97</Template>
  <Company>China</Company>
  <Pages>123</Pages>
  <Words>641</Words>
  <Characters>696</Characters>
  <Lines>691</Lines>
  <Paragraphs>194</Paragraphs>
  <TotalTime>7560</TotalTime>
  <ScaleCrop>false</ScaleCrop>
  <LinksUpToDate>false</LinksUpToDate>
  <CharactersWithSpaces>823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2024-07-14T09:35:00Z</dcterms:created>
  <dc:creator>w</dc:creator>
  <cp:lastModifiedBy>海魂衫</cp:lastModifiedBy>
  <cp:lastPrinted>2024-01-10T01:48:00Z</cp:lastPrinted>
  <dcterms:modified xsi:type="dcterms:W3CDTF">2026-01-23T00:35:14Z</dcterms:modified>
  <dc:title>附件2</dc:title>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E22C4811D3D542FB840ABF024DCFA5F4_13</vt:lpwstr>
  </property>
  <property fmtid="{D5CDD505-2E9C-101B-9397-08002B2CF9AE}" pid="4" name="KSOTemplateDocerSaveRecord">
    <vt:lpwstr>eyJoZGlkIjoiNzJhYzBlMWE0MmU4MjI2NTNjY2M4NTU5YWQ1NmNkMzMiLCJ1c2VySWQiOiI2NzIzMzA3NDgifQ==</vt:lpwstr>
  </property>
</Properties>
</file>